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8"/>
        <w:rPr>
          <w:rFonts w:hint="eastAsia"/>
          <w:color w:val="000000"/>
          <w:highlight w:val="none"/>
        </w:rPr>
      </w:pPr>
      <w:r>
        <w:rPr>
          <w:rFonts w:hint="eastAsia"/>
          <w:color w:val="000000"/>
          <w:highlight w:val="none"/>
        </w:rPr>
      </w:r>
      <w:r/>
    </w:p>
    <w:p>
      <w:pPr>
        <w:pStyle w:val="97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89"/>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全区交通安全科技设施增设二期工程</w:t>
      </w:r>
      <w:r>
        <w:rPr>
          <w:rFonts w:eastAsia="宋体" w:cs="Times New Roman"/>
          <w:b/>
          <w:color w:val="000000"/>
          <w:sz w:val="30"/>
          <w:szCs w:val="30"/>
          <w:highlight w:val="none"/>
          <w:u w:val="single"/>
          <w:lang w:val="en-US" w:eastAsia="zh-CN"/>
        </w:rPr>
      </w:r>
      <w:r/>
    </w:p>
    <w:p>
      <w:pPr>
        <w:pStyle w:val="889"/>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eastAsia="zh-CN"/>
        </w:rPr>
        <w:t xml:space="preserve">JSZC-320116-JZCG-G2026-0042</w:t>
      </w:r>
      <w:r>
        <w:rPr>
          <w:rFonts w:hint="eastAsia" w:eastAsia="宋体" w:cs="Times New Roman"/>
          <w:b/>
          <w:color w:val="000000"/>
          <w:sz w:val="30"/>
          <w:szCs w:val="30"/>
          <w:highlight w:val="none"/>
          <w:lang w:eastAsia="zh-CN"/>
        </w:rPr>
      </w:r>
      <w:r/>
    </w:p>
    <w:p>
      <w:pPr>
        <w:pStyle w:val="88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8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9"/>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b/>
          <w:bCs/>
          <w:color w:val="000000"/>
          <w:sz w:val="32"/>
          <w:highlight w:val="none"/>
          <w:lang w:eastAsia="zh-CN"/>
        </w:rPr>
      </w:r>
      <w:r/>
    </w:p>
    <w:p>
      <w:pPr>
        <w:pStyle w:val="88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hint="eastAsia" w:ascii="Times New Roman" w:hAnsi="Times New Roman" w:eastAsia="宋体" w:cs="Times New Roman"/>
          <w:b/>
          <w:bCs w:val="0"/>
          <w:color w:val="000000"/>
          <w:sz w:val="32"/>
          <w:szCs w:val="32"/>
          <w:highlight w:val="none"/>
          <w:u w:val="none"/>
          <w:lang w:val="en-US" w:eastAsia="zh-CN"/>
        </w:rPr>
        <w:t xml:space="preserve">9</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88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9"/>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8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8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w:t>
      </w:r>
      <w:r>
        <w:rPr>
          <w:rFonts w:hint="eastAsia" w:ascii="黑体" w:hAnsi="宋体" w:eastAsia="黑体" w:cs="Times New Roman"/>
          <w:color w:val="000000"/>
          <w:sz w:val="36"/>
          <w:szCs w:val="21"/>
          <w:highlight w:val="none"/>
        </w:rPr>
      </w:r>
      <w:r/>
    </w:p>
    <w:p>
      <w:pPr>
        <w:pStyle w:val="88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88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88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88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88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8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92"/>
        <w:ind w:firstLine="600"/>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9"/>
        <w:ind w:firstLine="480"/>
        <w:pageBreakBefore w:val="0"/>
        <w:spacing w:line="252" w:lineRule="auto"/>
        <w:widowControl w:val="off"/>
        <w:rPr>
          <w:rFonts w:ascii="宋体" w:hAnsi="宋体"/>
          <w:color w:val="000000"/>
          <w:sz w:val="24"/>
          <w:szCs w:val="24"/>
          <w:highlight w:val="none"/>
        </w:rPr>
      </w:pPr>
      <w:r/>
      <w:bookmarkEnd w:id="11"/>
      <w:r/>
      <w:bookmarkStart w:id="12" w:name="_Toc28359003"/>
      <w:r/>
      <w:bookmarkStart w:id="13" w:name="_Toc38985264"/>
      <w:r/>
      <w:bookmarkStart w:id="14" w:name="_Toc28359080"/>
      <w:r/>
      <w:bookmarkStart w:id="15" w:name="_Toc35393791"/>
      <w:r/>
      <w:bookmarkStart w:id="16" w:name="_Toc35393622"/>
      <w:r>
        <w:rPr>
          <w:rFonts w:hint="eastAsia" w:ascii="宋体" w:hAnsi="宋体"/>
          <w:color w:val="000000"/>
          <w:sz w:val="24"/>
          <w:szCs w:val="24"/>
          <w:highlight w:val="none"/>
        </w:rPr>
        <w:t xml:space="preserve">1.项目编号：</w:t>
      </w:r>
      <w:r>
        <w:rPr>
          <w:rFonts w:ascii="Segoe UI" w:hAnsi="Segoe UI" w:eastAsia="Segoe UI" w:cs="Segoe UI"/>
          <w:i w:val="0"/>
          <w:iCs w:val="0"/>
          <w:caps w:val="0"/>
          <w:color w:val="000000"/>
          <w:spacing w:val="0"/>
          <w:sz w:val="21"/>
          <w:szCs w:val="21"/>
          <w:highlight w:val="none"/>
          <w:shd w:val="clear" w:color="auto" w:fill="ffffff"/>
        </w:rPr>
        <w:t xml:space="preserve">JSZC-320116-JZCG-G2026-0042</w:t>
      </w:r>
      <w:r>
        <w:rPr>
          <w:rFonts w:ascii="宋体" w:hAnsi="宋体"/>
          <w:color w:val="000000"/>
          <w:sz w:val="24"/>
          <w:szCs w:val="24"/>
          <w:highlight w:val="none"/>
        </w:rPr>
      </w:r>
      <w:r/>
    </w:p>
    <w:p>
      <w:pPr>
        <w:pStyle w:val="889"/>
        <w:ind w:firstLine="480"/>
        <w:keepLines w:val="0"/>
        <w:keepNext w:val="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全区交通安全科技设施增设二期工程</w:t>
      </w:r>
      <w:r>
        <w:rPr>
          <w:rFonts w:hint="eastAsia" w:ascii="宋体" w:hAnsi="宋体" w:eastAsia="宋体"/>
          <w:color w:val="000000"/>
          <w:sz w:val="24"/>
          <w:szCs w:val="24"/>
          <w:highlight w:val="none"/>
          <w:lang w:eastAsia="zh-CN"/>
        </w:rPr>
      </w:r>
      <w:r/>
    </w:p>
    <w:p>
      <w:pPr>
        <w:pStyle w:val="889"/>
        <w:ind w:firstLine="480"/>
        <w:keepLines w:val="0"/>
        <w:keepNext w:val="0"/>
        <w:pageBreakBefore w:val="0"/>
        <w:spacing w:line="252" w:lineRule="auto"/>
        <w:widowControl w:val="off"/>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652.3万元</w:t>
      </w:r>
      <w:r>
        <w:rPr>
          <w:rFonts w:ascii="宋体" w:hAnsi="宋体"/>
          <w:color w:val="000000"/>
          <w:sz w:val="24"/>
          <w:szCs w:val="24"/>
          <w:highlight w:val="none"/>
          <w:lang w:val="en-US"/>
        </w:rPr>
      </w:r>
      <w:r/>
    </w:p>
    <w:p>
      <w:pPr>
        <w:pStyle w:val="889"/>
        <w:ind w:firstLine="480"/>
        <w:keepLines w:val="0"/>
        <w:keepNext w:val="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651.2577万元。</w:t>
      </w:r>
      <w:r>
        <w:rPr>
          <w:rFonts w:hint="eastAsia" w:ascii="宋体" w:hAnsi="宋体" w:eastAsia="宋体" w:cs="宋体"/>
          <w:color w:val="000000"/>
          <w:sz w:val="24"/>
          <w:szCs w:val="24"/>
          <w:highlight w:val="none"/>
          <w:lang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rPr>
        <w:t xml:space="preserve">5.采购需求（简介）：</w:t>
      </w:r>
      <w:r>
        <w:rPr>
          <w:rFonts w:hint="eastAsia" w:ascii="宋体" w:hAnsi="宋体" w:eastAsia="宋体" w:cs="Times New Roman"/>
          <w:color w:val="000000"/>
          <w:sz w:val="24"/>
          <w:szCs w:val="24"/>
          <w:highlight w:val="none"/>
          <w:lang w:val="zh-CN" w:eastAsia="zh-CN"/>
        </w:rPr>
        <w:t xml:space="preserve">新增</w:t>
      </w:r>
      <w:r>
        <w:rPr>
          <w:rFonts w:hint="eastAsia" w:ascii="宋体" w:hAnsi="宋体" w:eastAsia="宋体" w:cs="Times New Roman"/>
          <w:color w:val="000000"/>
          <w:sz w:val="24"/>
          <w:szCs w:val="24"/>
          <w:highlight w:val="none"/>
          <w:lang w:val="en-US" w:eastAsia="zh-CN"/>
        </w:rPr>
        <w:t xml:space="preserve">RFID</w:t>
      </w:r>
      <w:r>
        <w:rPr>
          <w:rFonts w:hint="eastAsia" w:ascii="宋体" w:hAnsi="宋体" w:eastAsia="宋体" w:cs="Times New Roman"/>
          <w:color w:val="000000"/>
          <w:sz w:val="24"/>
          <w:szCs w:val="24"/>
          <w:highlight w:val="none"/>
          <w:lang w:val="zh-CN" w:eastAsia="zh-CN"/>
        </w:rPr>
        <w:t xml:space="preserve">非机动车</w:t>
      </w:r>
      <w:r>
        <w:rPr>
          <w:rFonts w:hint="eastAsia" w:ascii="宋体" w:hAnsi="宋体" w:eastAsia="宋体" w:cs="Times New Roman"/>
          <w:color w:val="000000"/>
          <w:sz w:val="24"/>
          <w:szCs w:val="24"/>
          <w:highlight w:val="none"/>
          <w:lang w:val="en-US" w:eastAsia="zh-CN"/>
        </w:rPr>
        <w:t xml:space="preserve">抓拍</w:t>
      </w:r>
      <w:r>
        <w:rPr>
          <w:rFonts w:hint="eastAsia" w:ascii="宋体" w:hAnsi="宋体" w:eastAsia="宋体" w:cs="Times New Roman"/>
          <w:color w:val="000000"/>
          <w:sz w:val="24"/>
          <w:szCs w:val="24"/>
          <w:highlight w:val="none"/>
          <w:lang w:val="zh-CN" w:eastAsia="zh-CN"/>
        </w:rPr>
        <w:t xml:space="preserve">设备、货车右转必停设备、机动车违停抓拍、</w:t>
      </w:r>
      <w:r>
        <w:rPr>
          <w:rFonts w:hint="eastAsia" w:ascii="宋体" w:hAnsi="宋体" w:eastAsia="宋体" w:cs="Times New Roman"/>
          <w:color w:val="000000"/>
          <w:sz w:val="24"/>
          <w:szCs w:val="24"/>
          <w:highlight w:val="none"/>
          <w:lang w:val="en-US" w:eastAsia="zh-CN"/>
        </w:rPr>
        <w:t xml:space="preserve">车载移动</w:t>
      </w:r>
      <w:r>
        <w:rPr>
          <w:rFonts w:hint="eastAsia" w:ascii="宋体" w:hAnsi="宋体" w:eastAsia="宋体" w:cs="Times New Roman"/>
          <w:color w:val="000000"/>
          <w:sz w:val="24"/>
          <w:szCs w:val="24"/>
          <w:highlight w:val="none"/>
          <w:lang w:val="zh-CN" w:eastAsia="zh-CN"/>
        </w:rPr>
        <w:t xml:space="preserve">测速系统、</w:t>
      </w:r>
      <w:r>
        <w:rPr>
          <w:rFonts w:hint="eastAsia" w:ascii="宋体" w:hAnsi="宋体" w:eastAsia="宋体" w:cs="Times New Roman"/>
          <w:color w:val="000000"/>
          <w:sz w:val="24"/>
          <w:szCs w:val="24"/>
          <w:highlight w:val="none"/>
          <w:lang w:val="en-US" w:eastAsia="zh-CN"/>
        </w:rPr>
        <w:t xml:space="preserve">信号灯、、电警警察、人行灯等设备</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以及</w:t>
      </w:r>
      <w:r>
        <w:rPr>
          <w:rFonts w:hint="eastAsia" w:ascii="宋体" w:hAnsi="宋体" w:eastAsia="宋体" w:cs="Times New Roman"/>
          <w:color w:val="000000"/>
          <w:sz w:val="24"/>
          <w:szCs w:val="24"/>
          <w:highlight w:val="none"/>
          <w:lang w:val="zh-CN" w:eastAsia="zh-CN"/>
        </w:rPr>
        <w:t xml:space="preserve">杆件、电源、交换机、数据传输设备、防雷设备、支架及电源线缆、传输线缆等用于保证功能完整性所必须的其他配套、辅助材料和设施。（详细内容见本招标文件第四章）</w:t>
      </w:r>
      <w:r>
        <w:rPr>
          <w:rFonts w:hint="eastAsia" w:ascii="宋体" w:hAnsi="宋体" w:eastAsia="宋体" w:cs="Times New Roman"/>
          <w:color w:val="000000"/>
          <w:sz w:val="24"/>
          <w:szCs w:val="24"/>
          <w:highlight w:val="none"/>
          <w:lang w:val="zh-CN" w:eastAsia="zh-CN"/>
        </w:rPr>
      </w:r>
      <w:r/>
    </w:p>
    <w:p>
      <w:pPr>
        <w:pStyle w:val="889"/>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89"/>
        <w:numPr>
          <w:ilvl w:val="0"/>
          <w:numId w:val="5"/>
        </w:numPr>
        <w:ind w:firstLine="480"/>
        <w:pageBreakBefore w:val="0"/>
        <w:spacing w:line="252" w:lineRule="auto"/>
        <w:widowControl w:val="off"/>
        <w:tabs>
          <w:tab w:val="left" w:pos="312"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合同履行期限：</w:t>
      </w:r>
      <w:r>
        <w:rPr>
          <w:rFonts w:hint="eastAsia" w:ascii="宋体" w:hAnsi="宋体"/>
          <w:color w:val="000000"/>
          <w:sz w:val="24"/>
          <w:szCs w:val="24"/>
          <w:highlight w:val="none"/>
          <w:lang w:val="en-US" w:eastAsia="zh-CN"/>
        </w:rPr>
        <w:t xml:space="preserve">150历天，从合同签订次日起算，</w:t>
      </w:r>
      <w:r>
        <w:rPr>
          <w:rFonts w:hint="eastAsia" w:ascii="宋体" w:hAnsi="宋体"/>
          <w:color w:val="000000"/>
          <w:sz w:val="24"/>
          <w:szCs w:val="24"/>
          <w:highlight w:val="none"/>
          <w:lang w:val="en-US" w:eastAsia="zh-CN"/>
        </w:rPr>
        <w:t xml:space="preserve">质保期不包含在合同履行期限中。</w:t>
      </w:r>
      <w:r>
        <w:rPr>
          <w:rFonts w:hint="eastAsia" w:ascii="宋体" w:hAnsi="宋体"/>
          <w:color w:val="000000"/>
          <w:sz w:val="24"/>
          <w:szCs w:val="24"/>
          <w:highlight w:val="none"/>
          <w:lang w:val="en-US" w:eastAsia="zh-CN"/>
        </w:rPr>
      </w:r>
      <w:r/>
    </w:p>
    <w:p>
      <w:pPr>
        <w:pStyle w:val="889"/>
        <w:numPr>
          <w:ilvl w:val="0"/>
          <w:numId w:val="5"/>
        </w:numPr>
        <w:ind w:firstLine="480"/>
        <w:pageBreakBefore w:val="0"/>
        <w:spacing w:line="252" w:lineRule="auto"/>
        <w:widowControl w:val="off"/>
        <w:tabs>
          <w:tab w:val="left" w:pos="3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89"/>
        <w:numPr>
          <w:ilvl w:val="0"/>
          <w:numId w:val="5"/>
        </w:numPr>
        <w:ind w:left="0"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9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89"/>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35393623"/>
      <w:r/>
      <w:bookmarkStart w:id="19" w:name="_Toc28359004"/>
      <w:r/>
      <w:bookmarkStart w:id="20" w:name="_Toc28359081"/>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8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8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w:t>
      </w:r>
      <w:r>
        <w:rPr>
          <w:rFonts w:hint="eastAsia" w:ascii="宋体" w:hAnsi="宋体" w:eastAsia="宋体" w:cs="Times New Roman"/>
          <w:color w:val="000000"/>
          <w:sz w:val="24"/>
          <w:szCs w:val="24"/>
          <w:highlight w:val="none"/>
        </w:rPr>
        <w:t xml:space="preserve">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8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8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9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89"/>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38985266"/>
      <w:r/>
      <w:bookmarkStart w:id="24" w:name="_Toc35393624"/>
      <w:r/>
      <w:bookmarkStart w:id="25" w:name="_Toc35393793"/>
      <w:r/>
      <w:bookmarkStart w:id="26" w:name="_Toc28359005"/>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89"/>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9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89"/>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5393625"/>
      <w:r/>
      <w:bookmarkStart w:id="28" w:name="_Toc38985267"/>
      <w:r/>
      <w:bookmarkStart w:id="29" w:name="_Toc35393794"/>
      <w:r/>
      <w:bookmarkStart w:id="30" w:name="_Toc28359084"/>
      <w:r/>
      <w:bookmarkStart w:id="31"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89"/>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9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89"/>
        <w:ind w:firstLine="480"/>
        <w:pageBreakBefore w:val="0"/>
        <w:spacing w:line="252" w:lineRule="auto"/>
        <w:widowControl w:val="off"/>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9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8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796"/>
      <w:r/>
      <w:bookmarkStart w:id="36" w:name="_Toc38985269"/>
      <w:r/>
      <w:bookmarkStart w:id="37" w:name="_Toc35393627"/>
      <w:r/>
      <w:bookmarkStart w:id="38" w:name="_Toc28359085"/>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8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8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89"/>
        <w:ind w:firstLine="482"/>
        <w:spacing w:line="252" w:lineRule="auto"/>
        <w:widowControl/>
        <w:rPr>
          <w:rFonts w:hint="eastAsia" w:ascii="宋体" w:hAnsi="宋体" w:eastAsia="宋体" w:cs="Times New Roman"/>
          <w:b w:val="0"/>
          <w:bCs w:val="0"/>
          <w:color w:val="000000"/>
          <w:sz w:val="24"/>
          <w:highlight w:val="none"/>
          <w:lang w:val="en-US"/>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eastAsia="宋体" w:cs="Times New Roman"/>
          <w:b w:val="0"/>
          <w:bCs w:val="0"/>
          <w:color w:val="000000"/>
          <w:sz w:val="24"/>
          <w:highlight w:val="none"/>
          <w:lang w:val="en-US"/>
        </w:rPr>
      </w:r>
      <w:r/>
    </w:p>
    <w:p>
      <w:pPr>
        <w:pStyle w:val="889"/>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采购人《质疑函》收件人：刘先生，收件地址：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六合区雄州东</w:t>
      </w:r>
      <w:r>
        <w:rPr>
          <w:rFonts w:hint="eastAsia" w:ascii="宋体" w:hAnsi="宋体" w:eastAsia="宋体" w:cs="Times New Roman"/>
          <w:color w:val="000000"/>
          <w:sz w:val="24"/>
          <w:szCs w:val="21"/>
          <w:highlight w:val="none"/>
          <w:u w:val="none"/>
          <w:lang w:val="en-US" w:eastAsia="zh-CN"/>
        </w:rPr>
        <w:t xml:space="preserve">路</w:t>
      </w:r>
      <w:r>
        <w:rPr>
          <w:rFonts w:hint="eastAsia" w:ascii="宋体" w:hAnsi="宋体" w:eastAsia="宋体" w:cs="Times New Roman"/>
          <w:color w:val="000000"/>
          <w:sz w:val="24"/>
          <w:szCs w:val="21"/>
          <w:highlight w:val="none"/>
          <w:u w:val="none"/>
          <w:lang w:val="en-US" w:eastAsia="zh-CN"/>
        </w:rPr>
        <w:t xml:space="preserve">282</w:t>
      </w:r>
      <w:r>
        <w:rPr>
          <w:rFonts w:hint="eastAsia" w:ascii="宋体" w:hAnsi="宋体" w:eastAsia="宋体" w:cs="Times New Roman"/>
          <w:color w:val="000000"/>
          <w:sz w:val="24"/>
          <w:szCs w:val="21"/>
          <w:highlight w:val="none"/>
          <w:u w:val="none"/>
          <w:lang w:val="en-US" w:eastAsia="zh-CN"/>
        </w:rPr>
        <w:t xml:space="preserve">号，</w:t>
      </w:r>
      <w:r>
        <w:rPr>
          <w:rFonts w:hint="eastAsia" w:ascii="宋体" w:hAnsi="宋体" w:eastAsia="宋体" w:cs="Times New Roman"/>
          <w:b w:val="0"/>
          <w:bCs w:val="0"/>
          <w:color w:val="000000"/>
          <w:sz w:val="24"/>
          <w:highlight w:val="none"/>
          <w:lang w:val="en-US" w:eastAsia="zh-CN"/>
        </w:rPr>
        <w:t xml:space="preserve">联系电话：18251830011。</w:t>
      </w:r>
      <w:r>
        <w:rPr>
          <w:rFonts w:hint="eastAsia" w:ascii="宋体" w:hAnsi="宋体" w:eastAsia="宋体" w:cs="Times New Roman"/>
          <w:b w:val="0"/>
          <w:bCs w:val="0"/>
          <w:color w:val="000000"/>
          <w:sz w:val="24"/>
          <w:highlight w:val="none"/>
          <w:lang w:val="en-US" w:eastAsia="zh-CN"/>
        </w:rPr>
      </w:r>
      <w:r/>
    </w:p>
    <w:p>
      <w:pPr>
        <w:pStyle w:val="89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Times New Roman"/>
          <w:color w:val="000000"/>
          <w:sz w:val="24"/>
          <w:szCs w:val="24"/>
          <w:highlight w:val="none"/>
          <w:u w:val="none"/>
          <w:lang w:val="en-US" w:eastAsia="zh-CN"/>
        </w:rPr>
        <w:t xml:space="preserve">中国共产党南京市六合区委员会政法委员会</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六合大厦1230室</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刘</w:t>
      </w:r>
      <w:r>
        <w:rPr>
          <w:rFonts w:hint="eastAsia" w:ascii="宋体" w:hAnsi="宋体" w:eastAsia="宋体" w:cs="Times New Roman"/>
          <w:b w:val="0"/>
          <w:bCs w:val="0"/>
          <w:color w:val="000000"/>
          <w:sz w:val="24"/>
          <w:highlight w:val="none"/>
          <w:lang w:val="en-US" w:eastAsia="zh-CN"/>
        </w:rPr>
        <w:t xml:space="preserve">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联系电话：025-57555557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highlight w:val="none"/>
          <w:lang w:val="zh-CN"/>
        </w:rPr>
        <w:t xml:space="preserve">南京市六合区雄州街道龙池路333号</w:t>
      </w:r>
      <w:r>
        <w:rPr>
          <w:rFonts w:hint="eastAsia" w:ascii="宋体" w:hAnsi="宋体"/>
          <w:color w:val="000000"/>
          <w:sz w:val="24"/>
          <w:highlight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8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olor w:val="000000"/>
          <w:sz w:val="24"/>
          <w:highlight w:val="none"/>
          <w:lang w:val="en-US" w:eastAsia="zh-CN"/>
        </w:rPr>
        <w:t xml:space="preserve"> 张老师</w:t>
      </w:r>
      <w:r>
        <w:rPr>
          <w:rFonts w:hint="eastAsia" w:ascii="宋体" w:hAnsi="宋体" w:eastAsia="宋体" w:cs="Times New Roman"/>
          <w:color w:val="000000"/>
          <w:sz w:val="24"/>
          <w:szCs w:val="24"/>
          <w:highlight w:val="none"/>
          <w:u w:val="none"/>
          <w:lang w:val="en-US" w:eastAsia="zh-CN"/>
        </w:rPr>
      </w:r>
      <w:r/>
    </w:p>
    <w:p>
      <w:pPr>
        <w:pStyle w:val="889"/>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color w:val="000000"/>
          <w:sz w:val="24"/>
          <w:highlight w:val="none"/>
          <w:lang w:val="zh-CN"/>
        </w:rPr>
        <w:t xml:space="preserve">025-</w:t>
      </w:r>
      <w:r>
        <w:rPr>
          <w:rFonts w:hint="eastAsia" w:ascii="宋体" w:hAnsi="宋体"/>
          <w:color w:val="000000"/>
          <w:sz w:val="24"/>
          <w:highlight w:val="none"/>
          <w:lang w:val="en-US" w:eastAsia="zh-CN"/>
        </w:rPr>
        <w:t xml:space="preserve">57110003 </w:t>
      </w:r>
      <w:r>
        <w:rPr>
          <w:rFonts w:hint="eastAsia" w:ascii="宋体" w:hAnsi="宋体" w:eastAsia="宋体" w:cs="Times New Roman"/>
          <w:color w:val="000000"/>
          <w:sz w:val="24"/>
          <w:szCs w:val="24"/>
          <w:highlight w:val="none"/>
          <w:u w:val="none"/>
          <w:lang w:val="en-US" w:eastAsia="zh-CN"/>
        </w:rPr>
      </w:r>
      <w:r/>
    </w:p>
    <w:p>
      <w:pPr>
        <w:pStyle w:val="96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9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9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9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89"/>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9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8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89"/>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8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8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8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8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8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8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8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8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8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8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8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8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8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8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8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8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9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9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9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8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9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8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8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    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南京市六</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8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9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9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8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8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8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8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8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8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89"/>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9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9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8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8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8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8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9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89"/>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9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9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8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8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8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8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8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8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8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8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8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8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8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89"/>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16938558"/>
      <w:r/>
      <w:bookmarkStart w:id="45" w:name="_Toc479757207"/>
      <w:r/>
      <w:bookmarkStart w:id="46" w:name="_Toc513029242"/>
      <w:r/>
      <w:bookmarkStart w:id="47" w:name="_Toc20823314"/>
      <w:r>
        <w:rPr>
          <w:rFonts w:hint="eastAsia" w:ascii="宋体" w:hAnsi="宋体" w:eastAsia="宋体" w:cs="Times New Roman"/>
          <w:color w:val="000000"/>
          <w:sz w:val="24"/>
          <w:highlight w:val="none"/>
          <w:lang w:val="zh-CN" w:eastAsia="zh-CN"/>
        </w:rPr>
      </w:r>
      <w:r/>
    </w:p>
    <w:p>
      <w:pPr>
        <w:pStyle w:val="96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8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68"/>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89"/>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16938559"/>
      <w:r/>
      <w:bookmarkStart w:id="49" w:name="_Toc20823315"/>
      <w:r/>
      <w:bookmarkStart w:id="50" w:name="_Toc513029243"/>
      <w:r/>
      <w:bookmarkStart w:id="51" w:name="_Hlt16619350"/>
      <w:r/>
      <w:bookmarkStart w:id="52" w:name="_Toc120614244"/>
      <w:r/>
      <w:bookmarkStart w:id="53" w:name="_Toc16938590"/>
      <w:r/>
      <w:bookmarkStart w:id="54" w:name="_Toc20823346"/>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89"/>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8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8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8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89"/>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8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8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8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8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8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8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89"/>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8.1.2</w:t>
      </w:r>
      <w:r>
        <w:rPr>
          <w:rFonts w:hint="eastAsia" w:hAnsi="宋体"/>
          <w:color w:val="000000"/>
          <w:sz w:val="24"/>
          <w:highlight w:val="none"/>
        </w:rPr>
        <w:t xml:space="preserve">项目内容清单中所有设备到达采购人指定地点、安装调试完毕且初验合格后，甲方支付合同总价款的40%</w:t>
      </w:r>
      <w:r>
        <w:rPr>
          <w:rFonts w:hint="eastAsia" w:hAnsi="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8.1.3经终验合格并审计完成后支付至审定价款的9</w:t>
      </w:r>
      <w:r>
        <w:rPr>
          <w:rFonts w:hint="eastAsia" w:ascii="宋体"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,剩余的3%作为维护费</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8.1.4经考核后维护费余款于终验合格后满三年无质量问题和违约责任则一次性无息付款。</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8.1.5满足合同约定支付条件的，甲方收到乙方发票后，将资金支付到合同约定的乙方账户，乙方未提供发票或提供发票不符合约定的，甲方付款期限顺延。</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8.1.6最终竣工验收合格后，由甲方委托社会中介机构审计，结算审计核减率超过5%（含）以上的审计费由乙方付款。</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根据《保障中小企业款项支付条例》</w:t>
      </w:r>
      <w:r>
        <w:rPr>
          <w:rFonts w:hint="eastAsia" w:ascii="宋体" w:hAnsi="宋体" w:eastAsia="宋体" w:cs="Courier New"/>
          <w:color w:val="000000"/>
          <w:sz w:val="24"/>
          <w:szCs w:val="24"/>
          <w:highlight w:val="no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8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b/>
          <w:bCs/>
          <w:color w:val="000000"/>
          <w:sz w:val="24"/>
          <w:szCs w:val="24"/>
          <w:highlight w:val="none"/>
        </w:rPr>
        <w:t xml:space="preserve">质保期为自最终竣工验收合格</w:t>
      </w:r>
      <w:r>
        <w:rPr>
          <w:rFonts w:hint="eastAsia" w:ascii="宋体" w:hAnsi="宋体" w:eastAsia="宋体" w:cs="Courier New"/>
          <w:b/>
          <w:bCs/>
          <w:color w:val="000000"/>
          <w:sz w:val="24"/>
          <w:szCs w:val="24"/>
          <w:highlight w:val="none"/>
          <w:lang w:val="en-US" w:eastAsia="zh-CN"/>
        </w:rPr>
        <w:t xml:space="preserve">次</w:t>
      </w:r>
      <w:r>
        <w:rPr>
          <w:rFonts w:hint="eastAsia" w:ascii="宋体" w:hAnsi="宋体" w:eastAsia="宋体" w:cs="Courier New"/>
          <w:b/>
          <w:bCs/>
          <w:color w:val="000000"/>
          <w:sz w:val="24"/>
          <w:szCs w:val="24"/>
          <w:highlight w:val="none"/>
        </w:rPr>
        <w:t xml:space="preserve">日起3年，质保期（维护期）</w:t>
      </w:r>
      <w:r>
        <w:rPr>
          <w:rFonts w:hint="eastAsia" w:ascii="宋体" w:hAnsi="宋体" w:eastAsia="宋体" w:cs="Courier New"/>
          <w:color w:val="000000"/>
          <w:sz w:val="24"/>
          <w:szCs w:val="24"/>
          <w:highlight w:val="none"/>
        </w:rPr>
        <w:t xml:space="preserve">出现的任何故障都由</w:t>
      </w: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方进行恢复，可以明确肇事者的，先</w:t>
      </w:r>
      <w:r>
        <w:rPr>
          <w:rFonts w:hint="eastAsia" w:ascii="宋体" w:hAnsi="宋体" w:eastAsia="宋体" w:cs="Courier New"/>
          <w:color w:val="000000"/>
          <w:sz w:val="24"/>
          <w:szCs w:val="24"/>
          <w:highlight w:val="none"/>
          <w:lang w:val="en-US" w:eastAsia="zh-CN"/>
        </w:rPr>
        <w:t xml:space="preserve">由</w:t>
      </w:r>
      <w:r>
        <w:rPr>
          <w:rFonts w:hint="eastAsia" w:ascii="宋体" w:hAnsi="宋体" w:eastAsia="宋体" w:cs="Courier New"/>
          <w:color w:val="000000"/>
          <w:sz w:val="24"/>
          <w:szCs w:val="24"/>
          <w:highlight w:val="none"/>
        </w:rPr>
        <w:t xml:space="preserve">乙方维护，并进行代位追偿。</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89"/>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cs="Courier New"/>
          <w:color w:val="000000"/>
          <w:sz w:val="24"/>
          <w:szCs w:val="24"/>
          <w:highlight w:val="none"/>
          <w:u w:val="none"/>
        </w:rPr>
        <w:t xml:space="preserve">1%</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none"/>
        </w:rPr>
        <w:t xml:space="preserve">1‰</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none"/>
          <w:lang w:val="en-US" w:eastAsia="zh-CN"/>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cs="Courier New"/>
          <w:color w:val="000000"/>
          <w:sz w:val="24"/>
          <w:szCs w:val="24"/>
          <w:highlight w:val="none"/>
          <w:u w:val="none"/>
        </w:rPr>
        <w:t xml:space="preserve">1%</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none"/>
          <w:lang w:val="en-US" w:eastAsia="zh-CN"/>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8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2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2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8"/>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8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8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8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28"/>
        <w:ind w:firstLine="480"/>
        <w:jc w:val="left"/>
        <w:keepLines w:val="0"/>
        <w:keepNext w:val="0"/>
        <w:pageBreakBefore w:val="0"/>
        <w:spacing w:before="120" w:after="120" w:line="264" w:lineRule="auto"/>
        <w:widowControl w:val="off"/>
        <w:rPr>
          <w:rFonts w:hint="eastAsia"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889"/>
        <w:jc w:val="center"/>
        <w:spacing w:after="240" w:line="500" w:lineRule="exact"/>
        <w:rPr>
          <w:rFonts w:ascii="华文中宋" w:hAnsi="华文中宋" w:eastAsia="华文中宋"/>
          <w:b/>
          <w:color w:val="000000"/>
          <w:sz w:val="36"/>
          <w:szCs w:val="36"/>
          <w:highlight w:val="none"/>
        </w:rPr>
      </w:pPr>
      <w:r>
        <w:rPr>
          <w:rFonts w:hint="eastAsia" w:hAnsi="宋体"/>
          <w:color w:val="000000"/>
          <w:sz w:val="24"/>
          <w:szCs w:val="24"/>
          <w:highlight w:val="none"/>
        </w:rPr>
        <w:br w:type="page" w:clear="all"/>
      </w:r>
      <w:r>
        <w:rPr>
          <w:rFonts w:hint="eastAsia" w:ascii="华文中宋" w:hAnsi="华文中宋" w:eastAsia="华文中宋"/>
          <w:b/>
          <w:color w:val="000000"/>
          <w:sz w:val="36"/>
          <w:szCs w:val="36"/>
          <w:highlight w:val="none"/>
        </w:rPr>
        <w:t xml:space="preserve">保密协议书</w:t>
      </w:r>
      <w:r>
        <w:rPr>
          <w:rFonts w:ascii="华文中宋" w:hAnsi="华文中宋" w:eastAsia="华文中宋"/>
          <w:b/>
          <w:color w:val="000000"/>
          <w:sz w:val="36"/>
          <w:szCs w:val="36"/>
          <w:highlight w:val="none"/>
        </w:rPr>
      </w:r>
      <w:r/>
    </w:p>
    <w:p>
      <w:pPr>
        <w:pStyle w:val="889"/>
        <w:keepLines w:val="0"/>
        <w:keepNext w:val="0"/>
        <w:pageBreakBefore w:val="0"/>
        <w:spacing w:line="400" w:lineRule="exact"/>
        <w:widowControl w:val="off"/>
        <w:rPr>
          <w:rFonts w:ascii="宋体" w:hAnsi="宋体"/>
          <w:color w:val="000000"/>
          <w:sz w:val="24"/>
          <w:highlight w:val="none"/>
          <w:u w:val="single"/>
        </w:rPr>
      </w:pPr>
      <w:r>
        <w:rPr>
          <w:rFonts w:hint="eastAsia" w:ascii="宋体" w:hAnsi="宋体"/>
          <w:color w:val="000000"/>
          <w:sz w:val="24"/>
          <w:highlight w:val="none"/>
        </w:rPr>
        <w:t xml:space="preserve">采购方(以下简称甲方)</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89"/>
        <w:keepLines w:val="0"/>
        <w:keepNext w:val="0"/>
        <w:pageBreakBefore w:val="0"/>
        <w:spacing w:after="240" w:line="400" w:lineRule="exact"/>
        <w:widowControl w:val="off"/>
        <w:rPr>
          <w:rFonts w:ascii="宋体" w:hAnsi="宋体"/>
          <w:color w:val="000000"/>
          <w:sz w:val="24"/>
          <w:highlight w:val="none"/>
        </w:rPr>
      </w:pPr>
      <w:r>
        <w:rPr>
          <w:rFonts w:hint="eastAsia" w:ascii="宋体" w:hAnsi="宋体"/>
          <w:color w:val="000000"/>
          <w:sz w:val="24"/>
          <w:highlight w:val="none"/>
        </w:rPr>
        <w:t xml:space="preserve">供货商(以下简称乙方)</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乙方在项目编号：</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，项目名称：</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的招投标及项目合同执行期间，为加强对国家秘密和警务工作秘密的保护，维护国家安全和利益，严防失、泄密事件的发生，根据《中华人民共和国保守国家秘密法》和公安机关有关保密工作规定，约定本保密协议如下：</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一、本协议中所指的秘密事项是指，以文字、数据、符号、图形、视频、音频以及其它任何形式记载的国家秘密、警务工作秘密以及公安机关的其他应当保密的事宜。</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二、甲方应当对乙方的基本情况（公司名称、公司地址、公司法人等资料）进行审查备案。乙方应当如实提供上述基本情况。</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三、甲方应当对乙方保密制度的执行情况进行监督检查，及时发现问题、纠正错误。</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四、乙方应当严格遵守《中华人民共和国保守国家秘密法》及有关的保密法律、法规和甲方保密工作纪律、有关规章制度，保守国家秘密和警务工作秘密，自觉维护国家安全和利益。严禁有下列行为：</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1、以抄录、复制、下载、编写、发布、传递或其它任何方式泄露工作中接触或知悉的秘密事项。</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2、将甲方的秘密事项带出工作场所；与无关人员谈论有关甲方的秘密工作情况；使用私人存储介质进入公安机关网络系统；擅自在甲方工作场所摄像、照相；私自打听甲方秘密事项。</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五、乙方未经甲方批准不得查看使用公安信息网、计算机、纸介质、光电磁介质等存储记载的内容。</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六、招投标程序结束或合同期满后，对在此期间获知的秘密事项应当严格保守，不得以任何方式对外泄露。</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七、乙方违反上述规定，甲方一经发现，立即取消其投标资格或解除其施工合同，并依法追究其相关责任。</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乙方泄露在项目招投标或项目施工期间获知的秘密事项的，甲方应当根据相关法律法规追究乙方法律责任。</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乙方造成严重失、泄密事故的，甲方应当将其移送司法机关依法追究刑事责任。</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八、本协议一式两份，甲乙双方各执一份，自双方签字盖章之日起生效。</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甲方：（签章）                      乙方：（签字）</w:t>
      </w:r>
      <w:r>
        <w:rPr>
          <w:rFonts w:ascii="宋体" w:hAnsi="宋体"/>
          <w:color w:val="000000"/>
          <w:sz w:val="24"/>
          <w:highlight w:val="none"/>
        </w:rPr>
      </w:r>
      <w:r/>
    </w:p>
    <w:p>
      <w:pPr>
        <w:pStyle w:val="889"/>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年　月　日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年　月　日</w:t>
      </w:r>
      <w:r>
        <w:rPr>
          <w:rFonts w:ascii="宋体" w:hAnsi="宋体"/>
          <w:color w:val="000000"/>
          <w:sz w:val="24"/>
          <w:highlight w:val="none"/>
        </w:rPr>
      </w:r>
      <w:r/>
    </w:p>
    <w:p>
      <w:pPr>
        <w:pStyle w:val="1019"/>
        <w:ind w:firstLine="480"/>
        <w:jc w:val="center"/>
        <w:spacing w:before="120" w:after="120" w:line="264" w:lineRule="auto"/>
        <w:rPr>
          <w:rFonts w:hint="eastAsia" w:ascii="华文中宋" w:hAnsi="华文中宋" w:eastAsia="华文中宋" w:cs="Times New Roman"/>
          <w:b/>
          <w:color w:val="000000"/>
          <w:sz w:val="36"/>
          <w:szCs w:val="36"/>
          <w:highlight w:val="none"/>
          <w:lang w:val="en-US" w:eastAsia="zh-CN" w:bidi="ar-SA"/>
        </w:rPr>
      </w:pPr>
      <w:r>
        <w:rPr>
          <w:rFonts w:hint="eastAsia" w:ascii="华文中宋" w:hAnsi="华文中宋" w:eastAsia="华文中宋" w:cs="Times New Roman"/>
          <w:b/>
          <w:color w:val="000000"/>
          <w:sz w:val="36"/>
          <w:szCs w:val="36"/>
          <w:highlight w:val="none"/>
          <w:lang w:val="en-US" w:eastAsia="zh-CN" w:bidi="ar-SA"/>
        </w:rPr>
        <w:t xml:space="preserve">违 约 责 任 书</w:t>
      </w:r>
      <w:r>
        <w:rPr>
          <w:rFonts w:hint="eastAsia" w:ascii="华文中宋" w:hAnsi="华文中宋" w:eastAsia="华文中宋" w:cs="Times New Roman"/>
          <w:b/>
          <w:color w:val="000000"/>
          <w:sz w:val="36"/>
          <w:szCs w:val="36"/>
          <w:highlight w:val="none"/>
          <w:lang w:val="en-US" w:eastAsia="zh-CN" w:bidi="ar-SA"/>
        </w:rPr>
      </w:r>
      <w:r/>
    </w:p>
    <w:p>
      <w:pPr>
        <w:pStyle w:val="1019"/>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采购方(以下简称甲方)                         </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1、如乙方不能交付服务</w:t>
      </w:r>
      <w:r>
        <w:rPr>
          <w:rFonts w:hint="eastAsia" w:hAnsi="宋体"/>
          <w:color w:val="000000"/>
          <w:sz w:val="24"/>
          <w:szCs w:val="24"/>
          <w:highlight w:val="none"/>
          <w:lang w:val="en-US" w:eastAsia="zh-CN"/>
        </w:rPr>
        <w:t xml:space="preserve">或货物</w:t>
      </w:r>
      <w:r>
        <w:rPr>
          <w:rFonts w:hint="eastAsia" w:hAnsi="宋体"/>
          <w:color w:val="000000"/>
          <w:sz w:val="24"/>
          <w:szCs w:val="24"/>
          <w:highlight w:val="none"/>
        </w:rPr>
        <w:t xml:space="preserve">的，乙方应向甲方支付合同总价5%的违约金。</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2、乙方逾期交付的，每逾期1天，乙方向甲方偿付合同总额的</w:t>
      </w:r>
      <w:r>
        <w:rPr>
          <w:rFonts w:hint="eastAsia" w:hAnsi="宋体"/>
          <w:color w:val="000000"/>
          <w:sz w:val="24"/>
          <w:szCs w:val="24"/>
          <w:highlight w:val="none"/>
          <w:lang w:val="en-US" w:eastAsia="zh-CN"/>
        </w:rPr>
        <w:t xml:space="preserve">1</w:t>
      </w:r>
      <w:r>
        <w:rPr>
          <w:rFonts w:hint="eastAsia" w:hAnsi="宋体"/>
          <w:color w:val="000000"/>
          <w:sz w:val="24"/>
          <w:szCs w:val="24"/>
          <w:highlight w:val="none"/>
        </w:rPr>
        <w:t xml:space="preserve">‰的违约金。如乙方逾期交付达10天，甲方有权解除合同，解除合同的通知自到达乙方时生效。</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3、乙方所交付的服务</w:t>
      </w:r>
      <w:r>
        <w:rPr>
          <w:rFonts w:hint="eastAsia" w:hAnsi="宋体"/>
          <w:color w:val="000000"/>
          <w:sz w:val="24"/>
          <w:szCs w:val="24"/>
          <w:highlight w:val="none"/>
          <w:lang w:val="en-US" w:eastAsia="zh-CN"/>
        </w:rPr>
        <w:t xml:space="preserve">或货物</w:t>
      </w:r>
      <w:r>
        <w:rPr>
          <w:rFonts w:hint="eastAsia" w:hAnsi="宋体"/>
          <w:color w:val="000000"/>
          <w:sz w:val="24"/>
          <w:szCs w:val="24"/>
          <w:highlight w:val="none"/>
        </w:rPr>
        <w:t xml:space="preserve">不符合合同规定的，甲方有权拒收。甲方拒收的,乙方应向甲方支付合同总款</w:t>
      </w: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w:t>
      </w:r>
      <w:r>
        <w:rPr>
          <w:rFonts w:hint="eastAsia" w:hAnsi="宋体"/>
          <w:color w:val="000000"/>
          <w:sz w:val="24"/>
          <w:szCs w:val="24"/>
          <w:highlight w:val="none"/>
        </w:rPr>
        <w:t xml:space="preserve">的违约金。</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4、乙方提供的</w:t>
      </w:r>
      <w:r>
        <w:rPr>
          <w:rFonts w:hint="eastAsia" w:hAnsi="宋体"/>
          <w:color w:val="000000"/>
          <w:sz w:val="24"/>
          <w:szCs w:val="24"/>
          <w:highlight w:val="none"/>
        </w:rPr>
        <w:t xml:space="preserve">服务</w:t>
      </w:r>
      <w:r>
        <w:rPr>
          <w:rFonts w:hint="eastAsia" w:hAnsi="宋体"/>
          <w:color w:val="000000"/>
          <w:sz w:val="24"/>
          <w:szCs w:val="24"/>
          <w:highlight w:val="none"/>
          <w:lang w:val="en-US" w:eastAsia="zh-CN"/>
        </w:rPr>
        <w:t xml:space="preserve">或货物</w:t>
      </w:r>
      <w:r>
        <w:rPr>
          <w:rFonts w:hint="eastAsia" w:hAnsi="宋体"/>
          <w:color w:val="000000"/>
          <w:sz w:val="24"/>
          <w:szCs w:val="24"/>
          <w:highlight w:val="none"/>
        </w:rPr>
        <w:t xml:space="preserve">不符合要求的，应立即进行整改，并按每次1000元标准支付违约金。乙方拒绝整改、整改后仍不符合要求或者累计发生3次以上须整改情形的，甲方有权解除合同，乙方应退回全部合同价款，并按第3款处理。同时，乙方还须赔偿甲方因此遭受的损失。</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5、乙方未按本合同的规定和“服务承诺”提供伴随服务/售后服务的，应按合同总价款的5%向甲方承担违约责任。</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6、乙方响应属虚假承诺，或经权威部门监测提供的</w:t>
      </w:r>
      <w:r>
        <w:rPr>
          <w:rFonts w:hint="eastAsia" w:hAnsi="宋体"/>
          <w:color w:val="000000"/>
          <w:sz w:val="24"/>
          <w:szCs w:val="24"/>
          <w:highlight w:val="none"/>
        </w:rPr>
        <w:t xml:space="preserve">服务</w:t>
      </w:r>
      <w:r>
        <w:rPr>
          <w:rFonts w:hint="eastAsia" w:hAnsi="宋体"/>
          <w:color w:val="000000"/>
          <w:sz w:val="24"/>
          <w:szCs w:val="24"/>
          <w:highlight w:val="none"/>
          <w:lang w:val="en-US" w:eastAsia="zh-CN"/>
        </w:rPr>
        <w:t xml:space="preserve">或货物</w:t>
      </w:r>
      <w:r>
        <w:rPr>
          <w:rFonts w:hint="eastAsia" w:hAnsi="宋体"/>
          <w:color w:val="000000"/>
          <w:sz w:val="24"/>
          <w:szCs w:val="24"/>
          <w:highlight w:val="none"/>
        </w:rPr>
        <w:t xml:space="preserve">不能满足招标文件要求，或是由于乙方的过错造成合同无法继续履行的，乙方应向甲方支付不少于合同总价30%赔偿金。</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7、对于逾期支付违约金的，每逾期1天需额外支付违约金逾期利息</w:t>
      </w: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‰；但累计违约逾期利息金总额不超过总额的5%。</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8、乙方在承担上述1-7款一项或多项违约责任后，仍应继续履行合同规定的义务（甲方解除合同的除外）。甲方未能及时追究乙方的任何一项违约责任并不表明甲方放弃追究乙方该项或其他违约责任。</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9、如项目出现违约，根据项目现场管理要求，结合现场实际工作情况，进行如下的处罚：</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（1）乙方必须按国家、省、市行业标准规范，提交基础文档、过程文档、技术文档和验收文档，由甲方进行抽查审核。如没有通过甲方验收，甲方有权扣除合同金额</w:t>
      </w:r>
      <w:r>
        <w:rPr>
          <w:rFonts w:hint="eastAsia" w:hAnsi="宋体"/>
          <w:color w:val="000000"/>
          <w:sz w:val="24"/>
          <w:szCs w:val="24"/>
          <w:highlight w:val="none"/>
          <w:lang w:val="en-US" w:eastAsia="zh-CN"/>
        </w:rPr>
        <w:t xml:space="preserve">20</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（2）乙方违约行为造成影响的或损失较大的，违约金不足以弥补所造成损失的，不足差额部分由乙方进行支付。</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（3）如果乙方在开展项目实施过程中，因自身管理不善，出现对社会造成重大影响的事故时，乙方承担消除负面影响或损失产生的诉讼费、取证费、律师费等</w:t>
      </w:r>
      <w:r>
        <w:rPr>
          <w:rFonts w:hint="eastAsia" w:hAnsi="宋体"/>
          <w:color w:val="000000"/>
          <w:sz w:val="24"/>
          <w:szCs w:val="24"/>
          <w:highlight w:val="none"/>
          <w:lang w:val="en-US" w:eastAsia="zh-CN"/>
        </w:rPr>
        <w:t xml:space="preserve">一切</w:t>
      </w:r>
      <w:r>
        <w:rPr>
          <w:rFonts w:hint="eastAsia" w:hAnsi="宋体"/>
          <w:color w:val="000000"/>
          <w:sz w:val="24"/>
          <w:szCs w:val="24"/>
          <w:highlight w:val="none"/>
        </w:rPr>
        <w:t xml:space="preserve">相关费用，甲方有权扣除项目合同金额</w:t>
      </w:r>
      <w:r>
        <w:rPr>
          <w:rFonts w:hint="eastAsia" w:hAnsi="宋体"/>
          <w:color w:val="000000"/>
          <w:sz w:val="24"/>
          <w:szCs w:val="24"/>
          <w:highlight w:val="none"/>
          <w:lang w:val="en-US" w:eastAsia="zh-CN"/>
        </w:rPr>
        <w:t xml:space="preserve">20</w:t>
      </w:r>
      <w:r>
        <w:rPr>
          <w:rFonts w:hint="eastAsia" w:hAnsi="宋体"/>
          <w:color w:val="000000"/>
          <w:sz w:val="24"/>
          <w:szCs w:val="24"/>
          <w:highlight w:val="none"/>
        </w:rPr>
        <w:t xml:space="preserve">%。同时，鉴于有违法行为造成的后果较长时间才能被发现或者显现，或损失数额难以一次性确认，公安机关保留进一步追偿的权利。</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4）如乙方出现不按投标文件执行，不服从甲方管理，不执行甲方制定的工作要求，对甲方工作要求故意拖延、拒不执行，或项目实施出现严重安全事件或导致业务无法正常开展等后果，乙方需消除影响、寻求第三方协助或提供替代软硬件产品等相关的补救措施；构成违法犯罪的违约行为，甲方有权将涉及的单位或个人列入政府采购严重违法失信记录名单、市场监督管理严重失信名单。甲方有权根据乙方违法、违规行为的情节严重程度，采取取消付款、要求退款和支付违约金、解除合同等措施，违约金金额为项目合同金额的</w:t>
      </w:r>
      <w:r>
        <w:rPr>
          <w:rFonts w:hint="eastAsia" w:hAnsi="宋体"/>
          <w:color w:val="000000"/>
          <w:sz w:val="24"/>
          <w:szCs w:val="24"/>
          <w:highlight w:val="none"/>
          <w:lang w:val="en-US" w:eastAsia="zh-CN"/>
        </w:rPr>
        <w:t xml:space="preserve">20</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019"/>
        <w:ind w:firstLine="482"/>
        <w:jc w:val="lef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r>
      <w:r/>
    </w:p>
    <w:p>
      <w:pPr>
        <w:pStyle w:val="1019"/>
        <w:ind w:firstLine="482"/>
        <w:jc w:val="right"/>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承诺人： </w:t>
      </w:r>
      <w:r>
        <w:rPr>
          <w:rFonts w:hint="eastAsia" w:hAnsi="宋体"/>
          <w:color w:val="000000"/>
          <w:sz w:val="24"/>
          <w:szCs w:val="24"/>
          <w:highlight w:val="none"/>
        </w:rPr>
        <w:tab/>
      </w:r>
      <w:r>
        <w:rPr>
          <w:rFonts w:hint="eastAsia" w:hAnsi="宋体"/>
          <w:color w:val="000000"/>
          <w:sz w:val="24"/>
          <w:szCs w:val="24"/>
          <w:highlight w:val="none"/>
        </w:rPr>
        <w:t xml:space="preserve">  （盖单位章）</w:t>
      </w:r>
      <w:r>
        <w:rPr>
          <w:rFonts w:hint="eastAsia" w:hAnsi="宋体"/>
          <w:color w:val="000000"/>
          <w:sz w:val="24"/>
          <w:szCs w:val="24"/>
          <w:highlight w:val="none"/>
        </w:rPr>
      </w:r>
      <w:r/>
    </w:p>
    <w:p>
      <w:pPr>
        <w:pStyle w:val="1019"/>
        <w:ind w:firstLine="482"/>
        <w:jc w:val="right"/>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时间：     年   月    日</w:t>
      </w:r>
      <w:r>
        <w:rPr>
          <w:rFonts w:hAnsi="宋体"/>
          <w:color w:val="000000"/>
          <w:sz w:val="24"/>
          <w:szCs w:val="24"/>
          <w:highlight w:val="none"/>
        </w:rPr>
      </w:r>
      <w:r/>
    </w:p>
    <w:p>
      <w:pPr>
        <w:pStyle w:val="92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Ansi="宋体"/>
          <w:color w:val="000000"/>
          <w:sz w:val="24"/>
          <w:szCs w:val="24"/>
          <w:highlight w:val="none"/>
        </w:rPr>
      </w:r>
      <w:r/>
    </w:p>
    <w:p>
      <w:pPr>
        <w:pStyle w:val="889"/>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8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8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（一）项目背景</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随着六合区城市化发展进程加快，全区路网体系逐步扩张完善，为进一步完善公共配套设施，缓解交通拥堵、交通事故等问题，抢抓“互联网+”机遇，运用先进的信息技术、数据通讯技术、传感技术、控制技术及计算机技术，</w:t>
      </w:r>
      <w:r>
        <w:rPr>
          <w:rFonts w:hint="eastAsia" w:ascii="宋体" w:hAnsi="宋体" w:eastAsia="宋体" w:cs="宋体"/>
          <w:bCs/>
          <w:color w:val="000000"/>
          <w:sz w:val="24"/>
          <w:szCs w:val="24"/>
          <w:highlight w:val="none"/>
          <w:lang w:val="en-US" w:eastAsia="zh-CN"/>
        </w:rPr>
        <w:t xml:space="preserve">规范交通安全设施，压降事故，提升交通道路通行秩序</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（二）项目建设遵循标准</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《中华人民共和国道路交通安全法》</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《闪光警告信号灯》（GA/T743-2016）</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《道路交通安全违法行为图像取证技术规范》(GA/T832-2014)</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《闯红灯自动记录系统通用技术条件》(GA/T496-2014)</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《道路车辆智能监测记录系统通用技术条件》（GA/T497-2016）</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《道路交通安全违法行为图像取证技术规范》（GA/T832-2014）</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《机动车号牌图像自动识别技术规范》（GA/T833-2016）</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《道路交通安全违法行为视频取证设备技术规范》（GA/T995-2020）</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《计算机场地通用规范》（GB2887-2011）</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《道路交通事故现场图形符号》（GB11797-2005）</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《计算机场地安全要求》（GB9361-2011）</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《计算机信息系统安全保护等级划分准则》（GB17859-1999）</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《低压配电设计规范》（GB50054-2011）</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《电气装置安装工程电缆线路施工及验收规范》（GB50168-2018）</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《电气装置安装工程接地装置施工及验收规范》（GB50169-2016）</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《数据中心设计规范》（GB50174-2017）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《民用闭路监视电视系统工程技术规范》（GB50198-2011）</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《城市综合交通体系规划标准》（GB/T51328-2018）</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《建筑电气工程施工质量验收规范》（GB50303-2015）</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《建筑物电子信息系统防雷技术规范》（GB50343-2012）</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《安全防范工程技术规范》（GB50348-2018）</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《数据中心基础设施施工及验收规范》（GB50462-2024）</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《信息技术开放系统互连网络层安全协议》（GB/T17963-2000）</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《公共安全视频监控联网系统信息传输、交换、控制技术要求》（GB/T28181-2022）</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《公共安全视频监控联网信息安全技术要求》（GB35114-2017）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《公共安全视频监控数字视音频编解码技术要求》（GB/T25724-2017）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《视频图像原始性检验技术规范》（GA/T1021-2013）</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《视频图像真实性检验技术规范》（GA/T1022-2013）</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《视频安防监控系统技术要求》（GA/T367-2001）</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《公安交通指挥系统建设技术规范》（GA/T445-2010）</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《城市警用地理信息分类与代码》（GA/T491-2004）</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《城市警用地理信息图形符号》（GA/T492-2004）</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《城市警用地理信息系统建设规范》（GA/T493-2004）</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《公安信息通信网边界接入平台安全规范（试行）—视频接入安全部分》（公科信[2011]5号）</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《公安交通指挥系统设计规范》（GA/T515-2020）</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《公安交通管理外场设备基础设施施工通用要求》（GA/T652-2017）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《城市监控报警联网系统技术标准》（GA/T669-2008）</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《道路交通技术监控设备运行维护规范》（GA/T1043-2013）</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《道路交通信息监测记录设备设置规范》（GA/T1047-2013）</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《公安交通集成指挥平台通用技术条件》（GA/T1146-2019）</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《视频图像文字标注规范》（GA/T751-2008）</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《公安视频图像分析系统第1部分：通用技术要求》（GA/T1399.1-2017）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《公安视频图像分析系统第2部分：视频图像内容分析及描述技术要求》（GA/T1399.2-2017）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《公安视频图像信息应用系统第1部分：通用技术要求》（GA/T1400.1-2017）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《公安视频图像信息应用系统第2部分：应用平台技术要求》（GA/T1400.2-2017）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《公安视频图像信息应用系统第3部分：数据库技术要求》（GA/T1400.3-2017）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《公安视频图像信息应用系统第4部分：接口协议要求》（GA/T1400.4-2017）</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《信息安全技术网络安全等级保护基本要求》（GA/T22239-2019）</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《江苏省公安机关人像比对系统联网应用技术规范》</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《全省公安机关监控图像联网技术指导意见》</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《江苏省公共安全视频监控联网目录（试行）》</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《全省公安机关监控图像一机一档采集技术规范》</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《城市道路工程设计规范》（2016版）（CJJ37-2012）</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《城市道路交叉口规划规范》(GB50647-2011)</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《城市道路交通设施设计规范》（2019版）(GB50688-2011)</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《城市道路交通管理设施设置规范》（DB3201/T256-2015）</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《城市道路交通标志和标线设置规范》（GB51038-2015）</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《道路交通标志和标线第2部分：道路交通标志》（GB5768.2-2022）</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《道路交通标志和标线第3部分：道路交通标线》（GB5768.3-2009）</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《道路交通反光膜》（GB/T18833-2012）</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《路面标线涂料》（JT/T280-2022）</w:t>
      </w:r>
      <w:r>
        <w:rPr>
          <w:rFonts w:hint="eastAsia" w:ascii="宋体" w:hAnsi="宋体" w:eastAsia="宋体" w:cs="宋体"/>
          <w:bCs/>
          <w:color w:val="000000"/>
          <w:sz w:val="24"/>
          <w:szCs w:val="24"/>
          <w:highlight w:val="none"/>
          <w:lang w:val="zh-CN" w:eastAsia="zh-CN"/>
        </w:rPr>
      </w:r>
      <w:r/>
    </w:p>
    <w:p>
      <w:pPr>
        <w:pStyle w:val="889"/>
        <w:ind w:firstLine="480"/>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招标文件涉及标准中未标年号的一律采用最新的标准；随着标准的修订，以修订后的最新标准为依据。</w:t>
      </w:r>
      <w:r>
        <w:rPr>
          <w:rFonts w:hint="eastAsia" w:ascii="宋体" w:hAnsi="宋体" w:eastAsia="宋体" w:cs="宋体"/>
          <w:bCs/>
          <w:color w:val="000000"/>
          <w:sz w:val="24"/>
          <w:szCs w:val="24"/>
          <w:highlight w:val="none"/>
          <w:lang w:val="en-US" w:eastAsia="zh-CN"/>
        </w:rPr>
      </w:r>
      <w:r/>
    </w:p>
    <w:p>
      <w:pPr>
        <w:pStyle w:val="889"/>
        <w:numPr>
          <w:ilvl w:val="0"/>
          <w:numId w:val="6"/>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W w:w="952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16"/>
        <w:gridCol w:w="1076"/>
        <w:gridCol w:w="1074"/>
        <w:gridCol w:w="1079"/>
        <w:gridCol w:w="1074"/>
        <w:gridCol w:w="1074"/>
        <w:gridCol w:w="1075"/>
        <w:gridCol w:w="1078"/>
      </w:tblGrid>
      <w:tr>
        <w:trPr>
          <w:trHeight w:val="299"/>
        </w:trPr>
        <w:tc>
          <w:tcPr>
            <w:tcW w:w="875"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116"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分项名称</w:t>
            </w:r>
            <w:r>
              <w:rPr>
                <w:rFonts w:hint="eastAsia" w:ascii="宋体" w:hAnsi="宋体" w:eastAsia="宋体" w:cs="宋体"/>
                <w:i w:val="0"/>
                <w:iCs w:val="0"/>
                <w:color w:val="000000"/>
                <w:sz w:val="21"/>
                <w:szCs w:val="21"/>
                <w:highlight w:val="none"/>
                <w:u w:val="none"/>
              </w:rPr>
            </w:r>
            <w:r/>
          </w:p>
        </w:tc>
        <w:tc>
          <w:tcPr>
            <w:tcW w:w="1076"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1074"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079"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w:t>
            </w:r>
            <w:r>
              <w:rPr>
                <w:rFonts w:hint="eastAsia" w:ascii="宋体" w:hAnsi="宋体" w:eastAsia="宋体" w:cs="宋体"/>
                <w:i w:val="0"/>
                <w:iCs w:val="0"/>
                <w:color w:val="000000"/>
                <w:sz w:val="21"/>
                <w:szCs w:val="21"/>
                <w:highlight w:val="none"/>
                <w:u w:val="none"/>
              </w:rPr>
            </w:r>
            <w:r/>
          </w:p>
        </w:tc>
        <w:tc>
          <w:tcPr>
            <w:tcW w:w="1074"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产品类型</w:t>
            </w:r>
            <w:r>
              <w:rPr>
                <w:rFonts w:hint="eastAsia" w:ascii="宋体" w:hAnsi="宋体" w:eastAsia="宋体" w:cs="宋体"/>
                <w:i w:val="0"/>
                <w:iCs w:val="0"/>
                <w:color w:val="000000"/>
                <w:sz w:val="21"/>
                <w:szCs w:val="21"/>
                <w:highlight w:val="none"/>
                <w:u w:val="none"/>
              </w:rPr>
            </w:r>
            <w:r/>
          </w:p>
        </w:tc>
        <w:tc>
          <w:tcPr>
            <w:tcW w:w="1074"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中小企业划分标准所属行业</w:t>
            </w:r>
            <w:r>
              <w:rPr>
                <w:rFonts w:hint="eastAsia" w:ascii="宋体" w:hAnsi="宋体" w:eastAsia="宋体" w:cs="宋体"/>
                <w:i w:val="0"/>
                <w:iCs w:val="0"/>
                <w:color w:val="000000"/>
                <w:sz w:val="21"/>
                <w:szCs w:val="21"/>
                <w:highlight w:val="none"/>
                <w:u w:val="none"/>
              </w:rPr>
            </w:r>
            <w:r/>
          </w:p>
        </w:tc>
        <w:tc>
          <w:tcPr>
            <w:tcW w:w="1075"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属性</w:t>
            </w:r>
            <w:r>
              <w:rPr>
                <w:rFonts w:hint="eastAsia" w:ascii="宋体" w:hAnsi="宋体" w:eastAsia="宋体" w:cs="宋体"/>
                <w:i w:val="0"/>
                <w:iCs w:val="0"/>
                <w:color w:val="000000"/>
                <w:sz w:val="21"/>
                <w:szCs w:val="21"/>
                <w:highlight w:val="none"/>
                <w:u w:val="none"/>
              </w:rPr>
            </w:r>
            <w:r/>
          </w:p>
        </w:tc>
        <w:tc>
          <w:tcPr>
            <w:tcW w:w="1078" w:type="dxa"/>
            <w:vAlign w:val="center"/>
            <w:vMerge w:val="restart"/>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政府强制采购节能产品（如有）</w:t>
            </w:r>
            <w:r>
              <w:rPr>
                <w:rFonts w:hint="eastAsia" w:ascii="宋体" w:hAnsi="宋体" w:eastAsia="宋体" w:cs="宋体"/>
                <w:i w:val="0"/>
                <w:iCs w:val="0"/>
                <w:color w:val="000000"/>
                <w:sz w:val="21"/>
                <w:szCs w:val="21"/>
                <w:highlight w:val="none"/>
                <w:u w:val="none"/>
              </w:rPr>
            </w:r>
            <w:r/>
          </w:p>
        </w:tc>
      </w:tr>
      <w:tr>
        <w:trPr>
          <w:trHeight w:val="285"/>
        </w:trPr>
        <w:tc>
          <w:tcPr>
            <w:tcW w:w="875"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6"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6"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4"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9"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rPr>
            </w:r>
            <w:r/>
          </w:p>
        </w:tc>
        <w:tc>
          <w:tcPr>
            <w:tcW w:w="1074"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4"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5"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8" w:type="dxa"/>
            <w:vAlign w:val="center"/>
            <w:vMerge w:val="continue"/>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机动车圆盘信号灯</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机动车箭头信号灯</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78型倒计时器</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人行横道灯</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502</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人行灯杆件</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交通信号控制机(含基础)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6m机动车信号灯杆件(含基础)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9m机动车信号灯杆件(含基础)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7m机动车信号灯杆件迁移(含基础)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RVV4*1.0（信号灯至信号机箱）</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33160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RVVSP2*1.0（倒计时器至信号机箱）</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绿化带开挖及回填</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3660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挖道板砖开挖及恢复（人工开挖）</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人（手）孔井</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标线、人行道</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900万电警抓拍单元</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1200万电警抓拍单元</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LED补光灯（闯红灯自动记录系统）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反向卡口抓拍单元</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监控枪机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终端管理服务器（闯红灯自动记录系统）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电源防雷器</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信号防雷器</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工业级接入交换机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工业级汇聚换机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千兆单模光模块</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集成挂箱（含基础）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落地机箱（含基础）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9米监控L杆件（含基础）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8020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12米监控L杆件（含基础）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12米监控T型杆件（含基础）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总电源线（落地机箱至取电点）</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方向电源线（落地机箱至集成挂箱）</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5160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设备电源线（集成挂箱至设备）</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控制线（抓拍机至补光设备）</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525</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室外超五类网线</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四芯光缆</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5160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光纤跳线及尾纤</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芯</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光纤熔接</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芯</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挖道板砖开挖及恢复（人工开挖）</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415</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违法抓拍标牌（电子警察）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飞线(含钢丝)</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RFID非机动车闯红灯抓拍</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LED补光灯（非机动车违法抓拍系统）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RFID读卡器</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非机动车交通安全防治一体机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终端管理服务器（非机动车违法抓拍系统）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接入交换机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红绿灯信号检测器</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4米监控L杆件（含基础）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3670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3m横臂</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6.5m监控杆(含基础)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U型支架</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违法抓拍标牌（违停）</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大货车右转避停抓拍机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7020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LED补光灯（货车右转管控系统）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90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终端管理服务器（货车右转管控系统）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停车预警标志牌(含杆件基础)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违法抓拍标牌（右转必停）</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机动车不礼让行人抓拍单元</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8780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多合一智能补光灯</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112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终端管理服务器（机动车不礼让行人抓拍系统）</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4120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6米监控L杆件迁移（含基础）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675"/>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违法抓拍标牌（机动车礼让行人）</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移动车载测速设备</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57500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手持式智能执法终端</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数据对接服务</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测速标志牌(含移动支架)</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警示灯（爆闪灯）(含杆件基础)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路口语音提示(含杆件基础)</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补建标志牌</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网络租赁</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云存储设备</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货物</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r>
        <w:trPr>
          <w:trHeight w:val="450"/>
        </w:trPr>
        <w:tc>
          <w:tcPr>
            <w:tcW w:w="8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111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信号灯平台保障服务</w:t>
            </w:r>
            <w:r>
              <w:rPr>
                <w:rFonts w:hint="eastAsia" w:ascii="宋体" w:hAnsi="宋体" w:eastAsia="宋体" w:cs="宋体"/>
                <w:i w:val="0"/>
                <w:iCs w:val="0"/>
                <w:color w:val="000000"/>
                <w:sz w:val="18"/>
                <w:szCs w:val="18"/>
                <w:highlight w:val="none"/>
                <w:u w:val="none"/>
              </w:rPr>
            </w:r>
            <w:r/>
          </w:p>
        </w:tc>
        <w:tc>
          <w:tcPr>
            <w:tcW w:w="1076"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项</w:t>
            </w:r>
            <w:r>
              <w:rPr>
                <w:rFonts w:hint="eastAsia" w:ascii="宋体" w:hAnsi="宋体" w:eastAsia="宋体" w:cs="宋体"/>
                <w:i w:val="0"/>
                <w:iCs w:val="0"/>
                <w:color w:val="000000"/>
                <w:sz w:val="18"/>
                <w:szCs w:val="18"/>
                <w:highlight w:val="none"/>
                <w:u w:val="none"/>
                <w:lang w:val="en-US" w:eastAsia="zh-CN"/>
              </w:rPr>
            </w:r>
            <w:r/>
          </w:p>
        </w:tc>
        <w:tc>
          <w:tcPr>
            <w:tcW w:w="1079" w:type="dxa"/>
            <w:vAlign w:val="center"/>
            <w:textDirection w:val="lrTb"/>
            <w:noWrap/>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460000</w:t>
            </w:r>
            <w:r>
              <w:rPr>
                <w:rFonts w:hint="eastAsia" w:ascii="宋体" w:hAnsi="宋体" w:eastAsia="宋体" w:cs="宋体"/>
                <w:i w:val="0"/>
                <w:iCs w:val="0"/>
                <w:color w:val="000000"/>
                <w:sz w:val="18"/>
                <w:szCs w:val="18"/>
                <w:highlight w:val="none"/>
                <w:u w:val="none"/>
              </w:rPr>
            </w:r>
            <w:r/>
          </w:p>
        </w:tc>
        <w:tc>
          <w:tcPr>
            <w:tcW w:w="1074"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c>
          <w:tcPr>
            <w:shd w:val="clear" w:color="auto" w:fill="ffffff"/>
            <w:tcW w:w="1074"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软件和信息技术服务业</w:t>
            </w:r>
            <w:r>
              <w:rPr>
                <w:rFonts w:hint="eastAsia" w:ascii="宋体" w:hAnsi="宋体" w:eastAsia="宋体" w:cs="宋体"/>
                <w:i w:val="0"/>
                <w:iCs w:val="0"/>
                <w:color w:val="000000"/>
                <w:sz w:val="18"/>
                <w:szCs w:val="18"/>
                <w:highlight w:val="none"/>
                <w:u w:val="none"/>
              </w:rPr>
            </w:r>
            <w:r/>
          </w:p>
        </w:tc>
        <w:tc>
          <w:tcPr>
            <w:shd w:val="clear" w:color="auto" w:fill="ffffff"/>
            <w:tcW w:w="1075" w:type="dxa"/>
            <w:vAlign w:val="center"/>
            <w:textDirection w:val="lrTb"/>
            <w:noWrap w:val="false"/>
          </w:tcPr>
          <w:p>
            <w:pPr>
              <w:pStyle w:val="889"/>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w:t>
            </w:r>
            <w:r>
              <w:rPr>
                <w:rFonts w:hint="eastAsia" w:ascii="宋体" w:hAnsi="宋体" w:eastAsia="宋体" w:cs="宋体"/>
                <w:i w:val="0"/>
                <w:iCs w:val="0"/>
                <w:color w:val="000000"/>
                <w:sz w:val="18"/>
                <w:szCs w:val="18"/>
                <w:highlight w:val="none"/>
                <w:u w:val="none"/>
              </w:rPr>
            </w:r>
            <w:r/>
          </w:p>
        </w:tc>
        <w:tc>
          <w:tcPr>
            <w:tcW w:w="1078" w:type="dxa"/>
            <w:vAlign w:val="center"/>
            <w:textDirection w:val="lrTb"/>
            <w:noWrap/>
          </w:tcPr>
          <w:p>
            <w:pPr>
              <w:pStyle w:val="889"/>
              <w:keepLines w:val="0"/>
              <w:keepNext w:val="0"/>
              <w:pageBreakBefore w:val="0"/>
              <w:spacing w:line="240" w:lineRule="exact"/>
              <w:widowControl/>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sz w:val="22"/>
                <w:szCs w:val="22"/>
                <w:highlight w:val="none"/>
                <w:u w:val="none"/>
              </w:rPr>
            </w:r>
            <w:r/>
          </w:p>
        </w:tc>
      </w:tr>
    </w:tbl>
    <w:p>
      <w:pPr>
        <w:pStyle w:val="968"/>
        <w:numPr>
          <w:ilvl w:val="0"/>
          <w:numId w:val="0"/>
        </w:numPr>
        <w:jc w:val="both"/>
        <w:widowControl w:val="off"/>
        <w:rPr>
          <w:rFonts w:hint="eastAsia"/>
          <w:color w:val="000000"/>
          <w:highlight w:val="none"/>
          <w:lang w:eastAsia="zh-CN"/>
        </w:rPr>
      </w:pPr>
      <w:r>
        <w:rPr>
          <w:rFonts w:hint="eastAsia"/>
          <w:color w:val="000000"/>
          <w:highlight w:val="none"/>
          <w:lang w:eastAsia="zh-CN"/>
        </w:rPr>
      </w:r>
      <w:r/>
    </w:p>
    <w:p>
      <w:pPr>
        <w:pStyle w:val="88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8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8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ascii="宋体" w:hAnsi="宋体" w:eastAsia="宋体" w:cs="宋体"/>
          <w:bCs/>
          <w:color w:val="000000"/>
          <w:sz w:val="24"/>
          <w:szCs w:val="24"/>
          <w:highlight w:val="none"/>
          <w:lang w:val="en-US" w:eastAsia="zh-CN"/>
        </w:rPr>
      </w:r>
      <w:r/>
    </w:p>
    <w:tbl>
      <w:tblPr>
        <w:tblW w:w="945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292"/>
        <w:gridCol w:w="7441"/>
      </w:tblGrid>
      <w:tr>
        <w:trPr>
          <w:trHeight w:val="420"/>
        </w:trPr>
        <w:tc>
          <w:tcPr>
            <w:tcW w:w="717" w:type="dxa"/>
            <w:vAlign w:val="center"/>
            <w:textDirection w:val="lrTb"/>
            <w:noWrap w:val="false"/>
          </w:tcPr>
          <w:p>
            <w:pPr>
              <w:pStyle w:val="8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rPr>
                <w:rFonts w:hint="eastAsia" w:ascii="宋体" w:hAnsi="宋体" w:eastAsia="宋体" w:cs="宋体"/>
                <w:b/>
                <w:bCs/>
                <w:i w:val="0"/>
                <w:iCs w:val="0"/>
                <w:color w:val="000000"/>
                <w:sz w:val="22"/>
                <w:szCs w:val="22"/>
                <w:highlight w:val="none"/>
                <w:u w:val="none"/>
              </w:rPr>
            </w:r>
            <w:r/>
          </w:p>
        </w:tc>
        <w:tc>
          <w:tcPr>
            <w:tcW w:w="7441" w:type="dxa"/>
            <w:vAlign w:val="center"/>
            <w:textDirection w:val="lrTb"/>
            <w:noWrap w:val="false"/>
          </w:tcPr>
          <w:p>
            <w:pPr>
              <w:pStyle w:val="8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功能、性能、配置要求不低于以下要求</w:t>
            </w:r>
            <w:r>
              <w:rPr>
                <w:rFonts w:hint="eastAsia" w:ascii="宋体" w:hAnsi="宋体" w:eastAsia="宋体" w:cs="宋体"/>
                <w:b/>
                <w:bCs/>
                <w:i w:val="0"/>
                <w:iCs w:val="0"/>
                <w:color w:val="000000"/>
                <w:sz w:val="22"/>
                <w:szCs w:val="22"/>
                <w:highlight w:val="none"/>
                <w:u w:val="none"/>
              </w:rPr>
            </w:r>
            <w:r/>
          </w:p>
        </w:tc>
      </w:tr>
      <w:tr>
        <w:trPr>
          <w:trHeight w:val="27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机动车圆盘信号灯</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1、面罩规格：φ400mm。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2、面罩材质：玻璃。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3、外壳材质：铝压铸。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4、表面处理：黑色喷塑哑光。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5、工作温度:-40℃~+80°C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6、LED寿命：≥70000小时。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7、可视距离：＞450m。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8、可视角度：＞30°。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9、满屏信号灯，竖装，包含灯具、帽檐、装饰边、背杆支架。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10、符合GB14887-2011道路交通信号灯。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11、前维护。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b w:val="0"/>
                <w:bCs w:val="0"/>
                <w:i w:val="0"/>
                <w:iCs w:val="0"/>
                <w:color w:val="000000"/>
                <w:sz w:val="18"/>
                <w:szCs w:val="18"/>
                <w:highlight w:val="none"/>
                <w:u w:val="none"/>
                <w:lang w:val="en-US" w:eastAsia="zh-CN" w:bidi="ar"/>
              </w:rPr>
              <w:t xml:space="preserve">承诺中标后可接入现有信号机</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27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机动车箭头信号灯</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1、箭头灯信号灯，竖装，包含灯具、帽檐、装饰边、背杆支架。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2、面罩规格：φ400mm。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3、面罩材质：玻璃。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4、外壳材质：铝压铸。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5、表面处理：黑色喷塑哑光。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6、LED寿命：≥70000小时。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7、工作温度:-40℃~+80°C。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8、可视距离：＞450m。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9、可视角度：＞30°。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10、前维护。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11、承诺中标后可接入现有信号机。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12、符合GB14887-2011道路交通信号灯。</w:t>
            </w:r>
            <w:r>
              <w:rPr>
                <w:rFonts w:hint="eastAsia" w:ascii="宋体" w:hAnsi="宋体" w:eastAsia="宋体" w:cs="宋体"/>
                <w:i w:val="0"/>
                <w:iCs w:val="0"/>
                <w:color w:val="000000"/>
                <w:sz w:val="18"/>
                <w:szCs w:val="18"/>
                <w:highlight w:val="none"/>
                <w:u w:val="none"/>
              </w:rPr>
            </w:r>
            <w:r/>
          </w:p>
        </w:tc>
      </w:tr>
      <w:tr>
        <w:trPr>
          <w:trHeight w:val="27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78型倒计时器</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1、数字尺寸：大于780×2440mm。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2、计时方式：跟随/触发/RS485通信。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3、显示数值：红99~1；绿99~1；黄9~1。</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4、面罩材质：PC。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5、外壳材质：铝、黑色喷塑。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6、LED寿命：≥70000小时。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7、中心亮度：红≥5000cd/m2；黄≥5000cd/m2；绿≥8000cd/m2。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8、可视距离：＞500m。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9、可视角度：＞30°。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10、工作温度:-40℃℃~+80℃C。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11、包含：灯具、帽檐、装饰边、横连杆抱箍。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12、符合GB14887-2011、GA/T508-2014，前维护。</w:t>
            </w:r>
            <w:r>
              <w:rPr>
                <w:rFonts w:hint="eastAsia" w:ascii="宋体" w:hAnsi="宋体" w:eastAsia="宋体" w:cs="宋体"/>
                <w:i w:val="0"/>
                <w:iCs w:val="0"/>
                <w:color w:val="000000"/>
                <w:sz w:val="18"/>
                <w:szCs w:val="18"/>
                <w:highlight w:val="none"/>
                <w:u w:val="none"/>
              </w:rPr>
            </w:r>
            <w:r/>
          </w:p>
        </w:tc>
      </w:tr>
      <w:tr>
        <w:trPr>
          <w:trHeight w:val="15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人行横道灯</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1、面罩规格：φ300mm。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2、面罩材质：玻璃。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3、外壳材质：铝压铸。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4、表面处理：黑色喷塑哑光。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5、LED数量：红60，绿56。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6、LED波长：红：625nm；绿：505nm（动态）。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7、LED直径：φ5mm。</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人行灯杆件</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1、杆件：直径102mm，壁厚3mm，热镀锌喷塑，高3米。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2、基础规格：0.5m*0.5m*0.8m，包含基础开挖及回填。</w:t>
            </w:r>
            <w:r>
              <w:rPr>
                <w:rFonts w:hint="eastAsia" w:ascii="宋体" w:hAnsi="宋体" w:eastAsia="宋体" w:cs="宋体"/>
                <w:i w:val="0"/>
                <w:iCs w:val="0"/>
                <w:color w:val="000000"/>
                <w:sz w:val="18"/>
                <w:szCs w:val="18"/>
                <w:highlight w:val="none"/>
                <w:u w:val="none"/>
              </w:rPr>
            </w:r>
            <w:r/>
          </w:p>
        </w:tc>
      </w:tr>
      <w:tr>
        <w:trPr>
          <w:trHeight w:val="38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交通信号控制机(含基础)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1、具备区域联控和单点自控（单点优化、线控、无电缆线控、感应、多时段、黄闪、全红、关灯、手控）等多种工作方式。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可无缝接入六合区交警大队现有信号控制系统，实现信号参数管理、实时监控、移动特勤任务、组织管控、查询统计、路口属性及渠化管理、无电缆协调控制、线协调控制、行人协调控制、自适应控制等系统全部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3、不少于32相位控制。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4、不少于54路灯控输出。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5、支持北斗对时功能；支持绿冲突，红绿同亮，绿、黄、红灯不亮故障检测功能；整机全模块化（插件单元）设计，系统的硬件配置可作弹性调整。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6、可接入不少于32路检测器设备，支持环型线圈、地磁、微波、视频等车辆检测器。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交通信号控制机应符合《道路交通信号控制机》GB25280-2016）的要求；交通信号机应符合《交通信号控制机与上位机间的数据通信协议》GB/T20999-2017）的要求；交通信号机的安装应符合《道路交通信号控制机安装规范》GA/T489—2016）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b/>
                <w:bCs/>
                <w:i w:val="0"/>
                <w:iCs w:val="0"/>
                <w:color w:val="000000"/>
                <w:sz w:val="18"/>
                <w:szCs w:val="18"/>
                <w:highlight w:val="none"/>
                <w:u w:val="none"/>
                <w:lang w:val="en-US" w:eastAsia="zh-CN" w:bidi="ar"/>
              </w:rPr>
              <w:t xml:space="preserve">可接入现有的交通信号平台、调试，达到可正常使用要求。（投标人提供承诺函，未提供或内容不全的将作无效投标处理）</w:t>
            </w:r>
            <w:r>
              <w:rPr>
                <w:rFonts w:hint="eastAsia" w:ascii="宋体" w:hAnsi="宋体" w:eastAsia="宋体" w:cs="宋体"/>
                <w:i w:val="0"/>
                <w:iCs w:val="0"/>
                <w:color w:val="000000"/>
                <w:sz w:val="18"/>
                <w:szCs w:val="18"/>
                <w:highlight w:val="none"/>
                <w:u w:val="none"/>
              </w:rPr>
            </w:r>
            <w:r/>
          </w:p>
        </w:tc>
      </w:tr>
      <w:tr>
        <w:trPr>
          <w:trHeight w:val="11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6m机动车信号灯杆件(含基础)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1、立杆：八角直径220-280-5mm厚-7米高；横杆：八角直径110-180-4mm厚-6米长；基础法兰直径500-16mm厚，固定法兰直径500-4mm厚，预埋件螺栓对角中心距400mm-8支M24圆钢长1.125米。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2、基础：1.2m*1.2m*1.6m，地笼一道十字撑加一道箍筋，包含基础开挖及回填，垃圾清运。</w:t>
            </w:r>
            <w:r>
              <w:rPr>
                <w:rFonts w:hint="eastAsia" w:ascii="宋体" w:hAnsi="宋体" w:eastAsia="宋体" w:cs="宋体"/>
                <w:i w:val="0"/>
                <w:iCs w:val="0"/>
                <w:color w:val="000000"/>
                <w:sz w:val="18"/>
                <w:szCs w:val="18"/>
                <w:highlight w:val="none"/>
                <w:u w:val="none"/>
              </w:rPr>
            </w:r>
            <w:r/>
          </w:p>
        </w:tc>
      </w:tr>
      <w:tr>
        <w:trPr>
          <w:trHeight w:val="11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9m机动车信号灯杆件(含基础)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1、立杆：八角直径270-330-6mm厚-7米高；横杆：八角直径110-240-5mm厚-9米长；基础法兰直径550-18mm厚，固定法兰直径550-4mm厚，预埋件螺栓对角中心距450mm-8支M27圆钢长1.285米。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2、基础：1.4m*1.4m*1.8m，地笼一道十字撑加两道箍筋，包含基础开挖及回填，垃圾清运。</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7m机动车信号灯杆件迁移(含基础)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7m横臂信号灯杆件迁移、立杆、地笼。基础规格：1.2m*1.2m*1.6m，包含基础开挖及回填，垃圾清运。</w:t>
            </w:r>
            <w:r>
              <w:rPr>
                <w:rFonts w:hint="eastAsia" w:ascii="宋体" w:hAnsi="宋体" w:eastAsia="宋体" w:cs="宋体"/>
                <w:i w:val="0"/>
                <w:iCs w:val="0"/>
                <w:color w:val="000000"/>
                <w:sz w:val="18"/>
                <w:szCs w:val="18"/>
                <w:highlight w:val="none"/>
                <w:u w:val="none"/>
              </w:rPr>
            </w:r>
            <w:r/>
          </w:p>
        </w:tc>
      </w:tr>
      <w:tr>
        <w:trPr>
          <w:trHeight w:val="15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RVV4*1.0（信号灯至信号机箱）</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1、4芯RVV电源线（1mm²）。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2、无氧铜线芯。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3、环保绝缘、护被。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4、线芯绝缘颜色鲜艳。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5、符合RoHS2.0环保认证。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6、符合GB/T5023.5-2008;JB/T8734.3-2016;通过国家CCC强制认证，包含材料穿管敷设、线缆接驳、标识标牌、通段测试等</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RVVSP2*1.0（倒计时器至信号机箱）</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1、2芯RVVSP电源线（1mm²）。</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2、无氧铜线芯。</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3、环保绝缘、护被。</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4、线芯绝缘颜色鲜艳。</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5、符合RoHS2.0环保认证。</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6、符合GB/T5023.5-2008;JB/T8734.3-2016;通过国家CCC强制认证RVVSP2*1.0，包含材料穿管敷设、线缆接驳、标识标牌、通段测试等。</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根据南京市规范立杆必须接地小于4欧姆，接地系统包含每个点位4根角钢，镀锌扁钢连接，16mm2接地线按10米。</w:t>
            </w:r>
            <w:r>
              <w:rPr>
                <w:rFonts w:hint="eastAsia" w:ascii="宋体" w:hAnsi="宋体" w:eastAsia="宋体" w:cs="宋体"/>
                <w:i w:val="0"/>
                <w:iCs w:val="0"/>
                <w:color w:val="000000"/>
                <w:sz w:val="18"/>
                <w:szCs w:val="18"/>
                <w:highlight w:val="none"/>
                <w:u w:val="none"/>
              </w:rPr>
            </w:r>
            <w:r/>
          </w:p>
        </w:tc>
      </w:tr>
      <w:tr>
        <w:trPr>
          <w:trHeight w:val="46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绿化带开挖及回填</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24"/>
                <w:color w:val="000000"/>
                <w:highlight w:val="none"/>
                <w:lang w:val="en-US" w:eastAsia="zh-CN" w:bidi="ar"/>
              </w:rPr>
              <w:t xml:space="preserve">包含2根</w:t>
            </w:r>
            <w:r>
              <w:rPr>
                <w:rFonts w:ascii="Calibri" w:hAnsi="Calibri" w:eastAsia="宋体" w:cs="Calibri"/>
                <w:i w:val="0"/>
                <w:iCs w:val="0"/>
                <w:color w:val="000000"/>
                <w:sz w:val="18"/>
                <w:szCs w:val="18"/>
                <w:highlight w:val="none"/>
                <w:u w:val="none"/>
                <w:lang w:val="en-US" w:eastAsia="zh-CN" w:bidi="ar"/>
              </w:rPr>
              <w:t xml:space="preserve">Φ</w:t>
            </w:r>
            <w:r>
              <w:rPr>
                <w:rStyle w:val="1024"/>
                <w:color w:val="000000"/>
                <w:highlight w:val="none"/>
                <w:lang w:val="en-US" w:eastAsia="zh-CN" w:bidi="ar"/>
              </w:rPr>
              <w:t xml:space="preserve">50PE管，开挖深度≥60cm，宽度≥20cm，一侧弃土，使用原土回填，采用保护措施，确保绿化灌木存活</w:t>
            </w:r>
            <w:r>
              <w:rPr>
                <w:rFonts w:hint="eastAsia" w:ascii="宋体" w:hAnsi="宋体" w:eastAsia="宋体" w:cs="宋体"/>
                <w:i w:val="0"/>
                <w:iCs w:val="0"/>
                <w:color w:val="000000"/>
                <w:sz w:val="18"/>
                <w:szCs w:val="18"/>
                <w:highlight w:val="none"/>
                <w:u w:val="none"/>
              </w:rPr>
            </w:r>
            <w:r/>
          </w:p>
        </w:tc>
      </w:tr>
      <w:tr>
        <w:trPr>
          <w:trHeight w:val="69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挖道板砖开挖及恢复（人工开挖）</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24"/>
                <w:color w:val="000000"/>
                <w:highlight w:val="none"/>
                <w:lang w:val="en-US" w:eastAsia="zh-CN" w:bidi="ar"/>
              </w:rPr>
              <w:t xml:space="preserve">包含2根</w:t>
            </w:r>
            <w:r>
              <w:rPr>
                <w:rFonts w:ascii="Calibri" w:hAnsi="Calibri" w:eastAsia="宋体" w:cs="Calibri"/>
                <w:i w:val="0"/>
                <w:iCs w:val="0"/>
                <w:color w:val="000000"/>
                <w:sz w:val="18"/>
                <w:szCs w:val="18"/>
                <w:highlight w:val="none"/>
                <w:u w:val="none"/>
                <w:lang w:val="en-US" w:eastAsia="zh-CN" w:bidi="ar"/>
              </w:rPr>
              <w:t xml:space="preserve">Φ</w:t>
            </w:r>
            <w:r>
              <w:rPr>
                <w:rStyle w:val="1024"/>
                <w:color w:val="000000"/>
                <w:highlight w:val="none"/>
                <w:lang w:val="en-US" w:eastAsia="zh-CN" w:bidi="ar"/>
              </w:rPr>
              <w:t xml:space="preserve">50PE管，开挖深度≥60cm，宽度≥20cm，渣土根据城管要求运输至指定地点（包含渣土处理费），40cm沙土回填，15cm商混回填，使用原道板砖恢复</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24"/>
                <w:color w:val="000000"/>
                <w:highlight w:val="none"/>
                <w:lang w:val="en-US" w:eastAsia="zh-CN" w:bidi="ar"/>
              </w:rPr>
              <w:t xml:space="preserve">包含2根</w:t>
            </w:r>
            <w:r>
              <w:rPr>
                <w:rFonts w:ascii="Calibri" w:hAnsi="Calibri" w:eastAsia="宋体" w:cs="Calibri"/>
                <w:i w:val="0"/>
                <w:iCs w:val="0"/>
                <w:color w:val="000000"/>
                <w:sz w:val="18"/>
                <w:szCs w:val="18"/>
                <w:highlight w:val="none"/>
                <w:u w:val="none"/>
                <w:lang w:val="en-US" w:eastAsia="zh-CN" w:bidi="ar"/>
              </w:rPr>
              <w:t xml:space="preserve">Φ</w:t>
            </w:r>
            <w:r>
              <w:rPr>
                <w:rStyle w:val="1024"/>
                <w:color w:val="000000"/>
                <w:highlight w:val="none"/>
                <w:lang w:val="en-US" w:eastAsia="zh-CN" w:bidi="ar"/>
              </w:rPr>
              <w:t xml:space="preserve">90PE管</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人（手）孔井</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维护井盖50cm*50cm，维护井内径40*40cm，深60cm，管道离上边沿约45cm，满足非机动车压力需求，底部留有渗水孔，井盖为水泥井盖（标志：公安专用）</w:t>
            </w:r>
            <w:r>
              <w:rPr>
                <w:rFonts w:hint="eastAsia" w:ascii="宋体" w:hAnsi="宋体" w:eastAsia="宋体" w:cs="宋体"/>
                <w:i w:val="0"/>
                <w:iCs w:val="0"/>
                <w:color w:val="000000"/>
                <w:sz w:val="18"/>
                <w:szCs w:val="18"/>
                <w:highlight w:val="none"/>
                <w:u w:val="none"/>
              </w:rPr>
            </w:r>
            <w:r/>
          </w:p>
        </w:tc>
      </w:tr>
      <w:tr>
        <w:trPr>
          <w:trHeight w:val="371"/>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标线、人行道</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实体标线，每个车道渠化50m，宽度15mm</w:t>
            </w:r>
            <w:r>
              <w:rPr>
                <w:rFonts w:hint="eastAsia" w:ascii="宋体" w:hAnsi="宋体" w:eastAsia="宋体" w:cs="宋体"/>
                <w:i w:val="0"/>
                <w:iCs w:val="0"/>
                <w:color w:val="000000"/>
                <w:sz w:val="18"/>
                <w:szCs w:val="18"/>
                <w:highlight w:val="none"/>
                <w:u w:val="none"/>
              </w:rPr>
            </w:r>
            <w:r/>
          </w:p>
        </w:tc>
      </w:tr>
      <w:tr>
        <w:trPr>
          <w:trHeight w:val="63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900万电警抓拍单元</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1、图像传感器：采用不少于1.1英寸传感器。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2、最大图像尺寸：≥4096×2160像素。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3、视频帧率：在1～25fps可调。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4、视频压缩支持H.265、H.264、MJPEG。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5、支持车辆捕获抓拍功能，在天气晴朗无雾，号牌无遮挡、无污损，白天环境光照度不低于200lx，晚上辅助光照度不高于30lx的条件下测试，白天和晚上的捕获率均≥99%。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lang w:val="en-US" w:eastAsia="zh-CN" w:bidi="ar"/>
              </w:rPr>
              <w:t xml:space="preserve">支持车牌识别功能，白天和晚上的识别率均≥99%。(投标人提供承诺函，未提供或内容不全的将作无效投标处理，中标后需要提供CMA认证的检验报告加盖原厂公章)。</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7、支持闯红灯抓拍功能，在天气晴朗无雾，号牌无遮挡、无污损，白天环境光照度不低于200lx，晚上辅助光照度不高于30lx的条件下测试，白天和晚上闯红灯的捕获率均≥99%。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9、可在左右45°范围内识别机动车车辆特征，包括车牌号码、车身颜色、车辆类型。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10、支持识别车标类型不小于460种；在天气晴朗无雾，车辆无遮挡，白天环境光照度不低于200lx，夜晚辅助光照度不高于30lx的情况下进行测试；白天车标识别准确率≥99%；晚上车标识别准确率≥98%。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11、支持货车右转必停识别功能检测。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12、包含高清一体化嵌入式摄像机、高清镜头、室外防护罩、电源适配器、万向支架等。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Times New Roman" w:hAnsi="Times New Roman" w:eastAsia="宋体" w:cs="Times New Roman"/>
                <w:b/>
                <w:bCs/>
                <w:color w:val="000000"/>
                <w:highlight w:val="none"/>
                <w:lang w:val="en-US" w:eastAsia="zh-CN"/>
              </w:rPr>
              <w:t xml:space="preserve">按照南京市公安局七行标注标准进行视频标注，可接入公安现有的视频综合平台</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rFonts w:hint="eastAsia" w:ascii="宋体" w:hAnsi="宋体" w:eastAsia="宋体" w:cs="宋体"/>
                <w:i w:val="0"/>
                <w:iCs w:val="0"/>
                <w:color w:val="000000"/>
                <w:sz w:val="18"/>
                <w:szCs w:val="18"/>
                <w:highlight w:val="none"/>
                <w:u w:val="none"/>
              </w:rPr>
            </w:r>
            <w:r/>
          </w:p>
        </w:tc>
      </w:tr>
      <w:tr>
        <w:trPr>
          <w:trHeight w:val="60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1200万电警抓拍单元</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1、传感器：采用不小于1.1英寸GMOS。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2、最大图像尺寸：≥4112×3072像素；字符叠满足公安需求。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3、视频帧率：在1～25fps可调。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4、视频压缩支持H.265、H.264、MJPEG。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5、防护等级：IP66。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6、闯红灯事件检测试验，在天气晴朗无雾，车辆无遮挡，白天环境光照度不低于200lx，夜晚辅助光照度不高于30lx的情况下进行测试；白天晚上捕获率均≥99%；白天晚上准确率均≥99%。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辆识别性能试验，在天气晴朗无雾，白天环境光照度不低于200lx，夜晚辅助光照度不高于30lx的情况下进行测试；白天车牌号识别准确率≥99%，晚上车牌号识别准确率≥99%；白天车身颜色识别准确率≥98%，晚上车身颜色识别准确率≥98%；白天车辆类型识别准确率≥99%，晚上车辆类型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8、车牌识别功能检查：支持对25×10像素～1100×3000像素的机动车车牌进行抓拍并识别号码。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9、支持车辆子品牌识别，对车头图片进行分析抓拍，识别不少于7200种车辆子品牌，对车尾图片进行分析抓拍，可分析不少于3900种车辆子品牌。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10、监控摄像机图像画面信息不应有明显的缺损，图像画面应连贯，物体移动时图像不应有前冲现象、图像边缘不应有明显的锯齿状、拉毛、断裂、拖尾等现象。5级评分应不低于3.5分。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11、支持对大车右转未停车再起步的行为进行检测抓拍。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12、支持GB35114A级安全加密。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13、包含高清一体化嵌入式摄像机、高清镜头、室外防护罩、相机内置网络信号防雷器、电源适配器、万向支架等。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14、按照南京市公安局七行标注标准进行视频标注，可接入公</w:t>
            </w:r>
            <w:r>
              <w:rPr>
                <w:rFonts w:hint="eastAsia" w:ascii="宋体" w:hAnsi="宋体" w:eastAsia="宋体" w:cs="宋体"/>
                <w:b/>
                <w:bCs/>
                <w:i w:val="0"/>
                <w:iCs w:val="0"/>
                <w:color w:val="000000"/>
                <w:sz w:val="18"/>
                <w:szCs w:val="18"/>
                <w:highlight w:val="none"/>
                <w:u w:val="none"/>
                <w:lang w:val="en-US" w:eastAsia="zh-CN" w:bidi="ar"/>
              </w:rPr>
              <w:t xml:space="preserve">安现有的视频综合平台</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rFonts w:hint="eastAsia" w:ascii="宋体" w:hAnsi="宋体" w:eastAsia="宋体" w:cs="宋体"/>
                <w:i w:val="0"/>
                <w:iCs w:val="0"/>
                <w:color w:val="000000"/>
                <w:sz w:val="18"/>
                <w:szCs w:val="18"/>
                <w:highlight w:val="none"/>
                <w:u w:val="none"/>
              </w:rPr>
            </w:r>
            <w:r/>
          </w:p>
        </w:tc>
      </w:tr>
      <w:tr>
        <w:trPr>
          <w:trHeight w:val="13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LED补光灯（闯红灯自动记录系统）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1、光源类型：16颗LED灯。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2、发光角度：10°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3、覆盖范围：单车道。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4、补光范围：16米～25米。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5、触发方式：4V~6V电平量触发，可选配开关量触发。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6、符合GA/T1202-2022《交通技术监控成像补光装置通用技术条件》要求。</w:t>
            </w:r>
            <w:r>
              <w:rPr>
                <w:rFonts w:hint="eastAsia" w:ascii="宋体" w:hAnsi="宋体" w:eastAsia="宋体" w:cs="宋体"/>
                <w:i w:val="0"/>
                <w:iCs w:val="0"/>
                <w:color w:val="000000"/>
                <w:sz w:val="18"/>
                <w:szCs w:val="18"/>
                <w:highlight w:val="none"/>
                <w:u w:val="none"/>
              </w:rPr>
            </w:r>
            <w:r/>
          </w:p>
        </w:tc>
      </w:tr>
      <w:tr>
        <w:trPr>
          <w:trHeight w:val="989"/>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反向卡口抓拍单元</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numPr>
                <w:ilvl w:val="0"/>
                <w:numId w:val="7"/>
              </w:numPr>
              <w:jc w:val="left"/>
              <w:keepLines w:val="0"/>
              <w:keepNext w:val="0"/>
              <w:widowControl/>
              <w:rPr>
                <w:rFonts w:hint="eastAsia" w:ascii="Times New Roman" w:hAnsi="Times New Roman" w:eastAsia="宋体" w:cs="Times New Roman"/>
                <w:color w:val="000000"/>
                <w:sz w:val="18"/>
                <w:szCs w:val="18"/>
                <w:highlight w:val="none"/>
              </w:rPr>
              <w:suppressLineNumbers w:val="0"/>
            </w:pPr>
            <w:r>
              <w:rPr>
                <w:rFonts w:hint="eastAsia"/>
                <w:color w:val="000000"/>
                <w:sz w:val="18"/>
                <w:szCs w:val="18"/>
                <w:highlight w:val="none"/>
                <w:lang w:val="en-US" w:eastAsia="zh-CN"/>
              </w:rPr>
              <w:t xml:space="preserve">最大图像尺寸：4096×2160像素。</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2、镜头焦距：50mm。</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3、视频压缩支持H.265、H.264、MJPEG。</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4、抓拍支持输出三张同时刻目标图片，三张图片抓拍时间为同一时刻，抓拍运动目标，三张图片中目标位置相同无位移。</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5、支持车辆捕获抓拍功能，白天测试时的环境光照度不低于200lx，晚上测试时辅助照明光照度不高于30lx。车辆捕获可由线圈（设备配合线圈检测器使用）、雷达（设备配合雷达使用）激光（设备配合激光检测器使用）、视频触发抓拍，抓拍张数可配置。</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6、支持车牌识别功能，在白天环境光照度不低于200lx，晚上辅助照度不高于30lx的条件下测试，白天和晚上的识别率均≥99%。</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7、支持主/副驾驶人脸检出和抓拍功能。</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8、设备抓拍车牌、车身颜色、车内前排人脸及衣着均清晰可见。</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▲9、支持识别车标类型≥450种；在天气晴朗无雾，车辆无遮挡，白天环境光照度不低于200lx，夜晚辅助光照度不高于30lx的情况下进行测试；白天车标识别准确率≥99%；晚上车标识别准确率≥99%。</w:t>
            </w:r>
            <w:r>
              <w:rPr>
                <w:rFonts w:hint="eastAsia"/>
                <w:b/>
                <w:bCs/>
                <w:color w:val="000000"/>
                <w:sz w:val="18"/>
                <w:szCs w:val="18"/>
                <w:highlight w:val="none"/>
                <w:lang w:val="en-US" w:eastAsia="zh-CN"/>
              </w:rPr>
              <w:t xml:space="preserve">(投标人提供承诺函，未提供或内容不全的将作无效投标处理，中标后需要提供CMA认证的检验报告加盖原厂公章)。</w:t>
            </w:r>
            <w:r>
              <w:rPr>
                <w:rFonts w:hint="eastAsia"/>
                <w:b/>
                <w:bCs/>
                <w:color w:val="000000"/>
                <w:sz w:val="18"/>
                <w:szCs w:val="18"/>
                <w:highlight w:val="none"/>
                <w:lang w:val="en-US" w:eastAsia="zh-CN"/>
              </w:rPr>
              <w:br w:type="textWrapping" w:clear="all"/>
            </w:r>
            <w:r>
              <w:rPr>
                <w:rFonts w:hint="eastAsia"/>
                <w:color w:val="000000"/>
                <w:sz w:val="18"/>
                <w:szCs w:val="18"/>
                <w:highlight w:val="none"/>
                <w:lang w:val="en-US" w:eastAsia="zh-CN"/>
              </w:rPr>
              <w:t xml:space="preserve">10、支持GB35114A级安全加密。</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11、承诺中标后设备可接入公安现有的视频综合平台。</w:t>
            </w:r>
            <w:r>
              <w:rPr>
                <w:rFonts w:hint="eastAsia"/>
                <w:color w:val="000000"/>
                <w:sz w:val="18"/>
                <w:szCs w:val="18"/>
                <w:highlight w:val="none"/>
                <w:lang w:val="en-US" w:eastAsia="zh-CN"/>
              </w:rPr>
              <w:br w:type="textWrapping" w:clear="all"/>
            </w:r>
            <w:r>
              <w:rPr>
                <w:rFonts w:hint="eastAsia" w:ascii="Times New Roman" w:hAnsi="Times New Roman" w:eastAsia="宋体" w:cs="Times New Roman"/>
                <w:color w:val="000000"/>
                <w:sz w:val="18"/>
                <w:szCs w:val="18"/>
                <w:highlight w:val="none"/>
                <w:lang w:val="en-US" w:eastAsia="zh-CN"/>
              </w:rPr>
              <w:t xml:space="preserve">12、包含高清一体化嵌入式摄像机、高清镜头、电源适配器、万向支架等。</w:t>
            </w:r>
            <w:r>
              <w:rPr>
                <w:sz w:val="18"/>
                <w:szCs w:val="18"/>
              </w:rPr>
            </w:r>
            <w:r/>
          </w:p>
          <w:p>
            <w:pPr>
              <w:pStyle w:val="889"/>
              <w:numPr>
                <w:ilvl w:val="0"/>
                <w:numId w:val="0"/>
              </w:numPr>
              <w:jc w:val="left"/>
              <w:keepLines w:val="0"/>
              <w:keepNext w:val="0"/>
              <w:widowControl/>
              <w:rPr>
                <w:rFonts w:hint="eastAsia"/>
                <w:color w:val="000000"/>
                <w:sz w:val="18"/>
                <w:szCs w:val="18"/>
                <w:highlight w:val="none"/>
              </w:rPr>
              <w:suppressLineNumbers w:val="0"/>
            </w:pPr>
            <w:r>
              <w:rPr>
                <w:rFonts w:hint="eastAsia" w:ascii="Times New Roman" w:hAnsi="Times New Roman" w:eastAsia="宋体" w:cs="Times New Roman"/>
                <w:color w:val="000000"/>
                <w:sz w:val="18"/>
                <w:szCs w:val="18"/>
                <w:highlight w:val="none"/>
                <w:lang w:val="en-US" w:eastAsia="zh-CN"/>
              </w:rPr>
              <w:t xml:space="preserve">13、</w:t>
            </w:r>
            <w:r>
              <w:rPr>
                <w:rFonts w:hint="eastAsia" w:ascii="Times New Roman" w:hAnsi="Times New Roman" w:eastAsia="宋体" w:cs="Times New Roman"/>
                <w:b/>
                <w:bCs/>
                <w:color w:val="000000"/>
                <w:sz w:val="18"/>
                <w:szCs w:val="18"/>
                <w:highlight w:val="none"/>
                <w:lang w:val="en-US" w:eastAsia="zh-CN"/>
              </w:rPr>
              <w:t xml:space="preserve">按照南京市公安局七行标注标准进行视频标注，可接入公安现有的视频综合平台</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sz w:val="18"/>
                <w:szCs w:val="18"/>
              </w:rPr>
            </w:r>
            <w:r/>
          </w:p>
        </w:tc>
      </w:tr>
      <w:tr>
        <w:trPr>
          <w:trHeight w:val="29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监控枪机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numPr>
                <w:ilvl w:val="0"/>
                <w:numId w:val="8"/>
              </w:numPr>
              <w:jc w:val="left"/>
              <w:keepLines w:val="0"/>
              <w:keepNext w:val="0"/>
              <w:widowControl/>
              <w:rPr>
                <w:rFonts w:hint="eastAsia"/>
                <w:color w:val="000000"/>
                <w:sz w:val="18"/>
                <w:szCs w:val="18"/>
                <w:highlight w:val="none"/>
              </w:rPr>
              <w:suppressLineNumbers w:val="0"/>
            </w:pPr>
            <w:r>
              <w:rPr>
                <w:rFonts w:hint="eastAsia"/>
                <w:color w:val="000000"/>
                <w:sz w:val="18"/>
                <w:szCs w:val="18"/>
                <w:highlight w:val="none"/>
                <w:lang w:val="en-US" w:eastAsia="zh-CN"/>
              </w:rPr>
              <w:t xml:space="preserve">传感器：不低于1/1.8"。</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2、最低照度：彩色：0.0005Lux@（F1.2，AGCON）。</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3、黑白：0.0001Lux@（F1.2，AGCON），0LuxwithIR。</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4、调节角度：水平：0~360°，垂直：0~90°，旋转：0~360°。</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5、补光灯类型：红外补光，可切换暖白光。</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6、补光距离：暖白光：最远可达30m。</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7、红外灯：最远可达50m。</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8、防补光过曝：支持防补光过曝开启和关闭，开启下支持自动和手动，手动支持根据距离等级控制补光灯亮度。</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9、补光灯数量：4颗。</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10、最大图像尺寸：2560×1440。</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11、视频压缩标准：H.265/H.264/MJPEG。</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12、防护：IP67。</w:t>
            </w:r>
            <w:r>
              <w:rPr>
                <w:sz w:val="18"/>
                <w:szCs w:val="18"/>
              </w:rPr>
            </w:r>
            <w:r/>
          </w:p>
          <w:p>
            <w:pPr>
              <w:pStyle w:val="968"/>
              <w:ind w:left="0" w:firstLine="0"/>
              <w:rPr>
                <w:color w:val="000000"/>
                <w:sz w:val="18"/>
                <w:szCs w:val="18"/>
                <w:highlight w:val="none"/>
              </w:rPr>
            </w:pPr>
            <w:r>
              <w:rPr>
                <w:rFonts w:hint="eastAsia"/>
                <w:b/>
                <w:bCs/>
                <w:color w:val="000000"/>
                <w:sz w:val="18"/>
                <w:szCs w:val="18"/>
                <w:highlight w:val="none"/>
                <w:lang w:val="en-US" w:eastAsia="zh-CN"/>
              </w:rPr>
              <w:t xml:space="preserve">13、</w:t>
            </w:r>
            <w:r>
              <w:rPr>
                <w:rFonts w:hint="eastAsia" w:ascii="Times New Roman" w:hAnsi="Times New Roman" w:eastAsia="宋体" w:cs="Times New Roman"/>
                <w:b/>
                <w:bCs/>
                <w:color w:val="000000"/>
                <w:sz w:val="18"/>
                <w:szCs w:val="18"/>
                <w:highlight w:val="none"/>
                <w:lang w:val="en-US" w:eastAsia="zh-CN"/>
              </w:rPr>
              <w:t xml:space="preserve">按照南京市公安局七行标注标准进行视频标注，可接入公安现有的视频综合平台</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sz w:val="18"/>
                <w:szCs w:val="18"/>
              </w:rPr>
            </w:r>
            <w:r/>
          </w:p>
        </w:tc>
      </w:tr>
      <w:tr>
        <w:trPr>
          <w:trHeight w:val="20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终端管理服务器（闯红灯自动记录系统）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1、具有不少于16个10M/100M/1000M自适应RJ45接口。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2、可接入H.265、H.264、MPEG4、MJPEG、Smart265、Smart264、SVAC视频编码格式的IPC。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3、具有记录、回放、报警联动、图像检索、权限管理、视频水印、日志功能、支持叠加图像标识信息和时间，支持图像多画面显示。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5、含4T硬盘。</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电源防雷器</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60KA</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信号防雷器</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RJ45防雷</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工业级接入交换机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2个千兆SFP光接口+8个千兆自适应电口，宽频电压，双路电源DC12-52V，宽温工作环境-40℃～75℃；不含SFP光模块</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工业级汇聚换机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8个千兆SFP光口+8个千兆自适应电口，宽频电压双路电源DC12-52V，宽温工作环境-40°C~75℃;工业级电源适配器</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千兆单模光模块</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千兆单模单纤20km传输波长Tx:1550/Rx:1310nm,光接口SC;支持宽温工作环境-40℃至85℃</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集成挂箱（含基础）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不锈钢板喷塑，40*50*25cm，厚1.2mm，配置包括箱体、接地铜排、五眼插座4个、铜排及端子排各1套、16A2匹空开1套、BV2.5箱内连接线20米</w:t>
            </w:r>
            <w:r>
              <w:rPr>
                <w:rFonts w:hint="eastAsia" w:ascii="宋体" w:hAnsi="宋体" w:eastAsia="宋体" w:cs="宋体"/>
                <w:i w:val="0"/>
                <w:iCs w:val="0"/>
                <w:color w:val="000000"/>
                <w:sz w:val="18"/>
                <w:szCs w:val="18"/>
                <w:highlight w:val="none"/>
                <w:u w:val="none"/>
              </w:rPr>
            </w:r>
            <w:r/>
          </w:p>
        </w:tc>
      </w:tr>
      <w:tr>
        <w:trPr>
          <w:trHeight w:val="29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落地机箱（含基础）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1、安装于不影响美观、通行的地点进行安装，安装地基高出地面10公分，要求方便维护、无安全隐患、无树木等遮挡。（喷涂公安专用及有电危险标志）。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2、机柜尺寸:W600*H1480*D420。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3、1.2mm不锈钢板材质，静电喷塑。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机箱内分四层，从底座起算，第一层是防水层，最下层不放置任何设备，用于防水，原则预留10cm；第二层是光纤层，放置机架式的光纤架，不能用光纤盒；第三层是网络设备层，放置网络设备及弱电设备；最上层是强电层，放置强电设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5、强电设备含配电单元：总路32A/2P空开1个、分路16A/1P+N漏电开关4个、五孔插座模块3个、40KA/2P浪涌1只、门控开关及内置LED照明单元。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6、若路口有信号机箱，与信号机箱外观一致。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7、包含基础开挖及回填</w:t>
            </w:r>
            <w:r>
              <w:rPr>
                <w:rFonts w:hint="eastAsia" w:ascii="宋体" w:hAnsi="宋体" w:eastAsia="宋体" w:cs="宋体"/>
                <w:i w:val="0"/>
                <w:iCs w:val="0"/>
                <w:color w:val="000000"/>
                <w:sz w:val="18"/>
                <w:szCs w:val="18"/>
                <w:highlight w:val="none"/>
                <w:u w:val="none"/>
              </w:rPr>
            </w:r>
            <w:r/>
          </w:p>
        </w:tc>
      </w:tr>
      <w:tr>
        <w:trPr>
          <w:trHeight w:val="9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9米监控L杆件（含基础）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八角直径240-300-6mm厚-7米高；横杆：八角直径100-220-4mm厚-9米长,基础法兰直径500-16mm厚，固定法兰直径500-4mm厚，预埋件螺栓对角中心距400mm-8支M24圆钢长1.285米。地笼一道十字撑加一道箍筋。基础规格：1.2m*1.2m*1.6m</w:t>
            </w:r>
            <w:r>
              <w:rPr>
                <w:rFonts w:hint="eastAsia" w:ascii="宋体" w:hAnsi="宋体" w:eastAsia="宋体" w:cs="宋体"/>
                <w:i w:val="0"/>
                <w:iCs w:val="0"/>
                <w:color w:val="000000"/>
                <w:sz w:val="18"/>
                <w:szCs w:val="18"/>
                <w:highlight w:val="none"/>
                <w:u w:val="none"/>
              </w:rPr>
            </w:r>
            <w:r/>
          </w:p>
        </w:tc>
      </w:tr>
      <w:tr>
        <w:trPr>
          <w:trHeight w:val="9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12米监控L杆件（含基础）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八角直径270-330-6mm厚-7米高；横杆：八角直径100-240-5mm厚-12米长,基础法兰直径550-18mm厚，固定法兰直径550-5mm厚，预埋件螺栓对角中心距450mm-8支M27圆钢长1.5米。地笼一道十字撑加二道箍筋。基础规格：1.4m*1.4m*1.8m</w:t>
            </w:r>
            <w:r>
              <w:rPr>
                <w:rFonts w:hint="eastAsia" w:ascii="宋体" w:hAnsi="宋体" w:eastAsia="宋体" w:cs="宋体"/>
                <w:i w:val="0"/>
                <w:iCs w:val="0"/>
                <w:color w:val="000000"/>
                <w:sz w:val="18"/>
                <w:szCs w:val="18"/>
                <w:highlight w:val="none"/>
                <w:u w:val="none"/>
              </w:rPr>
            </w:r>
            <w:r/>
          </w:p>
        </w:tc>
      </w:tr>
      <w:tr>
        <w:trPr>
          <w:trHeight w:val="9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12米监控T型杆件（含基础）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八角直径270-330-6mm厚-7米高；横杆：八角直径100-240-5mm厚-12米长,八角直径90-140-3mm厚-3米长，基础法兰直径550-18mm厚，固定法兰直径550-5mm厚，预埋件螺栓对角中心距450mm-8支M27圆钢长1.5米。地笼一道十字撑加二道箍筋。基础规格：1.4m*1.4m*1.8m</w:t>
            </w:r>
            <w:r>
              <w:rPr>
                <w:rFonts w:hint="eastAsia" w:ascii="宋体" w:hAnsi="宋体" w:eastAsia="宋体" w:cs="宋体"/>
                <w:i w:val="0"/>
                <w:iCs w:val="0"/>
                <w:color w:val="000000"/>
                <w:sz w:val="18"/>
                <w:szCs w:val="18"/>
                <w:highlight w:val="none"/>
                <w:u w:val="none"/>
              </w:rPr>
            </w:r>
            <w:r/>
          </w:p>
        </w:tc>
      </w:tr>
      <w:tr>
        <w:trPr>
          <w:trHeight w:val="20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总电源线（落地机箱至取电点）</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numPr>
                <w:ilvl w:val="0"/>
                <w:numId w:val="9"/>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产品名称:铜芯聚氯乙烯绝缘聚氯乙烯护套软电线电缆（RVV3*6mm²）。</w:t>
            </w:r>
            <w:r>
              <w:rPr>
                <w:rFonts w:hint="eastAsia" w:ascii="宋体" w:hAnsi="宋体" w:eastAsia="宋体" w:cs="宋体"/>
                <w:i w:val="0"/>
                <w:iCs w:val="0"/>
                <w:color w:val="000000"/>
                <w:sz w:val="18"/>
                <w:szCs w:val="18"/>
                <w:highlight w:val="none"/>
                <w:u w:val="none"/>
                <w:lang w:val="en-US" w:eastAsia="zh-CN" w:bidi="ar"/>
              </w:rPr>
            </w:r>
            <w:r/>
          </w:p>
          <w:p>
            <w:pPr>
              <w:pStyle w:val="889"/>
              <w:numPr>
                <w:ilvl w:val="0"/>
                <w:numId w:val="9"/>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2、额定电压：300V/500V。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3、导体：多股铜导体，符合GB/T3956第5类（等同于IEC60228.5）。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4、绝缘：聚氯乙烯混合料（PVC）；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5、护套：防水柔性聚氯乙烯混合料（PVC）。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6、测试电压：2000V，5min。绝缘电阻：&gt;200M欧姆×KM。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7、使用温度：-30~+70℃。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8、符合GB/T5023.5-2008;JB/T8734.3-2016；通过国家CCC强制认证，包含材料穿管敷设、线缆接驳、标识标牌、通段测试等</w:t>
            </w:r>
            <w:r>
              <w:rPr>
                <w:rFonts w:hint="eastAsia" w:ascii="宋体" w:hAnsi="宋体" w:eastAsia="宋体" w:cs="宋体"/>
                <w:i w:val="0"/>
                <w:iCs w:val="0"/>
                <w:color w:val="000000"/>
                <w:sz w:val="18"/>
                <w:szCs w:val="18"/>
                <w:highlight w:val="none"/>
                <w:u w:val="none"/>
              </w:rPr>
            </w:r>
            <w:r/>
          </w:p>
        </w:tc>
      </w:tr>
      <w:tr>
        <w:trPr>
          <w:trHeight w:val="29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方向电源线（落地机箱至集成挂箱）</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1、产品名称:铜芯聚氯乙烯绝缘聚氯乙烯护套软电线电缆，RVV3*2.5mm²。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2、额定电压：300V/500V。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3、导体：多股铜导体，符合GB/T3956第5类（等同于IEC60228.5）。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4、绝缘：聚氯乙烯混合料（PVC）；护套：防水柔性聚氯乙烯混合料（PVC）。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5、芯线标识：≤5芯，彩色芯线；黑色芯线白色数字编号，黄绿地线。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6、芯线数：2—5芯，7—36芯。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7、截面积：0.75-2.5mm&amp;sup2；0.5、2.5—35mm&amp;sup2。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8、测试电压：2000V，5min。绝缘电阻：&gt;200M欧姆×KM。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9、使用温度：-30~+70℃。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10、弯曲半径：15×电缆外径。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11、符合GB/T5023.5-2008;JB/T8734.3-2016;通过国家CCC强制认证，包含材料穿管敷设、线缆接驳、标识标牌、通段测试等。</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设备电源线（集成挂箱至设备）</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RVV3*1.0mm²，包含材料穿管敷设、线缆接驳、标识标牌、通段测试等</w:t>
            </w:r>
            <w:r>
              <w:rPr>
                <w:rFonts w:hint="eastAsia" w:ascii="宋体" w:hAnsi="宋体" w:eastAsia="宋体" w:cs="宋体"/>
                <w:i w:val="0"/>
                <w:iCs w:val="0"/>
                <w:color w:val="000000"/>
                <w:sz w:val="18"/>
                <w:szCs w:val="18"/>
                <w:highlight w:val="none"/>
                <w:u w:val="none"/>
              </w:rPr>
            </w:r>
            <w:r/>
          </w:p>
        </w:tc>
      </w:tr>
      <w:tr>
        <w:trPr>
          <w:trHeight w:val="15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控制线（抓拍机至补光设备）</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1、2芯RVVSP电源线（1mm²）。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2、无氧铜线芯。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3、环保绝缘、护被。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4、线芯绝缘颜色鲜艳。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5、符合RoHS2.0环保认证。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6、符合GB/T5023.5-2008;JB/T8734.3-2016;通过国家CCC强制认证RVVSP2*1.0，包含材料穿管敷设、线缆接驳、标识标牌、通段测试等</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室外超五类网线</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室外超五类网线，包含材料穿管敷设、线缆接驳、标识标牌、FLUKE测试等</w:t>
            </w:r>
            <w:r>
              <w:rPr>
                <w:rFonts w:hint="eastAsia" w:ascii="宋体" w:hAnsi="宋体" w:eastAsia="宋体" w:cs="宋体"/>
                <w:i w:val="0"/>
                <w:iCs w:val="0"/>
                <w:color w:val="000000"/>
                <w:sz w:val="18"/>
                <w:szCs w:val="18"/>
                <w:highlight w:val="none"/>
                <w:u w:val="none"/>
              </w:rPr>
            </w:r>
            <w:r/>
          </w:p>
        </w:tc>
      </w:tr>
      <w:tr>
        <w:trPr>
          <w:trHeight w:val="29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四芯光缆</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1、产品类型：中心束管式铠装。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2、纤芯类型：单模OS2标准B1.3（9/125μm），芯数：4芯。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3、金属加强构件、中心束管结构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4、两根平行圆钢丝加强光缆抗拉强度，使其具有更加优越的机械性能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4、PE外护套具有良好的抗紫外辐射及防水性能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5、松套管内填充特种油膏，对光纤进行关键性保护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6、磷化钢丝中心加强构件模量高、耐腐蚀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7、8.0mm光缆外径小、重量轻、结构紧凑严密，弯曲性能优异，适宜施工操作保证光缆在恶劣的环境下光纤不受到压力。</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8、产品使用寿命30年以上。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9、敷设方式：架空、管道。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10、工作温度：-40°至70°。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11、弯曲半径：静态10倍缆径/动态20倍缆径。</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光纤跳线及尾纤</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2米单模</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光纤熔接</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热熔，SC</w:t>
            </w:r>
            <w:r>
              <w:rPr>
                <w:rFonts w:hint="eastAsia" w:ascii="宋体" w:hAnsi="宋体" w:eastAsia="宋体" w:cs="宋体"/>
                <w:i w:val="0"/>
                <w:iCs w:val="0"/>
                <w:color w:val="000000"/>
                <w:sz w:val="18"/>
                <w:szCs w:val="18"/>
                <w:highlight w:val="none"/>
                <w:u w:val="none"/>
              </w:rPr>
            </w:r>
            <w:r/>
          </w:p>
        </w:tc>
      </w:tr>
      <w:tr>
        <w:trPr>
          <w:trHeight w:val="6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挖道板砖开挖及恢复（人工开挖）</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包含2根Φ50PE管，开挖深度≥60cm，宽度≥40cm，渣土根据城管要求运输至指定地点（包含渣土处理费），40cm沙土回填，15cm商混回填，使用原道板砖恢复</w:t>
            </w:r>
            <w:r>
              <w:rPr>
                <w:rFonts w:hint="eastAsia" w:ascii="宋体" w:hAnsi="宋体" w:eastAsia="宋体" w:cs="宋体"/>
                <w:i w:val="0"/>
                <w:iCs w:val="0"/>
                <w:color w:val="000000"/>
                <w:sz w:val="18"/>
                <w:szCs w:val="18"/>
                <w:highlight w:val="none"/>
                <w:u w:val="none"/>
              </w:rPr>
            </w:r>
            <w:r/>
          </w:p>
        </w:tc>
      </w:tr>
      <w:tr>
        <w:trPr>
          <w:trHeight w:val="9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违法抓拍标牌（电子警察）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1、标牌尺寸：600*800mm；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2、材质：铝材，厚度2mm；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3、反光膜：3MⅣ类膜。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4、样式：摄像头图案+违法抓拍字样</w:t>
            </w:r>
            <w:r>
              <w:rPr>
                <w:rFonts w:hint="eastAsia" w:ascii="宋体" w:hAnsi="宋体" w:eastAsia="宋体" w:cs="宋体"/>
                <w:i w:val="0"/>
                <w:iCs w:val="0"/>
                <w:color w:val="000000"/>
                <w:sz w:val="18"/>
                <w:szCs w:val="18"/>
                <w:highlight w:val="none"/>
                <w:u w:val="none"/>
              </w:rPr>
            </w:r>
            <w:r/>
          </w:p>
        </w:tc>
      </w:tr>
      <w:tr>
        <w:trPr>
          <w:trHeight w:val="159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飞线(含钢丝)</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1、材质：SUS304(06Cr19Ni10)。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2、公称直径：8.0mm，公差+5%。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3、结构：7x19(7股，每股19根细钢丝)。</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4、抗拉强度级别：1570-1960MPa。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5、最小破断拉力：≈33kN(约3360kg)。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6、外观：表面光亮，无裂纹、毛刺、断丝缺陷，绳股绞合紧密平整。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7、执行标准：GB/T 9944</w:t>
            </w:r>
            <w:r>
              <w:rPr>
                <w:rStyle w:val="1024"/>
                <w:color w:val="000000"/>
                <w:highlight w:val="none"/>
                <w:lang w:val="en-US" w:eastAsia="zh-CN" w:bidi="ar"/>
              </w:rPr>
              <w:t xml:space="preserve">2015《不锈钢丝绳》。</w:t>
            </w:r>
            <w:r>
              <w:rPr>
                <w:rFonts w:hint="eastAsia" w:ascii="宋体" w:hAnsi="宋体" w:eastAsia="宋体" w:cs="宋体"/>
                <w:i w:val="0"/>
                <w:iCs w:val="0"/>
                <w:color w:val="000000"/>
                <w:sz w:val="18"/>
                <w:szCs w:val="18"/>
                <w:highlight w:val="none"/>
                <w:u w:val="none"/>
              </w:rPr>
            </w:r>
            <w:r/>
          </w:p>
        </w:tc>
      </w:tr>
      <w:tr>
        <w:trPr>
          <w:trHeight w:val="322"/>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RFID非机动车闯红灯抓拍</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numPr>
                <w:ilvl w:val="0"/>
                <w:numId w:val="10"/>
              </w:numPr>
              <w:jc w:val="left"/>
              <w:keepLines w:val="0"/>
              <w:keepNext w:val="0"/>
              <w:widowControl/>
              <w:rPr>
                <w:rFonts w:hint="eastAsia"/>
                <w:color w:val="000000"/>
                <w:sz w:val="18"/>
                <w:szCs w:val="18"/>
                <w:highlight w:val="none"/>
              </w:rPr>
              <w:suppressLineNumbers w:val="0"/>
            </w:pPr>
            <w:r>
              <w:rPr>
                <w:rFonts w:hint="eastAsia"/>
                <w:color w:val="000000"/>
                <w:sz w:val="18"/>
                <w:szCs w:val="18"/>
                <w:highlight w:val="none"/>
                <w:lang w:val="en-US" w:eastAsia="zh-CN"/>
              </w:rPr>
              <w:t xml:space="preserve">RFID读写单元和相机单元深度一体化集成设计。</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2、读写器工作频率不小于920MHz～925MHz。</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3、不少于6路N型天线接口，支持电动自行车数字化号牌读取。</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4、内置安全模块，符合公安部电子标识相关标准。</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5、采用不小于1.1英寸GS-CMOS传感器。</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6、不小于16mm变焦镜头，最大可输出不小于1200万(4112×3072)@25fps（可配置）。</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7、支持非机动车和行人目标检测并提取结构化信息、支持人脸检测并抠出人脸小图。</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8、支持1~3车道多种非机动车违法抓拍及图片合成、OSD信息叠加。</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9、支持自动画线功能，可自动识别并画出车道线、抓拍检测线，大幅提高施工调试效率。</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10、支持H.264/H.265双编码，编码效率更高，码率更低，图像质量优。</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11、支持网络接口、USB接口、RS-485接口、RS-232接口、I/O接口、报警输入输出、外置灯接口。</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12、在被识别的车辆速度小于或等于150km/h情况下，识别设备应能准确识读机动车的车辆身份标识符;在被识别的车辆速度小于或等于50km/h情况下，识别设备应能准确识读电动自行车的车辆身份标识符和号牌号码。</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13、识别设备应能准确识读同一时段内通过其射频天线单元辐射范围内的至少5辆机动车的车辆身份标识符;识别设备应能准确识读同一时段内通过其射频天线单元辐射范围内的至少10辆电动自行车的车辆身份标识符。</w:t>
            </w:r>
            <w:r>
              <w:rPr>
                <w:sz w:val="18"/>
                <w:szCs w:val="18"/>
              </w:rPr>
            </w:r>
            <w:r/>
          </w:p>
          <w:p>
            <w:pPr>
              <w:pStyle w:val="968"/>
              <w:numPr>
                <w:ilvl w:val="0"/>
                <w:numId w:val="0"/>
              </w:numPr>
              <w:rPr>
                <w:rFonts w:eastAsia="宋体"/>
                <w:color w:val="000000"/>
                <w:sz w:val="18"/>
                <w:szCs w:val="18"/>
                <w:highlight w:val="none"/>
              </w:rPr>
            </w:pPr>
            <w:r>
              <w:rPr>
                <w:rFonts w:hint="eastAsia" w:eastAsia="宋体"/>
                <w:color w:val="000000"/>
                <w:sz w:val="18"/>
                <w:szCs w:val="18"/>
                <w:highlight w:val="none"/>
                <w:lang w:val="en-US" w:eastAsia="zh-CN"/>
              </w:rPr>
              <w:t xml:space="preserve">14、</w:t>
            </w:r>
            <w:r>
              <w:rPr>
                <w:rFonts w:hint="eastAsia" w:ascii="Times New Roman" w:hAnsi="Times New Roman" w:eastAsia="宋体" w:cs="Times New Roman"/>
                <w:b/>
                <w:bCs/>
                <w:color w:val="000000"/>
                <w:sz w:val="18"/>
                <w:szCs w:val="18"/>
                <w:highlight w:val="none"/>
                <w:lang w:val="en-US" w:eastAsia="zh-CN"/>
              </w:rPr>
              <w:t xml:space="preserve">按照南京市公安局七行标注标准进行视频标注，可接入公安现有的视频综合平台</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sz w:val="18"/>
                <w:szCs w:val="18"/>
              </w:rPr>
            </w:r>
            <w:r/>
          </w:p>
        </w:tc>
      </w:tr>
      <w:tr>
        <w:trPr>
          <w:trHeight w:val="15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LED补光灯（非机动车违法抓拍系统）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1、光源类型：不小于16颗优质大功率LED灯珠。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2、发光角度：10°。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3、覆盖范围：单车道环境补光灯。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4、最佳补光范围：16米～25米。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5、符合要求具备符合GA/T1202-2022《交通技术监控成像补光装置通用技术条件》的检测报告（1级光照度）.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6、与非机动车闯红灯抓拍机相同品牌。</w:t>
            </w:r>
            <w:r>
              <w:rPr>
                <w:rFonts w:hint="eastAsia" w:ascii="宋体" w:hAnsi="宋体" w:eastAsia="宋体" w:cs="宋体"/>
                <w:i w:val="0"/>
                <w:iCs w:val="0"/>
                <w:color w:val="000000"/>
                <w:sz w:val="18"/>
                <w:szCs w:val="18"/>
                <w:highlight w:val="none"/>
                <w:u w:val="none"/>
              </w:rPr>
            </w:r>
            <w:r/>
          </w:p>
        </w:tc>
      </w:tr>
      <w:tr>
        <w:trPr>
          <w:trHeight w:val="204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RFID读卡器</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24"/>
                <w:color w:val="000000"/>
                <w:highlight w:val="none"/>
                <w:lang w:val="en-US" w:eastAsia="zh-CN" w:bidi="ar"/>
              </w:rPr>
              <w:t xml:space="preserve">1、输入阻抗：50</w:t>
            </w:r>
            <w:r>
              <w:rPr>
                <w:rFonts w:ascii="Calibri" w:hAnsi="Calibri" w:eastAsia="宋体" w:cs="Calibri"/>
                <w:i w:val="0"/>
                <w:iCs w:val="0"/>
                <w:color w:val="000000"/>
                <w:sz w:val="18"/>
                <w:szCs w:val="18"/>
                <w:highlight w:val="none"/>
                <w:u w:val="none"/>
                <w:lang w:val="en-US" w:eastAsia="zh-CN" w:bidi="ar"/>
              </w:rPr>
              <w:t xml:space="preserve">Ω</w:t>
            </w:r>
            <w:r>
              <w:rPr>
                <w:rStyle w:val="1024"/>
                <w:color w:val="000000"/>
                <w:highlight w:val="none"/>
                <w:lang w:val="en-US" w:eastAsia="zh-CN" w:bidi="ar"/>
              </w:rPr>
              <w:t xml:space="preserve">。</w:t>
            </w:r>
            <w:r>
              <w:rPr>
                <w:rStyle w:val="1024"/>
                <w:color w:val="000000"/>
                <w:highlight w:val="none"/>
                <w:lang w:val="en-US" w:eastAsia="zh-CN" w:bidi="ar"/>
              </w:rPr>
              <w:br w:type="textWrapping" w:clear="all"/>
            </w:r>
            <w:r>
              <w:rPr>
                <w:rStyle w:val="1024"/>
                <w:color w:val="000000"/>
                <w:highlight w:val="none"/>
                <w:lang w:val="en-US" w:eastAsia="zh-CN" w:bidi="ar"/>
              </w:rPr>
              <w:t xml:space="preserve">2、电压驻波比：≤1.5。</w:t>
            </w:r>
            <w:r>
              <w:rPr>
                <w:rStyle w:val="1024"/>
                <w:color w:val="000000"/>
                <w:highlight w:val="none"/>
                <w:lang w:val="en-US" w:eastAsia="zh-CN" w:bidi="ar"/>
              </w:rPr>
              <w:br w:type="textWrapping" w:clear="all"/>
            </w:r>
            <w:r>
              <w:rPr>
                <w:rStyle w:val="1024"/>
                <w:color w:val="000000"/>
                <w:highlight w:val="none"/>
                <w:lang w:val="en-US" w:eastAsia="zh-CN" w:bidi="ar"/>
              </w:rPr>
              <w:t xml:space="preserve">3、频率范围：920MHz～925MHz。</w:t>
            </w:r>
            <w:r>
              <w:rPr>
                <w:rStyle w:val="1024"/>
                <w:color w:val="000000"/>
                <w:highlight w:val="none"/>
                <w:lang w:val="en-US" w:eastAsia="zh-CN" w:bidi="ar"/>
              </w:rPr>
              <w:br w:type="textWrapping" w:clear="all"/>
            </w:r>
            <w:r>
              <w:rPr>
                <w:rStyle w:val="1024"/>
                <w:color w:val="000000"/>
                <w:highlight w:val="none"/>
                <w:lang w:val="en-US" w:eastAsia="zh-CN" w:bidi="ar"/>
              </w:rPr>
              <w:t xml:space="preserve">4、工作温度：–40℃～+70℃。</w:t>
            </w:r>
            <w:r>
              <w:rPr>
                <w:rStyle w:val="1024"/>
                <w:color w:val="000000"/>
                <w:highlight w:val="none"/>
                <w:lang w:val="en-US" w:eastAsia="zh-CN" w:bidi="ar"/>
              </w:rPr>
              <w:br w:type="textWrapping" w:clear="all"/>
            </w:r>
            <w:r>
              <w:rPr>
                <w:rStyle w:val="1024"/>
                <w:color w:val="000000"/>
                <w:highlight w:val="none"/>
                <w:lang w:val="en-US" w:eastAsia="zh-CN" w:bidi="ar"/>
              </w:rPr>
              <w:t xml:space="preserve">5、增益：≥8dBi。</w:t>
            </w:r>
            <w:r>
              <w:rPr>
                <w:rStyle w:val="1024"/>
                <w:color w:val="000000"/>
                <w:highlight w:val="none"/>
                <w:lang w:val="en-US" w:eastAsia="zh-CN" w:bidi="ar"/>
              </w:rPr>
              <w:br w:type="textWrapping" w:clear="all"/>
            </w:r>
            <w:r>
              <w:rPr>
                <w:rStyle w:val="1024"/>
                <w:color w:val="000000"/>
                <w:highlight w:val="none"/>
                <w:lang w:val="en-US" w:eastAsia="zh-CN" w:bidi="ar"/>
              </w:rPr>
              <w:t xml:space="preserve">6、效率：≥65%。</w:t>
            </w:r>
            <w:r>
              <w:rPr>
                <w:rStyle w:val="1024"/>
                <w:color w:val="000000"/>
                <w:highlight w:val="none"/>
                <w:lang w:val="en-US" w:eastAsia="zh-CN" w:bidi="ar"/>
              </w:rPr>
              <w:br w:type="textWrapping" w:clear="all"/>
            </w:r>
            <w:r>
              <w:rPr>
                <w:rStyle w:val="1024"/>
                <w:color w:val="000000"/>
                <w:highlight w:val="none"/>
                <w:lang w:val="en-US" w:eastAsia="zh-CN" w:bidi="ar"/>
              </w:rPr>
              <w:t xml:space="preserve">7、防护等级：IP65。</w:t>
            </w:r>
            <w:r>
              <w:rPr>
                <w:rStyle w:val="1024"/>
                <w:color w:val="000000"/>
                <w:highlight w:val="none"/>
                <w:lang w:val="en-US" w:eastAsia="zh-CN" w:bidi="ar"/>
              </w:rPr>
              <w:br w:type="textWrapping" w:clear="all"/>
            </w:r>
            <w:r>
              <w:rPr>
                <w:rStyle w:val="1024"/>
                <w:color w:val="000000"/>
                <w:highlight w:val="none"/>
                <w:lang w:val="en-US" w:eastAsia="zh-CN" w:bidi="ar"/>
              </w:rPr>
              <w:t xml:space="preserve">8、</w:t>
            </w:r>
            <w:r>
              <w:rPr>
                <w:rStyle w:val="1024"/>
                <w:rFonts w:hint="eastAsia"/>
                <w:color w:val="000000"/>
                <w:highlight w:val="none"/>
                <w:lang w:val="en-US" w:eastAsia="zh-CN" w:bidi="ar"/>
              </w:rPr>
              <w:t xml:space="preserve">炼金馈线：≥2m。</w:t>
            </w:r>
            <w:r>
              <w:rPr>
                <w:rStyle w:val="1024"/>
                <w:color w:val="000000"/>
                <w:highlight w:val="none"/>
                <w:lang w:val="en-US" w:eastAsia="zh-CN" w:bidi="ar"/>
              </w:rPr>
              <w:br w:type="textWrapping" w:clear="all"/>
            </w:r>
            <w:r>
              <w:rPr>
                <w:rStyle w:val="1024"/>
                <w:color w:val="000000"/>
                <w:highlight w:val="none"/>
                <w:lang w:val="en-US" w:eastAsia="zh-CN" w:bidi="ar"/>
              </w:rPr>
              <w:t xml:space="preserve">9、与RFID非机动车闯红灯抓拍同一品牌</w:t>
            </w:r>
            <w:r>
              <w:rPr>
                <w:rFonts w:hint="eastAsia" w:ascii="宋体" w:hAnsi="宋体" w:eastAsia="宋体" w:cs="宋体"/>
                <w:i w:val="0"/>
                <w:iCs w:val="0"/>
                <w:color w:val="000000"/>
                <w:sz w:val="18"/>
                <w:szCs w:val="18"/>
                <w:highlight w:val="none"/>
                <w:u w:val="none"/>
              </w:rPr>
            </w:r>
            <w:r/>
          </w:p>
        </w:tc>
      </w:tr>
      <w:tr>
        <w:trPr>
          <w:trHeight w:val="3572"/>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非机动车交通安全防治一体机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内置信息显示单元、语音警示单元、图像取证</w:t>
            </w:r>
            <w:r>
              <w:rPr>
                <w:rFonts w:hint="eastAsia" w:ascii="宋体" w:hAnsi="宋体" w:eastAsia="宋体" w:cs="宋体"/>
                <w:i w:val="0"/>
                <w:iCs w:val="0"/>
                <w:color w:val="000000"/>
                <w:sz w:val="18"/>
                <w:szCs w:val="18"/>
                <w:highlight w:val="none"/>
                <w:u w:val="none"/>
                <w:lang w:val="en-US" w:eastAsia="zh-CN" w:bidi="ar"/>
              </w:rPr>
              <w:t xml:space="preserve">单元、视频分析单元、控制存储单元和联网通信单元，支持边缘计算。配装非机动车缉查布控软件，支持现场拦截。设备基于深度学习，将机器视觉技术、图像处理等技术与智能交通相结合，支持复杂场景下的目标分类与行为识别。可接入现场视频、图片等资源，针对电动自动车戴头盔、口罩、车牌遮挡等情况，通过对人员车辆特征进行辅助识别，实现对电动车的自动检测与识别，通过现场数据模型可训练识别电动车的特征，并在各种环境中准确识别电动车。将训练好的模型集成到系统中，可以实现图片、视频、摄像头等方式的电动车检测识别，并支持结果的可视化和导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1、可对交通参与元素进行结构化分类，自动检测图片中各种交通元素的行为、感知车辆特征、人、车区分等功能。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2、支持边缘计算，支持远程升级程序，可用于更新模型和算法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3、违法行为识别取证：支持不戴头盔、二轮车超员、三轮车违法载人、逆行等。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4、支持人脸识别，实时调取当事人历史违法信息，并图文语音播报对应宣教信息。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5、安全劝导信息图文信息和语音信息同步向当事人播报。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6、可编制劝导等级预案，优先播报劝阻当前违法行为和高风险违法行为。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7、重点人员、时间周期内（可设定）同类违法次数大于10次（可设定）的高风险人员，支持违法现场拦截处置。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8、安装高度位置应适用于非机动车道行驶人员读取、听取图文语音信息，但不得造成交通安全隐患。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9、支持RTSP、ONVIF、GB/T28181-2016协议接入前端网络摄像机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10、支持基于深度学习的视频二级结构化（含属性识别）。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11、支持抓拍的结构化图片去重、择优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12、配装非机动车缉查布控软件，支持现场拦截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13、屏体面积：LED显示屏尺寸为640×960mm，,分辨率为160×240点阵。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14、显示密度：62500/M2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15、显示亮度：5000cd/M2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16、刷新频率240-1000HZ/S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17、点间距离 4mm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18、发光点颜色 1R1G1B</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19、亮度传感器:内置，支持自动和定时的智能亮度调节。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20、8核处理器，主频2.4GHz。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21、支持1080P（60帧）的视频硬解码。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22、8GB运行内存。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23、64GB内部存储空间。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24、集群远程节目发布和显示屏控制。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25、语音额定功率：不小于15W/8Ω；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26、音频格式：MP3；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27、支持根据环境照度调整语音关闭或打开状态。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28、可网络远程预设、更新图文信息和语音内容。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29、图像分辨率：不低于3840×2160。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30、支持NTP校时。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31、支持背光补偿，强光抑制，3D数字降噪。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32、配装软件。承诺在质保期内免费升级。</w:t>
            </w:r>
            <w:r>
              <w:rPr>
                <w:rFonts w:hint="eastAsia" w:ascii="宋体" w:hAnsi="宋体" w:eastAsia="宋体" w:cs="宋体"/>
                <w:i w:val="0"/>
                <w:iCs w:val="0"/>
                <w:color w:val="000000"/>
                <w:sz w:val="18"/>
                <w:szCs w:val="18"/>
                <w:highlight w:val="none"/>
                <w:u w:val="none"/>
              </w:rPr>
            </w:r>
            <w:r/>
          </w:p>
        </w:tc>
      </w:tr>
      <w:tr>
        <w:trPr>
          <w:trHeight w:val="38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终端管理服务器（非机动车违法抓拍系统）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1、具有不少于18个10M/100M/1000M自适应RJ45接口。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2、支持4个硬盘接口，内置8T硬盘。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3、支持远程访问IP地址黑/白名单设置功能。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4、可接入H.265、H.264、MPEG4、MJPEG、Smart265、Smart264、SVAC视频编码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格式的IPC。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5、具有记录、回放、报警联动、图像检索、权限管理、视频水印、日志功能，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支持叠加图像标识信息和时间，支持图像多画面显示。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6、支持将1张、2张、3张、4张、5张、6张图片合成，支持选择图片形状，修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7、支持将同一辆经过多个相机的抓拍图片按照时间范围进行匹配合成。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8、支持配置路段名称、路段编号、路段距离，能够对驶入驶出该路段的车辆抓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拍数据匹配并计算车辆的区间速度值；支持设置过滤阈值，对异常测速结果进行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过滤；支持超速检测和欠速检测，可分别设定高限速和低限速值。</w:t>
            </w:r>
            <w:r>
              <w:rPr>
                <w:rFonts w:hint="eastAsia" w:ascii="宋体" w:hAnsi="宋体" w:eastAsia="宋体" w:cs="宋体"/>
                <w:i w:val="0"/>
                <w:iCs w:val="0"/>
                <w:color w:val="000000"/>
                <w:sz w:val="18"/>
                <w:szCs w:val="18"/>
                <w:highlight w:val="none"/>
                <w:u w:val="none"/>
              </w:rPr>
            </w:r>
            <w:r/>
          </w:p>
        </w:tc>
      </w:tr>
      <w:tr>
        <w:trPr>
          <w:trHeight w:val="6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接入交换机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2个千兆SFP光接口+4个千兆自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适应电口，宽频电压双路电源DC12-52V，宽温工作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环境-40°C~75°C;导轨式安装结构，不合SFP光模</w:t>
            </w:r>
            <w:r>
              <w:rPr>
                <w:rFonts w:hint="eastAsia" w:ascii="宋体" w:hAnsi="宋体" w:eastAsia="宋体" w:cs="宋体"/>
                <w:i w:val="0"/>
                <w:iCs w:val="0"/>
                <w:color w:val="000000"/>
                <w:sz w:val="18"/>
                <w:szCs w:val="18"/>
                <w:highlight w:val="none"/>
                <w:u w:val="none"/>
              </w:rPr>
            </w:r>
            <w:r/>
          </w:p>
        </w:tc>
      </w:tr>
      <w:tr>
        <w:trPr>
          <w:trHeight w:val="36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红绿灯信号检测器</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1、支持接入不少于20路红/绿灯信号，进行输入通断检测，并通过100M网口将信号状态实时传输给网络摄像机。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2、支持通过配置工具设置不少于20路相机参数和检测参数，每个检测通道支持关联不少于5个相机IP。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4、支持通过配置工具设置交换机网关，并开启ping功能，用来监测网络状态。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5、支持记录不少于1700条日志，并通过配置工具查询设备的操作日志、校时日志、ping成功/失败日志、红/绿灯输入信号异常及异常恢复等日志，用于查询设备的操作记录及异常情况。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6、支持通过配置工具设置NTP校时/同步PC时间。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7、支持通过工具对设备进行网络升级。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8、RS-485接口：1个（调试串口）。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9、网络接口：1个RJ-45以太网口，支持100M网络数据传输。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10、硬件复位：支持。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11、供电方式：DC12V，标配适配器。</w:t>
            </w:r>
            <w:r>
              <w:rPr>
                <w:rFonts w:hint="eastAsia" w:ascii="宋体" w:hAnsi="宋体" w:eastAsia="宋体" w:cs="宋体"/>
                <w:i w:val="0"/>
                <w:iCs w:val="0"/>
                <w:color w:val="000000"/>
                <w:sz w:val="18"/>
                <w:szCs w:val="18"/>
                <w:highlight w:val="none"/>
                <w:u w:val="none"/>
              </w:rPr>
            </w:r>
            <w:r/>
          </w:p>
        </w:tc>
      </w:tr>
      <w:tr>
        <w:trPr>
          <w:trHeight w:val="9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4米监控L杆件（含基础）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八角直径150-190-4mm厚-7米高；横杆：八角直径90-140-3mm厚-4米长,基础法兰直径400-14mm厚，固定法兰直径400-4mm厚，预埋件螺栓对角中心距300mm-6支M20圆钢长1.125米。地笼一道十字撑加一道箍筋。包含基础开挖及回填，基础规格：0.8m*0.8m*1m</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3m横臂</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3米DN76mmt=2.5mm</w:t>
            </w:r>
            <w:r>
              <w:rPr>
                <w:rFonts w:hint="eastAsia" w:ascii="宋体" w:hAnsi="宋体" w:eastAsia="宋体" w:cs="宋体"/>
                <w:i w:val="0"/>
                <w:iCs w:val="0"/>
                <w:color w:val="000000"/>
                <w:sz w:val="18"/>
                <w:szCs w:val="18"/>
                <w:highlight w:val="none"/>
                <w:u w:val="none"/>
              </w:rPr>
            </w:r>
            <w:r/>
          </w:p>
        </w:tc>
      </w:tr>
      <w:tr>
        <w:trPr>
          <w:trHeight w:val="27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numPr>
                <w:ilvl w:val="0"/>
                <w:numId w:val="11"/>
              </w:numPr>
              <w:jc w:val="left"/>
              <w:keepLines w:val="0"/>
              <w:keepNext w:val="0"/>
              <w:widowControl/>
              <w:rPr>
                <w:rFonts w:hint="eastAsia"/>
                <w:color w:val="000000"/>
                <w:sz w:val="18"/>
                <w:szCs w:val="18"/>
                <w:highlight w:val="none"/>
              </w:rPr>
              <w:suppressLineNumbers w:val="0"/>
            </w:pPr>
            <w:r>
              <w:rPr>
                <w:rFonts w:hint="eastAsia"/>
                <w:color w:val="000000"/>
                <w:sz w:val="18"/>
                <w:szCs w:val="18"/>
                <w:highlight w:val="none"/>
                <w:lang w:val="en-US" w:eastAsia="zh-CN"/>
              </w:rPr>
              <w:t xml:space="preserve">摄像机靶面尺寸为1/1.8英寸、分辨率与帧率可设置为2688x1520@30fps。</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2、摄像机内置镜头，支持不小于32倍光学变倍，镜头最大焦距不小于192mm。</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3、自带雨刷,可通过网络远程控制雨刷功能检验雨刷开启、关闭。</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4、支持最低照度可达彩色0.0002Lx，黑白0.0001Lx。</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5、水平旋转范围:0°~360°连续旋转，垂直旋转范围:-20°~90°。</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6、可通过IE浏览器将视频编码格式设置为H.265、H.264、MJPEG、smart265。</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7、支持低照度、超宽动态、强光抑制、背光补偿、透雾功能。</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8、支持对距离样机200m处机动车违法停车行为进行抓拍。</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9、可对机动车违停、逆行、压线、连续变道、机占非、掉头、蛇形变道、变道、加塞9种交通违法行为进行检测并抓拍，当触发报警后，可联动报警并上传图片。</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10、交通事件和道路事件可根据布防时间自动切换。</w:t>
            </w:r>
            <w:r>
              <w:rPr>
                <w:sz w:val="18"/>
                <w:szCs w:val="18"/>
              </w:rPr>
            </w:r>
            <w:r/>
          </w:p>
          <w:p>
            <w:pPr>
              <w:pStyle w:val="968"/>
              <w:ind w:left="0" w:firstLine="0"/>
              <w:rPr>
                <w:color w:val="000000"/>
                <w:sz w:val="18"/>
                <w:szCs w:val="18"/>
                <w:highlight w:val="none"/>
              </w:rPr>
            </w:pPr>
            <w:r>
              <w:rPr>
                <w:rFonts w:hint="eastAsia"/>
                <w:color w:val="000000"/>
                <w:sz w:val="18"/>
                <w:szCs w:val="18"/>
                <w:highlight w:val="none"/>
                <w:lang w:val="en-US" w:eastAsia="zh-CN"/>
              </w:rPr>
              <w:t xml:space="preserve">11、</w:t>
            </w:r>
            <w:r>
              <w:rPr>
                <w:rFonts w:hint="eastAsia" w:ascii="Times New Roman" w:hAnsi="Times New Roman" w:eastAsia="宋体" w:cs="Times New Roman"/>
                <w:b/>
                <w:bCs/>
                <w:color w:val="000000"/>
                <w:sz w:val="18"/>
                <w:szCs w:val="18"/>
                <w:highlight w:val="none"/>
                <w:lang w:val="en-US" w:eastAsia="zh-CN"/>
              </w:rPr>
              <w:t xml:space="preserve">按照南京市公安局七行标注标准进行视频标注，可接入公安现有的视频综合平台</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sz w:val="18"/>
                <w:szCs w:val="18"/>
              </w:rPr>
            </w:r>
            <w:r/>
          </w:p>
        </w:tc>
      </w:tr>
      <w:tr>
        <w:trPr>
          <w:trHeight w:val="6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6.5m监控杆(含基础)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八角直径150-190-4mm厚-6.5米高；横杆：八角直径90-140-3mm厚-3米长,基础法兰直径400-14mm厚，固定法兰直径400-4mm厚，预埋件螺栓对角中心距300mm-6支M20圆钢。地笼一道十字撑加一道箍筋。基础规格：0.6m*0.6m*1m</w:t>
            </w:r>
            <w:r>
              <w:rPr>
                <w:rFonts w:hint="eastAsia" w:ascii="宋体" w:hAnsi="宋体" w:eastAsia="宋体" w:cs="宋体"/>
                <w:i w:val="0"/>
                <w:iCs w:val="0"/>
                <w:color w:val="000000"/>
                <w:sz w:val="18"/>
                <w:szCs w:val="18"/>
                <w:highlight w:val="none"/>
                <w:u w:val="none"/>
              </w:rPr>
            </w:r>
            <w:r/>
          </w:p>
        </w:tc>
      </w:tr>
      <w:tr>
        <w:trPr>
          <w:trHeight w:val="45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U型支架</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主臂管径：常规φ42~φ60mm，壁厚≥3mm，强度满足户外长期荷载要求。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法兰盘：标准国际球机安装孔位，支持水平微调，方便校准球机角度。</w:t>
            </w:r>
            <w:r>
              <w:rPr>
                <w:rFonts w:hint="eastAsia" w:ascii="宋体" w:hAnsi="宋体" w:eastAsia="宋体" w:cs="宋体"/>
                <w:i w:val="0"/>
                <w:iCs w:val="0"/>
                <w:color w:val="000000"/>
                <w:sz w:val="18"/>
                <w:szCs w:val="18"/>
                <w:highlight w:val="none"/>
                <w:u w:val="none"/>
              </w:rPr>
            </w:r>
            <w:r/>
          </w:p>
        </w:tc>
      </w:tr>
      <w:tr>
        <w:trPr>
          <w:trHeight w:val="9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违法抓拍标牌（违停）</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1、标牌尺寸：600*800mm；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2、材质：铝材，厚度2mm；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3、反光膜：3MⅣ类膜。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4、样式：摄像头图案+违法抓拍字样</w:t>
            </w:r>
            <w:r>
              <w:rPr>
                <w:rFonts w:hint="eastAsia" w:ascii="宋体" w:hAnsi="宋体" w:eastAsia="宋体" w:cs="宋体"/>
                <w:i w:val="0"/>
                <w:iCs w:val="0"/>
                <w:color w:val="000000"/>
                <w:sz w:val="18"/>
                <w:szCs w:val="18"/>
                <w:highlight w:val="none"/>
                <w:u w:val="none"/>
              </w:rPr>
            </w:r>
            <w:r/>
          </w:p>
        </w:tc>
      </w:tr>
      <w:tr>
        <w:trPr>
          <w:trHeight w:val="382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大货车右转避停抓拍机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numPr>
                <w:ilvl w:val="0"/>
                <w:numId w:val="12"/>
              </w:numPr>
              <w:jc w:val="left"/>
              <w:keepLines w:val="0"/>
              <w:keepNext w:val="0"/>
              <w:widowControl/>
              <w:rPr>
                <w:rFonts w:hint="eastAsia"/>
                <w:color w:val="000000"/>
                <w:sz w:val="18"/>
                <w:szCs w:val="18"/>
                <w:highlight w:val="none"/>
              </w:rPr>
              <w:suppressLineNumbers w:val="0"/>
            </w:pPr>
            <w:r>
              <w:rPr>
                <w:rFonts w:hint="eastAsia"/>
                <w:color w:val="000000"/>
                <w:sz w:val="18"/>
                <w:szCs w:val="18"/>
                <w:highlight w:val="none"/>
                <w:lang w:val="en-US" w:eastAsia="zh-CN"/>
              </w:rPr>
              <w:t xml:space="preserve">传感器：≥1.1英寸GS-CMOS，视频分辨率：≥4096×2160。</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2、支持多样性混合场景应用，集卡口电警机动车业务，全方位适配机动车道路交通场景。</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3、支持通过智能帧输出对象属性，包括车型分类、ID、车牌、车牌颜色置信度、车身颜色、车身颜色置信度等。</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4、支持绘线显示功能，可在相机视频预览界面显示目前画线配置情况并标注每条线的名称。</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5、支持识别车标类型≥450种。</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6、支持对支干车辆合并进主干车道时不礼让主干车道通行车辆的行为进行抓拍。</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7、支持车辆逆行检测抓拍功能，白天捕获率≥99%；晚上捕获率≥99%。</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8、支持通过视频触发进行车辆抓拍，支持车牌识别、车身颜色识别、车型识别，通行车辆信息捕获和违章检测功能。</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9、白天识别准确率≥99%；晚上识别准确率≥99%。</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10、支持GB35114A级安全加密。</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11、包含高清一体化嵌入式摄像机、高清镜头、室外防护罩、相机内置网络信号防雷器、电源适配器、万向支架等。</w:t>
            </w:r>
            <w:r>
              <w:rPr>
                <w:sz w:val="18"/>
                <w:szCs w:val="18"/>
              </w:rPr>
            </w:r>
            <w:r/>
          </w:p>
          <w:p>
            <w:pPr>
              <w:pStyle w:val="968"/>
              <w:numPr>
                <w:ilvl w:val="0"/>
                <w:numId w:val="0"/>
              </w:numPr>
              <w:rPr>
                <w:rFonts w:eastAsia="宋体"/>
                <w:color w:val="000000"/>
                <w:sz w:val="18"/>
                <w:szCs w:val="18"/>
                <w:highlight w:val="none"/>
              </w:rPr>
            </w:pPr>
            <w:r>
              <w:rPr>
                <w:rFonts w:hint="eastAsia" w:eastAsia="宋体"/>
                <w:color w:val="000000"/>
                <w:sz w:val="18"/>
                <w:szCs w:val="18"/>
                <w:highlight w:val="none"/>
                <w:lang w:val="en-US" w:eastAsia="zh-CN"/>
              </w:rPr>
              <w:t xml:space="preserve">12、</w:t>
            </w:r>
            <w:r>
              <w:rPr>
                <w:rFonts w:hint="eastAsia" w:ascii="Times New Roman" w:hAnsi="Times New Roman" w:eastAsia="宋体" w:cs="Times New Roman"/>
                <w:b/>
                <w:bCs/>
                <w:color w:val="000000"/>
                <w:sz w:val="18"/>
                <w:szCs w:val="18"/>
                <w:highlight w:val="none"/>
                <w:lang w:val="en-US" w:eastAsia="zh-CN"/>
              </w:rPr>
              <w:t xml:space="preserve">按照南京市公安局七行标注标准进行视频标注，可接入公安现有的视频综合平台</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sz w:val="18"/>
                <w:szCs w:val="18"/>
              </w:rPr>
            </w:r>
            <w:r/>
          </w:p>
        </w:tc>
      </w:tr>
      <w:tr>
        <w:trPr>
          <w:trHeight w:val="15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LED补光灯（货车右转管控系统）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1、光源类型：不小于16颗优质大功率LED灯珠。</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2、发光角度：10°。</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3、覆盖范围：单车道环境补光灯。</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4、最佳补光范围：16米～25米。</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5、符合要求具备符合GA/T1202-2022《交通技术监控成像补光装置通用技术条件》的检测报告（1级光照度）。</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6、与大货车右转避停抓拍机相同品牌。</w:t>
            </w:r>
            <w:r>
              <w:rPr>
                <w:rFonts w:hint="eastAsia" w:ascii="宋体" w:hAnsi="宋体" w:eastAsia="宋体" w:cs="宋体"/>
                <w:i w:val="0"/>
                <w:iCs w:val="0"/>
                <w:color w:val="000000"/>
                <w:sz w:val="18"/>
                <w:szCs w:val="18"/>
                <w:highlight w:val="none"/>
                <w:u w:val="none"/>
              </w:rPr>
            </w:r>
            <w:r/>
          </w:p>
        </w:tc>
      </w:tr>
      <w:tr>
        <w:trPr>
          <w:trHeight w:val="371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终端管理服务器（货车右转管控系统）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1、具有不少于18个10M/100M/1000M自适应RJ45接口。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2、支持4个硬盘接口，内置8T硬盘。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3、支持内置北斗模块，实现定位功能，同时支持将经纬度信息叠加在图片或者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视频上。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4、支持远程访问IP地址黑/白名单设置功能。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5、可接入H.265、H.264、MPEG4、MJPEG、Smart265、Smart264、SVAC视频编码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格式的IPC。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6、具有记录、回放、报警联动、图像检索、权限管理、视频水印、日志功能，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支持叠加图像标识信息和时间，支持图像多画面显示。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7、支持将1张、2张、3张、4张、5张、6张图片合成，支持选择图片形状，修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8、支持将同一辆经过多个相机的抓拍图片按照时间范围进行匹配合成。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9、支持配置路段名称、路段编号、路段距离，能够对驶入驶出该路段的车辆抓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拍数据匹配并计算车辆的区间速度值；支持设置过滤阈值，对异常测速结果进行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过滤；支持超速检测和欠速检测，可分别设定高限速和低限速值</w:t>
            </w:r>
            <w:r>
              <w:rPr>
                <w:rFonts w:hint="eastAsia" w:ascii="宋体" w:hAnsi="宋体" w:eastAsia="宋体" w:cs="宋体"/>
                <w:i w:val="0"/>
                <w:iCs w:val="0"/>
                <w:color w:val="000000"/>
                <w:sz w:val="18"/>
                <w:szCs w:val="18"/>
                <w:highlight w:val="none"/>
                <w:u w:val="none"/>
              </w:rPr>
            </w:r>
            <w:r/>
          </w:p>
        </w:tc>
      </w:tr>
      <w:tr>
        <w:trPr>
          <w:trHeight w:val="6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停车预警标志牌(含杆件基础)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形指示标志，1200mm×2000mm，白色底色，黑色村边及文字，蓝色图案，铝板厚度：2.0mm±0.2mm，字图膜和底膜应使用IV类反光膜其技术参数应不低于国家标淮。含单立柱杆件及500*500*1000基础，，立杆高出地面不低于4米，杆件为不锈钢喷塑。</w:t>
            </w:r>
            <w:r>
              <w:rPr>
                <w:rFonts w:hint="eastAsia" w:ascii="宋体" w:hAnsi="宋体" w:eastAsia="宋体" w:cs="宋体"/>
                <w:i w:val="0"/>
                <w:iCs w:val="0"/>
                <w:color w:val="000000"/>
                <w:sz w:val="18"/>
                <w:szCs w:val="18"/>
                <w:highlight w:val="none"/>
                <w:u w:val="none"/>
                <w:lang w:val="en-US" w:eastAsia="zh-CN" w:bidi="ar-SA"/>
              </w:rPr>
            </w:r>
            <w:r/>
          </w:p>
        </w:tc>
      </w:tr>
      <w:tr>
        <w:trPr>
          <w:trHeight w:val="498"/>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违法抓拍标牌（右转必停）</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1、标牌尺寸：600*800mm；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2、材质：铝材，厚度2mm；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3、反光膜：Ⅳ类膜。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4、样式：摄像头图案+违法抓拍字样</w:t>
            </w:r>
            <w:r>
              <w:rPr>
                <w:rFonts w:hint="eastAsia" w:ascii="宋体" w:hAnsi="宋体" w:eastAsia="宋体" w:cs="宋体"/>
                <w:i w:val="0"/>
                <w:iCs w:val="0"/>
                <w:color w:val="000000"/>
                <w:sz w:val="18"/>
                <w:szCs w:val="18"/>
                <w:highlight w:val="none"/>
                <w:u w:val="none"/>
              </w:rPr>
            </w:r>
            <w:r/>
          </w:p>
        </w:tc>
      </w:tr>
      <w:tr>
        <w:trPr>
          <w:trHeight w:val="1281"/>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机动车不礼让行人抓拍单元</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numPr>
                <w:ilvl w:val="0"/>
                <w:numId w:val="13"/>
              </w:numPr>
              <w:jc w:val="left"/>
              <w:keepLines w:val="0"/>
              <w:keepNext w:val="0"/>
              <w:widowControl/>
              <w:rPr>
                <w:rFonts w:hint="eastAsia"/>
                <w:color w:val="000000"/>
                <w:sz w:val="18"/>
                <w:szCs w:val="18"/>
                <w:highlight w:val="none"/>
              </w:rPr>
              <w:suppressLineNumbers w:val="0"/>
            </w:pPr>
            <w:r>
              <w:rPr>
                <w:rFonts w:hint="eastAsia"/>
                <w:color w:val="000000"/>
                <w:sz w:val="18"/>
                <w:szCs w:val="18"/>
                <w:highlight w:val="none"/>
                <w:lang w:val="en-US" w:eastAsia="zh-CN"/>
              </w:rPr>
              <w:t xml:space="preserve">传感器：≥1.1英寸GS-CMOS，视频分辨率：≥4112×3072。</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2、支持多样性混合场景应用，集卡口电警机动车业务，全方位适配机动车道路交通场景。</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3、支持实时显示车辆目标的结构化信息，包括车标、车牌号、车牌颜色、车辆类型、车身颜色、速度、车道号等。</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4、支持绘线显示功能，可在相机视频预览界面显示目前画线配置情况并标注每条线的名称。</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5、支持识别车标类型≥450种。</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6、支持对非机动车载人数量进行检测，识别的结果可以通过OSD叠加至抓拍图片中。</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7、在实时记录通行车辆的同时，支持主/副驾驶员人脸检测以及抠图功能，单车道场景下，主副驾驶员人脸抠图不小于100×100像素点。</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8、支持加塞功能，在道路拥堵时，车辆占用来向车道超车或原本拥堵车道变更时，自动抓拍图片。</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9、支持车辆逆行检测抓拍功能，白天捕获率≥99%；晚上捕获率≥99%。</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10、支持通过视频触发进行车辆抓拍，支持车牌识别、车身颜色识别、车型识别，通行车辆信息捕获和违章检测功能。</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11、白天识别准确率≥99%；晚上识别准确率≥99%。</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12、支持GB35114A级安全加密。</w:t>
            </w:r>
            <w:r>
              <w:rPr>
                <w:rFonts w:hint="eastAsia"/>
                <w:color w:val="000000"/>
                <w:sz w:val="18"/>
                <w:szCs w:val="18"/>
                <w:highlight w:val="none"/>
                <w:lang w:val="en-US" w:eastAsia="zh-CN"/>
              </w:rPr>
              <w:br w:type="textWrapping" w:clear="all"/>
            </w:r>
            <w:r>
              <w:rPr>
                <w:rFonts w:hint="eastAsia"/>
                <w:color w:val="000000"/>
                <w:sz w:val="18"/>
                <w:szCs w:val="18"/>
                <w:highlight w:val="none"/>
                <w:lang w:val="en-US" w:eastAsia="zh-CN"/>
              </w:rPr>
              <w:t xml:space="preserve">13、包含高清一体化嵌入式摄像机、高清镜头、室外防护罩、相机内置网络信号防雷器、电源适配器、万向支架等。高限速和低限速值。</w:t>
            </w:r>
            <w:r>
              <w:rPr>
                <w:sz w:val="18"/>
                <w:szCs w:val="18"/>
              </w:rPr>
            </w:r>
            <w:r/>
          </w:p>
          <w:p>
            <w:pPr>
              <w:pStyle w:val="968"/>
              <w:numPr>
                <w:ilvl w:val="0"/>
                <w:numId w:val="0"/>
              </w:numPr>
              <w:rPr>
                <w:rFonts w:eastAsia="宋体"/>
                <w:color w:val="000000"/>
                <w:sz w:val="18"/>
                <w:szCs w:val="18"/>
                <w:highlight w:val="none"/>
              </w:rPr>
            </w:pPr>
            <w:r>
              <w:rPr>
                <w:rFonts w:hint="eastAsia" w:eastAsia="宋体"/>
                <w:color w:val="000000"/>
                <w:sz w:val="18"/>
                <w:szCs w:val="18"/>
                <w:highlight w:val="none"/>
                <w:lang w:val="en-US" w:eastAsia="zh-CN"/>
              </w:rPr>
              <w:t xml:space="preserve">14、</w:t>
            </w:r>
            <w:r>
              <w:rPr>
                <w:rFonts w:hint="eastAsia" w:ascii="Times New Roman" w:hAnsi="Times New Roman" w:eastAsia="宋体" w:cs="Times New Roman"/>
                <w:b/>
                <w:bCs/>
                <w:color w:val="000000"/>
                <w:sz w:val="18"/>
                <w:szCs w:val="18"/>
                <w:highlight w:val="none"/>
                <w:lang w:val="en-US" w:eastAsia="zh-CN"/>
              </w:rPr>
              <w:t xml:space="preserve">按照南京市公安局七行标注标准进行视频标注，可接入公安现有的视频综合平台</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sz w:val="18"/>
                <w:szCs w:val="18"/>
              </w:rPr>
            </w:r>
            <w:r/>
          </w:p>
        </w:tc>
      </w:tr>
      <w:tr>
        <w:trPr>
          <w:trHeight w:val="299"/>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多合一智能补光灯</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1.采用24颗优质高亮度LED灯珠。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2.集暖光LED频闪、爆闪和氙气白光、红外爆闪于一体，有效降低光污染、避免麻雀杆现象；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3.覆盖范围：单车道环境补光灯。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4.最佳补光距离：16米～25米。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5.气体闪光次数：≥1000万次（2S闪一次）。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6.支持开关量触发方式；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7.符合GA/T1202-2022《交通技术监控成像补光装置通用技术条件》。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8.与环保卡口相同品牌。</w:t>
            </w:r>
            <w:r>
              <w:rPr>
                <w:rFonts w:hint="eastAsia" w:ascii="宋体" w:hAnsi="宋体" w:eastAsia="宋体" w:cs="宋体"/>
                <w:i w:val="0"/>
                <w:iCs w:val="0"/>
                <w:color w:val="000000"/>
                <w:sz w:val="18"/>
                <w:szCs w:val="18"/>
                <w:highlight w:val="none"/>
                <w:u w:val="none"/>
              </w:rPr>
            </w:r>
            <w:r/>
          </w:p>
        </w:tc>
      </w:tr>
      <w:tr>
        <w:trPr>
          <w:trHeight w:val="363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终端管理服务器（机动车不礼让行人抓拍系统）</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1、具有不少于8个10M/100M/1000M自适应RJ45接口。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2、支持1个硬盘接口，内置4T硬盘。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3、支持内置北斗模块，实现定位功能，同时支持将经纬度信息叠加在图片或者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视频上。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4、支持远程访问IP地址黑/白名单设置功能。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5、可接入H.265、H.264、MPEG4、MJPEG、Smart265、Smart264、SVAC视频编码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格式的IPC。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6、具有记录、回放、报警联动、图像检索、权限管理、视频水印、日志功能，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支持叠加图像标识信息和时间，支持图像多画面显示。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7、支持将1张、2张、3张、4张、5张、6张图片合成，支持选择图片形状，修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8、支持将同一辆经过多个相机的抓拍图片按照时间范围进行匹配合成。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9、支持配置路段名称、路段编号、路段距离，能够对驶入驶出该路段的车辆抓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拍数据匹配并计算车辆的区间速度值；支持设置过滤阈值，对异常测速结果进行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过滤；支持超速检测和欠速检测，可分别设定</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6米监控L杆件迁移（含基础）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6m电警杆件迁移、立杆、地笼，包含基础规格：1m*1m*1.2m</w:t>
            </w:r>
            <w:r>
              <w:rPr>
                <w:rFonts w:hint="eastAsia" w:ascii="宋体" w:hAnsi="宋体" w:eastAsia="宋体" w:cs="宋体"/>
                <w:i w:val="0"/>
                <w:iCs w:val="0"/>
                <w:color w:val="000000"/>
                <w:sz w:val="18"/>
                <w:szCs w:val="18"/>
                <w:highlight w:val="none"/>
                <w:u w:val="none"/>
              </w:rPr>
            </w:r>
            <w:r/>
          </w:p>
        </w:tc>
      </w:tr>
      <w:tr>
        <w:trPr>
          <w:trHeight w:val="9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违法抓拍标牌（机动车礼让行人）</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1、标牌尺寸：600*800mm；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2、材质：铝材，厚度2mm；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3、反光膜：Ⅳ类膜。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4、样式：摄像头图案+违法抓拍字样</w:t>
            </w:r>
            <w:r>
              <w:rPr>
                <w:rFonts w:hint="eastAsia" w:ascii="宋体" w:hAnsi="宋体" w:eastAsia="宋体" w:cs="宋体"/>
                <w:i w:val="0"/>
                <w:iCs w:val="0"/>
                <w:color w:val="000000"/>
                <w:sz w:val="18"/>
                <w:szCs w:val="18"/>
                <w:highlight w:val="none"/>
                <w:u w:val="none"/>
              </w:rPr>
            </w:r>
            <w:r/>
          </w:p>
        </w:tc>
      </w:tr>
      <w:tr>
        <w:trPr>
          <w:trHeight w:val="819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移动车载测速设备</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1、测速单元技术指标要求：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测速范围：至少20km/h-200km/h。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测速精度：测速误差应不超过-4km/h～0km/h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雷达测速单元水平主瓣宽度：应不超过６°。</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雷达测速单元副瓣电平应小于-15dB。</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2、超速报警：宜能设置报警速度值。当判定机动车速度超过报警速度值时，宜能生成报警信息，并支持现场报警和远程报警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3、道路实测误差：当机动车速度小于100km/h时，测速误差应不超过-6km/h~0km/h；当机动车速度大于或等于100km/h时，测速误差应不超过机动车速度的-6%~0%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4、异常测速值滤除：宜能自动滤除异常测速值。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5、机动车违反限速规定的，每幅图片应叠加限速值和行驶速度值。采用雷达技术测定机动车行驶速度的，每幅图片上应叠加雷达测速方向、限速值和行驶速度值。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6、图像分辨率：不小于4096×2160像素。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7、超速车辆捕获率：≥90%。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8、超速车辆图像有效率：≥90%。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9、应能根据车辆类型设定限速值。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10、应具有接收并执行应用软件发送的修改限速值指令的功能。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11、应能检测出违法(实线、导流线)变道抓拍功能。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12、测速仪24小时计时误差应不超过1s。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13、应具备自动或手动与北京时间同步功能。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14、应能记录并显示实时的速度、经度、纬度、时间、方向等信息。并可按定位地点道路限速值自动调整超速抓拍起始限速值。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15、内置陀螺仪，当测速仪倾角过大时，自动停止超速违法抓拍，可发出报警，记录并上传信息。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16、支持多种安装使用方式：车载安装、便携式安装、固定式安装。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17、检测外部振动，振动幅度到达预定阈值时，可发出报警，记录并上传信息。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18、移动轨迹：可实时记录、上传测速仪的地理位置，刻画出测速仪移动轨迹。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19、工况出勤报表：可生成测速仪工况出勤报表，包括开机时间、关机时间、使用者、出勤轨迹、抓拍数量等信息。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20、语音播报功能：可播放当前限速值、当前违法超速值、校时信息、地理信息、设备异常信息等。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21、内置电池：外接电源时可自动充电，外接电源断电时可自动转为电池供电。满电状态可持续工作8小时以上。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22、含4G传输卡及流量费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23、分别包含一套车载安装支架、快捷安装定制立杆、三脚架以及三年的标定服务，接入南京市公安局交管支队系统</w:t>
            </w:r>
            <w:r>
              <w:rPr>
                <w:rFonts w:hint="eastAsia" w:ascii="宋体" w:hAnsi="宋体" w:eastAsia="宋体" w:cs="宋体"/>
                <w:i w:val="0"/>
                <w:iCs w:val="0"/>
                <w:color w:val="000000"/>
                <w:sz w:val="18"/>
                <w:szCs w:val="18"/>
                <w:highlight w:val="none"/>
                <w:u w:val="none"/>
              </w:rPr>
            </w:r>
            <w:r/>
          </w:p>
        </w:tc>
      </w:tr>
      <w:tr>
        <w:trPr>
          <w:trHeight w:val="15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手持式智能执法终端</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1.平板应具有三防能力，采用触控电容屏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2.CPU:4核/4线程/单核睿频2.80GHz/全核睿频2.20GHz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3.内存：≥8G；硬盘：≥128G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4.屏幕：≥8英寸LCD屏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5.分辨率:≥1200*1920/700nits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6.配装违法行为拦截软件，支持违法行为非现场执法上传和现场拦截执法应用功能切换。含4G传输卡及流量费</w:t>
            </w:r>
            <w:r>
              <w:rPr>
                <w:rFonts w:hint="eastAsia" w:ascii="宋体" w:hAnsi="宋体" w:eastAsia="宋体" w:cs="宋体"/>
                <w:i w:val="0"/>
                <w:iCs w:val="0"/>
                <w:color w:val="000000"/>
                <w:sz w:val="18"/>
                <w:szCs w:val="18"/>
                <w:highlight w:val="none"/>
                <w:u w:val="none"/>
              </w:rPr>
            </w:r>
            <w:r/>
          </w:p>
        </w:tc>
      </w:tr>
      <w:tr>
        <w:trPr>
          <w:trHeight w:val="227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数据对接服务</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1、实现防治一体机与本辖区非机动车违法管理处置平台、人脸识别身份库的全面对接。‌</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2、实现违法数据与非机动车交通治理平台（南京交管局非机动车违法管理平台）的对接。</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3、对接南京市交通非机动车违法信息库动态更新高违人员、重点人员信息库。</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4、实现与南京市人脸信息库对接，调取违章人员信息。</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5、实现移动设备违法数据与公安部集成指挥平台的对接。</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6、实现机动车超速违法数据与公安部集成指挥平台对接。</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7、实现机动车违停违法数据与公安部集成指挥平台的对接。</w:t>
            </w:r>
            <w:r>
              <w:rPr>
                <w:rStyle w:val="1024"/>
                <w:rFonts w:hint="eastAsia"/>
                <w:color w:val="000000"/>
                <w:highlight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24"/>
                <w:rFonts w:hint="eastAsia"/>
                <w:color w:val="000000"/>
                <w:highlight w:val="none"/>
                <w:lang w:val="en-US" w:eastAsia="zh-CN" w:bidi="ar"/>
              </w:rPr>
              <w:t xml:space="preserve">8、实现与公安视频综合应用平台的数据对接。</w:t>
            </w:r>
            <w:r>
              <w:rPr>
                <w:rFonts w:hint="eastAsia" w:ascii="宋体" w:hAnsi="宋体" w:eastAsia="宋体" w:cs="宋体"/>
                <w:i w:val="0"/>
                <w:iCs w:val="0"/>
                <w:color w:val="000000"/>
                <w:sz w:val="18"/>
                <w:szCs w:val="18"/>
                <w:highlight w:val="none"/>
                <w:u w:val="none"/>
              </w:rPr>
            </w:r>
            <w:r/>
          </w:p>
        </w:tc>
      </w:tr>
      <w:tr>
        <w:trPr>
          <w:trHeight w:val="6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测速标志牌(含移动支架)</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长方形指示标志，1.5m×1m，白色底色，黑色村边及文字，蓝色图案，铝板厚度：2.0mm±0.2mm，字图膜和底膜应使用IV类反光膜，其技术参数应不低于国家标准。每组3套，含移动支架。</w:t>
            </w:r>
            <w:r>
              <w:rPr>
                <w:rFonts w:hint="eastAsia" w:ascii="宋体" w:hAnsi="宋体" w:eastAsia="宋体" w:cs="宋体"/>
                <w:i w:val="0"/>
                <w:iCs w:val="0"/>
                <w:color w:val="000000"/>
                <w:sz w:val="18"/>
                <w:szCs w:val="18"/>
                <w:highlight w:val="none"/>
                <w:u w:val="none"/>
              </w:rPr>
            </w:r>
            <w:r/>
          </w:p>
        </w:tc>
      </w:tr>
      <w:tr>
        <w:trPr>
          <w:trHeight w:val="1513"/>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警示灯（爆闪灯）(含杆件基础)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双面排布大功率红蓝LED灯珠，常规单面带至少12颗灯珠，红蓝交替爆闪</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闪光频率至少60次/分钟，符合道路警示眩光控制标准</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可视距离 晴朗夜间≥300m，白天强光环境≥150m</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供电方式 顶部集成单晶硅太阳能板+内置锂电池（12V/10~20Ah）</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含2.5m立杆，不锈钢材质热镀锌喷塑</w:t>
            </w:r>
            <w:r>
              <w:rPr>
                <w:rFonts w:hint="eastAsia" w:ascii="宋体" w:hAnsi="宋体" w:eastAsia="宋体" w:cs="宋体"/>
                <w:i w:val="0"/>
                <w:iCs w:val="0"/>
                <w:color w:val="000000"/>
                <w:sz w:val="18"/>
                <w:szCs w:val="18"/>
                <w:highlight w:val="none"/>
                <w:u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含基础开挖</w:t>
            </w:r>
            <w:r>
              <w:rPr>
                <w:rFonts w:hint="eastAsia" w:ascii="宋体" w:hAnsi="宋体" w:eastAsia="宋体" w:cs="宋体"/>
                <w:i w:val="0"/>
                <w:iCs w:val="0"/>
                <w:color w:val="000000"/>
                <w:sz w:val="18"/>
                <w:szCs w:val="18"/>
                <w:highlight w:val="none"/>
                <w:u w:val="none"/>
              </w:rPr>
            </w:r>
            <w:r/>
          </w:p>
        </w:tc>
      </w:tr>
      <w:tr>
        <w:trPr>
          <w:trHeight w:val="115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路口语音提示(含杆件基础)</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红蓝LED爆闪+语音播报同步触发，声光双重警示</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触发方式为红外感应</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语音参数 音量60~90dB可调，支持环境噪声自适应；语音内容可定制（如“前方路口，减速慢行”，支持普通话/方言定制</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供电方式 顶部单晶硅太阳能板+内置大容量锂电池</w:t>
            </w:r>
            <w:r>
              <w:rPr>
                <w:rStyle w:val="1024"/>
                <w:rFonts w:hint="eastAsia"/>
                <w:color w:val="000000"/>
                <w:highlight w:val="none"/>
                <w:lang w:val="en-US" w:eastAsia="zh-CN" w:bidi="ar"/>
              </w:rPr>
            </w:r>
            <w:r/>
          </w:p>
          <w:p>
            <w:pPr>
              <w:pStyle w:val="889"/>
              <w:jc w:val="left"/>
              <w:keepLines w:val="0"/>
              <w:keepNext w:val="0"/>
              <w:widowControl/>
              <w:rPr>
                <w:rStyle w:val="1024"/>
                <w:rFonts w:hint="eastAsia"/>
                <w:color w:val="000000"/>
                <w:highlight w:val="none"/>
                <w:lang w:val="en-US" w:eastAsia="zh-CN" w:bidi="ar"/>
              </w:rPr>
              <w:suppressLineNumbers w:val="0"/>
            </w:pPr>
            <w:r>
              <w:rPr>
                <w:rStyle w:val="1024"/>
                <w:rFonts w:hint="eastAsia"/>
                <w:color w:val="000000"/>
                <w:highlight w:val="none"/>
                <w:lang w:val="en-US" w:eastAsia="zh-CN" w:bidi="ar"/>
              </w:rPr>
              <w:t xml:space="preserve">含2.5m立杆，不锈钢材质热镀锌喷塑</w:t>
            </w:r>
            <w:r>
              <w:rPr>
                <w:rStyle w:val="1024"/>
                <w:rFonts w:hint="eastAsia"/>
                <w:color w:val="000000"/>
                <w:highlight w:val="none"/>
                <w:lang w:val="en-US" w:eastAsia="zh-CN" w:bidi="ar"/>
              </w:rPr>
            </w:r>
            <w:r/>
          </w:p>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24"/>
                <w:rFonts w:hint="eastAsia"/>
                <w:color w:val="000000"/>
                <w:highlight w:val="none"/>
                <w:lang w:val="en-US" w:eastAsia="zh-CN" w:bidi="ar"/>
              </w:rPr>
              <w:t xml:space="preserve">含基础开挖</w:t>
            </w:r>
            <w:r>
              <w:rPr>
                <w:rFonts w:hint="eastAsia" w:ascii="宋体" w:hAnsi="宋体" w:eastAsia="宋体" w:cs="宋体"/>
                <w:i w:val="0"/>
                <w:iCs w:val="0"/>
                <w:color w:val="000000"/>
                <w:sz w:val="18"/>
                <w:szCs w:val="18"/>
                <w:highlight w:val="none"/>
                <w:u w:val="none"/>
              </w:rPr>
            </w:r>
            <w:r/>
          </w:p>
        </w:tc>
      </w:tr>
      <w:tr>
        <w:trPr>
          <w:trHeight w:val="1158"/>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补建标志牌</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1、标牌尺寸：600*800mm；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2、材质：铝材，厚度2mm；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3、反光膜：Ⅳ类膜。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4、样式：摄像头图案+违法抓拍字样</w:t>
            </w:r>
            <w:r>
              <w:rPr>
                <w:rFonts w:hint="eastAsia" w:ascii="宋体" w:hAnsi="宋体" w:eastAsia="宋体" w:cs="宋体"/>
                <w:i w:val="0"/>
                <w:iCs w:val="0"/>
                <w:color w:val="000000"/>
                <w:sz w:val="18"/>
                <w:szCs w:val="18"/>
                <w:highlight w:val="none"/>
                <w:u w:val="none"/>
              </w:rPr>
            </w:r>
            <w:r/>
          </w:p>
        </w:tc>
      </w:tr>
      <w:tr>
        <w:trPr>
          <w:trHeight w:val="28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网络租赁</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100MEPON，租赁期为40个月</w:t>
            </w:r>
            <w:r>
              <w:rPr>
                <w:rFonts w:hint="eastAsia" w:ascii="宋体" w:hAnsi="宋体" w:eastAsia="宋体" w:cs="宋体"/>
                <w:i w:val="0"/>
                <w:iCs w:val="0"/>
                <w:color w:val="000000"/>
                <w:sz w:val="18"/>
                <w:szCs w:val="18"/>
                <w:highlight w:val="none"/>
                <w:u w:val="none"/>
              </w:rPr>
            </w:r>
            <w:r/>
          </w:p>
        </w:tc>
      </w:tr>
      <w:tr>
        <w:trPr>
          <w:trHeight w:val="3375"/>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云存储设备</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1、单设备应配置不低于两颗64位多核CPU（在中国信息安全测评中心的安全可靠测评结果公告目录内，提供截图证明）</w:t>
            </w:r>
            <w:r>
              <w:rPr>
                <w:rFonts w:hint="eastAsia" w:ascii="宋体" w:hAnsi="宋体" w:eastAsia="宋体" w:cs="宋体"/>
                <w:i w:val="0"/>
                <w:iCs w:val="0"/>
                <w:color w:val="000000"/>
                <w:sz w:val="18"/>
                <w:szCs w:val="18"/>
                <w:highlight w:val="none"/>
                <w:u w:val="none"/>
                <w:lang w:val="en-US" w:eastAsia="zh-CN" w:bidi="ar"/>
              </w:rPr>
              <w:t xml:space="preserve">，内存≥32GB，系统盘≥1×960GBSSD。</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2、处理器、操作系统均符合安可名录测评。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3、单设备应标配不低于6个千兆网口，可增扩≥2个万兆口。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4、应支持FCSAN、IPSAN、NAS存储功能。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5、具有48块硬盘热插拔插槽；支持硬盘热插拔设备在读写数据时，热插拔设备内的任意块硬盘，设备正常运行不宕机，硬盘不损坏，数据不丢失，业务不中断；设备内置48块8T企业级硬盘。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6、能对视音频、图片智能分析录像的混合直存，无需存储服务器和图片服务器参与。</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7、支持ONVIF、GB/T28181、RTSP等标准协议。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8、接入路数不少于450路2Mbps视频图像。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9、每台包含云存储软件授权扩容：1台云存储设备接入管理和768TB存储虚拟化服务。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b/>
                <w:bCs/>
                <w:i w:val="0"/>
                <w:iCs w:val="0"/>
                <w:color w:val="000000"/>
                <w:sz w:val="18"/>
                <w:szCs w:val="18"/>
                <w:highlight w:val="none"/>
                <w:u w:val="none"/>
                <w:lang w:val="en-US" w:eastAsia="zh-CN" w:bidi="ar"/>
              </w:rPr>
              <w:t xml:space="preserve">承诺中标后可接入六合公安原有云存储系统。</w:t>
            </w:r>
            <w:r>
              <w:rPr>
                <w:rFonts w:hint="eastAsia" w:ascii="宋体" w:hAnsi="宋体" w:eastAsia="宋体" w:cs="宋体"/>
                <w:b/>
                <w:bCs/>
                <w:i w:val="0"/>
                <w:iCs w:val="0"/>
                <w:color w:val="000000"/>
                <w:sz w:val="18"/>
                <w:szCs w:val="18"/>
                <w:highlight w:val="none"/>
                <w:u w:val="none"/>
                <w:lang w:val="en-US" w:eastAsia="zh-CN" w:bidi="ar"/>
              </w:rPr>
              <w:t xml:space="preserve">（投标人提供承诺函）</w:t>
            </w:r>
            <w:r>
              <w:rPr>
                <w:rFonts w:hint="eastAsia" w:ascii="宋体" w:hAnsi="宋体" w:eastAsia="宋体" w:cs="宋体"/>
                <w:i w:val="0"/>
                <w:iCs w:val="0"/>
                <w:color w:val="000000"/>
                <w:sz w:val="18"/>
                <w:szCs w:val="18"/>
                <w:highlight w:val="none"/>
                <w:u w:val="none"/>
              </w:rPr>
            </w:r>
            <w:r/>
          </w:p>
        </w:tc>
      </w:tr>
      <w:tr>
        <w:trPr>
          <w:trHeight w:val="7200"/>
        </w:trPr>
        <w:tc>
          <w:tcPr>
            <w:tcW w:w="717"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1292" w:type="dxa"/>
            <w:vAlign w:val="center"/>
            <w:textDirection w:val="lrTb"/>
            <w:noWrap w:val="false"/>
          </w:tcPr>
          <w:p>
            <w:pPr>
              <w:pStyle w:val="8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信号灯平台保障服务</w:t>
            </w:r>
            <w:r>
              <w:rPr>
                <w:rFonts w:hint="eastAsia" w:ascii="宋体" w:hAnsi="宋体" w:eastAsia="宋体" w:cs="宋体"/>
                <w:i w:val="0"/>
                <w:iCs w:val="0"/>
                <w:color w:val="000000"/>
                <w:sz w:val="18"/>
                <w:szCs w:val="18"/>
                <w:highlight w:val="none"/>
                <w:u w:val="none"/>
              </w:rPr>
            </w:r>
            <w:r/>
          </w:p>
        </w:tc>
        <w:tc>
          <w:tcPr>
            <w:tcW w:w="7441" w:type="dxa"/>
            <w:vAlign w:val="top"/>
            <w:textDirection w:val="lrTb"/>
            <w:noWrap w:val="false"/>
          </w:tcPr>
          <w:p>
            <w:pPr>
              <w:pStyle w:val="8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1、路口信号配时台账信息维护：按照一路口一档案的要求，进行路口静态及信号配时基础信息档案建立、路口台账数据更新及维护、台账管理标准化流程和技术工作规范编制及服务。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2、信号应用巡检服务：按要求进行指定时间段、地点的路口路面巡视及内场巡检，对信号灯应用类问题及信号智能化控制情况进行巡检摸排，完成要求填写巡检记录表格及调研报告。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信号配时优化及评价服务：按照要求在保证信号灯接线规范和灯具设施应用合理的同时，进行辖区内现有路口及新增路口信号控制方案的设计、优化调整、方案评价，包含单点路口配时优化服务、干线协调控制优化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4、信号保障服务：按要求提供重要节假日、大型活动、特勤警卫等情况下的信号保障服务。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5、舆情管理服务：协助收集媒体、12345热线等渠道有关信号配时舆情并协助进行回复及处理。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6、辅助执勤：按要求开展信号调控、交通数据统计分析、硬件运维辅助等辅助执勤服务和对交警人员信号技术指导工作，并且需与交管局配时中心对接，接受交管局配时中心业务指导及考核。</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培训服务：组织开展每年一次的信号配时优化技能培训服务，包括信号设施参数设置规范、信号优化技术、信号控制系统、全息自适应控制系统使用等，使相关人员能够熟练地使用现有系统开展日常信号优化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信号系统运维服务：配备专业工程师，具备现有信号控制系统、全息自适应系统丰富的操作使用经验，按要求基于现有信号系统、全息自适应控制系统进行日常操作、运行保障、新增路口联网接入、系统升级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信号系统应用服务：配备专业行业专家，具备丰富的交通信号配时优化相关工作经验，按要求基于现有信号控制系统、全息自适应控制系统开展持续的跟踪优化应用服务，包括对系统的单点控制、干线协调控制、自适应控制等进行方案设计、采集数据关联、配时设置、系统参数设置与跟踪优化。</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9、其他技术服务：1）提供交通管理、信息收集、整理以及汇报材料等其他技术服务；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协助采购人基于现有信号控制系统、数据采集系统、全息自适应控制系统开展信号自适应新技术试点及应用工作，结合路口流量检测器布设、电警数据信息、渠化组织、交通流特征、信号控制系统算法等关键因素为路口信号灯自适应运行科学设置相关参数，并进行效果跟踪调试。</w:t>
            </w:r>
            <w:r>
              <w:rPr>
                <w:rFonts w:hint="eastAsia" w:ascii="宋体" w:hAnsi="宋体" w:eastAsia="宋体" w:cs="宋体"/>
                <w:i w:val="0"/>
                <w:iCs w:val="0"/>
                <w:color w:val="000000"/>
                <w:sz w:val="18"/>
                <w:szCs w:val="18"/>
                <w:highlight w:val="none"/>
                <w:u w:val="none"/>
              </w:rPr>
            </w:r>
            <w:r/>
          </w:p>
        </w:tc>
      </w:tr>
    </w:tbl>
    <w:p>
      <w:pPr>
        <w:pStyle w:val="88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其他技术要求 </w:t>
      </w:r>
      <w:r>
        <w:rPr>
          <w:rFonts w:hint="eastAsia" w:ascii="宋体" w:hAnsi="宋体" w:eastAsia="宋体" w:cs="宋体"/>
          <w:bCs/>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（1）采购人在使用其提供的任何产品时，不受到第三方提出侵犯专利权、商标权或工业设计权等指控。如果任何第三方提出与中标供应商提供的任何产品有关的侵权 指控，中标供应商须与第三方交涉并承担因此发生的一切法律责任和费用。</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①本项目的所有权和知识产权归项目单位所有；②涉及的源代码（含质保期内的后续升级版本）必须遵循相关标准和规范，并无条件提交给项目单位；③涉及接口的，必须遵循相关标准和规范。向下部署的，必须无条件开放所有接口且满足国家共享相关规定要求。项目承建单位（施工单位、实施单位）有义务配合项目单位做好有关信息共享工作；④本项目在建设和维护过程中接触到的项目单位所有资料，未经项目单位授权代表书面许可，不得留存、私自查阅及向第三方泄露。</w:t>
      </w:r>
      <w:r>
        <w:rPr>
          <w:rFonts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供应商充分了解了本次招标的项目需求，对采购的设备和产品的数量、配置及应用模式做了充分的评估，能够满足本次项目建设的目标，不再需要采购人为本项目另外采购同类产品，否则需要在投标文件中进行说明。</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（4）招标文件中附设计方案和工程图纸，可供参考（详见附件）。</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8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（4）投标人需要认真仔细地进行实地勘察，报价时综合考虑绿化市政等相关办理和赔付费用，不另外支付。根据采购人要求，从指定的地点拆卸旧杆件，拆卸原地点的设备，进行安装调试。</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（5）本项目中包含的安装施工，需严格按相关标准进行施工，安装过程中，造成的一切损害(包含但不限于投标人的工作人员、第三方人员)，由投标人承担。</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（6）投标人充分考虑项目中产生的一切相关费用，采购人不另行支付费用。 </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（7）投标人所投产品无法适配现有设备的，在不增加费用的情况下，更换成不低于投标产品性能的同类型产品，满足使用（需参建各方确认）。 </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投标人须承诺本项目整体质保期为三年（含）以上（费用包含在投标总价中），所投硬件设备提供原厂三年（含）以上质保。投标人须承诺中标后提供所投品牌的原厂授权和原厂质保函，并于签订合同前提交采购人。因无法提供产生的一切损失，由投标人承担。（投标人需提供承诺函，否则做废标处理，）</w:t>
      </w:r>
      <w:r>
        <w:rPr>
          <w:rFonts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rPr>
        <w:t xml:space="preserve">在投标时，各类检测报告</w:t>
      </w:r>
      <w:r>
        <w:rPr>
          <w:rFonts w:hint="eastAsia" w:ascii="宋体" w:hAnsi="宋体" w:eastAsia="宋体" w:cs="宋体"/>
          <w:color w:val="000000"/>
          <w:sz w:val="24"/>
          <w:szCs w:val="24"/>
          <w:highlight w:val="none"/>
        </w:rPr>
        <w:t xml:space="preserve">、证书、截图等证明材料</w:t>
      </w:r>
      <w:r>
        <w:rPr>
          <w:rFonts w:hint="eastAsia" w:ascii="宋体" w:hAnsi="宋体" w:eastAsia="宋体" w:cs="宋体"/>
          <w:color w:val="000000"/>
          <w:sz w:val="24"/>
          <w:szCs w:val="24"/>
          <w:highlight w:val="none"/>
          <w:lang w:val="en-US"/>
        </w:rPr>
        <w:t xml:space="preserve">可以不加盖原厂公章，但需提供投标人的承诺书，承诺签订合同前提供加盖原厂公章的检测报告</w:t>
      </w:r>
      <w:r>
        <w:rPr>
          <w:rFonts w:hint="eastAsia" w:ascii="宋体" w:hAnsi="宋体" w:eastAsia="宋体" w:cs="宋体"/>
          <w:color w:val="000000"/>
          <w:sz w:val="24"/>
          <w:szCs w:val="24"/>
          <w:highlight w:val="none"/>
        </w:rPr>
        <w:t xml:space="preserve">、证书、截图等证明材料</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（10）投标人报价除包含招标文件中列明的项目外，还应包括保障产品正常使用应当具有的物资和服务，对产品正常使用应当具有的物资和服务理解不一致的以采购单位理解为准。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11）建筑工程一切险、第三方责任险由中标供应商投保，投保的范围和条件应符合招标文件及国家有关规定，保险费由中标供应商承担并支付，其中第三者责任限额不低于1000万，单人单次事故不低于150万。投标文件中提供承诺书并加盖公章，合同签订后且进场前需提供相关投保证明材料。</w:t>
      </w:r>
      <w:r>
        <w:rPr>
          <w:rFonts w:hint="eastAsia"/>
          <w:color w:val="000000"/>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实施要求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总体要求</w:t>
      </w:r>
      <w:r>
        <w:rPr>
          <w:rFonts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达到采购要求。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中标供应商为本项目提供三年质保(自项目最终验收合格后次日起算)，相关费用包含在投标总价中。</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采购人组织验收，检验不合格或不符合质量要求，供应商除无条件退货、返工外，还应承担采购人的一切损失。</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设备材料验收：</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①验收标准：产品名称、规格、数量符合采购清单要求，包装完好的全新产品。</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②验收方法：由采购人和项目监理单位共同组织验收。</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系统验收：</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①项目完成初验后，至少稳定运行3个月及以上，中标供应商方可提请最终竣工验收。</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交付应在合同规定时间内，将采购范围内所界定的工作完成，在通过双方认可验收后，交付给采购人，其中包括：符合项目目标和相应的技术要求、业务需求，并能保持系统稳定、运行良好的系统。足以确保系统正常运行所需的管理、运营及维护有关的配套技术文件。</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③验收方法：采购人牵头，要求相关职能部门及专家组织的验收。</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④本项目竣工验收前须通过国家权威检测机构（具有CMA认证的检验机构）进行的检测。</w:t>
      </w:r>
      <w:r>
        <w:rPr>
          <w:rFonts w:hint="eastAsia" w:ascii="宋体" w:hAnsi="宋体" w:eastAsia="宋体" w:cs="宋体"/>
          <w:color w:val="000000"/>
          <w:sz w:val="24"/>
          <w:szCs w:val="24"/>
          <w:highlight w:val="none"/>
          <w:lang w:val="en-US" w:eastAsia="zh-CN"/>
        </w:rPr>
      </w:r>
      <w:r/>
    </w:p>
    <w:p>
      <w:pPr>
        <w:pStyle w:val="88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（4）质保（维保）及售后要求</w:t>
      </w:r>
      <w:r>
        <w:rPr>
          <w:rFonts w:hint="eastAsia" w:ascii="宋体" w:hAnsi="宋体" w:eastAsia="宋体" w:cs="宋体"/>
          <w:b/>
          <w:bCs/>
          <w:color w:val="000000"/>
          <w:sz w:val="24"/>
          <w:szCs w:val="24"/>
          <w:highlight w:val="none"/>
          <w:lang w:val="en-US" w:eastAsia="zh-CN"/>
        </w:rPr>
      </w:r>
      <w:r/>
    </w:p>
    <w:p>
      <w:pPr>
        <w:pStyle w:val="889"/>
        <w:ind w:firstLine="482"/>
        <w:keepLines w:val="0"/>
        <w:keepNext w:val="0"/>
        <w:pageBreakBefore w:val="0"/>
        <w:spacing w:line="264"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质保：</w:t>
      </w:r>
      <w:r>
        <w:rPr>
          <w:rFonts w:ascii="宋体" w:hAnsi="宋体" w:eastAsia="宋体" w:cs="宋体"/>
          <w:b/>
          <w:bCs/>
          <w:color w:val="000000"/>
          <w:sz w:val="24"/>
          <w:szCs w:val="24"/>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本项目要求整体质保（维保）期3年，</w:t>
      </w:r>
      <w:r>
        <w:rPr>
          <w:rFonts w:hint="eastAsia" w:ascii="宋体" w:hAnsi="宋体" w:eastAsia="宋体" w:cs="宋体"/>
          <w:color w:val="000000"/>
          <w:sz w:val="24"/>
          <w:szCs w:val="24"/>
          <w:highlight w:val="none"/>
          <w:lang w:val="en-US" w:eastAsia="zh-CN"/>
        </w:rPr>
        <w:t xml:space="preserve">最终验收合格后次日起</w:t>
      </w:r>
      <w:r>
        <w:rPr>
          <w:rFonts w:hint="eastAsia" w:ascii="宋体" w:hAnsi="宋体" w:eastAsia="宋体" w:cs="宋体"/>
          <w:b w:val="0"/>
          <w:bCs w:val="0"/>
          <w:color w:val="000000"/>
          <w:sz w:val="24"/>
          <w:szCs w:val="24"/>
          <w:highlight w:val="none"/>
          <w:lang w:val="en-US" w:eastAsia="zh-CN"/>
        </w:rPr>
        <w:t xml:space="preserve">计算。</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负责。如</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w:t>
      </w:r>
      <w:r>
        <w:rPr>
          <w:rFonts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w:t>
      </w:r>
      <w:r>
        <w:rPr>
          <w:rFonts w:hint="eastAsia" w:ascii="宋体" w:hAnsi="宋体" w:eastAsia="宋体" w:cs="宋体"/>
          <w:b w:val="0"/>
          <w:bCs w:val="0"/>
          <w:color w:val="000000"/>
          <w:sz w:val="24"/>
          <w:szCs w:val="24"/>
          <w:highlight w:val="none"/>
          <w:lang w:val="en-US" w:eastAsia="zh-CN"/>
        </w:rPr>
      </w:r>
      <w:r/>
    </w:p>
    <w:p>
      <w:pPr>
        <w:pStyle w:val="889"/>
        <w:ind w:firstLine="482"/>
        <w:keepLines w:val="0"/>
        <w:keepNext w:val="0"/>
        <w:pageBreakBefore w:val="0"/>
        <w:spacing w:line="264"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维护：</w:t>
      </w:r>
      <w:r>
        <w:rPr>
          <w:rFonts w:ascii="宋体" w:hAnsi="宋体" w:eastAsia="宋体" w:cs="宋体"/>
          <w:b/>
          <w:bCs/>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系统日常维护及设备保养</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的日常维护保养包含所有设备的维修及更换，以满足采购人的维保考核要求。系统维护保养包括所有系统的前端设备、传输线路及后台设备的日常维护，但不限于检查、清洁、调整、测试、优化系统、排查隐患、处置问题等工作。检查设备时，应对设备进行物理检查、运行环境检查、电气参数与性能检查等。清洁设备时，应根据设备类型使用吸（吹）尘、刷、擦等方法对设备表面或内部的灰尘、污物等进行清理。调整设备时，应按照标准规范、技术手册和使用管理要求</w:t>
      </w:r>
      <w:r>
        <w:rPr>
          <w:rFonts w:hint="eastAsia" w:ascii="宋体" w:hAnsi="宋体" w:eastAsia="宋体" w:cs="宋体"/>
          <w:b w:val="0"/>
          <w:bCs w:val="0"/>
          <w:color w:val="000000"/>
          <w:sz w:val="24"/>
          <w:szCs w:val="24"/>
          <w:highlight w:val="none"/>
          <w:lang w:val="en-US" w:eastAsia="zh-CN"/>
        </w:rPr>
        <w:t xml:space="preserve">对设备的安装位置、防护范围、电气参数、运行模式等进行设置与校正。测试设备系统时，应按照标准规范、技术手册和使用管理要求对设备系统的功能、性能进行测量试验。优化系统时，应按照标准规范和使用管理要求对系统的参数、设置等进行合理配置。排查隐患时，应对可能造成系统不稳定运行、系统设置、功能、性能等不满足标准规范和使用/管理要求的情况进行详细检查与记录。处置问题时，应根据检查、测试及隐患排查过程中发现的问题，提出处置建议，经建设/使用单位同意后，采取相应的措施进行解决，同时形成相关台账记录。维护保养对象及内容与要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①前端设备</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物理检查：检查前端监控设备是否依图纸标定位置（或系统中标定的位置）存在，对于前端设备的拆改、挪移应及时反应至系统中。检查设备安装部件是否齐全,安装是否牢固，有无明显破损情况，并进行必要处理或处置。</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运行环境检查：检查前端有无影响监控效果，影响设备正常工作的因素。对于发现的异常情况，应及时调整或处置。</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电气参数与性能检查：检查摄像机，及其配套设备，包括电源、风扇、加热、雨刷、辅助照明装置等的工作状态。采用相应的仪器/仪表测量摄像机的相关指标，并作相应调整。</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机械构件维护：对摄像机、防护罩、云台、辅助照明装置的安装支架、立杆等构件进行加固、除锈、防腐等养护，并做必要调整。</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设备清洁：采用专业的方式方法，对摄像机镜头、摄像机防护罩及附属配件进行必要的清洁。</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设备调整：根据视频监控需要调整前端摄像机的焦距、监控范围等。确保设备处于良好的运行状态，发挥其最佳监控效果。</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②传输设备</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线缆、路由检查：传输线缆安装应牢固，安装部件应齐全，标识应清晰。检查线缆有无破损、破坏，氧化等情况。检查线管管口封堵情况，接地连接情况，查找有无异常现象。</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传输设备检查：传输设备安装应牢固，安装部件应齐全，标识应清晰，工作状态应正常。使用电池供电的无线发射/接收/中继设备应根据具体要求定期更换电池。</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清洁整理：对传输设备、管线、人井手孔等传输设备、设施或配套装置进行必要的清洁和清理。根据现场情况和需要，调整电缆、光缆等的捆扎方式。</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测试调整：根据检查结果和系统需要调整传输设备的相关参数。调整后，应保证视频信号及控制信号衰减满足规范或原设计要求。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③处理/控制/管理/记录设备</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物理检查：根据系统构成模式和安装方式，制定检查方案，重点检查处理、控制、管理设备安装是否牢固，设备外壳及部件有无异常变化或破损迹象，设备部件和接线是否正常。对于发现的问题应在维保过程中及时处理。</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电气参数与性能检查：通过观察设备指示灯、测量设备电压/电流等方式，检查设备运行状态。应确保设备运行指示正常，排查明显故障隐患。</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④显示设备</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物理检查：检查显示设备安装柜、箱和结构件是否牢固，检查其外表有无异常或破损迹象，检查接地是否完好。检查并调整显示设备，确保显示设备安装牢固，设备外壳及部件应无异常变化或破损迹象，设备部件和接线应正常。除视频显示设备外，显示设备还应包括LED显示屏等字符显示装置。</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设备清洁：对设备、箱、柜及结构件等进行必要的清洁和除尘。显示屏幕清洁，应采用专用试剂。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⑤系统</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优化：根据系统运行情况及使用、管理要求，调整系统的相关设置参数，提高、优化系统性能。系统优化的重点在于提高视频监控系统监控效果、延长视频录像保存时间、提高视频图像回放效果、缩短报警视频联动时间等。</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系统校时：对系统进行校时，系统的主时钟与标准时间偏差应满足相应标准规定或使用管理要求。</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隐患排查：通过询问系统管理员、操作员、查阅运行记录等方式，核实系统运行状态，排查系统存在的问题或隐患。汇总维保过程中发现的问题，分析系统目前的健康状态，预测系统可能发生的问题，并前瞻性提出处置意见。</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问题处置：监控图像、记录图像达不到标准规范和使用管理要求或设备破损、污损严重，且已经不能满足视频监控需要时，应提出处置建议，征得建设/使用单位同意后，采取相应的措施进行解决。对于日常运行过程中性能稳定性较差或频繁发生故障的设备，经现</w:t>
      </w:r>
      <w:r>
        <w:rPr>
          <w:rFonts w:hint="eastAsia" w:ascii="宋体" w:hAnsi="宋体" w:eastAsia="宋体" w:cs="宋体"/>
          <w:b w:val="0"/>
          <w:bCs w:val="0"/>
          <w:color w:val="000000"/>
          <w:sz w:val="24"/>
          <w:szCs w:val="24"/>
          <w:highlight w:val="none"/>
          <w:lang w:val="en-US" w:eastAsia="zh-CN"/>
        </w:rPr>
        <w:t xml:space="preserve">场调整/调试后仍无法满足要求时，应提出处置建议，征得建设/使用单位同意后，采取相应的措施进行解决。对于系统可能发生的问题，应及时书面告知建设/使用单位，并同时提出处置意见，征得建设/使用单位同意后，采取相应的措施予以应对。巡检中发现前端监控设备存在遮挡或污损，应及时清理。还需按标准对重点核心地区视频监控所有点位前端监控二维码标贴进行张贴和日常维护。为配合道路整治及视频监控并杆及线路下地工程，在所涉及到的包含重点核心地区视频监控的路段，应配合市公安局和市政部门，按期保质保量的完成视频监控并杆及线路下地的工作。</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⑥、设备保养内容</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定期对系统所有相关设备等进行保养，并形成保养记录，每次保养记录由采购人签字确认。摄像机保养：摄像机镜头如存在遮挡或污损，应及时清除遮挡监控视线的障碍物。</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⑦、巡检</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前端现场巡检：每个季度开展一轮前端巡检，主要应围绕前端设备运行状况和安全（包括：杆件、落地机箱、抱杆箱、箱体锁、摄像机、镜头、云台、网络传输设备等）和管线情况（包括管线质量、防雷接地情况、屏蔽情况、线路接头质量等）。形成巡检电子台账（主要是带水印的照片），记录发现的问题，以及解决情况；</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重点节点巡检：遇重大活动、重大节假日、恶劣天气和其它紧急情况，采购人要求进行巡检的，需安排巡检。巡检发现本项目重要设备或整个系统存在运行问题的，需立即整改，且做好记录。</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注：以上要求请投标人提供承诺书并加盖公章，上传至投标系统。</w:t>
      </w:r>
      <w:r>
        <w:rPr>
          <w:rFonts w:hint="eastAsia" w:ascii="宋体" w:hAnsi="宋体" w:eastAsia="宋体" w:cs="宋体"/>
          <w:b w:val="0"/>
          <w:bCs w:val="0"/>
          <w:color w:val="000000"/>
          <w:sz w:val="24"/>
          <w:szCs w:val="24"/>
          <w:highlight w:val="none"/>
          <w:lang w:val="en-US" w:eastAsia="zh-CN"/>
        </w:rPr>
      </w:r>
      <w:r/>
    </w:p>
    <w:p>
      <w:pPr>
        <w:pStyle w:val="88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故障处理要求：</w:t>
      </w:r>
      <w:r>
        <w:rPr>
          <w:rFonts w:hint="eastAsia" w:ascii="宋体" w:hAnsi="宋体" w:eastAsia="宋体" w:cs="宋体"/>
          <w:b/>
          <w:bCs/>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针对监控产生的故障，制定详细的运行维护服务保障方案，及时受理采购人故障报表、电话报修。故障级别定义及解决时间要求如下：</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①故障级别Ⅰ级：属于重特大故障，其具体现象为系统崩溃。技术人员到场时间：接报30分钟以内到现场。提出解决方案：到现场后1小时内提交故障解决方案。</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②故障级别Ⅱ级：属于严重问题，其具体现象为部分系统发生故障、或小面积瘫痪但不影像系统整体运行。技术人员到场时间：接报60分钟以内到现场。提出解决方案：到现场后1小时内提交故障解决方案。</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故障级别Ⅲ级：属于普通问题，其具体现象为前端监控点单个摄像机故障、前端监控点传输设备或线路故障。技术人员到场时间：接报4小时内到现场。提出解决方案：即时提交或到现场后1小时内提交解决方案。</w:t>
      </w:r>
      <w:r>
        <w:rPr>
          <w:rFonts w:hint="eastAsia" w:ascii="宋体" w:hAnsi="宋体" w:eastAsia="宋体" w:cs="宋体"/>
          <w:b w:val="0"/>
          <w:bCs w:val="0"/>
          <w:color w:val="000000"/>
          <w:sz w:val="24"/>
          <w:szCs w:val="24"/>
          <w:highlight w:val="none"/>
          <w:lang w:val="en-US" w:eastAsia="zh-CN"/>
        </w:rPr>
      </w:r>
      <w:r/>
    </w:p>
    <w:p>
      <w:pPr>
        <w:pStyle w:val="88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考核要求：</w:t>
      </w:r>
      <w:r>
        <w:rPr>
          <w:rFonts w:hint="eastAsia" w:ascii="宋体" w:hAnsi="宋体" w:eastAsia="宋体" w:cs="宋体"/>
          <w:b/>
          <w:bCs/>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①、连续三天低于96%或单个摄像头无故4天不在线的，扣1000元，每超1日增扣1000元，以此类推；无法达到采购目的的，采购人有权根据需求聘请其他人员开展维护，所产生的一切费用从维护费中支付。</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②、图像画面字符叠加标注：对系统前端监控摄像机字符叠加标注情况进行考核。</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图像画面字符叠加标注标准：符合公安部GAT751-2008标准及省厅、市局相关规范要求，时钟标示准确(与市局授时服务器时钟误差不超过3秒)。字符标注准确率=(符合图像画面字符叠加标注标准的摄像机总数/摄像机入网总数)×100%。(保留到小数点后两位)考核方式：每月考核，每月20日通过平台检查一遍所有入网摄像机的图像画面字符叠加标注情况作为每月的考核依据每月字符标注准确率低于99.5%，扣1000元；低于99%扣2000元。</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③、存储考核</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存储正常标准：视频图像实时在线存储且存储时间不少于30天。图像在线存储率：图像在线存储率=(在线且能正常调取存储录像的摄像机数／摄像机总数)×100%。(保留到小数点后两位)考核方式：每月考核，每月20日通过平台检查一遍所有入网摄像机的在线存储情况作为每月的考核数据。每月图像在线存储率低于98%，扣1000元；低于95%扣2000元。</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④、图像存储时间达标率</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图像存储时间达标率=(图像存储时间不少于30天的摄像机数／入网摄像机总数)×100%。(保留到小数点后两位)考核方式：每月考核，每月20日通过平台检查一遍所有入网摄像机的存储时间是否达标作为考核依据。95%≤每月图像存储时间达标率＜98%，扣1000元；每月图像存储时间达标率＜95%，扣2000元。</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电警数据考核：高速公路卡口每天连续无过车数据不超过4小时，其他道路卡口每天连续无过车数据不超过8小时视为当天设备达标；每月内运行稳定天数不低于90%，视为本月该设备达标。卡口传输数据延时在1分钟内的比例不低于90%算当天上传及时，每个月内上传及时天数不低于90%，视为卡口上传及时达标。号牌号码识别准确率，准确率达到90%以上的视为达标。上述考核项每低于达标1%的，扣500元。</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运维保障响应考核：每月根据日常及突发情况运维保障响应情况进行考核，主要根据第3.2故障响应要求统计故障维护响应及时情况。每月发生Ⅰ、Ⅱ级故障未按第3.2要求及时响应的，未及时响应1次扣1000元，Ⅰ、Ⅱ级故障响应时间每超2小时加扣2000元。</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⑦、其他情况：采购人各类大型活动、重大案事件保障工作中不能正常调取图像(无图像、云台及镜头不能控制、图像不清晰、无存储等)的，每路图像每次扣500元，每月最多扣2000元。</w:t>
      </w:r>
      <w:r>
        <w:rPr>
          <w:rFonts w:hint="eastAsia" w:ascii="宋体" w:hAnsi="宋体" w:eastAsia="宋体" w:cs="宋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color w:val="000000"/>
          <w:highlight w:val="none"/>
          <w:lang w:val="en-US" w:eastAsia="zh-CN"/>
        </w:rPr>
      </w:pPr>
      <w:r>
        <w:rPr>
          <w:rFonts w:hint="eastAsia" w:ascii="宋体" w:hAnsi="宋体" w:eastAsia="宋体" w:cs="宋体"/>
          <w:b w:val="0"/>
          <w:bCs w:val="0"/>
          <w:color w:val="000000"/>
          <w:sz w:val="24"/>
          <w:szCs w:val="24"/>
          <w:highlight w:val="none"/>
          <w:lang w:val="en-US" w:eastAsia="zh-CN"/>
        </w:rPr>
        <w:t xml:space="preserve">⑧、连续2个月考核被扣10000元的，采购人有权终止合同并拒付当期维护费用，纳入南京市公安局视频图像维护黑名单。</w:t>
      </w:r>
      <w:r>
        <w:rPr>
          <w:color w:val="000000"/>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8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宋体"/>
          <w:bCs/>
          <w:color w:val="000000"/>
          <w:sz w:val="24"/>
          <w:szCs w:val="24"/>
          <w:highlight w:val="none"/>
          <w:lang w:val="en-US" w:eastAsia="zh-CN"/>
        </w:rPr>
        <w:t xml:space="preserve">150</w:t>
      </w:r>
      <w:r>
        <w:rPr>
          <w:rFonts w:ascii="宋体" w:hAnsi="宋体" w:eastAsia="宋体" w:cs="宋体"/>
          <w:color w:val="000000"/>
          <w:sz w:val="24"/>
          <w:szCs w:val="24"/>
          <w:highlight w:val="none"/>
        </w:rPr>
        <w:t xml:space="preserve">天内交付并完成安装调试及</w:t>
      </w:r>
      <w:r>
        <w:rPr>
          <w:rFonts w:hint="eastAsia" w:ascii="宋体" w:hAnsi="宋体" w:eastAsia="宋体" w:cs="宋体"/>
          <w:color w:val="000000"/>
          <w:sz w:val="24"/>
          <w:szCs w:val="24"/>
          <w:highlight w:val="none"/>
          <w:lang w:val="en-US" w:eastAsia="zh-CN"/>
        </w:rPr>
        <w:t xml:space="preserve">初</w:t>
      </w:r>
      <w:r>
        <w:rPr>
          <w:rFonts w:ascii="宋体" w:hAnsi="宋体" w:eastAsia="宋体" w:cs="宋体"/>
          <w:color w:val="000000"/>
          <w:sz w:val="24"/>
          <w:szCs w:val="24"/>
          <w:highlight w:val="none"/>
        </w:rPr>
        <w:t xml:space="preserve">验等相关工作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0"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0"/>
      <w:r>
        <w:rPr>
          <w:rFonts w:hint="eastAsia" w:ascii="宋体" w:hAnsi="宋体" w:eastAsia="宋体" w:cs="宋体"/>
          <w:bCs w:val="0"/>
          <w:color w:val="000000"/>
          <w:sz w:val="24"/>
          <w:szCs w:val="24"/>
          <w:highlight w:val="none"/>
          <w:lang w:val="en-US" w:eastAsia="zh-CN"/>
        </w:rPr>
        <w:t xml:space="preserve">（1）招标文件中要求提供证明材料的，签订合同时投标人应按招标文件要求和投标文件响应内容提供相应证明材料原件供采购人核验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89"/>
        <w:ind w:firstLine="480"/>
        <w:keepLines w:val="0"/>
        <w:keepNext w:val="0"/>
        <w:pageBreakBefore w:val="0"/>
        <w:spacing w:line="264" w:lineRule="auto"/>
        <w:widowControl w:val="off"/>
        <w:rPr>
          <w:color w:val="000000"/>
          <w:highlight w:val="none"/>
          <w:lang w:val="en-US" w:eastAsia="zh-CN"/>
        </w:rPr>
      </w:pPr>
      <w:r>
        <w:rPr>
          <w:rFonts w:hint="eastAsia" w:ascii="宋体" w:hAnsi="宋体" w:eastAsia="宋体" w:cs="宋体"/>
          <w:bCs w:val="0"/>
          <w:color w:val="000000"/>
          <w:sz w:val="24"/>
          <w:szCs w:val="24"/>
          <w:highlight w:val="none"/>
          <w:lang w:val="en-US" w:eastAsia="zh-CN"/>
        </w:rPr>
        <w:t xml:space="preserve">（3）本项目实施全过程，中标单位须派项目经理、安全人员驻场，常驻项目属地开展施工协调管理工作。驻场人员须严格遵守公安保密及现场管理制度，人员脱岗、缺岗将按合同约定承担违约责任。项目经理和安全员在项目施工阶段要全程在场，做好施工管理和安全监督管理。</w:t>
      </w:r>
      <w:r>
        <w:rPr>
          <w:color w:val="000000"/>
          <w:highlight w:val="none"/>
          <w:lang w:val="en-US" w:eastAsia="zh-CN"/>
        </w:rPr>
      </w:r>
      <w:r/>
    </w:p>
    <w:p>
      <w:pPr>
        <w:pStyle w:val="88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1"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8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8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9"/>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89"/>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89"/>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89"/>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8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89"/>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8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8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8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9"/>
        <w:ind w:firstLine="480"/>
        <w:keepLines w:val="0"/>
        <w:keepNext w:val="0"/>
        <w:pageBreakBefore w:val="0"/>
        <w:spacing w:line="264" w:lineRule="auto"/>
        <w:widowControl w:val="off"/>
        <w:rPr>
          <w:rFonts w:hint="eastAsia"/>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highlight w:val="none"/>
          <w:lang w:eastAsia="zh-CN"/>
        </w:rPr>
      </w:r>
      <w:r/>
    </w:p>
    <w:tbl>
      <w:tblPr>
        <w:tblStyle w:val="100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8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8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8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8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8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89"/>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758"/>
        </w:trPr>
        <w:tc>
          <w:tcPr>
            <w:tcW w:w="519"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89"/>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89"/>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评标基准价/投标报价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价格分值（小数点保留两位）</w:t>
            </w:r>
            <w:r>
              <w:rPr>
                <w:rFonts w:hint="eastAsia" w:ascii="宋体" w:hAnsi="宋体" w:eastAsia="宋体" w:cs="宋体"/>
                <w:color w:val="000000"/>
                <w:szCs w:val="21"/>
                <w:highlight w:val="none"/>
                <w:lang w:val="en-US" w:eastAsia="zh-CN"/>
              </w:rPr>
            </w:r>
            <w:r/>
          </w:p>
          <w:p>
            <w:pPr>
              <w:pStyle w:val="889"/>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89"/>
              <w:jc w:val="center"/>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35</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8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89"/>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9"/>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89"/>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有1项负偏离扣2分，其余指标有1项负偏离扣1分。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8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89"/>
              <w:rPr>
                <w:color w:val="000000"/>
                <w:sz w:val="21"/>
                <w:szCs w:val="21"/>
                <w:highlight w:val="none"/>
                <w:lang w:val="en-US" w:bidi="ar-SA"/>
              </w:rPr>
            </w:pPr>
            <w:r>
              <w:rPr>
                <w:rFonts w:hint="eastAsia"/>
                <w:color w:val="000000"/>
                <w:sz w:val="21"/>
                <w:szCs w:val="21"/>
                <w:highlight w:val="none"/>
                <w:lang w:val="en-US" w:bidi="ar-SA"/>
              </w:rPr>
              <w:t xml:space="preserve">根据本项目采购需求</w:t>
            </w:r>
            <w:r>
              <w:rPr>
                <w:rFonts w:hint="eastAsia"/>
                <w:color w:val="000000"/>
                <w:sz w:val="21"/>
                <w:szCs w:val="21"/>
                <w:highlight w:val="none"/>
                <w:lang w:val="en-US" w:bidi="ar-SA"/>
              </w:rPr>
              <w:t xml:space="preserve">编制实施方案</w:t>
            </w:r>
            <w:r>
              <w:rPr>
                <w:rFonts w:hint="eastAsia"/>
                <w:color w:val="000000"/>
                <w:sz w:val="21"/>
                <w:szCs w:val="21"/>
                <w:highlight w:val="none"/>
                <w:lang w:val="en-US" w:bidi="ar-SA"/>
              </w:rPr>
              <w:t xml:space="preserve">，内容包含：</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需求分析</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总体设计方案</w:t>
            </w:r>
            <w:r>
              <w:rPr>
                <w:rFonts w:hint="eastAsia" w:ascii="宋体" w:hAnsi="宋体" w:cs="宋体"/>
                <w:color w:val="000000"/>
                <w:highlight w:val="none"/>
                <w:lang w:val="en-US" w:eastAsia="zh-CN"/>
              </w:rPr>
              <w:t xml:space="preserve">和</w:t>
            </w:r>
            <w:r>
              <w:rPr>
                <w:rFonts w:ascii="宋体" w:hAnsi="宋体" w:cs="宋体"/>
                <w:color w:val="000000"/>
                <w:highlight w:val="none"/>
              </w:rPr>
              <w:t xml:space="preserve">系统总体架构</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t xml:space="preserve">.</w:t>
            </w:r>
            <w:r>
              <w:rPr>
                <w:rFonts w:ascii="宋体" w:hAnsi="宋体" w:cs="宋体"/>
                <w:color w:val="000000"/>
                <w:highlight w:val="none"/>
              </w:rPr>
              <w:t xml:space="preserve">前端视频监控点位安装设计</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视图存储设计</w:t>
            </w:r>
            <w:r>
              <w:rPr>
                <w:rFonts w:hint="eastAsia" w:ascii="宋体" w:hAnsi="宋体" w:cs="宋体"/>
                <w:color w:val="000000"/>
                <w:highlight w:val="none"/>
                <w:lang w:val="en-US" w:eastAsia="zh-CN"/>
              </w:rPr>
              <w:t xml:space="preserve">；5.</w:t>
            </w:r>
            <w:r>
              <w:rPr>
                <w:rFonts w:ascii="宋体" w:hAnsi="宋体" w:cs="宋体"/>
                <w:color w:val="000000"/>
                <w:highlight w:val="none"/>
              </w:rPr>
              <w:t xml:space="preserve">传输网络建设设计</w:t>
            </w:r>
            <w:r>
              <w:rPr>
                <w:rFonts w:hint="eastAsia" w:ascii="宋体" w:hAnsi="宋体" w:cs="宋体"/>
                <w:color w:val="000000"/>
                <w:highlight w:val="none"/>
                <w:lang w:val="en-US" w:eastAsia="zh-CN"/>
              </w:rPr>
              <w:t xml:space="preserve">；6.</w:t>
            </w:r>
            <w:r>
              <w:rPr>
                <w:rFonts w:ascii="宋体" w:hAnsi="宋体" w:cs="宋体"/>
                <w:color w:val="000000"/>
                <w:highlight w:val="none"/>
              </w:rPr>
              <w:t xml:space="preserve">原有系统无缝接入及系统关联描述</w:t>
            </w:r>
            <w:r>
              <w:rPr>
                <w:rFonts w:hint="eastAsia" w:ascii="宋体" w:hAnsi="宋体" w:cs="宋体"/>
                <w:color w:val="000000"/>
                <w:highlight w:val="none"/>
                <w:lang w:eastAsia="zh-CN"/>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889"/>
              <w:rPr>
                <w:color w:val="000000"/>
                <w:highlight w:val="none"/>
                <w:lang w:val="en-US"/>
              </w:rPr>
            </w:pPr>
            <w:r>
              <w:rPr>
                <w:color w:val="000000"/>
                <w:highlight w:val="none"/>
                <w:lang w:val="en-US"/>
              </w:rPr>
              <w:t xml:space="preserve">方案内容专门针对本项目，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889"/>
              <w:rPr>
                <w:rFonts w:hint="eastAsia" w:ascii="宋体" w:hAnsi="宋体" w:eastAsia="宋体" w:cs="宋体"/>
                <w:color w:val="000000"/>
                <w:szCs w:val="21"/>
                <w:highlight w:val="none"/>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1.5</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color w:val="000000"/>
                <w:szCs w:val="21"/>
                <w:highlight w:val="none"/>
              </w:rPr>
              <w:t xml:space="preserve">施工组织方案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1009"/>
              <w:rPr>
                <w:rFonts w:hint="eastAsia"/>
                <w:color w:val="000000"/>
                <w:sz w:val="21"/>
                <w:szCs w:val="21"/>
                <w:highlight w:val="none"/>
              </w:rPr>
            </w:pPr>
            <w:r>
              <w:rPr>
                <w:rFonts w:hint="eastAsia"/>
                <w:color w:val="000000"/>
                <w:sz w:val="21"/>
                <w:szCs w:val="21"/>
                <w:highlight w:val="none"/>
                <w:lang w:val="en-US" w:bidi="ar-SA"/>
              </w:rPr>
              <w:t xml:space="preserve">根据本项目采购需求编制</w:t>
            </w:r>
            <w:r>
              <w:rPr>
                <w:rFonts w:hint="eastAsia" w:ascii="宋体" w:hAnsi="宋体"/>
                <w:color w:val="000000"/>
                <w:sz w:val="21"/>
                <w:szCs w:val="21"/>
                <w:highlight w:val="none"/>
              </w:rPr>
              <w:t xml:space="preserve">施工组织</w:t>
            </w:r>
            <w:r>
              <w:rPr>
                <w:rFonts w:hint="eastAsia"/>
                <w:color w:val="000000"/>
                <w:sz w:val="21"/>
                <w:szCs w:val="21"/>
                <w:highlight w:val="none"/>
                <w:lang w:val="en-US" w:bidi="ar-SA"/>
              </w:rPr>
              <w:t xml:space="preserve">方案，内容包含：1.</w:t>
            </w:r>
            <w:r>
              <w:rPr>
                <w:rFonts w:hint="eastAsia" w:ascii="宋体" w:hAnsi="宋体" w:cs="宋体"/>
                <w:color w:val="000000"/>
                <w:sz w:val="21"/>
                <w:szCs w:val="21"/>
                <w:highlight w:val="none"/>
              </w:rPr>
              <w:t xml:space="preserve">施工组织总体设想</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方案针对性及施工任务划分</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施工现场平面布置和临时设施</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施工进度计划及保证措施</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施工过程各阶段质量安全的保证措施</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劳动力、机械设备和材料投入计划</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以上</w:t>
            </w:r>
            <w:r>
              <w:rPr>
                <w:rFonts w:hint="eastAsia"/>
                <w:color w:val="000000"/>
                <w:sz w:val="21"/>
                <w:szCs w:val="21"/>
                <w:highlight w:val="none"/>
                <w:lang w:val="en-US" w:bidi="ar-SA"/>
              </w:rPr>
              <w:t xml:space="preserve">每项内容逐项评分：</w:t>
            </w:r>
            <w:r>
              <w:rPr>
                <w:rFonts w:hint="eastAsia"/>
                <w:color w:val="000000"/>
                <w:sz w:val="21"/>
                <w:szCs w:val="21"/>
                <w:highlight w:val="none"/>
                <w:lang w:val="en-US" w:bidi="ar-SA"/>
              </w:rPr>
            </w:r>
            <w:r>
              <w:rPr>
                <w:sz w:val="21"/>
                <w:szCs w:val="21"/>
              </w:rPr>
            </w:r>
          </w:p>
          <w:p>
            <w:pPr>
              <w:pStyle w:val="1009"/>
              <w:rPr>
                <w:color w:val="000000"/>
                <w:sz w:val="21"/>
                <w:szCs w:val="21"/>
                <w:highlight w:val="none"/>
              </w:rPr>
            </w:pPr>
            <w:r>
              <w:rPr>
                <w:color w:val="000000"/>
                <w:sz w:val="21"/>
                <w:szCs w:val="21"/>
                <w:highlight w:val="none"/>
                <w:lang w:val="en-US"/>
              </w:rPr>
              <w:t xml:space="preserve">符合采购需求和实际情况视为符合；方案内容属于通用类，非专门针对本项目，部分符合实际情况视为部分符合；方案内容复制粘贴采购需求，非专门针对本项目，不符合实际情况或未提供视为不符合。</w:t>
            </w:r>
            <w:r>
              <w:rPr>
                <w:color w:val="000000"/>
                <w:sz w:val="21"/>
                <w:szCs w:val="21"/>
                <w:highlight w:val="none"/>
                <w:lang w:val="en-US"/>
              </w:rPr>
            </w:r>
            <w:r>
              <w:rPr>
                <w:sz w:val="21"/>
                <w:szCs w:val="21"/>
              </w:rPr>
            </w:r>
          </w:p>
          <w:p>
            <w:pPr>
              <w:pStyle w:val="968"/>
              <w:ind w:left="0" w:firstLine="0"/>
              <w:rPr>
                <w:color w:val="000000"/>
                <w:sz w:val="21"/>
                <w:szCs w:val="21"/>
                <w:highlight w:val="none"/>
              </w:rPr>
            </w:pPr>
            <w:r>
              <w:rPr>
                <w:rFonts w:hint="eastAsia"/>
                <w:color w:val="000000"/>
                <w:sz w:val="21"/>
                <w:szCs w:val="21"/>
                <w:highlight w:val="none"/>
                <w:lang w:val="en-US"/>
              </w:rPr>
              <w:t xml:space="preserve">上述每项内容</w:t>
            </w:r>
            <w:r>
              <w:rPr>
                <w:color w:val="000000"/>
                <w:sz w:val="21"/>
                <w:szCs w:val="21"/>
                <w:highlight w:val="none"/>
                <w:lang w:val="en-US"/>
              </w:rPr>
              <w:t xml:space="preserve">符合得</w:t>
            </w:r>
            <w:r>
              <w:rPr>
                <w:rFonts w:hint="eastAsia" w:eastAsia="宋体"/>
                <w:color w:val="000000"/>
                <w:sz w:val="21"/>
                <w:szCs w:val="21"/>
                <w:highlight w:val="none"/>
                <w:lang w:val="en-US" w:eastAsia="zh-CN"/>
              </w:rPr>
              <w:t xml:space="preserve">1.5</w:t>
            </w:r>
            <w:r>
              <w:rPr>
                <w:color w:val="000000"/>
                <w:sz w:val="21"/>
                <w:szCs w:val="21"/>
                <w:highlight w:val="none"/>
                <w:lang w:val="en-US"/>
              </w:rPr>
              <w:t xml:space="preserve">分；部分符合得</w:t>
            </w:r>
            <w:r>
              <w:rPr>
                <w:rFonts w:hint="eastAsia"/>
                <w:color w:val="000000"/>
                <w:sz w:val="21"/>
                <w:szCs w:val="21"/>
                <w:highlight w:val="none"/>
                <w:lang w:val="en-US"/>
              </w:rPr>
              <w:t xml:space="preserve">1</w:t>
            </w:r>
            <w:r>
              <w:rPr>
                <w:color w:val="000000"/>
                <w:sz w:val="21"/>
                <w:szCs w:val="21"/>
                <w:highlight w:val="none"/>
                <w:lang w:val="en-US"/>
              </w:rPr>
              <w:t xml:space="preserve">分；不符合或不提供不得分。</w:t>
            </w:r>
            <w:r>
              <w:rPr>
                <w:color w:val="000000"/>
                <w:sz w:val="21"/>
                <w:szCs w:val="21"/>
                <w:highlight w:val="none"/>
                <w:lang w:val="en-US"/>
              </w:rPr>
            </w:r>
            <w:r>
              <w:rPr>
                <w:sz w:val="21"/>
                <w:szCs w:val="21"/>
              </w:rPr>
            </w:r>
          </w:p>
          <w:p>
            <w:pPr>
              <w:pStyle w:val="88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72"/>
        </w:trPr>
        <w:tc>
          <w:tcPr>
            <w:gridSpan w:val="5"/>
            <w:tcW w:w="9575" w:type="dxa"/>
            <w:vAlign w:val="center"/>
            <w:textDirection w:val="lrTb"/>
            <w:noWrap w:val="false"/>
          </w:tcPr>
          <w:p>
            <w:pPr>
              <w:pStyle w:val="889"/>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cs="宋体"/>
                <w:color w:val="000000"/>
                <w:highlight w:val="none"/>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1009"/>
              <w:rPr>
                <w:rFonts w:hint="eastAsia"/>
                <w:color w:val="000000"/>
                <w:sz w:val="21"/>
                <w:szCs w:val="21"/>
                <w:highlight w:val="none"/>
              </w:rPr>
            </w:pPr>
            <w:r>
              <w:rPr>
                <w:rFonts w:hint="eastAsia"/>
                <w:color w:val="000000"/>
                <w:sz w:val="21"/>
                <w:szCs w:val="21"/>
                <w:highlight w:val="none"/>
                <w:lang w:val="en-US" w:bidi="ar-SA"/>
              </w:rPr>
              <w:t xml:space="preserve">根据本项目采购需求编制</w:t>
            </w:r>
            <w:r>
              <w:rPr>
                <w:rFonts w:hint="eastAsia"/>
                <w:color w:val="000000"/>
                <w:sz w:val="21"/>
                <w:szCs w:val="21"/>
                <w:highlight w:val="none"/>
                <w:lang w:val="en-US" w:eastAsia="zh-CN" w:bidi="ar-SA"/>
              </w:rPr>
              <w:t xml:space="preserve">售后服务</w:t>
            </w:r>
            <w:r>
              <w:rPr>
                <w:rFonts w:hint="eastAsia"/>
                <w:color w:val="000000"/>
                <w:sz w:val="21"/>
                <w:szCs w:val="21"/>
                <w:highlight w:val="none"/>
                <w:lang w:val="en-US" w:bidi="ar-SA"/>
              </w:rPr>
              <w:t xml:space="preserve">方案，内容包含：1.</w:t>
            </w:r>
            <w:r>
              <w:rPr>
                <w:rFonts w:hint="eastAsia" w:ascii="宋体" w:hAnsi="宋体" w:cs="宋体"/>
                <w:color w:val="000000"/>
                <w:sz w:val="21"/>
                <w:szCs w:val="21"/>
                <w:highlight w:val="none"/>
              </w:rPr>
              <w:t xml:space="preserve">维护保养的备品备件配置与管理；</w:t>
            </w:r>
            <w:r>
              <w:rPr>
                <w:rFonts w:hint="eastAsia"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维护保养配置的工具、器材、人员及管理；</w:t>
            </w:r>
            <w:r>
              <w:rPr>
                <w:rFonts w:hint="eastAsia"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遇到突发事件以及任务保障方案</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以上</w:t>
            </w:r>
            <w:r>
              <w:rPr>
                <w:rFonts w:hint="eastAsia"/>
                <w:color w:val="000000"/>
                <w:sz w:val="21"/>
                <w:szCs w:val="21"/>
                <w:highlight w:val="none"/>
                <w:lang w:val="en-US" w:bidi="ar-SA"/>
              </w:rPr>
              <w:t xml:space="preserve">每项内容逐项评分：</w:t>
            </w:r>
            <w:r>
              <w:rPr>
                <w:rFonts w:hint="eastAsia"/>
                <w:color w:val="000000"/>
                <w:sz w:val="21"/>
                <w:szCs w:val="21"/>
                <w:highlight w:val="none"/>
                <w:lang w:val="en-US" w:bidi="ar-SA"/>
              </w:rPr>
            </w:r>
            <w:r>
              <w:rPr>
                <w:sz w:val="21"/>
                <w:szCs w:val="21"/>
              </w:rPr>
            </w:r>
          </w:p>
          <w:p>
            <w:pPr>
              <w:pStyle w:val="1009"/>
              <w:rPr>
                <w:color w:val="000000"/>
                <w:sz w:val="21"/>
                <w:szCs w:val="21"/>
                <w:highlight w:val="none"/>
              </w:rPr>
            </w:pPr>
            <w:r>
              <w:rPr>
                <w:color w:val="000000"/>
                <w:sz w:val="21"/>
                <w:szCs w:val="21"/>
                <w:highlight w:val="none"/>
                <w:lang w:val="en-US"/>
              </w:rPr>
              <w:t xml:space="preserve">符合采购需求和实际情况视为符合；方案内容属于通用类，非专门针对本项目，部分符合实际情况视为部分符合；方案内容复制粘贴采购需求，非专门针对本项目，不符合实际情况或未提供视为不符合。</w:t>
            </w:r>
            <w:r>
              <w:rPr>
                <w:color w:val="000000"/>
                <w:sz w:val="21"/>
                <w:szCs w:val="21"/>
                <w:highlight w:val="none"/>
                <w:lang w:val="en-US"/>
              </w:rPr>
            </w:r>
            <w:r>
              <w:rPr>
                <w:sz w:val="21"/>
                <w:szCs w:val="21"/>
              </w:rPr>
            </w:r>
          </w:p>
          <w:p>
            <w:pPr>
              <w:pStyle w:val="968"/>
              <w:ind w:left="0" w:firstLine="0"/>
              <w:rPr>
                <w:rFonts w:hint="eastAsia" w:ascii="宋体" w:hAnsi="宋体" w:eastAsia="宋体" w:cs="宋体"/>
                <w:color w:val="000000"/>
                <w:sz w:val="21"/>
                <w:szCs w:val="21"/>
                <w:highlight w:val="none"/>
                <w:lang w:val="en-US" w:eastAsia="zh-CN" w:bidi="ar-SA"/>
              </w:rPr>
            </w:pPr>
            <w:r>
              <w:rPr>
                <w:rFonts w:hint="eastAsia"/>
                <w:color w:val="000000"/>
                <w:sz w:val="21"/>
                <w:szCs w:val="21"/>
                <w:highlight w:val="none"/>
                <w:lang w:val="en-US"/>
              </w:rPr>
              <w:t xml:space="preserve">上述每项内容</w:t>
            </w:r>
            <w:r>
              <w:rPr>
                <w:color w:val="000000"/>
                <w:sz w:val="21"/>
                <w:szCs w:val="21"/>
                <w:highlight w:val="none"/>
                <w:lang w:val="en-US"/>
              </w:rPr>
              <w:t xml:space="preserve">符合得</w:t>
            </w:r>
            <w:r>
              <w:rPr>
                <w:rFonts w:hint="eastAsia"/>
                <w:color w:val="000000"/>
                <w:sz w:val="21"/>
                <w:szCs w:val="21"/>
                <w:highlight w:val="none"/>
                <w:lang w:val="en-US"/>
              </w:rPr>
              <w:t xml:space="preserve">2</w:t>
            </w:r>
            <w:r>
              <w:rPr>
                <w:color w:val="000000"/>
                <w:sz w:val="21"/>
                <w:szCs w:val="21"/>
                <w:highlight w:val="none"/>
                <w:lang w:val="en-US"/>
              </w:rPr>
              <w:t xml:space="preserve">分；部分符合得 </w:t>
            </w:r>
            <w:r>
              <w:rPr>
                <w:rFonts w:hint="eastAsia"/>
                <w:color w:val="000000"/>
                <w:sz w:val="21"/>
                <w:szCs w:val="21"/>
                <w:highlight w:val="none"/>
                <w:lang w:val="en-US"/>
              </w:rPr>
              <w:t xml:space="preserve">1</w:t>
            </w:r>
            <w:r>
              <w:rPr>
                <w:color w:val="000000"/>
                <w:sz w:val="21"/>
                <w:szCs w:val="21"/>
                <w:highlight w:val="none"/>
                <w:lang w:val="en-US"/>
              </w:rPr>
              <w:t xml:space="preserve"> 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89"/>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580"/>
        </w:trPr>
        <w:tc>
          <w:tcPr>
            <w:tcW w:w="519"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9"/>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eastAsia="宋体"/>
                <w:color w:val="000000"/>
                <w:szCs w:val="21"/>
                <w:highlight w:val="none"/>
                <w:lang w:val="en-US" w:eastAsia="zh-CN"/>
              </w:rPr>
            </w:r>
            <w:r/>
          </w:p>
        </w:tc>
        <w:tc>
          <w:tcPr>
            <w:tcW w:w="6330" w:type="dxa"/>
            <w:vAlign w:val="center"/>
            <w:textDirection w:val="lrTb"/>
            <w:noWrap w:val="false"/>
          </w:tcPr>
          <w:p>
            <w:pPr>
              <w:pStyle w:val="889"/>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color w:val="000000"/>
                <w:szCs w:val="21"/>
                <w:highlight w:val="none"/>
              </w:rPr>
              <w:t xml:space="preserve">投标人</w:t>
            </w:r>
            <w:r>
              <w:rPr>
                <w:rFonts w:hint="eastAsia" w:ascii="宋体" w:hAnsi="宋体"/>
                <w:color w:val="000000"/>
                <w:szCs w:val="21"/>
                <w:highlight w:val="none"/>
                <w:lang w:val="en-US" w:eastAsia="zh-CN"/>
              </w:rPr>
              <w:t xml:space="preserve">提供</w:t>
            </w: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月1日（含）以来成功实施过类似项目（</w:t>
            </w:r>
            <w:r>
              <w:rPr>
                <w:rFonts w:hint="eastAsia"/>
                <w:color w:val="000000"/>
                <w:highlight w:val="none"/>
              </w:rPr>
              <w:t xml:space="preserve">至少需包含交通信号灯控制、治安卡口、视频监控、电子警察、测速设备中的一种）</w:t>
            </w:r>
            <w:r>
              <w:rPr>
                <w:rFonts w:hint="eastAsia" w:ascii="宋体" w:hAnsi="宋体"/>
                <w:color w:val="000000"/>
                <w:szCs w:val="21"/>
                <w:highlight w:val="none"/>
              </w:rPr>
              <w:t xml:space="preserve">并提供证明材料上传系统。每</w:t>
            </w:r>
            <w:r>
              <w:rPr>
                <w:rFonts w:hint="eastAsia" w:ascii="宋体" w:hAnsi="宋体"/>
                <w:color w:val="000000"/>
                <w:szCs w:val="21"/>
                <w:highlight w:val="none"/>
                <w:lang w:val="en-US" w:eastAsia="zh-CN"/>
              </w:rPr>
              <w:t xml:space="preserve">提供一个项目</w:t>
            </w:r>
            <w:r>
              <w:rPr>
                <w:rFonts w:hint="eastAsia" w:ascii="宋体" w:hAnsi="宋体"/>
                <w:color w:val="000000"/>
                <w:szCs w:val="21"/>
                <w:highlight w:val="none"/>
              </w:rPr>
              <w:t xml:space="preserve">得2分，满分</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分。（时间以合同</w:t>
            </w:r>
            <w:r>
              <w:rPr>
                <w:rFonts w:hint="eastAsia" w:ascii="宋体" w:hAnsi="宋体"/>
                <w:color w:val="000000"/>
                <w:szCs w:val="21"/>
                <w:highlight w:val="none"/>
                <w:lang w:val="en-US" w:eastAsia="zh-CN"/>
              </w:rPr>
              <w:t xml:space="preserve">签订时间</w:t>
            </w:r>
            <w:r>
              <w:rPr>
                <w:rFonts w:hint="eastAsia" w:ascii="宋体" w:hAnsi="宋体"/>
                <w:color w:val="000000"/>
                <w:szCs w:val="21"/>
                <w:highlight w:val="none"/>
              </w:rPr>
              <w:t xml:space="preserve">为准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提供</w:t>
            </w:r>
            <w:r>
              <w:rPr>
                <w:rFonts w:hint="eastAsia" w:ascii="宋体" w:hAnsi="宋体"/>
                <w:color w:val="000000"/>
                <w:szCs w:val="21"/>
                <w:highlight w:val="none"/>
                <w:lang w:val="en-US" w:eastAsia="zh-CN"/>
              </w:rPr>
              <w:t xml:space="preserve">有效</w:t>
            </w:r>
            <w:r>
              <w:rPr>
                <w:rFonts w:hint="eastAsia" w:ascii="宋体" w:hAnsi="宋体"/>
                <w:color w:val="000000"/>
                <w:szCs w:val="21"/>
                <w:highlight w:val="none"/>
              </w:rPr>
              <w:t xml:space="preserve">合同、验收证明材料</w:t>
            </w:r>
            <w:r>
              <w:rPr>
                <w:rFonts w:hint="eastAsia" w:ascii="宋体" w:hAnsi="宋体"/>
                <w:color w:val="000000"/>
                <w:szCs w:val="21"/>
                <w:highlight w:val="none"/>
                <w:lang w:val="en-US" w:eastAsia="zh-CN"/>
              </w:rPr>
              <w:t xml:space="preserve">和</w:t>
            </w:r>
            <w:r>
              <w:rPr>
                <w:rFonts w:hint="eastAsia" w:ascii="宋体" w:hAnsi="宋体"/>
                <w:color w:val="000000"/>
                <w:szCs w:val="21"/>
                <w:highlight w:val="none"/>
              </w:rPr>
              <w:t xml:space="preserve">发票</w:t>
            </w:r>
            <w:r>
              <w:rPr>
                <w:rFonts w:hint="eastAsia" w:ascii="宋体" w:hAnsi="宋体"/>
                <w:color w:val="000000"/>
                <w:szCs w:val="21"/>
                <w:highlight w:val="none"/>
                <w:lang w:val="en-US" w:eastAsia="zh-CN"/>
              </w:rPr>
              <w:t xml:space="preserve">扫描件</w:t>
            </w:r>
            <w:r>
              <w:rPr>
                <w:rFonts w:hint="eastAsia" w:ascii="宋体" w:hAnsi="宋体"/>
                <w:color w:val="000000"/>
                <w:szCs w:val="21"/>
                <w:highlight w:val="none"/>
              </w:rPr>
              <w:t xml:space="preserve">，缺一不可</w:t>
            </w:r>
            <w:r>
              <w:rPr>
                <w:rFonts w:hint="eastAsia" w:ascii="宋体" w:hAnsi="宋体"/>
                <w:color w:val="000000"/>
                <w:szCs w:val="21"/>
                <w:highlight w:val="none"/>
              </w:rPr>
              <w:t xml:space="preserve">，原件备查）</w:t>
            </w:r>
            <w:r>
              <w:rPr>
                <w:rFonts w:hint="eastAsia" w:ascii="宋体" w:hAnsi="宋体"/>
                <w:color w:val="000000"/>
                <w:szCs w:val="21"/>
                <w:highlight w:val="none"/>
                <w:lang w:eastAsia="zh-CN"/>
              </w:rPr>
              <w:t xml:space="preserve">。</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89"/>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23"/>
        </w:trPr>
        <w:tc>
          <w:tcPr>
            <w:gridSpan w:val="5"/>
            <w:tcW w:w="9575" w:type="dxa"/>
            <w:vAlign w:val="top"/>
            <w:textDirection w:val="lrTb"/>
            <w:noWrap w:val="false"/>
          </w:tcPr>
          <w:p>
            <w:pPr>
              <w:pStyle w:val="889"/>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89"/>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1</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889"/>
              <w:spacing w:line="240" w:lineRule="auto"/>
              <w:widowControl/>
              <w:rPr>
                <w:rFonts w:hint="eastAsia" w:ascii="宋体" w:hAnsi="宋体" w:cs="宋体"/>
                <w:color w:val="000000"/>
                <w:highlight w:val="none"/>
              </w:rPr>
            </w:pPr>
            <w:r>
              <w:rPr>
                <w:rFonts w:hint="eastAsia" w:ascii="宋体" w:hAnsi="宋体" w:eastAsia="宋体" w:cs="宋体"/>
                <w:color w:val="000000"/>
                <w:highlight w:val="none"/>
              </w:rPr>
              <w:t xml:space="preserve">(1) </w:t>
            </w:r>
            <w:r>
              <w:rPr>
                <w:rFonts w:hint="eastAsia" w:ascii="宋体" w:hAnsi="宋体" w:cs="宋体"/>
                <w:color w:val="000000"/>
                <w:highlight w:val="none"/>
              </w:rPr>
              <w:t xml:space="preserve">项目经理：具有二级或以上建造师注册证书（注册专业：机电工程）、建筑施工企业项目负责人安全生产知识考核合格证书（安全员B证）的项目经理，得3分，不满足不得分。（提供上述人员证书，</w:t>
            </w:r>
            <w:r>
              <w:rPr>
                <w:rFonts w:hint="eastAsia" w:ascii="宋体" w:hAnsi="宋体" w:cs="宋体"/>
                <w:color w:val="000000"/>
                <w:highlight w:val="none"/>
                <w:lang w:val="en-US" w:eastAsia="zh-CN"/>
              </w:rPr>
              <w:t xml:space="preserve">投标人</w:t>
            </w:r>
            <w:r>
              <w:rPr>
                <w:rFonts w:hint="eastAsia" w:ascii="宋体" w:hAnsi="宋体" w:cs="宋体"/>
                <w:color w:val="000000"/>
                <w:highlight w:val="none"/>
              </w:rPr>
              <w:t xml:space="preserve">为其缴纳的 2026年2月以来任意一个月的社保证明材料，缺一不可）。</w:t>
            </w:r>
            <w:r>
              <w:rPr>
                <w:rFonts w:hint="eastAsia" w:ascii="宋体" w:hAnsi="宋体" w:cs="宋体"/>
                <w:color w:val="000000"/>
                <w:highlight w:val="none"/>
              </w:rPr>
            </w:r>
            <w:r/>
          </w:p>
          <w:p>
            <w:pPr>
              <w:pStyle w:val="889"/>
              <w:spacing w:line="240" w:lineRule="auto"/>
              <w:widowControl/>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）投入本项目的维护人员（项目经理除外）须具有有效期内</w:t>
            </w:r>
            <w:r>
              <w:rPr>
                <w:rFonts w:hint="eastAsia" w:ascii="宋体" w:hAnsi="宋体" w:cs="宋体"/>
                <w:color w:val="000000"/>
                <w:highlight w:val="none"/>
              </w:rPr>
              <w:t xml:space="preserve">安全员C类</w:t>
            </w:r>
            <w:r>
              <w:rPr>
                <w:rFonts w:hint="eastAsia" w:ascii="宋体" w:hAnsi="宋体" w:cs="宋体"/>
                <w:color w:val="000000"/>
                <w:highlight w:val="none"/>
                <w:lang w:val="en-US" w:eastAsia="zh-CN"/>
              </w:rPr>
              <w:t xml:space="preserve">证书</w:t>
            </w:r>
            <w:r>
              <w:rPr>
                <w:rFonts w:hint="eastAsia" w:ascii="宋体" w:hAnsi="宋体" w:cs="宋体"/>
                <w:color w:val="000000"/>
                <w:highlight w:val="none"/>
              </w:rPr>
              <w:t xml:space="preserve">、电工证、登高作业证各2人，每有一人得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分，最高的得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分。一人多证按一证计算，不重复计分。（提供上述人员证书，</w:t>
            </w:r>
            <w:r>
              <w:rPr>
                <w:rFonts w:hint="eastAsia" w:ascii="宋体" w:hAnsi="宋体" w:cs="宋体"/>
                <w:color w:val="000000"/>
                <w:highlight w:val="none"/>
                <w:lang w:val="en-US" w:eastAsia="zh-CN"/>
              </w:rPr>
              <w:t xml:space="preserve">投标人</w:t>
            </w:r>
            <w:r>
              <w:rPr>
                <w:rFonts w:hint="eastAsia" w:ascii="宋体" w:hAnsi="宋体" w:cs="宋体"/>
                <w:color w:val="000000"/>
                <w:highlight w:val="none"/>
              </w:rPr>
              <w:t xml:space="preserve">为其缴纳的 2026年2月以来任意一个月的社保证明材料，缺一不可）。</w:t>
            </w:r>
            <w:r>
              <w:rPr>
                <w:rFonts w:hint="eastAsia" w:ascii="宋体" w:hAnsi="宋体" w:cs="宋体"/>
                <w:color w:val="000000"/>
                <w:highlight w:val="none"/>
              </w:rPr>
            </w:r>
            <w:r/>
          </w:p>
          <w:p>
            <w:pPr>
              <w:pStyle w:val="889"/>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）投入本项目的施工人员8-10人得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分，11人或以上得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分，最高的得2分（</w:t>
            </w:r>
            <w:r>
              <w:rPr>
                <w:rFonts w:hint="eastAsia" w:ascii="宋体" w:hAnsi="宋体" w:cs="宋体"/>
                <w:color w:val="000000"/>
                <w:highlight w:val="none"/>
                <w:lang w:val="en-US" w:eastAsia="zh-CN"/>
              </w:rPr>
              <w:t xml:space="preserve">提供承诺书或有效证明材料</w:t>
            </w:r>
            <w:r>
              <w:rPr>
                <w:rFonts w:hint="eastAsia" w:ascii="宋体" w:hAnsi="宋体" w:cs="宋体"/>
                <w:color w:val="000000"/>
                <w:highlight w:val="none"/>
              </w:rPr>
              <w:t xml:space="preserve">）。</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8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89"/>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464"/>
        </w:trPr>
        <w:tc>
          <w:tcPr>
            <w:tcW w:w="519" w:type="dxa"/>
            <w:vAlign w:val="center"/>
            <w:textDirection w:val="lrTb"/>
            <w:noWrap w:val="false"/>
          </w:tcPr>
          <w:p>
            <w:pPr>
              <w:pStyle w:val="889"/>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89"/>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89"/>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89"/>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89"/>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89"/>
        <w:jc w:val="center"/>
        <w:rPr>
          <w:rFonts w:hint="eastAsia" w:ascii="宋体" w:hAnsi="宋体"/>
          <w:b/>
          <w:color w:val="000000"/>
          <w:sz w:val="72"/>
          <w:szCs w:val="21"/>
          <w:highlight w:val="none"/>
        </w:rPr>
      </w:pPr>
      <w:r/>
      <w:bookmarkStart w:id="62" w:name="_Hlt26671244"/>
      <w:r/>
      <w:bookmarkEnd w:id="62"/>
      <w:r/>
      <w:bookmarkStart w:id="63" w:name="_Hlt26955039"/>
      <w:r/>
      <w:bookmarkEnd w:id="63"/>
      <w:r/>
      <w:bookmarkStart w:id="64" w:name="_Toc26554094"/>
      <w:r/>
      <w:bookmarkStart w:id="65" w:name="_Toc49090576"/>
      <w:r/>
      <w:bookmarkStart w:id="66" w:name="_Toc120614282"/>
      <w:r>
        <w:rPr>
          <w:rFonts w:hint="eastAsia" w:ascii="宋体" w:hAnsi="宋体"/>
          <w:b/>
          <w:color w:val="000000"/>
          <w:sz w:val="72"/>
          <w:szCs w:val="21"/>
          <w:highlight w:val="none"/>
        </w:rPr>
      </w:r>
      <w:r/>
    </w:p>
    <w:p>
      <w:pPr>
        <w:pStyle w:val="88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8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9"/>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89"/>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8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8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8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89"/>
        <w:spacing w:line="440" w:lineRule="exact"/>
        <w:rPr>
          <w:rFonts w:ascii="宋体" w:hAnsi="宋体"/>
          <w:color w:val="000000"/>
          <w:szCs w:val="21"/>
          <w:highlight w:val="none"/>
        </w:rPr>
      </w:pPr>
      <w:r>
        <w:rPr>
          <w:rFonts w:ascii="宋体" w:hAnsi="宋体"/>
          <w:color w:val="000000"/>
          <w:szCs w:val="21"/>
          <w:highlight w:val="none"/>
        </w:rPr>
      </w:r>
      <w:r/>
    </w:p>
    <w:p>
      <w:pPr>
        <w:pStyle w:val="889"/>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4"/>
      <w:r/>
      <w:bookmarkEnd w:id="65"/>
      <w:r/>
      <w:bookmarkEnd w:id="66"/>
      <w:r>
        <w:rPr>
          <w:rFonts w:hint="eastAsia" w:ascii="方正黑体_GBK" w:hAnsi="方正黑体_GBK" w:eastAsia="方正黑体_GBK" w:cs="方正黑体_GBK"/>
          <w:b w:val="0"/>
          <w:bCs w:val="0"/>
          <w:color w:val="000000"/>
          <w:sz w:val="32"/>
          <w:szCs w:val="32"/>
          <w:highlight w:val="none"/>
        </w:rPr>
      </w:r>
      <w:r/>
    </w:p>
    <w:p>
      <w:pPr>
        <w:pStyle w:val="88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8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8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8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8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pStyle w:val="889"/>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十三、分包情况说明及分包意向协议（如有）</w:t>
      </w:r>
      <w:r>
        <w:rPr>
          <w:rFonts w:hint="eastAsia" w:ascii="宋体" w:hAnsi="宋体" w:eastAsia="宋体" w:cs="宋体"/>
          <w:color w:val="000000"/>
          <w:sz w:val="28"/>
          <w:szCs w:val="28"/>
          <w:highlight w:val="none"/>
          <w:lang w:val="en-US" w:eastAsia="zh-CN"/>
        </w:rPr>
      </w:r>
      <w:r/>
    </w:p>
    <w:p>
      <w:pPr>
        <w:pStyle w:val="889"/>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89"/>
        <w:ind w:firstLine="480"/>
        <w:spacing w:line="440" w:lineRule="exact"/>
        <w:rPr>
          <w:rFonts w:ascii="宋体" w:hAnsi="宋体"/>
          <w:color w:val="000000"/>
          <w:sz w:val="24"/>
          <w:highlight w:val="none"/>
        </w:rPr>
      </w:pPr>
      <w:r>
        <w:rPr>
          <w:rFonts w:ascii="宋体" w:hAnsi="宋体"/>
          <w:color w:val="000000"/>
          <w:sz w:val="24"/>
          <w:highlight w:val="none"/>
        </w:rPr>
      </w:r>
      <w:r/>
    </w:p>
    <w:p>
      <w:pPr>
        <w:pStyle w:val="889"/>
        <w:ind w:firstLine="480"/>
        <w:spacing w:line="440" w:lineRule="exact"/>
        <w:rPr>
          <w:rFonts w:ascii="宋体" w:hAnsi="宋体"/>
          <w:color w:val="000000"/>
          <w:sz w:val="24"/>
          <w:highlight w:val="none"/>
        </w:rPr>
      </w:pPr>
      <w:r>
        <w:rPr>
          <w:rFonts w:ascii="宋体" w:hAnsi="宋体"/>
          <w:color w:val="000000"/>
          <w:sz w:val="24"/>
          <w:highlight w:val="none"/>
        </w:rPr>
      </w:r>
      <w:r/>
    </w:p>
    <w:p>
      <w:pPr>
        <w:pStyle w:val="889"/>
        <w:ind w:firstLine="480"/>
        <w:spacing w:line="440" w:lineRule="exact"/>
        <w:rPr>
          <w:rFonts w:ascii="宋体" w:hAnsi="宋体"/>
          <w:color w:val="000000"/>
          <w:sz w:val="24"/>
          <w:highlight w:val="none"/>
        </w:rPr>
      </w:pPr>
      <w:r>
        <w:rPr>
          <w:rFonts w:ascii="宋体" w:hAnsi="宋体"/>
          <w:color w:val="000000"/>
          <w:sz w:val="24"/>
          <w:highlight w:val="none"/>
        </w:rPr>
      </w:r>
      <w:r/>
    </w:p>
    <w:p>
      <w:pPr>
        <w:pStyle w:val="1006"/>
        <w:rPr>
          <w:rFonts w:ascii="宋体" w:hAnsi="宋体"/>
          <w:color w:val="000000"/>
          <w:sz w:val="24"/>
          <w:highlight w:val="none"/>
        </w:rPr>
      </w:pPr>
      <w:r>
        <w:rPr>
          <w:rFonts w:ascii="宋体" w:hAnsi="宋体"/>
          <w:color w:val="000000"/>
          <w:sz w:val="24"/>
          <w:highlight w:val="none"/>
        </w:rPr>
      </w:r>
      <w:r/>
    </w:p>
    <w:p>
      <w:pPr>
        <w:pStyle w:val="1006"/>
        <w:rPr>
          <w:rFonts w:ascii="宋体" w:hAnsi="宋体"/>
          <w:color w:val="000000"/>
          <w:sz w:val="24"/>
          <w:highlight w:val="none"/>
        </w:rPr>
      </w:pPr>
      <w:r>
        <w:rPr>
          <w:rFonts w:ascii="宋体" w:hAnsi="宋体"/>
          <w:color w:val="000000"/>
          <w:sz w:val="24"/>
          <w:highlight w:val="none"/>
        </w:rPr>
      </w:r>
      <w:r/>
    </w:p>
    <w:p>
      <w:pPr>
        <w:pStyle w:val="1006"/>
        <w:rPr>
          <w:rFonts w:ascii="宋体" w:hAnsi="宋体"/>
          <w:color w:val="000000"/>
          <w:sz w:val="24"/>
          <w:highlight w:val="none"/>
        </w:rPr>
      </w:pPr>
      <w:r>
        <w:rPr>
          <w:rFonts w:ascii="宋体" w:hAnsi="宋体"/>
          <w:color w:val="000000"/>
          <w:sz w:val="24"/>
          <w:highlight w:val="none"/>
        </w:rPr>
      </w:r>
      <w:r/>
    </w:p>
    <w:p>
      <w:pPr>
        <w:pStyle w:val="1006"/>
        <w:rPr>
          <w:rFonts w:ascii="宋体" w:hAnsi="宋体"/>
          <w:color w:val="000000"/>
          <w:sz w:val="24"/>
          <w:highlight w:val="none"/>
        </w:rPr>
      </w:pPr>
      <w:r>
        <w:rPr>
          <w:rFonts w:ascii="宋体" w:hAnsi="宋体"/>
          <w:color w:val="000000"/>
          <w:sz w:val="24"/>
          <w:highlight w:val="none"/>
        </w:rPr>
      </w:r>
      <w:r/>
    </w:p>
    <w:p>
      <w:pPr>
        <w:pStyle w:val="889"/>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89"/>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shd w:val="nil"/>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p>
    <w:p>
      <w:pPr>
        <w:pStyle w:val="88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8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8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8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8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8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89"/>
        <w:ind w:firstLine="492"/>
        <w:spacing w:line="460" w:lineRule="exact"/>
        <w:rPr>
          <w:color w:val="000000"/>
          <w:sz w:val="24"/>
          <w:szCs w:val="24"/>
          <w:highlight w:val="none"/>
        </w:rPr>
      </w:pPr>
      <w:r>
        <w:rPr>
          <w:color w:val="000000"/>
          <w:sz w:val="24"/>
          <w:szCs w:val="24"/>
          <w:highlight w:val="none"/>
        </w:rPr>
      </w:r>
      <w:r/>
    </w:p>
    <w:p>
      <w:pPr>
        <w:pStyle w:val="1007"/>
        <w:rPr>
          <w:color w:val="000000"/>
          <w:sz w:val="24"/>
          <w:szCs w:val="24"/>
          <w:highlight w:val="none"/>
        </w:rPr>
      </w:pPr>
      <w:r>
        <w:rPr>
          <w:color w:val="000000"/>
          <w:sz w:val="24"/>
          <w:szCs w:val="24"/>
          <w:highlight w:val="none"/>
        </w:rPr>
      </w:r>
      <w:r/>
    </w:p>
    <w:p>
      <w:pPr>
        <w:pStyle w:val="88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9"/>
        <w:rPr>
          <w:color w:val="000000"/>
          <w:sz w:val="24"/>
          <w:szCs w:val="24"/>
          <w:highlight w:val="none"/>
        </w:rPr>
      </w:pPr>
      <w:r>
        <w:rPr>
          <w:color w:val="000000"/>
          <w:sz w:val="24"/>
          <w:szCs w:val="24"/>
          <w:highlight w:val="none"/>
        </w:rPr>
      </w:r>
      <w:r/>
    </w:p>
    <w:p>
      <w:pPr>
        <w:pStyle w:val="88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8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77"/>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7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7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77"/>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7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7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7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7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77"/>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04"/>
        <w:ind w:firstLine="0"/>
        <w:rPr>
          <w:rFonts w:hint="eastAsia"/>
          <w:color w:val="000000"/>
          <w:highlight w:val="none"/>
        </w:rPr>
      </w:pPr>
      <w:r>
        <w:rPr>
          <w:rFonts w:hint="eastAsia"/>
          <w:color w:val="000000"/>
          <w:highlight w:val="none"/>
        </w:rPr>
      </w:r>
      <w:r/>
    </w:p>
    <w:p>
      <w:pPr>
        <w:pStyle w:val="97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8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8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79"/>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979"/>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889"/>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58"/>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79"/>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79"/>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9"/>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7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7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7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79"/>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8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79"/>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8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8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89"/>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89"/>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89"/>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79"/>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89"/>
        <w:rPr>
          <w:rFonts w:ascii="宋体" w:hAnsi="宋体"/>
          <w:color w:val="000000"/>
          <w:sz w:val="24"/>
          <w:szCs w:val="24"/>
          <w:highlight w:val="none"/>
        </w:rPr>
      </w:pPr>
      <w:r>
        <w:rPr>
          <w:rFonts w:ascii="宋体" w:hAnsi="宋体"/>
          <w:color w:val="000000"/>
          <w:sz w:val="24"/>
          <w:szCs w:val="24"/>
          <w:highlight w:val="none"/>
        </w:rPr>
      </w:r>
      <w:r/>
    </w:p>
    <w:p>
      <w:pPr>
        <w:pStyle w:val="889"/>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8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68"/>
        <w:rPr>
          <w:rFonts w:hint="eastAsia"/>
          <w:color w:val="000000"/>
          <w:highlight w:val="none"/>
        </w:rPr>
      </w:pPr>
      <w:r>
        <w:rPr>
          <w:rFonts w:hint="eastAsia"/>
          <w:color w:val="000000"/>
          <w:highlight w:val="none"/>
        </w:rPr>
      </w:r>
      <w:r/>
    </w:p>
    <w:p>
      <w:pPr>
        <w:pStyle w:val="968"/>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88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5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8"/>
        <w:rPr>
          <w:rFonts w:hint="eastAsia"/>
          <w:color w:val="000000"/>
          <w:highlight w:val="none"/>
          <w:lang w:val="en-US" w:eastAsia="zh-CN"/>
        </w:rPr>
      </w:pPr>
      <w:r>
        <w:rPr>
          <w:rFonts w:hint="eastAsia"/>
          <w:color w:val="000000"/>
          <w:highlight w:val="none"/>
          <w:lang w:val="en-US" w:eastAsia="zh-CN"/>
        </w:rPr>
      </w:r>
      <w:r/>
    </w:p>
    <w:p>
      <w:pPr>
        <w:pStyle w:val="88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889"/>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8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89"/>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8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8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88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88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88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8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8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88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89"/>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89"/>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8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8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8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8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89"/>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8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8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8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8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8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89"/>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8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8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8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8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8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8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89"/>
              <w:jc w:val="both"/>
              <w:spacing w:line="0" w:lineRule="atLeast"/>
              <w:rPr>
                <w:rFonts w:hint="eastAsia" w:ascii="宋体" w:hAnsi="宋体" w:eastAsia="宋体" w:cs="Times New Roman"/>
                <w:b/>
                <w:bCs/>
                <w:color w:val="000000"/>
                <w:sz w:val="24"/>
                <w:szCs w:val="24"/>
                <w:highlight w:val="none"/>
                <w:shd w:val="clear" w:color="auto" w:fill="auto"/>
                <w:lang w:val="en-US" w:eastAsia="zh-CN"/>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eastAsia="宋体" w:cs="Times New Roman"/>
                <w:b/>
                <w:bCs/>
                <w:color w:val="000000"/>
                <w:sz w:val="24"/>
                <w:szCs w:val="24"/>
                <w:highlight w:val="none"/>
                <w:shd w:val="clear" w:color="auto" w:fill="auto"/>
                <w:lang w:val="en-US" w:eastAsia="zh-CN"/>
              </w:rPr>
            </w:r>
            <w:r/>
          </w:p>
          <w:p>
            <w:pPr>
              <w:pStyle w:val="889"/>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shd w:val="clear" w:color="auto" w:fill="auto"/>
                <w:lang w:val="en-US" w:eastAsia="zh-CN"/>
              </w:rPr>
            </w:r>
            <w:r/>
          </w:p>
        </w:tc>
      </w:tr>
    </w:tbl>
    <w:p>
      <w:pPr>
        <w:pStyle w:val="889"/>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5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5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5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52"/>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5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8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8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89"/>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8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9"/>
              <w:jc w:val="center"/>
              <w:rPr>
                <w:color w:val="000000"/>
                <w:highlight w:val="none"/>
              </w:rPr>
            </w:pPr>
            <w:r>
              <w:rPr>
                <w:color w:val="000000"/>
                <w:highlight w:val="none"/>
              </w:rPr>
            </w:r>
            <w:r/>
          </w:p>
          <w:p>
            <w:pPr>
              <w:pStyle w:val="958"/>
              <w:rPr>
                <w:rFonts w:hint="eastAsia"/>
                <w:color w:val="000000"/>
                <w:highlight w:val="none"/>
              </w:rPr>
            </w:pPr>
            <w:r>
              <w:rPr>
                <w:rFonts w:hint="eastAsia"/>
                <w:color w:val="000000"/>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52"/>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5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52"/>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52"/>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8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88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8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89"/>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8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9"/>
              <w:jc w:val="center"/>
              <w:rPr>
                <w:color w:val="000000"/>
                <w:highlight w:val="none"/>
              </w:rPr>
            </w:pPr>
            <w:r>
              <w:rPr>
                <w:color w:val="000000"/>
                <w:highlight w:val="none"/>
              </w:rPr>
            </w:r>
            <w:r/>
          </w:p>
          <w:p>
            <w:pPr>
              <w:pStyle w:val="958"/>
              <w:rPr>
                <w:rFonts w:hint="eastAsia"/>
                <w:color w:val="000000"/>
                <w:highlight w:val="none"/>
              </w:rPr>
            </w:pPr>
            <w:r>
              <w:rPr>
                <w:rFonts w:hint="eastAsia"/>
                <w:color w:val="000000"/>
                <w:highlight w:val="none"/>
              </w:rPr>
            </w:r>
            <w:r/>
          </w:p>
        </w:tc>
        <w:tc>
          <w:tcPr>
            <w:tcW w:w="283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5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89"/>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8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88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8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889"/>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89"/>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8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9"/>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68"/>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9"/>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89"/>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9"/>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8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8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8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shd w:val="nil"/>
        <w:rPr>
          <w:rFonts w:hint="eastAsia" w:ascii="黑体" w:hAnsi="黑体" w:eastAsia="黑体"/>
          <w:b w:val="0"/>
          <w:bCs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r>
    </w:p>
    <w:p>
      <w:pPr>
        <w:pStyle w:val="889"/>
        <w:ind w:firstLine="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88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89"/>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8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68"/>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89"/>
        <w:rPr>
          <w:rFonts w:hint="eastAsia"/>
          <w:color w:val="000000"/>
          <w:highlight w:val="none"/>
          <w:lang w:eastAsia="zh-CN"/>
        </w:rPr>
      </w:pPr>
      <w:r>
        <w:rPr>
          <w:rFonts w:hint="eastAsia"/>
          <w:color w:val="000000"/>
          <w:highlight w:val="none"/>
          <w:lang w:eastAsia="zh-CN"/>
        </w:rPr>
      </w:r>
      <w:r/>
    </w:p>
    <w:p>
      <w:pPr>
        <w:pStyle w:val="88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8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89"/>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89"/>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8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十一、联合体协议</w:t>
      </w:r>
      <w:r>
        <w:rPr>
          <w:rFonts w:hint="eastAsia" w:ascii="黑体" w:hAnsi="黑体" w:eastAsia="黑体" w:cs="Times New Roman"/>
          <w:i w:val="0"/>
          <w:iCs w:val="0"/>
          <w:color w:val="000000"/>
          <w:sz w:val="32"/>
          <w:szCs w:val="32"/>
          <w:highlight w:val="none"/>
          <w:u w:val="none"/>
          <w:lang w:val="en-US" w:eastAsia="zh-CN"/>
        </w:rPr>
      </w:r>
      <w:r/>
    </w:p>
    <w:p>
      <w:pPr>
        <w:pStyle w:val="88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89"/>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889"/>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89"/>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889"/>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9"/>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9"/>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89"/>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89"/>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89"/>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89"/>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89"/>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89"/>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5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9"/>
        <w:rPr>
          <w:rFonts w:hint="eastAsia"/>
          <w:color w:val="000000"/>
          <w:highlight w:val="none"/>
        </w:rPr>
      </w:pPr>
      <w:r>
        <w:rPr>
          <w:rFonts w:hint="eastAsia"/>
          <w:color w:val="000000"/>
          <w:highlight w:val="none"/>
        </w:rPr>
      </w:r>
      <w:r/>
    </w:p>
    <w:p>
      <w:pPr>
        <w:pStyle w:val="889"/>
        <w:ind w:firstLine="645"/>
        <w:spacing w:line="560" w:lineRule="exact"/>
        <w:rPr>
          <w:rFonts w:ascii="宋体" w:hAnsi="宋体"/>
          <w:color w:val="000000"/>
          <w:sz w:val="24"/>
          <w:highlight w:val="none"/>
        </w:rPr>
      </w:pPr>
      <w:r>
        <w:rPr>
          <w:rFonts w:ascii="宋体" w:hAnsi="宋体"/>
          <w:color w:val="000000"/>
          <w:sz w:val="24"/>
          <w:highlight w:val="none"/>
        </w:rPr>
      </w:r>
      <w:r/>
    </w:p>
    <w:p>
      <w:pPr>
        <w:pStyle w:val="88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9"/>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十二、关于符合本国产品标准的声明函</w:t>
      </w:r>
      <w:r>
        <w:rPr>
          <w:rFonts w:hint="eastAsia" w:ascii="宋体" w:hAnsi="宋体" w:eastAsia="宋体" w:cs="Times New Roman"/>
          <w:color w:val="000000"/>
          <w:sz w:val="24"/>
          <w:highlight w:val="none"/>
          <w:lang w:val="en-US" w:eastAsia="zh-CN"/>
        </w:rPr>
      </w:r>
      <w:r/>
    </w:p>
    <w:p>
      <w:pPr>
        <w:pStyle w:val="88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5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5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64"/>
          <w:rFonts w:hint="eastAsia"/>
          <w:i w:val="0"/>
          <w:color w:val="000000"/>
          <w:highlight w:val="none"/>
          <w:u w:val="single"/>
          <w:shd w:val="clear" w:color="auto" w:fill="ffffff"/>
        </w:rPr>
        <w:t xml:space="preserve">（产品名称1）</w:t>
      </w:r>
      <w:r>
        <w:rPr>
          <w:rStyle w:val="964"/>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64"/>
          <w:rFonts w:hint="eastAsia"/>
          <w:i w:val="0"/>
          <w:color w:val="000000"/>
          <w:highlight w:val="none"/>
          <w:u w:val="single"/>
          <w:shd w:val="clear" w:color="auto" w:fill="ffffff"/>
        </w:rPr>
        <w:t xml:space="preserve">（厂名）</w:t>
      </w:r>
      <w:r>
        <w:rPr>
          <w:rStyle w:val="964"/>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6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6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64"/>
          <w:rFonts w:hint="eastAsia"/>
          <w:i/>
          <w:strike w:val="0"/>
          <w:color w:val="000000"/>
          <w:highlight w:val="none"/>
          <w:u w:val="single"/>
          <w:shd w:val="clear" w:color="auto" w:fill="ffffff"/>
        </w:rPr>
        <w:t xml:space="preserve">（规定比例）</w:t>
      </w:r>
      <w:r>
        <w:rPr>
          <w:rStyle w:val="964"/>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6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64"/>
          <w:rFonts w:hint="eastAsia"/>
          <w:i/>
          <w:strike w:val="0"/>
          <w:color w:val="000000"/>
          <w:highlight w:val="none"/>
          <w:u w:val="single"/>
          <w:shd w:val="clear" w:color="auto" w:fill="ffffff"/>
        </w:rPr>
        <w:t xml:space="preserve">（关键组件）</w:t>
      </w:r>
      <w:r>
        <w:rPr>
          <w:rStyle w:val="964"/>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64"/>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64"/>
          <w:rFonts w:hint="eastAsia"/>
          <w:i/>
          <w:strike w:val="0"/>
          <w:color w:val="000000"/>
          <w:highlight w:val="none"/>
          <w:u w:val="single"/>
          <w:shd w:val="clear" w:color="auto" w:fill="ffffff"/>
        </w:rPr>
        <w:t xml:space="preserve">（关键工序）</w:t>
      </w:r>
      <w:r>
        <w:rPr>
          <w:rStyle w:val="964"/>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52"/>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6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64"/>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6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6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64"/>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6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64"/>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64"/>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64"/>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52"/>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5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52"/>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52"/>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52"/>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52"/>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52"/>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68" w:name="OLE_LINK8"/>
      <w:r>
        <w:rPr>
          <w:rFonts w:hint="eastAsia"/>
          <w:b w:val="0"/>
          <w:bCs w:val="0"/>
          <w:color w:val="000000"/>
          <w:sz w:val="21"/>
          <w:szCs w:val="21"/>
          <w:highlight w:val="none"/>
          <w:shd w:val="clear" w:color="auto" w:fill="ffffff"/>
        </w:rPr>
      </w:r>
      <w:r/>
    </w:p>
    <w:p>
      <w:pPr>
        <w:pStyle w:val="889"/>
        <w:jc w:val="left"/>
        <w:keepLines w:val="0"/>
        <w:keepNext w:val="0"/>
        <w:pageBreakBefore w:val="0"/>
        <w:spacing w:line="360" w:lineRule="auto"/>
        <w:widowControl/>
        <w:rPr>
          <w:color w:val="000000"/>
          <w:highlight w:val="none"/>
          <w:lang w:val="en-US"/>
        </w:rPr>
        <w:outlineLvl w:val="9"/>
      </w:pPr>
      <w:r/>
      <w:bookmarkEnd w:id="68"/>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color w:val="000000"/>
          <w:sz w:val="32"/>
          <w:szCs w:val="32"/>
          <w:highlight w:val="none"/>
          <w:u w:val="none"/>
          <w:lang w:val="en-US" w:eastAsia="zh-CN"/>
        </w:rPr>
        <w:t xml:space="preserve">十三、分包情况说明及分包意向协议</w:t>
      </w:r>
      <w:r>
        <w:rPr>
          <w:color w:val="000000"/>
          <w:highlight w:val="none"/>
          <w:lang w:val="en-US"/>
        </w:rPr>
      </w:r>
      <w:r/>
    </w:p>
    <w:p>
      <w:pPr>
        <w:pStyle w:val="889"/>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889"/>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9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89"/>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89"/>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889"/>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889"/>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889"/>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889"/>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889"/>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889"/>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889"/>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889"/>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889"/>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89"/>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88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9"/>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889"/>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88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89"/>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889"/>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889"/>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889"/>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89"/>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88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9"/>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89"/>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89"/>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88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9"/>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89"/>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89"/>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889"/>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889"/>
        <w:numPr>
          <w:ilvl w:val="0"/>
          <w:numId w:val="14"/>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5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r>
      <w:r/>
    </w:p>
    <w:p>
      <w:pPr>
        <w:pStyle w:val="88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8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8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89"/>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8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8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8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8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8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8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8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8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8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４２</w:t>
    </w:r>
    <w:r>
      <w:rPr>
        <w:rFonts w:ascii="宋体" w:hAnsi="宋体"/>
      </w:rPr>
      <w:fldChar w:fldCharType="end"/>
    </w:r>
    <w:r>
      <w:rPr>
        <w:rStyle w:val="962"/>
        <w:rFonts w:ascii="宋体" w:hAnsi="宋体"/>
      </w:rPr>
    </w:r>
    <w:r/>
  </w:p>
  <w:p>
    <w:pPr>
      <w:pStyle w:val="93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1"/>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8"/>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1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space"/>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2"/>
  </w:num>
  <w:num w:numId="5">
    <w:abstractNumId w:val="7"/>
  </w:num>
  <w:num w:numId="6">
    <w:abstractNumId w:val="0"/>
  </w:num>
  <w:num w:numId="7">
    <w:abstractNumId w:val="3"/>
  </w:num>
  <w:num w:numId="8">
    <w:abstractNumId w:val="11"/>
  </w:num>
  <w:num w:numId="9">
    <w:abstractNumId w:val="1"/>
  </w:num>
  <w:num w:numId="10">
    <w:abstractNumId w:val="13"/>
  </w:num>
  <w:num w:numId="11">
    <w:abstractNumId w:val="4"/>
  </w:num>
  <w:num w:numId="12">
    <w:abstractNumId w:val="10"/>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2"/>
      <w:lang w:val="en-US" w:eastAsia="zh-CN" w:bidi="ar-SA"/>
    </w:rPr>
  </w:style>
  <w:style w:type="paragraph" w:styleId="890">
    <w:name w:val="标题 1"/>
    <w:basedOn w:val="889"/>
    <w:next w:val="889"/>
    <w:link w:val="901"/>
    <w:qFormat/>
    <w:pPr>
      <w:jc w:val="center"/>
      <w:keepNext/>
      <w:outlineLvl w:val="0"/>
    </w:pPr>
    <w:rPr>
      <w:rFonts w:ascii="楷体_GB2312" w:hAnsi="Times New Roman" w:eastAsia="楷体_GB2312" w:cs="Times New Roman"/>
      <w:sz w:val="28"/>
      <w:szCs w:val="28"/>
    </w:rPr>
  </w:style>
  <w:style w:type="paragraph" w:styleId="891">
    <w:name w:val="标题 2"/>
    <w:basedOn w:val="889"/>
    <w:next w:val="889"/>
    <w:link w:val="902"/>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4"/>
    <w:link w:val="90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3">
    <w:name w:val="标题 4"/>
    <w:basedOn w:val="889"/>
    <w:next w:val="904"/>
    <w:link w:val="906"/>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4"/>
    <w:link w:val="907"/>
    <w:qFormat/>
    <w:pPr>
      <w:keepNext/>
      <w:outlineLvl w:val="4"/>
    </w:pPr>
    <w:rPr>
      <w:rFonts w:ascii="宋体" w:hAnsi="Times New Roman" w:eastAsia="宋体" w:cs="Times New Roman"/>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cs="Times New Roman"/>
      <w:szCs w:val="21"/>
    </w:rPr>
  </w:style>
  <w:style w:type="character" w:styleId="899">
    <w:name w:val="默认段落字体"/>
    <w:next w:val="899"/>
    <w:link w:val="889"/>
    <w:uiPriority w:val="1"/>
    <w:unhideWhenUsed/>
  </w:style>
  <w:style w:type="table" w:styleId="900">
    <w:name w:val="普通表格"/>
    <w:next w:val="900"/>
    <w:link w:val="88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01">
    <w:name w:val="标题 1 Char"/>
    <w:next w:val="901"/>
    <w:link w:val="890"/>
    <w:rPr>
      <w:rFonts w:ascii="楷体_GB2312" w:hAnsi="Times New Roman" w:eastAsia="楷体_GB2312" w:cs="Times New Roman"/>
      <w:sz w:val="28"/>
      <w:szCs w:val="28"/>
    </w:rPr>
  </w:style>
  <w:style w:type="character" w:styleId="902">
    <w:name w:val="标题 2 Char"/>
    <w:next w:val="902"/>
    <w:link w:val="891"/>
    <w:rPr>
      <w:rFonts w:ascii="Arial" w:hAnsi="Arial" w:eastAsia="幼圆" w:cs="Arial"/>
      <w:b/>
      <w:bCs/>
      <w:sz w:val="44"/>
      <w:szCs w:val="44"/>
    </w:rPr>
  </w:style>
  <w:style w:type="character" w:styleId="903">
    <w:name w:val="标题 3 Char"/>
    <w:next w:val="903"/>
    <w:link w:val="892"/>
    <w:rPr>
      <w:rFonts w:ascii="Times New Roman" w:hAnsi="Times New Roman" w:eastAsia="宋体" w:cs="Times New Roman"/>
      <w:b/>
      <w:bCs/>
      <w:sz w:val="32"/>
      <w:szCs w:val="32"/>
    </w:rPr>
  </w:style>
  <w:style w:type="paragraph" w:styleId="904">
    <w:name w:val="正文缩进"/>
    <w:basedOn w:val="889"/>
    <w:next w:val="904"/>
    <w:link w:val="905"/>
    <w:pPr>
      <w:ind w:firstLine="420"/>
    </w:pPr>
    <w:rPr>
      <w:szCs w:val="21"/>
    </w:rPr>
  </w:style>
  <w:style w:type="character" w:styleId="905">
    <w:name w:val="正文缩进 Char"/>
    <w:next w:val="905"/>
    <w:link w:val="904"/>
    <w:rPr>
      <w:szCs w:val="21"/>
    </w:rPr>
  </w:style>
  <w:style w:type="character" w:styleId="906">
    <w:name w:val="标题 4 Char"/>
    <w:next w:val="906"/>
    <w:link w:val="893"/>
    <w:rPr>
      <w:rFonts w:ascii="Arial" w:hAnsi="Arial" w:eastAsia="黑体" w:cs="Arial"/>
      <w:b/>
      <w:bCs/>
      <w:sz w:val="28"/>
      <w:szCs w:val="28"/>
    </w:rPr>
  </w:style>
  <w:style w:type="character" w:styleId="907">
    <w:name w:val="标题 5 Char"/>
    <w:next w:val="907"/>
    <w:link w:val="894"/>
    <w:rPr>
      <w:rFonts w:ascii="宋体" w:hAnsi="Times New Roman" w:eastAsia="宋体" w:cs="Times New Roman"/>
      <w:color w:val="000000"/>
      <w:sz w:val="28"/>
      <w:szCs w:val="28"/>
    </w:rPr>
  </w:style>
  <w:style w:type="character" w:styleId="908">
    <w:name w:val="标题 6 Char"/>
    <w:next w:val="908"/>
    <w:link w:val="895"/>
    <w:rPr>
      <w:rFonts w:ascii="Arial" w:hAnsi="Arial" w:eastAsia="黑体" w:cs="Times New Roman"/>
      <w:b/>
      <w:bCs/>
      <w:sz w:val="24"/>
      <w:szCs w:val="24"/>
    </w:rPr>
  </w:style>
  <w:style w:type="character" w:styleId="909">
    <w:name w:val="标题 7 Char"/>
    <w:next w:val="909"/>
    <w:link w:val="896"/>
    <w:rPr>
      <w:rFonts w:ascii="Times New Roman" w:hAnsi="Times New Roman" w:eastAsia="宋体" w:cs="Times New Roman"/>
      <w:b/>
      <w:bCs/>
      <w:sz w:val="24"/>
      <w:szCs w:val="24"/>
    </w:rPr>
  </w:style>
  <w:style w:type="character" w:styleId="910">
    <w:name w:val="标题 8 Char"/>
    <w:next w:val="910"/>
    <w:link w:val="897"/>
    <w:rPr>
      <w:rFonts w:ascii="Arial" w:hAnsi="Arial" w:eastAsia="黑体" w:cs="Times New Roman"/>
      <w:sz w:val="24"/>
      <w:szCs w:val="24"/>
    </w:rPr>
  </w:style>
  <w:style w:type="character" w:styleId="911">
    <w:name w:val="标题 9 Char"/>
    <w:next w:val="911"/>
    <w:link w:val="898"/>
    <w:rPr>
      <w:rFonts w:ascii="Arial" w:hAnsi="Arial" w:eastAsia="黑体" w:cs="Times New Roman"/>
      <w:szCs w:val="21"/>
    </w:rPr>
  </w:style>
  <w:style w:type="paragraph" w:styleId="912">
    <w:name w:val="列表 3"/>
    <w:basedOn w:val="889"/>
    <w:next w:val="912"/>
    <w:link w:val="889"/>
    <w:pPr>
      <w:ind w:left="100" w:hanging="200"/>
    </w:pPr>
    <w:rPr>
      <w:rFonts w:ascii="Times New Roman" w:hAnsi="Times New Roman" w:eastAsia="宋体" w:cs="Times New Roman"/>
      <w:szCs w:val="21"/>
    </w:rPr>
  </w:style>
  <w:style w:type="paragraph" w:styleId="913">
    <w:name w:val="目录 7"/>
    <w:basedOn w:val="889"/>
    <w:next w:val="889"/>
    <w:link w:val="889"/>
    <w:semiHidden/>
    <w:pPr>
      <w:ind w:left="1260"/>
      <w:jc w:val="left"/>
    </w:pPr>
    <w:rPr>
      <w:rFonts w:ascii="Times New Roman" w:hAnsi="Times New Roman" w:eastAsia="宋体" w:cs="Times New Roman"/>
      <w:szCs w:val="21"/>
    </w:rPr>
  </w:style>
  <w:style w:type="paragraph" w:styleId="914">
    <w:name w:val="文档结构图"/>
    <w:basedOn w:val="889"/>
    <w:next w:val="914"/>
    <w:link w:val="915"/>
    <w:semiHidden/>
    <w:pPr>
      <w:shd w:val="clear" w:color="auto" w:fill="000080"/>
    </w:pPr>
    <w:rPr>
      <w:rFonts w:ascii="Times New Roman" w:hAnsi="Times New Roman" w:eastAsia="宋体" w:cs="Times New Roman"/>
      <w:szCs w:val="21"/>
    </w:r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7">
    <w:name w:val="批注文字 Char"/>
    <w:basedOn w:val="899"/>
    <w:next w:val="917"/>
    <w:link w:val="916"/>
    <w:uiPriority w:val="99"/>
    <w:semiHidden/>
  </w:style>
  <w:style w:type="paragraph" w:styleId="918">
    <w:name w:val="正文文本 3"/>
    <w:basedOn w:val="889"/>
    <w:next w:val="918"/>
    <w:link w:val="919"/>
    <w:rPr>
      <w:rFonts w:ascii="仿宋_GB2312" w:hAnsi="Arial" w:eastAsia="仿宋_GB2312" w:cs="Times New Roman"/>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cs="Times New Roman"/>
      <w:sz w:val="28"/>
      <w:szCs w:val="28"/>
    </w:rPr>
  </w:style>
  <w:style w:type="character" w:styleId="921">
    <w:name w:val="正文文本 Char"/>
    <w:next w:val="921"/>
    <w:link w:val="920"/>
    <w:rPr>
      <w:rFonts w:ascii="楷体_GB2312" w:hAnsi="Arial" w:eastAsia="楷体_GB2312" w:cs="Times New Roman"/>
      <w:sz w:val="28"/>
      <w:szCs w:val="28"/>
    </w:rPr>
  </w:style>
  <w:style w:type="paragraph" w:styleId="922">
    <w:name w:val="正文文本缩进"/>
    <w:basedOn w:val="889"/>
    <w:next w:val="924"/>
    <w:link w:val="923"/>
    <w:unhideWhenUsed/>
    <w:pPr>
      <w:ind w:left="420"/>
      <w:spacing w:after="120"/>
    </w:pPr>
  </w:style>
  <w:style w:type="character" w:styleId="923">
    <w:name w:val="正文文本缩进 Char"/>
    <w:basedOn w:val="899"/>
    <w:next w:val="923"/>
    <w:link w:val="922"/>
    <w:uiPriority w:val="99"/>
    <w:semiHidden/>
  </w:style>
  <w:style w:type="paragraph" w:styleId="924">
    <w:name w:val="寄信人地址"/>
    <w:basedOn w:val="889"/>
    <w:next w:val="924"/>
    <w:link w:val="889"/>
    <w:qFormat/>
    <w:rPr>
      <w:rFonts w:ascii="Arial" w:hAnsi="Arial" w:eastAsia="宋体" w:cs="宋体"/>
    </w:rPr>
  </w:style>
  <w:style w:type="paragraph" w:styleId="925">
    <w:name w:val="列表 2"/>
    <w:basedOn w:val="889"/>
    <w:next w:val="925"/>
    <w:link w:val="889"/>
    <w:pPr>
      <w:ind w:left="100" w:hanging="200"/>
    </w:pPr>
    <w:rPr>
      <w:rFonts w:ascii="Times New Roman" w:hAnsi="Times New Roman" w:eastAsia="宋体" w:cs="Times New Roman"/>
      <w:szCs w:val="21"/>
    </w:rPr>
  </w:style>
  <w:style w:type="paragraph" w:styleId="926">
    <w:name w:val="目录 5"/>
    <w:basedOn w:val="889"/>
    <w:next w:val="889"/>
    <w:link w:val="889"/>
    <w:semiHidden/>
    <w:pPr>
      <w:ind w:left="840"/>
      <w:jc w:val="left"/>
    </w:pPr>
    <w:rPr>
      <w:rFonts w:ascii="Times New Roman" w:hAnsi="Times New Roman" w:eastAsia="宋体" w:cs="Times New Roman"/>
      <w:szCs w:val="21"/>
    </w:rPr>
  </w:style>
  <w:style w:type="paragraph" w:styleId="927">
    <w:name w:val="目录 3"/>
    <w:basedOn w:val="889"/>
    <w:next w:val="889"/>
    <w:link w:val="889"/>
    <w:semiHidden/>
    <w:pPr>
      <w:ind w:left="420"/>
      <w:jc w:val="left"/>
    </w:pPr>
    <w:rPr>
      <w:rFonts w:ascii="Times New Roman" w:hAnsi="Times New Roman" w:eastAsia="宋体" w:cs="Times New Roman"/>
      <w:i/>
      <w:iCs/>
      <w:szCs w:val="24"/>
    </w:rPr>
  </w:style>
  <w:style w:type="paragraph" w:styleId="928">
    <w:name w:val="纯文本"/>
    <w:basedOn w:val="889"/>
    <w:next w:val="928"/>
    <w:link w:val="929"/>
    <w:rPr>
      <w:rFonts w:ascii="宋体" w:hAnsi="Courier New" w:eastAsia="宋体" w:cs="Courier New"/>
      <w:szCs w:val="21"/>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semiHidden/>
    <w:pPr>
      <w:ind w:left="1470"/>
      <w:jc w:val="left"/>
    </w:pPr>
    <w:rPr>
      <w:rFonts w:ascii="Times New Roman" w:hAnsi="Times New Roman" w:eastAsia="宋体" w:cs="Times New Roman"/>
      <w:szCs w:val="21"/>
    </w:rPr>
  </w:style>
  <w:style w:type="paragraph" w:styleId="931">
    <w:name w:val="日期"/>
    <w:basedOn w:val="889"/>
    <w:next w:val="889"/>
    <w:link w:val="932"/>
    <w:rPr>
      <w:rFonts w:ascii="Times New Roman" w:hAnsi="Times New Roman" w:eastAsia="宋体" w:cs="Times New Roman"/>
      <w:sz w:val="24"/>
      <w:szCs w:val="24"/>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cs="Arial"/>
      <w:sz w:val="32"/>
      <w:szCs w:val="32"/>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semiHidden/>
    <w:rPr>
      <w:rFonts w:ascii="Times New Roman" w:hAnsi="Times New Roman" w:eastAsia="宋体" w:cs="Times New Roman"/>
      <w:sz w:val="18"/>
      <w:szCs w:val="18"/>
    </w:rPr>
  </w:style>
  <w:style w:type="character" w:styleId="936">
    <w:name w:val="批注框文本 Char"/>
    <w:next w:val="936"/>
    <w:link w:val="935"/>
    <w:semiHidden/>
    <w:rPr>
      <w:rFonts w:ascii="Times New Roman" w:hAnsi="Times New Roman" w:eastAsia="宋体" w:cs="Times New Roman"/>
      <w:sz w:val="18"/>
      <w:szCs w:val="18"/>
    </w:rPr>
  </w:style>
  <w:style w:type="paragraph" w:styleId="937">
    <w:name w:val="页脚"/>
    <w:basedOn w:val="889"/>
    <w:next w:val="937"/>
    <w:link w:val="938"/>
    <w:pPr>
      <w:jc w:val="left"/>
      <w:tabs>
        <w:tab w:val="center" w:pos="4153" w:leader="none"/>
        <w:tab w:val="right" w:pos="8306" w:leader="none"/>
      </w:tabs>
    </w:pPr>
    <w:rPr>
      <w:rFonts w:ascii="Times New Roman" w:hAnsi="Times New Roman" w:eastAsia="宋体" w:cs="Times New Roman"/>
      <w:sz w:val="18"/>
      <w:szCs w:val="18"/>
    </w:rPr>
  </w:style>
  <w:style w:type="character" w:styleId="938">
    <w:name w:val="页脚 Char"/>
    <w:next w:val="938"/>
    <w:link w:val="937"/>
    <w:rPr>
      <w:rFonts w:ascii="Times New Roman" w:hAnsi="Times New Roman" w:eastAsia="宋体" w:cs="Times New Roman"/>
      <w:sz w:val="18"/>
      <w:szCs w:val="18"/>
    </w:rPr>
  </w:style>
  <w:style w:type="paragraph" w:styleId="939">
    <w:name w:val="页眉"/>
    <w:basedOn w:val="889"/>
    <w:next w:val="939"/>
    <w:link w:val="9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0">
    <w:name w:val="页眉 Char"/>
    <w:next w:val="940"/>
    <w:link w:val="939"/>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2">
    <w:name w:val="目录 4"/>
    <w:basedOn w:val="889"/>
    <w:next w:val="889"/>
    <w:link w:val="889"/>
    <w:semiHidden/>
    <w:pPr>
      <w:ind w:left="630"/>
      <w:jc w:val="left"/>
    </w:pPr>
    <w:rPr>
      <w:rFonts w:ascii="Times New Roman" w:hAnsi="Times New Roman" w:eastAsia="宋体" w:cs="Times New Roman"/>
      <w:szCs w:val="21"/>
    </w:rPr>
  </w:style>
  <w:style w:type="paragraph" w:styleId="943">
    <w:name w:val="列表"/>
    <w:basedOn w:val="889"/>
    <w:next w:val="943"/>
    <w:link w:val="889"/>
    <w:pPr>
      <w:ind w:left="200" w:hanging="200"/>
    </w:pPr>
    <w:rPr>
      <w:rFonts w:ascii="Times New Roman" w:hAnsi="Times New Roman" w:eastAsia="宋体" w:cs="Times New Roman"/>
      <w:szCs w:val="21"/>
    </w:rPr>
  </w:style>
  <w:style w:type="paragraph" w:styleId="944">
    <w:name w:val="目录 6"/>
    <w:basedOn w:val="889"/>
    <w:next w:val="889"/>
    <w:link w:val="889"/>
    <w:semiHidden/>
    <w:pPr>
      <w:ind w:left="1050"/>
      <w:jc w:val="left"/>
    </w:pPr>
    <w:rPr>
      <w:rFonts w:ascii="Times New Roman" w:hAnsi="Times New Roman" w:eastAsia="宋体" w:cs="Times New Roman"/>
      <w:szCs w:val="21"/>
    </w:rPr>
  </w:style>
  <w:style w:type="paragraph" w:styleId="945">
    <w:name w:val="正文文本缩进 3"/>
    <w:basedOn w:val="889"/>
    <w:next w:val="945"/>
    <w:link w:val="946"/>
    <w:pPr>
      <w:ind w:left="645" w:firstLine="645"/>
    </w:pPr>
    <w:rPr>
      <w:rFonts w:ascii="Arial" w:hAnsi="Arial" w:eastAsia="仿宋_GB2312" w:cs="Arial"/>
      <w:color w:val="ffff00"/>
      <w:sz w:val="32"/>
      <w:szCs w:val="32"/>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rPr>
      <w:rFonts w:ascii="Times New Roman" w:hAnsi="Times New Roman" w:eastAsia="宋体" w:cs="Times New Roman"/>
      <w:szCs w:val="21"/>
    </w:rPr>
  </w:style>
  <w:style w:type="paragraph" w:styleId="948">
    <w:name w:val="目录 2"/>
    <w:basedOn w:val="889"/>
    <w:next w:val="889"/>
    <w:link w:val="889"/>
    <w:semiHidden/>
    <w:pPr>
      <w:ind w:left="210"/>
      <w:jc w:val="left"/>
    </w:pPr>
    <w:rPr>
      <w:rFonts w:ascii="Times New Roman" w:hAnsi="Times New Roman" w:eastAsia="宋体" w:cs="Times New Roman"/>
      <w:smallCaps/>
      <w:szCs w:val="24"/>
    </w:rPr>
  </w:style>
  <w:style w:type="paragraph" w:styleId="949">
    <w:name w:val="目录 9"/>
    <w:basedOn w:val="889"/>
    <w:next w:val="889"/>
    <w:link w:val="889"/>
    <w:semiHidden/>
    <w:pPr>
      <w:ind w:left="1680"/>
      <w:jc w:val="left"/>
    </w:pPr>
    <w:rPr>
      <w:rFonts w:ascii="Times New Roman" w:hAnsi="Times New Roman" w:eastAsia="宋体" w:cs="Times New Roman"/>
      <w:szCs w:val="21"/>
    </w:rPr>
  </w:style>
  <w:style w:type="paragraph" w:styleId="950">
    <w:name w:val="正文文本 2"/>
    <w:basedOn w:val="889"/>
    <w:next w:val="950"/>
    <w:link w:val="951"/>
    <w:pPr>
      <w:jc w:val="center"/>
      <w:widowControl/>
    </w:pPr>
    <w:rPr>
      <w:rFonts w:ascii="楷体_GB2312" w:hAnsi="Times New Roman" w:eastAsia="楷体_GB2312" w:cs="Times New Roman"/>
      <w:sz w:val="28"/>
      <w:szCs w:val="28"/>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eastAsia="宋体" w:cs="宋体"/>
      <w:sz w:val="24"/>
      <w:szCs w:val="24"/>
    </w:rPr>
  </w:style>
  <w:style w:type="paragraph" w:styleId="953">
    <w:name w:val="索引 1"/>
    <w:basedOn w:val="889"/>
    <w:next w:val="889"/>
    <w:link w:val="889"/>
    <w:semiHidden/>
    <w:pPr>
      <w:spacing w:line="240" w:lineRule="atLeast"/>
    </w:pPr>
    <w:rPr>
      <w:rFonts w:ascii="Times New Roman" w:hAnsi="Times New Roman" w:eastAsia="宋体" w:cs="Times New Roman"/>
      <w:b/>
      <w:bCs/>
      <w:szCs w:val="21"/>
    </w:rPr>
  </w:style>
  <w:style w:type="paragraph" w:styleId="954">
    <w:name w:val="批注主题"/>
    <w:basedOn w:val="916"/>
    <w:next w:val="916"/>
    <w:link w:val="955"/>
    <w:semiHidden/>
    <w:rPr>
      <w:rFonts w:ascii="Times New Roman" w:hAnsi="Times New Roman" w:eastAsia="宋体" w:cs="Times New Roman"/>
      <w:b/>
      <w:bCs/>
      <w:szCs w:val="21"/>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hAnsi="Times New Roman" w:eastAsia="仿宋_GB2312" w:cs="Times New Roman"/>
      <w:sz w:val="30"/>
      <w:szCs w:val="30"/>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2"/>
    <w:next w:val="889"/>
    <w:link w:val="959"/>
    <w:pPr>
      <w:ind w:left="0" w:firstLine="420"/>
      <w:spacing w:after="0" w:line="360" w:lineRule="auto"/>
    </w:pPr>
    <w:rPr>
      <w:rFonts w:ascii="宋体" w:hAnsi="宋体" w:eastAsia="宋体" w:cs="Times New Roman"/>
      <w:szCs w:val="20"/>
    </w:rPr>
  </w:style>
  <w:style w:type="character" w:styleId="959">
    <w:name w:val="正文首行缩进 2 Char"/>
    <w:next w:val="959"/>
    <w:link w:val="958"/>
    <w:rPr>
      <w:rFonts w:ascii="宋体" w:hAnsi="宋体" w:eastAsia="宋体" w:cs="Times New Roman"/>
      <w:szCs w:val="20"/>
    </w:rPr>
  </w:style>
  <w:style w:type="table" w:styleId="960">
    <w:name w:val="网格型"/>
    <w:basedOn w:val="900"/>
    <w:next w:val="960"/>
    <w:link w:val="889"/>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rPr>
      <w:color w:val="800080"/>
      <w:u w:val="single"/>
    </w:rPr>
  </w:style>
  <w:style w:type="character" w:styleId="964">
    <w:name w:val="强调"/>
    <w:next w:val="964"/>
    <w:link w:val="889"/>
    <w:qFormat/>
    <w:rPr>
      <w:i/>
    </w:rPr>
  </w:style>
  <w:style w:type="character" w:styleId="965">
    <w:name w:val="超链接"/>
    <w:next w:val="965"/>
    <w:link w:val="889"/>
    <w:rPr>
      <w:color w:val="0000ff"/>
      <w:u w:val="single"/>
    </w:rPr>
  </w:style>
  <w:style w:type="character" w:styleId="966">
    <w:name w:val="批注引用"/>
    <w:next w:val="966"/>
    <w:link w:val="889"/>
    <w:semiHidden/>
    <w:rPr>
      <w:sz w:val="21"/>
      <w:szCs w:val="21"/>
    </w:rPr>
  </w:style>
  <w:style w:type="character" w:styleId="967">
    <w:name w:val="批注文字 字符"/>
    <w:basedOn w:val="899"/>
    <w:next w:val="967"/>
    <w:link w:val="916"/>
    <w:rPr>
      <w:rFonts w:ascii="Calibri" w:hAnsi="Calibri" w:eastAsia="宋体" w:cs="Times New Roman"/>
      <w:sz w:val="21"/>
      <w:szCs w:val="24"/>
    </w:rPr>
  </w:style>
  <w:style w:type="paragraph" w:styleId="968">
    <w:name w:val="索引 41"/>
    <w:basedOn w:val="889"/>
    <w:next w:val="889"/>
    <w:link w:val="889"/>
    <w:semiHidden/>
    <w:qFormat/>
    <w:pPr>
      <w:ind w:left="1260"/>
    </w:pPr>
    <w:rPr>
      <w:rFonts w:ascii="Calibri" w:hAnsi="Calibri" w:eastAsia="Calibri" w:cs="宋体"/>
      <w:sz w:val="20"/>
      <w:lang w:val="zh-CN"/>
    </w:rPr>
  </w:style>
  <w:style w:type="character" w:styleId="969">
    <w:name w:val="font5 Char"/>
    <w:next w:val="969"/>
    <w:link w:val="889"/>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89"/>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89"/>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89"/>
    <w:next w:val="920"/>
    <w:link w:val="889"/>
    <w:pPr>
      <w:spacing w:after="120"/>
    </w:pPr>
    <w:rPr>
      <w:rFonts w:ascii="宋体" w:hAnsi="Arial" w:eastAsia="宋体" w:cs="Times New Roman"/>
      <w:bCs/>
      <w:iCs/>
      <w:szCs w:val="24"/>
    </w:rPr>
  </w:style>
  <w:style w:type="paragraph" w:styleId="975">
    <w:name w:val="xl27"/>
    <w:basedOn w:val="889"/>
    <w:next w:val="975"/>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89"/>
    <w:next w:val="976"/>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89"/>
    <w:next w:val="977"/>
    <w:link w:val="889"/>
    <w:pPr>
      <w:ind w:firstLine="200"/>
      <w:tabs>
        <w:tab w:val="left" w:pos="360" w:leader="none"/>
      </w:tabs>
    </w:pPr>
    <w:rPr>
      <w:rFonts w:ascii="Times New Roman" w:hAnsi="Times New Roman" w:eastAsia="宋体" w:cs="Times New Roman"/>
      <w:sz w:val="28"/>
      <w:szCs w:val="30"/>
    </w:rPr>
  </w:style>
  <w:style w:type="paragraph" w:styleId="978">
    <w:name w:val=" Char"/>
    <w:basedOn w:val="914"/>
    <w:next w:val="978"/>
    <w:link w:val="889"/>
    <w:rPr>
      <w:rFonts w:ascii="Tahoma" w:hAnsi="Tahoma"/>
      <w:sz w:val="24"/>
      <w:szCs w:val="24"/>
    </w:rPr>
  </w:style>
  <w:style w:type="paragraph" w:styleId="979">
    <w:name w:val="普通正文"/>
    <w:basedOn w:val="889"/>
    <w:next w:val="979"/>
    <w:link w:val="889"/>
    <w:pPr>
      <w:ind w:firstLine="480"/>
      <w:jc w:val="left"/>
      <w:spacing w:before="120" w:after="120" w:line="360" w:lineRule="auto"/>
    </w:pPr>
    <w:rPr>
      <w:rFonts w:ascii="Arial" w:hAnsi="Arial" w:eastAsia="宋体" w:cs="Times New Roman"/>
      <w:sz w:val="24"/>
      <w:szCs w:val="24"/>
    </w:rPr>
  </w:style>
  <w:style w:type="paragraph" w:styleId="980">
    <w:name w:val="table_lines"/>
    <w:basedOn w:val="889"/>
    <w:next w:val="980"/>
    <w:link w:val="889"/>
    <w:pPr>
      <w:jc w:val="left"/>
      <w:widowControl/>
    </w:pPr>
    <w:rPr>
      <w:rFonts w:ascii="Times New Roman" w:hAnsi="Times New Roman" w:eastAsia="宋体" w:cs="Times New Roman"/>
      <w:sz w:val="20"/>
      <w:szCs w:val="20"/>
      <w:lang w:val="de-DE" w:eastAsia="de-DE"/>
    </w:rPr>
  </w:style>
  <w:style w:type="paragraph" w:styleId="981">
    <w:name w:val="附录1"/>
    <w:next w:val="981"/>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89"/>
    <w:next w:val="982"/>
    <w:link w:val="889"/>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4"/>
    <w:next w:val="983"/>
    <w:link w:val="889"/>
    <w:pPr>
      <w:spacing w:line="360" w:lineRule="auto"/>
    </w:pPr>
    <w:rPr>
      <w:rFonts w:ascii="Tahoma" w:hAnsi="Tahoma"/>
      <w:sz w:val="24"/>
      <w:szCs w:val="24"/>
    </w:rPr>
  </w:style>
  <w:style w:type="paragraph" w:styleId="984">
    <w:name w:val="列出段落"/>
    <w:basedOn w:val="889"/>
    <w:next w:val="984"/>
    <w:link w:val="889"/>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89"/>
    <w:next w:val="945"/>
    <w:link w:val="889"/>
    <w:pPr>
      <w:ind w:firstLine="420"/>
      <w:spacing w:line="360" w:lineRule="auto"/>
    </w:pPr>
    <w:rPr>
      <w:rFonts w:ascii="Times New Roman" w:hAnsi="Times New Roman" w:eastAsia="宋体" w:cs="Times New Roman"/>
      <w:color w:val="ff0000"/>
      <w:sz w:val="24"/>
      <w:szCs w:val="24"/>
    </w:rPr>
  </w:style>
  <w:style w:type="paragraph" w:styleId="986">
    <w:name w:val="普通 (Web)"/>
    <w:basedOn w:val="889"/>
    <w:next w:val="986"/>
    <w:link w:val="889"/>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89"/>
    <w:next w:val="987"/>
    <w:link w:val="889"/>
    <w:pPr>
      <w:spacing w:line="360" w:lineRule="auto"/>
    </w:pPr>
    <w:rPr>
      <w:rFonts w:ascii="Times New Roman" w:hAnsi="Times New Roman" w:eastAsia="宋体" w:cs="Times New Roman"/>
      <w:sz w:val="24"/>
      <w:szCs w:val="20"/>
    </w:rPr>
  </w:style>
  <w:style w:type="paragraph" w:styleId="988">
    <w:name w:val="样式1"/>
    <w:basedOn w:val="889"/>
    <w:next w:val="988"/>
    <w:link w:val="889"/>
    <w:pPr>
      <w:numPr>
        <w:ilvl w:val="0"/>
        <w:numId w:val="3"/>
      </w:numPr>
      <w:tabs>
        <w:tab w:val="left" w:pos="709" w:leader="none"/>
      </w:tabs>
    </w:pPr>
    <w:rPr>
      <w:rFonts w:ascii="宋体" w:hAnsi="宋体" w:eastAsia="宋体" w:cs="Times New Roman"/>
      <w:szCs w:val="21"/>
    </w:rPr>
  </w:style>
  <w:style w:type="paragraph" w:styleId="989">
    <w:name w:val="font6"/>
    <w:basedOn w:val="889"/>
    <w:next w:val="989"/>
    <w:link w:val="889"/>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89"/>
    <w:next w:val="990"/>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89"/>
    <w:next w:val="889"/>
    <w:link w:val="88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89"/>
    <w:next w:val="889"/>
    <w:link w:val="889"/>
    <w:pPr>
      <w:ind w:firstLine="624"/>
      <w:spacing w:line="590" w:lineRule="atLeast"/>
    </w:pPr>
    <w:rPr>
      <w:rFonts w:ascii="方正黑体_GBK" w:hAnsi="Times New Roman" w:eastAsia="方正黑体_GBK" w:cs="Times New Roman"/>
      <w:sz w:val="32"/>
      <w:szCs w:val="32"/>
    </w:rPr>
  </w:style>
  <w:style w:type="paragraph" w:styleId="993">
    <w:name w:val="xl24"/>
    <w:basedOn w:val="889"/>
    <w:next w:val="99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89"/>
    <w:next w:val="994"/>
    <w:link w:val="88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89"/>
    <w:next w:val="995"/>
    <w:link w:val="889"/>
    <w:pPr>
      <w:jc w:val="left"/>
      <w:spacing w:after="160" w:line="240" w:lineRule="exact"/>
      <w:widowControl/>
    </w:pPr>
    <w:rPr>
      <w:rFonts w:ascii="Verdana" w:hAnsi="Verdana" w:eastAsia="宋体" w:cs="Times New Roman"/>
      <w:sz w:val="20"/>
      <w:szCs w:val="20"/>
      <w:lang w:eastAsia="en-US"/>
    </w:rPr>
  </w:style>
  <w:style w:type="paragraph" w:styleId="996">
    <w:name w:val="xl28"/>
    <w:basedOn w:val="889"/>
    <w:next w:val="996"/>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89"/>
    <w:next w:val="997"/>
    <w:link w:val="889"/>
    <w:pPr>
      <w:jc w:val="left"/>
      <w:spacing w:after="160" w:line="240" w:lineRule="exact"/>
      <w:widowControl/>
    </w:pPr>
    <w:rPr>
      <w:rFonts w:ascii="Verdana" w:hAnsi="Verdana" w:eastAsia="宋体" w:cs="Times New Roman"/>
      <w:sz w:val="20"/>
      <w:szCs w:val="20"/>
      <w:lang w:eastAsia="en-US"/>
    </w:rPr>
  </w:style>
  <w:style w:type="paragraph" w:styleId="998">
    <w:name w:val="xl30"/>
    <w:basedOn w:val="889"/>
    <w:next w:val="998"/>
    <w:link w:val="889"/>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4"/>
    <w:next w:val="999"/>
    <w:link w:val="889"/>
    <w:pPr>
      <w:spacing w:line="360" w:lineRule="auto"/>
    </w:pPr>
    <w:rPr>
      <w:rFonts w:ascii="Tahoma" w:hAnsi="Tahoma"/>
      <w:sz w:val="24"/>
      <w:szCs w:val="24"/>
    </w:rPr>
  </w:style>
  <w:style w:type="paragraph" w:styleId="1000">
    <w:name w:val="table_1stline"/>
    <w:basedOn w:val="889"/>
    <w:next w:val="1000"/>
    <w:link w:val="889"/>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89"/>
    <w:next w:val="1001"/>
    <w:link w:val="889"/>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89"/>
    <w:next w:val="889"/>
    <w:link w:val="88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89"/>
    <w:uiPriority w:val="99"/>
    <w:semiHidden/>
    <w:rPr>
      <w:rFonts w:ascii="Times New Roman" w:hAnsi="Times New Roman"/>
      <w:sz w:val="21"/>
      <w:szCs w:val="21"/>
      <w:lang w:val="en-US" w:eastAsia="zh-CN" w:bidi="ar-SA"/>
    </w:rPr>
  </w:style>
  <w:style w:type="paragraph" w:styleId="1004">
    <w:name w:val="无间隔"/>
    <w:next w:val="1004"/>
    <w:link w:val="889"/>
    <w:uiPriority w:val="99"/>
    <w:qFormat/>
    <w:pPr>
      <w:jc w:val="both"/>
      <w:widowControl w:val="off"/>
    </w:pPr>
    <w:rPr>
      <w:rFonts w:ascii="Times New Roman" w:hAnsi="Times New Roman"/>
      <w:sz w:val="21"/>
      <w:szCs w:val="21"/>
      <w:lang w:val="en-US" w:eastAsia="zh-CN" w:bidi="ar-SA"/>
    </w:rPr>
  </w:style>
  <w:style w:type="table" w:styleId="1005">
    <w:name w:val="Table Normal"/>
    <w:next w:val="1005"/>
    <w:link w:val="889"/>
    <w:qFormat/>
    <w:tblPr/>
  </w:style>
  <w:style w:type="paragraph" w:styleId="1006">
    <w:name w:val="正文文本12"/>
    <w:basedOn w:val="889"/>
    <w:next w:val="1006"/>
    <w:link w:val="889"/>
    <w:uiPriority w:val="1"/>
    <w:qFormat/>
    <w:pPr>
      <w:ind w:left="120"/>
    </w:pPr>
    <w:rPr>
      <w:rFonts w:ascii="宋体" w:hAnsi="宋体" w:eastAsia="宋体" w:cs="宋体"/>
      <w:sz w:val="21"/>
      <w:szCs w:val="21"/>
      <w:lang w:val="zh-CN" w:eastAsia="zh-CN" w:bidi="zh-CN"/>
    </w:rPr>
  </w:style>
  <w:style w:type="paragraph" w:styleId="1007">
    <w:name w:val="正文文本 211"/>
    <w:basedOn w:val="889"/>
    <w:next w:val="1007"/>
    <w:link w:val="889"/>
    <w:uiPriority w:val="99"/>
    <w:qFormat/>
    <w:pPr>
      <w:jc w:val="center"/>
    </w:pPr>
    <w:rPr>
      <w:b/>
      <w:bCs/>
      <w:sz w:val="20"/>
      <w:szCs w:val="20"/>
    </w:rPr>
  </w:style>
  <w:style w:type="paragraph" w:styleId="1008">
    <w:name w:val="正文文本1"/>
    <w:basedOn w:val="889"/>
    <w:next w:val="889"/>
    <w:link w:val="889"/>
    <w:semiHidden/>
    <w:qFormat/>
    <w:rPr>
      <w:rFonts w:ascii="Arial" w:hAnsi="Arial" w:eastAsia="Arial" w:cs="Arial"/>
      <w:sz w:val="21"/>
      <w:szCs w:val="21"/>
      <w:lang w:val="en-US" w:eastAsia="en-US" w:bidi="ar-SA"/>
    </w:rPr>
  </w:style>
  <w:style w:type="paragraph" w:styleId="1009">
    <w:name w:val="Table Paragraph"/>
    <w:basedOn w:val="889"/>
    <w:next w:val="1009"/>
    <w:link w:val="889"/>
    <w:uiPriority w:val="1"/>
    <w:qFormat/>
    <w:pPr>
      <w:jc w:val="left"/>
    </w:pPr>
    <w:rPr>
      <w:rFonts w:ascii="宋体" w:hAnsi="宋体" w:eastAsia="宋体" w:cs="宋体"/>
      <w:sz w:val="22"/>
      <w:szCs w:val="22"/>
      <w:lang w:val="zh-CN" w:bidi="zh-CN"/>
    </w:rPr>
  </w:style>
  <w:style w:type="table" w:styleId="1010">
    <w:name w:val="网格型1"/>
    <w:basedOn w:val="1011"/>
    <w:next w:val="1010"/>
    <w:link w:val="889"/>
    <w:qFormat/>
    <w:pPr>
      <w:jc w:val="both"/>
      <w:widowControl w:val="off"/>
    </w:pPr>
    <w:tblPr/>
  </w:style>
  <w:style w:type="table" w:styleId="1011">
    <w:name w:val="普通表格1"/>
    <w:next w:val="1011"/>
    <w:link w:val="889"/>
    <w:uiPriority w:val="99"/>
    <w:unhideWhenUsed/>
    <w:qFormat/>
    <w:tblPr/>
  </w:style>
  <w:style w:type="paragraph" w:styleId="1012">
    <w:name w:val="正文文本缩进1"/>
    <w:basedOn w:val="889"/>
    <w:next w:val="1013"/>
    <w:link w:val="889"/>
    <w:unhideWhenUsed/>
    <w:qFormat/>
    <w:pPr>
      <w:ind w:left="420"/>
      <w:spacing w:after="120"/>
    </w:pPr>
  </w:style>
  <w:style w:type="paragraph" w:styleId="1013">
    <w:name w:val="正文文本首行缩进 2"/>
    <w:basedOn w:val="1012"/>
    <w:next w:val="1013"/>
    <w:link w:val="889"/>
    <w:qFormat/>
    <w:pPr>
      <w:ind w:left="0" w:firstLine="420"/>
      <w:spacing w:after="0" w:line="360" w:lineRule="auto"/>
    </w:pPr>
    <w:rPr>
      <w:rFonts w:ascii="宋体" w:hAnsi="宋体"/>
      <w:sz w:val="20"/>
      <w:szCs w:val="20"/>
      <w:lang w:val="en-US" w:eastAsia="en-US"/>
    </w:rPr>
  </w:style>
  <w:style w:type="table" w:styleId="1014">
    <w:name w:val="Table Normal_0"/>
    <w:next w:val="1014"/>
    <w:link w:val="889"/>
    <w:qFormat/>
    <w:tblPr/>
  </w:style>
  <w:style w:type="paragraph" w:styleId="1015">
    <w:name w:val="正文首行缩进 211"/>
    <w:basedOn w:val="1016"/>
    <w:next w:val="889"/>
    <w:link w:val="889"/>
    <w:qFormat/>
    <w:pPr>
      <w:ind w:left="0" w:firstLine="420"/>
      <w:spacing w:after="0" w:line="360" w:lineRule="auto"/>
    </w:pPr>
    <w:rPr>
      <w:rFonts w:ascii="宋体" w:hAnsi="宋体" w:eastAsia="宋体" w:cs="Times New Roman"/>
      <w:szCs w:val="20"/>
    </w:rPr>
  </w:style>
  <w:style w:type="paragraph" w:styleId="1016">
    <w:name w:val="正文文本缩进11"/>
    <w:basedOn w:val="889"/>
    <w:next w:val="1017"/>
    <w:link w:val="889"/>
    <w:unhideWhenUsed/>
    <w:qFormat/>
    <w:pPr>
      <w:ind w:left="420"/>
      <w:spacing w:after="120"/>
    </w:pPr>
  </w:style>
  <w:style w:type="paragraph" w:styleId="1017">
    <w:name w:val="寄信人地址1"/>
    <w:basedOn w:val="889"/>
    <w:next w:val="1017"/>
    <w:link w:val="889"/>
    <w:qFormat/>
    <w:rPr>
      <w:rFonts w:ascii="Arial" w:hAnsi="Arial" w:eastAsia="宋体" w:cs="宋体"/>
    </w:rPr>
  </w:style>
  <w:style w:type="paragraph" w:styleId="1018">
    <w:name w:val="正文1"/>
    <w:basedOn w:val="889"/>
    <w:next w:val="1018"/>
    <w:link w:val="889"/>
    <w:qFormat/>
    <w:pPr>
      <w:ind w:left="350" w:firstLine="0"/>
    </w:pPr>
    <w:rPr>
      <w:rFonts w:cs="Times New Roman"/>
      <w:sz w:val="20"/>
      <w:szCs w:val="24"/>
    </w:rPr>
  </w:style>
  <w:style w:type="paragraph" w:styleId="1019">
    <w:name w:val="纯文本1"/>
    <w:basedOn w:val="889"/>
    <w:next w:val="1019"/>
    <w:link w:val="889"/>
    <w:qFormat/>
    <w:rPr>
      <w:rFonts w:ascii="宋体" w:hAnsi="Courier New" w:cs="Courier New"/>
      <w:szCs w:val="21"/>
    </w:rPr>
  </w:style>
  <w:style w:type="character" w:styleId="1020">
    <w:name w:val="font41"/>
    <w:basedOn w:val="899"/>
    <w:next w:val="1020"/>
    <w:link w:val="889"/>
    <w:rPr>
      <w:rFonts w:hint="eastAsia" w:ascii="宋体" w:hAnsi="宋体" w:eastAsia="宋体" w:cs="宋体"/>
      <w:i w:val="0"/>
      <w:iCs w:val="0"/>
      <w:color w:val="000000"/>
      <w:sz w:val="18"/>
      <w:szCs w:val="18"/>
      <w:u w:val="none"/>
    </w:rPr>
  </w:style>
  <w:style w:type="character" w:styleId="1021">
    <w:name w:val="font61"/>
    <w:basedOn w:val="899"/>
    <w:next w:val="1021"/>
    <w:link w:val="889"/>
    <w:rPr>
      <w:rFonts w:ascii="Calibri" w:hAnsi="Calibri" w:cs="Calibri"/>
      <w:i w:val="0"/>
      <w:iCs w:val="0"/>
      <w:color w:val="000000"/>
      <w:sz w:val="18"/>
      <w:szCs w:val="18"/>
      <w:u w:val="none"/>
    </w:rPr>
  </w:style>
  <w:style w:type="character" w:styleId="1022">
    <w:name w:val="font01"/>
    <w:basedOn w:val="899"/>
    <w:next w:val="1022"/>
    <w:link w:val="889"/>
    <w:rPr>
      <w:rFonts w:ascii="Times New Roman" w:hAnsi="Times New Roman" w:cs="Times New Roman"/>
      <w:i w:val="0"/>
      <w:iCs w:val="0"/>
      <w:color w:val="000000"/>
      <w:sz w:val="18"/>
      <w:szCs w:val="18"/>
      <w:u w:val="none"/>
    </w:rPr>
  </w:style>
  <w:style w:type="character" w:styleId="1023">
    <w:name w:val="font51"/>
    <w:basedOn w:val="899"/>
    <w:next w:val="1023"/>
    <w:link w:val="889"/>
    <w:rPr>
      <w:rFonts w:ascii="Arial" w:hAnsi="Arial" w:cs="Arial"/>
      <w:i w:val="0"/>
      <w:iCs w:val="0"/>
      <w:color w:val="000000"/>
      <w:sz w:val="18"/>
      <w:szCs w:val="18"/>
      <w:u w:val="none"/>
    </w:rPr>
  </w:style>
  <w:style w:type="character" w:styleId="1024">
    <w:name w:val="font21"/>
    <w:basedOn w:val="899"/>
    <w:next w:val="1024"/>
    <w:link w:val="889"/>
    <w:rPr>
      <w:rFonts w:hint="eastAsia" w:ascii="宋体" w:hAnsi="宋体" w:eastAsia="宋体" w:cs="宋体"/>
      <w:i w:val="0"/>
      <w:iCs w:val="0"/>
      <w:color w:val="000000"/>
      <w:sz w:val="18"/>
      <w:szCs w:val="18"/>
      <w:u w:val="none"/>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张群姗</cp:lastModifiedBy>
  <cp:revision>5</cp:revision>
  <dcterms:created xsi:type="dcterms:W3CDTF">2023-03-16T02:13:00Z</dcterms:created>
  <dcterms:modified xsi:type="dcterms:W3CDTF">2026-09-01T06:40:14Z</dcterms:modified>
</cp:coreProperties>
</file>