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60"/>
        <w:jc w:val="center"/>
        <w:spacing w:line="360" w:lineRule="auto"/>
        <w:rPr>
          <w:rFonts w:hint="eastAsia" w:ascii="宋体" w:hAnsi="宋体" w:cs="宋体"/>
          <w:b/>
          <w:color w:val="000000"/>
          <w:sz w:val="72"/>
          <w:szCs w:val="20"/>
          <w:highlight w:val="none"/>
        </w:rPr>
      </w:pPr>
      <w:r>
        <w:rPr>
          <w:rFonts w:hint="eastAsia" w:ascii="宋体" w:hAnsi="宋体" w:cs="宋体"/>
          <w:b/>
          <w:color w:val="000000"/>
          <w:sz w:val="72"/>
          <w:szCs w:val="20"/>
          <w:highlight w:val="none"/>
        </w:rPr>
      </w:r>
      <w:r/>
    </w:p>
    <w:p>
      <w:pPr>
        <w:pStyle w:val="1060"/>
        <w:jc w:val="center"/>
        <w:spacing w:line="360" w:lineRule="auto"/>
        <w:rPr>
          <w:rFonts w:ascii="宋体" w:hAnsi="宋体" w:cs="宋体"/>
          <w:b/>
          <w:color w:val="000000"/>
          <w:sz w:val="72"/>
          <w:szCs w:val="20"/>
          <w:highlight w:val="none"/>
        </w:rPr>
      </w:pPr>
      <w:r>
        <w:rPr>
          <w:rFonts w:hint="eastAsia" w:ascii="宋体" w:hAnsi="宋体" w:cs="宋体"/>
          <w:b/>
          <w:color w:val="000000"/>
          <w:sz w:val="72"/>
          <w:szCs w:val="20"/>
          <w:highlight w:val="none"/>
        </w:rPr>
        <w:t xml:space="preserve">苏州市姑苏区</w:t>
      </w:r>
      <w:bookmarkStart w:id="0" w:name="_Toc23358"/>
      <w:r/>
      <w:bookmarkStart w:id="1" w:name="_Toc19055"/>
      <w:r/>
      <w:bookmarkStart w:id="2" w:name="_Toc6356"/>
      <w:r/>
      <w:bookmarkStart w:id="3" w:name="_Toc10991"/>
      <w:r/>
      <w:bookmarkStart w:id="4" w:name="_Toc22307"/>
      <w:r/>
      <w:bookmarkStart w:id="5" w:name="_Toc8574"/>
      <w:r/>
      <w:bookmarkStart w:id="6" w:name="_Toc18780"/>
      <w:r/>
      <w:bookmarkStart w:id="7" w:name="_Toc22811"/>
      <w:r/>
      <w:bookmarkStart w:id="8" w:name="_Toc11354"/>
      <w:r/>
      <w:bookmarkStart w:id="9" w:name="_Toc22446"/>
      <w:r>
        <w:rPr>
          <w:rFonts w:hint="eastAsia" w:ascii="宋体" w:hAnsi="宋体" w:cs="宋体"/>
          <w:b/>
          <w:color w:val="000000"/>
          <w:sz w:val="72"/>
          <w:szCs w:val="20"/>
          <w:highlight w:val="none"/>
        </w:rPr>
        <w:t xml:space="preserve">采购框架</w:t>
      </w:r>
      <w:r>
        <w:rPr>
          <w:rFonts w:ascii="宋体" w:hAnsi="宋体" w:cs="宋体"/>
          <w:b/>
          <w:color w:val="000000"/>
          <w:sz w:val="72"/>
          <w:szCs w:val="20"/>
          <w:highlight w:val="none"/>
        </w:rPr>
      </w:r>
      <w:r/>
    </w:p>
    <w:p>
      <w:pPr>
        <w:pStyle w:val="1060"/>
        <w:jc w:val="center"/>
        <w:spacing w:line="360" w:lineRule="auto"/>
        <w:rPr>
          <w:rFonts w:hint="eastAsia" w:ascii="宋体" w:hAnsi="宋体" w:cs="宋体"/>
          <w:b/>
          <w:color w:val="000000"/>
          <w:spacing w:val="40"/>
          <w:sz w:val="96"/>
          <w:szCs w:val="96"/>
          <w:highlight w:val="none"/>
        </w:rPr>
      </w:pPr>
      <w:r>
        <w:rPr>
          <w:rFonts w:hint="eastAsia" w:ascii="宋体" w:hAnsi="宋体" w:cs="宋体"/>
          <w:b/>
          <w:color w:val="000000"/>
          <w:sz w:val="72"/>
          <w:szCs w:val="20"/>
          <w:highlight w:val="none"/>
        </w:rPr>
        <w:t xml:space="preserve">协议征集文件</w:t>
      </w:r>
      <w:bookmarkEnd w:id="0"/>
      <w:r/>
      <w:bookmarkEnd w:id="1"/>
      <w:r/>
      <w:bookmarkEnd w:id="2"/>
      <w:r/>
      <w:bookmarkEnd w:id="3"/>
      <w:r/>
      <w:bookmarkEnd w:id="4"/>
      <w:r/>
      <w:bookmarkEnd w:id="5"/>
      <w:r/>
      <w:bookmarkEnd w:id="6"/>
      <w:r/>
      <w:bookmarkEnd w:id="7"/>
      <w:r/>
      <w:bookmarkEnd w:id="8"/>
      <w:r/>
      <w:bookmarkEnd w:id="9"/>
      <w:r>
        <w:rPr>
          <w:rFonts w:hint="eastAsia" w:ascii="宋体" w:hAnsi="宋体" w:cs="宋体"/>
          <w:b/>
          <w:color w:val="000000"/>
          <w:spacing w:val="40"/>
          <w:sz w:val="96"/>
          <w:szCs w:val="96"/>
          <w:highlight w:val="none"/>
        </w:rPr>
      </w:r>
      <w:r/>
    </w:p>
    <w:p>
      <w:pPr>
        <w:pStyle w:val="1060"/>
        <w:spacing w:line="360" w:lineRule="auto"/>
        <w:rPr>
          <w:rFonts w:hint="eastAsia" w:ascii="宋体" w:hAnsi="宋体" w:cs="宋体"/>
          <w:b/>
          <w:color w:val="000000"/>
          <w:sz w:val="32"/>
          <w:highlight w:val="none"/>
        </w:rPr>
        <w:outlineLvl w:val="0"/>
      </w:pPr>
      <w:r>
        <w:rPr>
          <w:rFonts w:hint="eastAsia" w:ascii="宋体" w:hAnsi="宋体" w:cs="宋体"/>
          <w:color w:val="000000"/>
          <w:sz w:val="36"/>
          <w:highlight w:val="none"/>
        </w:rPr>
        <w:t xml:space="preserve">          </w:t>
      </w:r>
      <w:r>
        <w:rPr>
          <w:rFonts w:hint="eastAsia" w:ascii="宋体" w:hAnsi="宋体" w:cs="宋体"/>
          <w:b/>
          <w:color w:val="000000"/>
          <w:sz w:val="32"/>
          <w:highlight w:val="none"/>
        </w:rPr>
        <w:t xml:space="preserve">   </w:t>
      </w:r>
      <w:bookmarkStart w:id="10" w:name="_Toc32074"/>
      <w:r/>
      <w:bookmarkStart w:id="11" w:name="_Toc3661"/>
      <w:r/>
      <w:bookmarkStart w:id="12" w:name="_Toc10012"/>
      <w:r/>
      <w:bookmarkStart w:id="13" w:name="_Toc7925"/>
      <w:r/>
      <w:bookmarkStart w:id="14" w:name="_Toc4899"/>
      <w:r/>
      <w:bookmarkStart w:id="15" w:name="_Toc671"/>
      <w:r/>
      <w:bookmarkStart w:id="16" w:name="_Toc31237"/>
      <w:r/>
      <w:bookmarkStart w:id="17" w:name="_Toc23928"/>
      <w:r/>
      <w:bookmarkStart w:id="18" w:name="_Toc18058"/>
      <w:r/>
      <w:bookmarkStart w:id="19" w:name="_Toc31655"/>
      <w:r>
        <w:rPr>
          <w:rFonts w:hint="eastAsia" w:ascii="宋体" w:hAnsi="宋体" w:cs="宋体"/>
          <w:b/>
          <w:color w:val="000000"/>
          <w:sz w:val="32"/>
          <w:highlight w:val="none"/>
        </w:rPr>
      </w:r>
      <w:r/>
    </w:p>
    <w:p>
      <w:pPr>
        <w:pStyle w:val="1060"/>
        <w:spacing w:line="360" w:lineRule="auto"/>
        <w:rPr>
          <w:rFonts w:hint="eastAsia" w:ascii="宋体" w:hAnsi="宋体" w:cs="宋体"/>
          <w:b/>
          <w:color w:val="000000"/>
          <w:sz w:val="32"/>
          <w:highlight w:val="none"/>
        </w:rPr>
        <w:outlineLvl w:val="0"/>
      </w:pPr>
      <w:r>
        <w:rPr>
          <w:rFonts w:hint="eastAsia" w:ascii="宋体" w:hAnsi="宋体" w:cs="宋体"/>
          <w:b/>
          <w:color w:val="000000"/>
          <w:sz w:val="32"/>
          <w:highlight w:val="none"/>
        </w:rPr>
      </w:r>
      <w:r/>
    </w:p>
    <w:p>
      <w:pPr>
        <w:pStyle w:val="1060"/>
        <w:ind w:firstLine="2249"/>
        <w:spacing w:line="360" w:lineRule="auto"/>
        <w:rPr>
          <w:rFonts w:hint="eastAsia" w:ascii="宋体" w:hAnsi="宋体" w:cs="宋体"/>
          <w:b/>
          <w:color w:val="000000"/>
          <w:sz w:val="32"/>
          <w:highlight w:val="none"/>
        </w:rPr>
        <w:outlineLvl w:val="0"/>
      </w:pPr>
      <w:r>
        <w:rPr>
          <w:rFonts w:hint="eastAsia" w:ascii="宋体" w:hAnsi="宋体" w:cs="宋体"/>
          <w:b/>
          <w:color w:val="000000"/>
          <w:sz w:val="32"/>
          <w:highlight w:val="none"/>
        </w:rPr>
      </w:r>
      <w:r/>
    </w:p>
    <w:p>
      <w:pPr>
        <w:pStyle w:val="1060"/>
        <w:ind w:firstLine="2249"/>
        <w:spacing w:line="360" w:lineRule="auto"/>
        <w:rPr>
          <w:rFonts w:hint="eastAsia" w:ascii="宋体" w:hAnsi="宋体" w:eastAsia="宋体" w:cs="宋体"/>
          <w:b/>
          <w:color w:val="000000"/>
          <w:sz w:val="32"/>
          <w:highlight w:val="none"/>
          <w:lang w:eastAsia="zh-CN"/>
        </w:rPr>
        <w:outlineLvl w:val="0"/>
      </w:pPr>
      <w:r>
        <w:rPr>
          <w:rFonts w:hint="eastAsia" w:ascii="宋体" w:hAnsi="宋体" w:cs="宋体"/>
          <w:b/>
          <w:color w:val="000000"/>
          <w:sz w:val="32"/>
          <w:highlight w:val="none"/>
        </w:rPr>
        <w:t xml:space="preserve">采购编号：</w:t>
      </w:r>
      <w:bookmarkEnd w:id="10"/>
      <w:r/>
      <w:bookmarkEnd w:id="11"/>
      <w:r/>
      <w:bookmarkEnd w:id="12"/>
      <w:r/>
      <w:bookmarkEnd w:id="13"/>
      <w:r/>
      <w:bookmarkEnd w:id="14"/>
      <w:r/>
      <w:bookmarkEnd w:id="15"/>
      <w:r/>
      <w:bookmarkEnd w:id="16"/>
      <w:r/>
      <w:bookmarkEnd w:id="17"/>
      <w:r/>
      <w:bookmarkEnd w:id="18"/>
      <w:r/>
      <w:bookmarkEnd w:id="19"/>
      <w:r>
        <w:rPr>
          <w:rFonts w:hint="eastAsia" w:ascii="宋体" w:hAnsi="宋体" w:cs="宋体"/>
          <w:b/>
          <w:color w:val="000000"/>
          <w:sz w:val="32"/>
          <w:highlight w:val="none"/>
          <w:lang w:eastAsia="zh-CN"/>
        </w:rPr>
        <w:t xml:space="preserve">JSZC-320508-SZHT-K2026-0005</w:t>
      </w:r>
      <w:r>
        <w:rPr>
          <w:rFonts w:hint="eastAsia" w:ascii="宋体" w:hAnsi="宋体" w:eastAsia="宋体" w:cs="宋体"/>
          <w:b/>
          <w:color w:val="000000"/>
          <w:sz w:val="32"/>
          <w:highlight w:val="none"/>
          <w:lang w:eastAsia="zh-CN"/>
        </w:rPr>
      </w:r>
      <w:r/>
    </w:p>
    <w:p>
      <w:pPr>
        <w:pStyle w:val="1060"/>
        <w:spacing w:line="360" w:lineRule="auto"/>
        <w:rPr>
          <w:rFonts w:hint="eastAsia" w:ascii="宋体" w:hAnsi="宋体" w:cs="宋体"/>
          <w:b/>
          <w:color w:val="000000"/>
          <w:sz w:val="32"/>
          <w:highlight w:val="none"/>
        </w:rPr>
        <w:outlineLvl w:val="0"/>
      </w:pPr>
      <w:r>
        <w:rPr>
          <w:rFonts w:hint="eastAsia" w:ascii="宋体" w:hAnsi="宋体" w:cs="宋体"/>
          <w:b/>
          <w:color w:val="000000"/>
          <w:sz w:val="32"/>
          <w:highlight w:val="none"/>
        </w:rPr>
        <w:t xml:space="preserve">              </w:t>
      </w:r>
      <w:bookmarkStart w:id="20" w:name="_Toc19421"/>
      <w:r/>
      <w:bookmarkStart w:id="21" w:name="_Toc4553"/>
      <w:r/>
      <w:bookmarkStart w:id="22" w:name="_Toc28977"/>
      <w:r/>
      <w:bookmarkStart w:id="23" w:name="_Toc20168"/>
      <w:r/>
      <w:bookmarkStart w:id="24" w:name="_Toc17821"/>
      <w:r/>
      <w:bookmarkStart w:id="25" w:name="_Toc26556"/>
      <w:r/>
      <w:bookmarkStart w:id="26" w:name="_Toc8532"/>
      <w:r/>
      <w:bookmarkStart w:id="27" w:name="_Toc1403"/>
      <w:r/>
      <w:bookmarkStart w:id="28" w:name="_Toc5848"/>
      <w:r/>
      <w:bookmarkStart w:id="29" w:name="_Toc10891"/>
      <w:r>
        <w:rPr>
          <w:rFonts w:hint="eastAsia" w:ascii="宋体" w:hAnsi="宋体" w:cs="宋体"/>
          <w:b/>
          <w:color w:val="000000"/>
          <w:sz w:val="32"/>
          <w:highlight w:val="none"/>
        </w:rPr>
        <w:t xml:space="preserve">采 购 人：</w:t>
      </w:r>
      <w:bookmarkEnd w:id="20"/>
      <w:r/>
      <w:bookmarkEnd w:id="21"/>
      <w:r/>
      <w:bookmarkEnd w:id="22"/>
      <w:r/>
      <w:bookmarkEnd w:id="23"/>
      <w:r/>
      <w:bookmarkEnd w:id="24"/>
      <w:r/>
      <w:bookmarkEnd w:id="25"/>
      <w:r/>
      <w:bookmarkEnd w:id="26"/>
      <w:r/>
      <w:bookmarkEnd w:id="27"/>
      <w:r/>
      <w:bookmarkEnd w:id="28"/>
      <w:r/>
      <w:bookmarkEnd w:id="29"/>
      <w:r/>
      <w:bookmarkStart w:id="30" w:name="OLE_LINK3"/>
      <w:r>
        <w:rPr>
          <w:rFonts w:hint="eastAsia" w:ascii="宋体" w:hAnsi="宋体" w:cs="宋体"/>
          <w:b/>
          <w:color w:val="000000"/>
          <w:sz w:val="32"/>
          <w:highlight w:val="none"/>
        </w:rPr>
        <w:t xml:space="preserve">苏州市姑苏区残疾人联合会</w:t>
      </w:r>
      <w:r>
        <w:rPr>
          <w:rFonts w:hint="eastAsia" w:ascii="宋体" w:hAnsi="宋体" w:cs="宋体"/>
          <w:b/>
          <w:color w:val="000000"/>
          <w:sz w:val="32"/>
          <w:highlight w:val="none"/>
        </w:rPr>
      </w:r>
      <w:r/>
    </w:p>
    <w:p>
      <w:pPr>
        <w:pStyle w:val="1060"/>
        <w:ind w:left="4162" w:hanging="1928"/>
        <w:spacing w:line="360" w:lineRule="auto"/>
        <w:rPr>
          <w:rFonts w:hint="eastAsia" w:ascii="宋体" w:hAnsi="宋体" w:cs="宋体"/>
          <w:b/>
          <w:color w:val="000000"/>
          <w:sz w:val="32"/>
          <w:highlight w:val="none"/>
        </w:rPr>
      </w:pPr>
      <w:r/>
      <w:bookmarkEnd w:id="30"/>
      <w:r>
        <w:rPr>
          <w:rFonts w:hint="eastAsia" w:ascii="宋体" w:hAnsi="宋体" w:cs="宋体"/>
          <w:b/>
          <w:color w:val="000000"/>
          <w:sz w:val="32"/>
          <w:highlight w:val="none"/>
        </w:rPr>
        <w:t xml:space="preserve">采购内容：苏州市姑苏区残疾人辅助器具适配服务</w:t>
      </w:r>
      <w:r>
        <w:rPr>
          <w:rFonts w:hint="eastAsia" w:ascii="宋体" w:hAnsi="宋体" w:cs="宋体"/>
          <w:b/>
          <w:color w:val="000000"/>
          <w:sz w:val="32"/>
          <w:highlight w:val="none"/>
        </w:rPr>
      </w:r>
      <w:r/>
    </w:p>
    <w:p>
      <w:pPr>
        <w:pStyle w:val="1060"/>
        <w:spacing w:line="360" w:lineRule="auto"/>
        <w:rPr>
          <w:rFonts w:hint="eastAsia" w:ascii="宋体" w:hAnsi="宋体" w:cs="宋体"/>
          <w:b/>
          <w:color w:val="000000"/>
          <w:sz w:val="32"/>
          <w:highlight w:val="none"/>
        </w:rPr>
      </w:pPr>
      <w:r>
        <w:rPr>
          <w:rFonts w:hint="eastAsia" w:ascii="宋体" w:hAnsi="宋体" w:cs="宋体"/>
          <w:b/>
          <w:color w:val="000000"/>
          <w:sz w:val="32"/>
          <w:highlight w:val="none"/>
        </w:rPr>
        <w:t xml:space="preserve">              采购类别：服务类</w:t>
      </w:r>
      <w:r>
        <w:rPr>
          <w:rFonts w:hint="eastAsia" w:ascii="宋体" w:hAnsi="宋体" w:cs="宋体"/>
          <w:b/>
          <w:color w:val="000000"/>
          <w:sz w:val="32"/>
          <w:highlight w:val="none"/>
        </w:rPr>
      </w:r>
      <w:r/>
    </w:p>
    <w:p>
      <w:pPr>
        <w:pStyle w:val="1060"/>
        <w:spacing w:line="360" w:lineRule="auto"/>
        <w:rPr>
          <w:rFonts w:hint="eastAsia" w:ascii="宋体" w:hAnsi="宋体" w:cs="宋体"/>
          <w:b/>
          <w:color w:val="000000"/>
          <w:spacing w:val="-26"/>
          <w:highlight w:val="none"/>
        </w:rPr>
      </w:pPr>
      <w:r>
        <w:rPr>
          <w:rFonts w:hint="eastAsia" w:ascii="宋体" w:hAnsi="宋体" w:cs="宋体"/>
          <w:b/>
          <w:color w:val="000000"/>
          <w:spacing w:val="-26"/>
          <w:highlight w:val="none"/>
        </w:rPr>
      </w:r>
      <w:r/>
    </w:p>
    <w:p>
      <w:pPr>
        <w:pStyle w:val="1119"/>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60"/>
        <w:ind w:firstLine="2625"/>
        <w:spacing w:line="360" w:lineRule="auto"/>
        <w:rPr>
          <w:rFonts w:hint="eastAsia" w:ascii="宋体" w:hAnsi="宋体" w:cs="宋体"/>
          <w:color w:val="000000"/>
          <w:highlight w:val="none"/>
        </w:rPr>
      </w:pPr>
      <w:r>
        <w:rPr>
          <w:rFonts w:hint="eastAsia" w:ascii="宋体" w:hAnsi="宋体" w:cs="宋体"/>
          <w:color w:val="000000"/>
          <w:highlight w:val="none"/>
        </w:rPr>
      </w:r>
      <w:r/>
    </w:p>
    <w:p>
      <w:pPr>
        <w:pStyle w:val="1060"/>
        <w:spacing w:line="360" w:lineRule="auto"/>
        <w:rPr>
          <w:rFonts w:hint="eastAsia" w:ascii="宋体" w:hAnsi="宋体" w:cs="宋体"/>
          <w:color w:val="000000"/>
          <w:highlight w:val="none"/>
        </w:rPr>
      </w:pPr>
      <w:r>
        <w:rPr>
          <w:rFonts w:hint="eastAsia" w:ascii="宋体" w:hAnsi="宋体" w:cs="宋体"/>
          <w:color w:val="000000"/>
          <w:highlight w:val="none"/>
        </w:rPr>
      </w:r>
      <w:r/>
    </w:p>
    <w:p>
      <w:pPr>
        <w:pStyle w:val="1060"/>
        <w:spacing w:line="360" w:lineRule="auto"/>
        <w:rPr>
          <w:rFonts w:hint="eastAsia" w:ascii="宋体" w:hAnsi="宋体" w:cs="宋体"/>
          <w:color w:val="000000"/>
          <w:highlight w:val="none"/>
        </w:rPr>
      </w:pPr>
      <w:r>
        <w:rPr>
          <w:rFonts w:hint="eastAsia" w:ascii="宋体" w:hAnsi="宋体" w:cs="宋体"/>
          <w:color w:val="000000"/>
          <w:highlight w:val="none"/>
        </w:rPr>
      </w:r>
      <w:r/>
    </w:p>
    <w:p>
      <w:pPr>
        <w:pStyle w:val="1060"/>
        <w:spacing w:line="360" w:lineRule="auto"/>
        <w:rPr>
          <w:rFonts w:hint="eastAsia" w:ascii="宋体" w:hAnsi="宋体" w:cs="宋体"/>
          <w:b/>
          <w:color w:val="000000"/>
          <w:highlight w:val="none"/>
        </w:rPr>
      </w:pPr>
      <w:r>
        <w:rPr>
          <w:rFonts w:hint="eastAsia" w:ascii="宋体" w:hAnsi="宋体" w:cs="宋体"/>
          <w:b/>
          <w:color w:val="000000"/>
          <w:highlight w:val="none"/>
        </w:rPr>
      </w:r>
      <w:r/>
    </w:p>
    <w:p>
      <w:pPr>
        <w:pStyle w:val="1060"/>
        <w:ind w:firstLine="2088"/>
        <w:spacing w:line="360" w:lineRule="auto"/>
        <w:rPr>
          <w:rFonts w:hint="eastAsia" w:ascii="宋体" w:hAnsi="宋体" w:cs="宋体"/>
          <w:b/>
          <w:color w:val="000000"/>
          <w:sz w:val="32"/>
          <w:highlight w:val="none"/>
        </w:rPr>
        <w:outlineLvl w:val="0"/>
      </w:pPr>
      <w:r>
        <w:rPr>
          <w:rFonts w:hint="eastAsia" w:ascii="宋体" w:hAnsi="宋体" w:cs="宋体"/>
          <w:b/>
          <w:color w:val="000000"/>
          <w:sz w:val="32"/>
          <w:highlight w:val="none"/>
        </w:rPr>
        <w:t xml:space="preserve">     </w:t>
      </w:r>
      <w:bookmarkStart w:id="31" w:name="_Toc14207"/>
      <w:r/>
      <w:bookmarkStart w:id="32" w:name="_Toc32335"/>
      <w:r/>
      <w:bookmarkStart w:id="33" w:name="_Toc27033"/>
      <w:r/>
      <w:bookmarkStart w:id="34" w:name="_Toc16541"/>
      <w:r/>
      <w:bookmarkStart w:id="35" w:name="_Toc14062"/>
      <w:r/>
      <w:bookmarkStart w:id="36" w:name="_Toc14154"/>
      <w:r/>
      <w:bookmarkStart w:id="37" w:name="_Toc39"/>
      <w:r/>
      <w:bookmarkStart w:id="38" w:name="_Toc3960"/>
      <w:r/>
      <w:bookmarkStart w:id="39" w:name="_Toc29846"/>
      <w:r/>
      <w:bookmarkStart w:id="40" w:name="_Toc23404"/>
      <w:r>
        <w:rPr>
          <w:rFonts w:hint="eastAsia" w:ascii="宋体" w:hAnsi="宋体" w:cs="宋体"/>
          <w:b/>
          <w:color w:val="000000"/>
          <w:sz w:val="32"/>
          <w:highlight w:val="none"/>
        </w:rPr>
        <w:t xml:space="preserve">苏州恒泰招投标咨询服务有限公司</w:t>
      </w:r>
      <w:bookmarkEnd w:id="31"/>
      <w:r/>
      <w:bookmarkEnd w:id="32"/>
      <w:r/>
      <w:bookmarkEnd w:id="33"/>
      <w:r/>
      <w:bookmarkEnd w:id="34"/>
      <w:r/>
      <w:bookmarkEnd w:id="35"/>
      <w:r/>
      <w:bookmarkEnd w:id="36"/>
      <w:r/>
      <w:bookmarkEnd w:id="37"/>
      <w:r/>
      <w:bookmarkEnd w:id="38"/>
      <w:r/>
      <w:bookmarkEnd w:id="39"/>
      <w:r/>
      <w:bookmarkEnd w:id="40"/>
      <w:r>
        <w:rPr>
          <w:rFonts w:hint="eastAsia" w:ascii="宋体" w:hAnsi="宋体" w:cs="宋体"/>
          <w:b/>
          <w:color w:val="000000"/>
          <w:sz w:val="32"/>
          <w:highlight w:val="none"/>
        </w:rPr>
      </w:r>
      <w:r/>
    </w:p>
    <w:p>
      <w:pPr>
        <w:pStyle w:val="1060"/>
        <w:ind w:firstLine="3052"/>
        <w:spacing w:line="360" w:lineRule="auto"/>
        <w:rPr>
          <w:rFonts w:hint="eastAsia" w:ascii="宋体" w:hAnsi="宋体" w:cs="宋体"/>
          <w:b/>
          <w:color w:val="000000"/>
          <w:sz w:val="32"/>
          <w:highlight w:val="none"/>
        </w:rPr>
      </w:pPr>
      <w:r>
        <w:rPr>
          <w:rFonts w:hint="eastAsia" w:ascii="宋体" w:hAnsi="宋体" w:cs="宋体"/>
          <w:b/>
          <w:color w:val="000000"/>
          <w:sz w:val="32"/>
          <w:highlight w:val="none"/>
        </w:rPr>
        <w:t xml:space="preserve">       二○二六年八月</w:t>
      </w:r>
      <w:r>
        <w:rPr>
          <w:rFonts w:hint="eastAsia" w:ascii="宋体" w:hAnsi="宋体" w:cs="宋体"/>
          <w:b/>
          <w:color w:val="000000"/>
          <w:sz w:val="32"/>
          <w:highlight w:val="none"/>
        </w:rPr>
      </w:r>
      <w:r/>
    </w:p>
    <w:p>
      <w:pPr>
        <w:pStyle w:val="1060"/>
        <w:spacing w:line="360" w:lineRule="auto"/>
        <w:tabs>
          <w:tab w:val="left" w:pos="315" w:leader="none"/>
          <w:tab w:val="center" w:pos="4153" w:leader="none"/>
        </w:tabs>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060"/>
        <w:jc w:val="center"/>
        <w:pageBreakBefore/>
        <w:spacing w:line="360" w:lineRule="auto"/>
        <w:rPr>
          <w:rFonts w:hint="eastAsia" w:ascii="宋体" w:hAnsi="宋体" w:cs="宋体"/>
          <w:b/>
          <w:color w:val="000000"/>
          <w:sz w:val="44"/>
          <w:highlight w:val="none"/>
        </w:rPr>
      </w:pPr>
      <w:r>
        <w:rPr>
          <w:rFonts w:hint="eastAsia" w:ascii="宋体" w:hAnsi="宋体" w:cs="宋体"/>
          <w:b/>
          <w:color w:val="000000"/>
          <w:sz w:val="44"/>
          <w:highlight w:val="none"/>
        </w:rPr>
        <w:t xml:space="preserve">前附表</w:t>
      </w:r>
      <w:r>
        <w:rPr>
          <w:rFonts w:hint="eastAsia" w:ascii="宋体" w:hAnsi="宋体" w:cs="宋体"/>
          <w:b/>
          <w:color w:val="000000"/>
          <w:sz w:val="44"/>
          <w:highlight w:val="none"/>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60"/>
        <w:gridCol w:w="1752"/>
        <w:gridCol w:w="7735"/>
      </w:tblGrid>
      <w:tr>
        <w:trPr/>
        <w:tc>
          <w:tcPr>
            <w:tcW w:w="760" w:type="dxa"/>
            <w:vAlign w:val="center"/>
            <w:textDirection w:val="lrTb"/>
            <w:noWrap w:val="false"/>
          </w:tcPr>
          <w:p>
            <w:pPr>
              <w:pStyle w:val="1060"/>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序号</w:t>
            </w:r>
            <w:r>
              <w:rPr>
                <w:rFonts w:hint="eastAsia" w:ascii="宋体" w:hAnsi="宋体" w:cs="宋体"/>
                <w:b/>
                <w:color w:val="000000"/>
                <w:sz w:val="24"/>
                <w:highlight w:val="none"/>
              </w:rPr>
            </w:r>
            <w:r/>
          </w:p>
        </w:tc>
        <w:tc>
          <w:tcPr>
            <w:tcW w:w="1752" w:type="dxa"/>
            <w:vAlign w:val="center"/>
            <w:textDirection w:val="lrTb"/>
            <w:noWrap w:val="false"/>
          </w:tcPr>
          <w:p>
            <w:pPr>
              <w:pStyle w:val="1060"/>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项目名称</w:t>
            </w:r>
            <w:r>
              <w:rPr>
                <w:rFonts w:hint="eastAsia" w:ascii="宋体" w:hAnsi="宋体" w:cs="宋体"/>
                <w:b/>
                <w:color w:val="000000"/>
                <w:sz w:val="24"/>
                <w:highlight w:val="none"/>
              </w:rPr>
            </w:r>
            <w:r/>
          </w:p>
        </w:tc>
        <w:tc>
          <w:tcPr>
            <w:tcW w:w="7735" w:type="dxa"/>
            <w:vAlign w:val="top"/>
            <w:textDirection w:val="lrTb"/>
            <w:noWrap w:val="false"/>
          </w:tcPr>
          <w:p>
            <w:pPr>
              <w:pStyle w:val="1060"/>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内      容</w:t>
            </w:r>
            <w:r>
              <w:rPr>
                <w:rFonts w:hint="eastAsia" w:ascii="宋体" w:hAnsi="宋体" w:cs="宋体"/>
                <w:b/>
                <w:color w:val="000000"/>
                <w:sz w:val="24"/>
                <w:highlight w:val="none"/>
              </w:rPr>
            </w:r>
            <w:r/>
          </w:p>
        </w:tc>
      </w:tr>
      <w:tr>
        <w:trPr>
          <w:trHeight w:val="430"/>
        </w:trPr>
        <w:tc>
          <w:tcPr>
            <w:tcW w:w="760" w:type="dxa"/>
            <w:vAlign w:val="center"/>
            <w:textDirection w:val="lrTb"/>
            <w:noWrap w:val="false"/>
          </w:tcPr>
          <w:p>
            <w:pPr>
              <w:pStyle w:val="1128"/>
              <w:ind w:firstLine="0"/>
              <w:jc w:val="center"/>
              <w:spacing w:line="360" w:lineRule="auto"/>
              <w:rPr>
                <w:rFonts w:hint="eastAsia" w:ascii="宋体" w:hAnsi="宋体" w:cs="宋体"/>
                <w:color w:val="000000"/>
                <w:highlight w:val="none"/>
                <w:lang w:val="en-US" w:eastAsia="zh-CN"/>
              </w:rPr>
            </w:pPr>
            <w:r>
              <w:rPr>
                <w:rFonts w:hint="eastAsia" w:ascii="宋体" w:hAnsi="宋体" w:cs="宋体"/>
                <w:color w:val="000000"/>
                <w:highlight w:val="none"/>
                <w:lang w:val="en-US" w:eastAsia="zh-CN"/>
              </w:rPr>
              <w:t xml:space="preserve">1</w:t>
            </w:r>
            <w:r>
              <w:rPr>
                <w:rFonts w:hint="eastAsia" w:ascii="宋体" w:hAnsi="宋体" w:cs="宋体"/>
                <w:color w:val="000000"/>
                <w:highlight w:val="none"/>
                <w:lang w:val="en-US" w:eastAsia="zh-CN"/>
              </w:rPr>
            </w:r>
            <w:r/>
          </w:p>
        </w:tc>
        <w:tc>
          <w:tcPr>
            <w:tcW w:w="1752" w:type="dxa"/>
            <w:vAlign w:val="center"/>
            <w:textDirection w:val="lrTb"/>
            <w:noWrap w:val="false"/>
          </w:tcPr>
          <w:p>
            <w:pPr>
              <w:pStyle w:val="1128"/>
              <w:ind w:firstLine="0"/>
              <w:jc w:val="center"/>
              <w:spacing w:line="360" w:lineRule="auto"/>
              <w:rPr>
                <w:rFonts w:hint="eastAsia" w:ascii="宋体" w:hAnsi="宋体" w:cs="宋体"/>
                <w:color w:val="000000"/>
                <w:highlight w:val="none"/>
                <w:lang w:val="en-US" w:eastAsia="zh-CN"/>
              </w:rPr>
            </w:pPr>
            <w:r>
              <w:rPr>
                <w:rFonts w:hint="eastAsia" w:ascii="宋体" w:hAnsi="宋体" w:cs="宋体"/>
                <w:color w:val="000000"/>
                <w:highlight w:val="none"/>
                <w:lang w:val="en-US" w:eastAsia="zh-CN"/>
              </w:rPr>
              <w:t xml:space="preserve">项目编号</w:t>
            </w:r>
            <w:r>
              <w:rPr>
                <w:rFonts w:hint="eastAsia" w:ascii="宋体" w:hAnsi="宋体" w:cs="宋体"/>
                <w:color w:val="000000"/>
                <w:highlight w:val="none"/>
                <w:lang w:val="en-US" w:eastAsia="zh-CN"/>
              </w:rPr>
            </w:r>
            <w:r/>
          </w:p>
        </w:tc>
        <w:tc>
          <w:tcPr>
            <w:tcW w:w="7735" w:type="dxa"/>
            <w:vAlign w:val="top"/>
            <w:textDirection w:val="lrTb"/>
            <w:noWrap w:val="false"/>
          </w:tcPr>
          <w:p>
            <w:pPr>
              <w:pStyle w:val="1128"/>
              <w:ind w:firstLine="0"/>
              <w:jc w:val="both"/>
              <w:spacing w:line="360" w:lineRule="auto"/>
              <w:rPr>
                <w:rFonts w:hint="eastAsia" w:ascii="宋体" w:hAnsi="宋体" w:cs="宋体"/>
                <w:color w:val="000000"/>
                <w:highlight w:val="none"/>
                <w:lang w:val="en-US" w:eastAsia="zh-CN"/>
              </w:rPr>
            </w:pPr>
            <w:r>
              <w:rPr>
                <w:rFonts w:hint="eastAsia" w:ascii="宋体" w:hAnsi="宋体" w:cs="宋体"/>
                <w:color w:val="000000"/>
                <w:highlight w:val="none"/>
                <w:lang w:val="en-US" w:eastAsia="zh-CN"/>
              </w:rPr>
              <w:t xml:space="preserve">JSZC-320508-SZHT-K2026-0005</w:t>
            </w:r>
            <w:r>
              <w:rPr>
                <w:rFonts w:hint="eastAsia" w:ascii="宋体" w:hAnsi="宋体" w:cs="宋体"/>
                <w:color w:val="000000"/>
                <w:highlight w:val="none"/>
                <w:lang w:val="en-US" w:eastAsia="zh-CN"/>
              </w:rPr>
            </w:r>
            <w:r/>
          </w:p>
        </w:tc>
      </w:tr>
      <w:tr>
        <w:trPr>
          <w:trHeight w:val="289"/>
        </w:trPr>
        <w:tc>
          <w:tcPr>
            <w:tcW w:w="760" w:type="dxa"/>
            <w:vAlign w:val="center"/>
            <w:textDirection w:val="lrTb"/>
            <w:noWrap w:val="false"/>
          </w:tcPr>
          <w:p>
            <w:pPr>
              <w:pStyle w:val="1128"/>
              <w:ind w:firstLine="0"/>
              <w:jc w:val="center"/>
              <w:spacing w:line="360" w:lineRule="auto"/>
              <w:rPr>
                <w:rFonts w:hint="eastAsia" w:ascii="宋体" w:hAnsi="宋体" w:cs="宋体"/>
                <w:color w:val="000000"/>
                <w:highlight w:val="none"/>
                <w:lang w:val="en-US" w:eastAsia="zh-CN"/>
              </w:rPr>
            </w:pPr>
            <w:r>
              <w:rPr>
                <w:rFonts w:hint="eastAsia" w:ascii="宋体" w:hAnsi="宋体" w:cs="宋体"/>
                <w:color w:val="000000"/>
                <w:highlight w:val="none"/>
                <w:lang w:val="en-US" w:eastAsia="zh-CN"/>
              </w:rPr>
              <w:t xml:space="preserve">2</w:t>
            </w:r>
            <w:r>
              <w:rPr>
                <w:rFonts w:hint="eastAsia" w:ascii="宋体" w:hAnsi="宋体" w:cs="宋体"/>
                <w:color w:val="000000"/>
                <w:highlight w:val="none"/>
                <w:lang w:val="en-US" w:eastAsia="zh-CN"/>
              </w:rPr>
            </w:r>
            <w:r/>
          </w:p>
        </w:tc>
        <w:tc>
          <w:tcPr>
            <w:tcW w:w="1752" w:type="dxa"/>
            <w:vAlign w:val="center"/>
            <w:textDirection w:val="lrTb"/>
            <w:noWrap w:val="false"/>
          </w:tcPr>
          <w:p>
            <w:pPr>
              <w:pStyle w:val="1128"/>
              <w:ind w:firstLine="0"/>
              <w:jc w:val="center"/>
              <w:spacing w:line="360" w:lineRule="auto"/>
              <w:rPr>
                <w:rFonts w:hint="eastAsia" w:ascii="宋体" w:hAnsi="宋体" w:cs="宋体"/>
                <w:color w:val="000000"/>
                <w:highlight w:val="none"/>
                <w:lang w:val="en-US" w:eastAsia="zh-CN"/>
              </w:rPr>
            </w:pPr>
            <w:r>
              <w:rPr>
                <w:rFonts w:hint="eastAsia" w:ascii="宋体" w:hAnsi="宋体" w:cs="宋体"/>
                <w:color w:val="000000"/>
                <w:highlight w:val="none"/>
                <w:lang w:val="en-US" w:eastAsia="zh-CN"/>
              </w:rPr>
              <w:t xml:space="preserve">采购内容</w:t>
            </w:r>
            <w:r>
              <w:rPr>
                <w:rFonts w:hint="eastAsia" w:ascii="宋体" w:hAnsi="宋体" w:cs="宋体"/>
                <w:color w:val="000000"/>
                <w:highlight w:val="none"/>
                <w:lang w:val="en-US" w:eastAsia="zh-CN"/>
              </w:rPr>
            </w:r>
            <w:r/>
          </w:p>
        </w:tc>
        <w:tc>
          <w:tcPr>
            <w:tcW w:w="7735" w:type="dxa"/>
            <w:vAlign w:val="top"/>
            <w:textDirection w:val="lrTb"/>
            <w:noWrap w:val="false"/>
          </w:tcPr>
          <w:p>
            <w:pPr>
              <w:pStyle w:val="1128"/>
              <w:ind w:firstLine="0"/>
              <w:jc w:val="both"/>
              <w:spacing w:line="360" w:lineRule="auto"/>
              <w:rPr>
                <w:rFonts w:hint="eastAsia" w:ascii="宋体" w:hAnsi="宋体" w:cs="宋体"/>
                <w:color w:val="000000"/>
                <w:highlight w:val="none"/>
                <w:lang w:val="en-US" w:eastAsia="zh-CN"/>
              </w:rPr>
            </w:pPr>
            <w:r>
              <w:rPr>
                <w:rFonts w:hint="eastAsia" w:ascii="宋体" w:hAnsi="宋体" w:cs="宋体"/>
                <w:color w:val="000000"/>
                <w:highlight w:val="none"/>
                <w:lang w:val="en-US" w:eastAsia="zh-CN"/>
              </w:rPr>
              <w:t xml:space="preserve">苏州市姑苏区残疾人辅助器具适配服务</w:t>
            </w:r>
            <w:r>
              <w:rPr>
                <w:rFonts w:hint="eastAsia" w:ascii="宋体" w:hAnsi="宋体" w:cs="宋体"/>
                <w:color w:val="000000"/>
                <w:highlight w:val="none"/>
                <w:lang w:val="en-US" w:eastAsia="zh-CN"/>
              </w:rPr>
            </w:r>
            <w:r/>
          </w:p>
        </w:tc>
      </w:tr>
      <w:tr>
        <w:trPr>
          <w:trHeight w:val="439"/>
        </w:trPr>
        <w:tc>
          <w:tcPr>
            <w:tcW w:w="760" w:type="dxa"/>
            <w:vAlign w:val="center"/>
            <w:textDirection w:val="lrTb"/>
            <w:noWrap w:val="false"/>
          </w:tcPr>
          <w:p>
            <w:pPr>
              <w:pStyle w:val="1128"/>
              <w:ind w:firstLine="0"/>
              <w:jc w:val="center"/>
              <w:spacing w:line="360" w:lineRule="auto"/>
              <w:rPr>
                <w:rFonts w:hint="eastAsia" w:ascii="宋体" w:hAnsi="宋体" w:cs="宋体"/>
                <w:color w:val="000000"/>
                <w:highlight w:val="none"/>
                <w:lang w:val="en-US" w:eastAsia="zh-CN"/>
              </w:rPr>
            </w:pPr>
            <w:r>
              <w:rPr>
                <w:rFonts w:hint="eastAsia" w:ascii="宋体" w:hAnsi="宋体" w:cs="宋体"/>
                <w:color w:val="000000"/>
                <w:highlight w:val="none"/>
                <w:lang w:val="en-US" w:eastAsia="zh-CN"/>
              </w:rPr>
              <w:t xml:space="preserve">3</w:t>
            </w:r>
            <w:r>
              <w:rPr>
                <w:rFonts w:hint="eastAsia" w:ascii="宋体" w:hAnsi="宋体" w:cs="宋体"/>
                <w:color w:val="000000"/>
                <w:highlight w:val="none"/>
                <w:lang w:val="en-US" w:eastAsia="zh-CN"/>
              </w:rPr>
            </w:r>
            <w:r/>
          </w:p>
        </w:tc>
        <w:tc>
          <w:tcPr>
            <w:tcW w:w="1752" w:type="dxa"/>
            <w:vAlign w:val="center"/>
            <w:textDirection w:val="lrTb"/>
            <w:noWrap w:val="false"/>
          </w:tcPr>
          <w:p>
            <w:pPr>
              <w:pStyle w:val="1128"/>
              <w:ind w:firstLine="0"/>
              <w:jc w:val="center"/>
              <w:spacing w:line="360" w:lineRule="auto"/>
              <w:rPr>
                <w:rFonts w:hint="eastAsia" w:ascii="宋体" w:hAnsi="宋体" w:cs="宋体"/>
                <w:color w:val="000000"/>
                <w:highlight w:val="none"/>
                <w:lang w:val="en-US" w:eastAsia="zh-CN"/>
              </w:rPr>
            </w:pPr>
            <w:r>
              <w:rPr>
                <w:rFonts w:hint="eastAsia" w:ascii="宋体" w:hAnsi="宋体" w:cs="宋体"/>
                <w:color w:val="000000"/>
                <w:highlight w:val="none"/>
                <w:lang w:val="en-US" w:eastAsia="zh-CN"/>
              </w:rPr>
              <w:t xml:space="preserve">响应有效期</w:t>
            </w:r>
            <w:r>
              <w:rPr>
                <w:rFonts w:hint="eastAsia" w:ascii="宋体" w:hAnsi="宋体" w:cs="宋体"/>
                <w:color w:val="000000"/>
                <w:highlight w:val="none"/>
                <w:lang w:val="en-US" w:eastAsia="zh-CN"/>
              </w:rPr>
            </w:r>
            <w:r/>
          </w:p>
        </w:tc>
        <w:tc>
          <w:tcPr>
            <w:tcW w:w="7735" w:type="dxa"/>
            <w:vAlign w:val="top"/>
            <w:textDirection w:val="lrTb"/>
            <w:noWrap w:val="false"/>
          </w:tcPr>
          <w:p>
            <w:pPr>
              <w:pStyle w:val="1128"/>
              <w:ind w:firstLine="0"/>
              <w:jc w:val="both"/>
              <w:spacing w:line="360" w:lineRule="auto"/>
              <w:rPr>
                <w:rFonts w:hint="eastAsia" w:ascii="宋体" w:hAnsi="宋体" w:cs="宋体"/>
                <w:color w:val="000000"/>
                <w:highlight w:val="none"/>
                <w:lang w:val="en-US" w:eastAsia="zh-CN"/>
              </w:rPr>
            </w:pPr>
            <w:r>
              <w:rPr>
                <w:rFonts w:hint="eastAsia" w:ascii="宋体" w:hAnsi="宋体" w:cs="宋体"/>
                <w:color w:val="000000"/>
                <w:highlight w:val="none"/>
                <w:lang w:val="en-US" w:eastAsia="zh-CN"/>
              </w:rPr>
              <w:t xml:space="preserve">九十天（日历日）</w:t>
            </w:r>
            <w:r>
              <w:rPr>
                <w:rFonts w:hint="eastAsia" w:ascii="宋体" w:hAnsi="宋体" w:cs="宋体"/>
                <w:color w:val="000000"/>
                <w:highlight w:val="none"/>
                <w:lang w:val="en-US" w:eastAsia="zh-CN"/>
              </w:rPr>
            </w:r>
            <w:r/>
          </w:p>
        </w:tc>
      </w:tr>
      <w:tr>
        <w:trPr>
          <w:trHeight w:val="438"/>
        </w:trPr>
        <w:tc>
          <w:tcPr>
            <w:tcW w:w="760" w:type="dxa"/>
            <w:vAlign w:val="center"/>
            <w:textDirection w:val="lrTb"/>
            <w:noWrap w:val="false"/>
          </w:tcPr>
          <w:p>
            <w:pPr>
              <w:pStyle w:val="1128"/>
              <w:ind w:firstLine="0"/>
              <w:jc w:val="center"/>
              <w:spacing w:line="360" w:lineRule="auto"/>
              <w:rPr>
                <w:rFonts w:hint="eastAsia" w:ascii="宋体" w:hAnsi="宋体" w:cs="宋体"/>
                <w:color w:val="000000"/>
                <w:highlight w:val="none"/>
                <w:lang w:val="en-US" w:eastAsia="zh-CN"/>
              </w:rPr>
            </w:pPr>
            <w:r>
              <w:rPr>
                <w:rFonts w:hint="eastAsia" w:ascii="宋体" w:hAnsi="宋体" w:cs="宋体"/>
                <w:color w:val="000000"/>
                <w:highlight w:val="none"/>
                <w:lang w:val="en-US" w:eastAsia="zh-CN"/>
              </w:rPr>
              <w:t xml:space="preserve">4</w:t>
            </w:r>
            <w:r>
              <w:rPr>
                <w:rFonts w:hint="eastAsia" w:ascii="宋体" w:hAnsi="宋体" w:cs="宋体"/>
                <w:color w:val="000000"/>
                <w:highlight w:val="none"/>
                <w:lang w:val="en-US" w:eastAsia="zh-CN"/>
              </w:rPr>
            </w:r>
            <w:r/>
          </w:p>
        </w:tc>
        <w:tc>
          <w:tcPr>
            <w:tcW w:w="1752" w:type="dxa"/>
            <w:vAlign w:val="center"/>
            <w:textDirection w:val="lrTb"/>
            <w:noWrap w:val="false"/>
          </w:tcPr>
          <w:p>
            <w:pPr>
              <w:pStyle w:val="1128"/>
              <w:ind w:firstLine="0"/>
              <w:jc w:val="center"/>
              <w:spacing w:line="360" w:lineRule="auto"/>
              <w:rPr>
                <w:rFonts w:hint="eastAsia" w:ascii="宋体" w:hAnsi="宋体" w:cs="宋体"/>
                <w:color w:val="000000"/>
                <w:highlight w:val="none"/>
                <w:lang w:val="en-US" w:eastAsia="zh-CN"/>
              </w:rPr>
            </w:pPr>
            <w:r>
              <w:rPr>
                <w:rFonts w:hint="eastAsia" w:ascii="宋体" w:hAnsi="宋体" w:cs="宋体"/>
                <w:color w:val="000000"/>
                <w:highlight w:val="none"/>
                <w:lang w:val="en-US" w:eastAsia="zh-CN"/>
              </w:rPr>
              <w:t xml:space="preserve">投标保证金</w:t>
            </w:r>
            <w:r>
              <w:rPr>
                <w:rFonts w:hint="eastAsia" w:ascii="宋体" w:hAnsi="宋体" w:cs="宋体"/>
                <w:color w:val="000000"/>
                <w:highlight w:val="none"/>
                <w:lang w:val="en-US" w:eastAsia="zh-CN"/>
              </w:rPr>
            </w:r>
            <w:r/>
          </w:p>
        </w:tc>
        <w:tc>
          <w:tcPr>
            <w:tcW w:w="7735" w:type="dxa"/>
            <w:vAlign w:val="top"/>
            <w:textDirection w:val="lrTb"/>
            <w:noWrap w:val="false"/>
          </w:tcPr>
          <w:p>
            <w:pPr>
              <w:pStyle w:val="1128"/>
              <w:ind w:firstLine="0"/>
              <w:jc w:val="both"/>
              <w:spacing w:line="360" w:lineRule="auto"/>
              <w:rPr>
                <w:rFonts w:hint="eastAsia" w:ascii="宋体" w:hAnsi="宋体" w:cs="宋体"/>
                <w:color w:val="000000"/>
                <w:highlight w:val="none"/>
                <w:lang w:val="en-US" w:eastAsia="zh-CN"/>
              </w:rPr>
            </w:pPr>
            <w:r>
              <w:rPr>
                <w:rFonts w:hint="eastAsia" w:ascii="宋体" w:hAnsi="宋体" w:cs="宋体"/>
                <w:bCs/>
                <w:color w:val="000000"/>
                <w:highlight w:val="none"/>
                <w:lang w:val="en-US" w:eastAsia="zh-CN"/>
              </w:rPr>
              <w:t xml:space="preserve">本项目不收取投标保证金。投标（响应）人应在投标（响应）文件中提交《投标（响应）保证承诺书》（详见附件），否则为无效投标。</w:t>
            </w:r>
            <w:r>
              <w:rPr>
                <w:rFonts w:hint="eastAsia" w:ascii="宋体" w:hAnsi="宋体" w:cs="宋体"/>
                <w:color w:val="000000"/>
                <w:highlight w:val="none"/>
                <w:lang w:val="en-US" w:eastAsia="zh-CN"/>
              </w:rPr>
            </w:r>
            <w:r/>
          </w:p>
        </w:tc>
      </w:tr>
      <w:tr>
        <w:trPr>
          <w:trHeight w:val="1901"/>
        </w:trPr>
        <w:tc>
          <w:tcPr>
            <w:tcW w:w="760" w:type="dxa"/>
            <w:vAlign w:val="center"/>
            <w:textDirection w:val="lrTb"/>
            <w:noWrap w:val="false"/>
          </w:tcPr>
          <w:p>
            <w:pPr>
              <w:pStyle w:val="1128"/>
              <w:ind w:firstLine="0"/>
              <w:jc w:val="center"/>
              <w:spacing w:line="360" w:lineRule="auto"/>
              <w:rPr>
                <w:rFonts w:hint="eastAsia" w:ascii="宋体" w:hAnsi="宋体" w:cs="宋体"/>
                <w:color w:val="000000"/>
                <w:highlight w:val="none"/>
                <w:lang w:val="en-US" w:eastAsia="zh-CN"/>
              </w:rPr>
            </w:pPr>
            <w:r>
              <w:rPr>
                <w:rFonts w:hint="eastAsia" w:ascii="宋体" w:hAnsi="宋体" w:cs="宋体"/>
                <w:color w:val="000000"/>
                <w:highlight w:val="none"/>
                <w:lang w:val="en-US" w:eastAsia="zh-CN"/>
              </w:rPr>
              <w:t xml:space="preserve">5</w:t>
            </w:r>
            <w:r>
              <w:rPr>
                <w:rFonts w:hint="eastAsia" w:ascii="宋体" w:hAnsi="宋体" w:cs="宋体"/>
                <w:color w:val="000000"/>
                <w:highlight w:val="none"/>
                <w:lang w:val="en-US" w:eastAsia="zh-CN"/>
              </w:rPr>
            </w:r>
            <w:r/>
          </w:p>
        </w:tc>
        <w:tc>
          <w:tcPr>
            <w:tcW w:w="1752" w:type="dxa"/>
            <w:vAlign w:val="center"/>
            <w:textDirection w:val="lrTb"/>
            <w:noWrap w:val="false"/>
          </w:tcPr>
          <w:p>
            <w:pPr>
              <w:pStyle w:val="1128"/>
              <w:ind w:firstLine="0"/>
              <w:jc w:val="center"/>
              <w:spacing w:line="360" w:lineRule="auto"/>
              <w:rPr>
                <w:rFonts w:hint="eastAsia" w:ascii="宋体" w:hAnsi="宋体" w:cs="宋体"/>
                <w:color w:val="000000"/>
                <w:highlight w:val="none"/>
                <w:lang w:val="en-US" w:eastAsia="zh-CN"/>
              </w:rPr>
            </w:pPr>
            <w:r>
              <w:rPr>
                <w:rFonts w:hint="eastAsia" w:ascii="宋体" w:hAnsi="宋体" w:cs="宋体"/>
                <w:color w:val="000000"/>
                <w:highlight w:val="none"/>
                <w:lang w:val="en-US" w:eastAsia="zh-CN"/>
              </w:rPr>
              <w:t xml:space="preserve">招标代理机构名称及地址</w:t>
            </w:r>
            <w:r>
              <w:rPr>
                <w:rFonts w:hint="eastAsia" w:ascii="宋体" w:hAnsi="宋体" w:cs="宋体"/>
                <w:color w:val="000000"/>
                <w:highlight w:val="none"/>
                <w:lang w:val="en-US" w:eastAsia="zh-CN"/>
              </w:rPr>
            </w:r>
            <w:r/>
          </w:p>
        </w:tc>
        <w:tc>
          <w:tcPr>
            <w:tcW w:w="7735" w:type="dxa"/>
            <w:vAlign w:val="top"/>
            <w:textDirection w:val="lrTb"/>
            <w:noWrap w:val="false"/>
          </w:tcPr>
          <w:p>
            <w:pPr>
              <w:pStyle w:val="1128"/>
              <w:ind w:firstLine="0"/>
              <w:jc w:val="both"/>
              <w:spacing w:line="360" w:lineRule="auto"/>
              <w:rPr>
                <w:rFonts w:hint="eastAsia" w:ascii="宋体" w:hAnsi="宋体" w:cs="宋体"/>
                <w:color w:val="000000"/>
                <w:highlight w:val="none"/>
                <w:lang w:val="en-US" w:eastAsia="zh-CN"/>
              </w:rPr>
            </w:pPr>
            <w:r>
              <w:rPr>
                <w:rFonts w:hint="eastAsia" w:ascii="宋体" w:hAnsi="宋体" w:cs="宋体"/>
                <w:color w:val="000000"/>
                <w:highlight w:val="none"/>
                <w:lang w:val="en-US" w:eastAsia="zh-CN"/>
              </w:rPr>
              <w:t xml:space="preserve">名称：苏州恒泰招投标咨询服务有限公司</w:t>
            </w:r>
            <w:r>
              <w:rPr>
                <w:rFonts w:hint="eastAsia" w:ascii="宋体" w:hAnsi="宋体" w:cs="宋体"/>
                <w:color w:val="000000"/>
                <w:highlight w:val="none"/>
                <w:lang w:val="en-US" w:eastAsia="zh-CN"/>
              </w:rPr>
            </w:r>
            <w:r/>
          </w:p>
          <w:p>
            <w:pPr>
              <w:pStyle w:val="1128"/>
              <w:ind w:firstLine="0"/>
              <w:jc w:val="both"/>
              <w:spacing w:line="360" w:lineRule="auto"/>
              <w:rPr>
                <w:rFonts w:hint="eastAsia" w:ascii="宋体" w:hAnsi="宋体" w:cs="宋体"/>
                <w:color w:val="000000"/>
                <w:highlight w:val="none"/>
                <w:lang w:val="en-US" w:eastAsia="zh-CN"/>
              </w:rPr>
            </w:pPr>
            <w:r>
              <w:rPr>
                <w:rFonts w:hint="eastAsia" w:ascii="宋体" w:hAnsi="宋体" w:cs="宋体"/>
                <w:color w:val="000000"/>
                <w:highlight w:val="none"/>
                <w:lang w:val="en-US" w:eastAsia="zh-CN"/>
              </w:rPr>
              <w:t xml:space="preserve">地址：苏州市阳澄湖东路168号241-202室（苏州恒泰招标公司）</w:t>
            </w:r>
            <w:r>
              <w:rPr>
                <w:rFonts w:hint="eastAsia" w:ascii="宋体" w:hAnsi="宋体" w:cs="宋体"/>
                <w:color w:val="000000"/>
                <w:highlight w:val="none"/>
                <w:lang w:val="en-US" w:eastAsia="zh-CN"/>
              </w:rPr>
            </w:r>
            <w:r/>
          </w:p>
          <w:p>
            <w:pPr>
              <w:pStyle w:val="1128"/>
              <w:ind w:firstLine="0"/>
              <w:jc w:val="both"/>
              <w:spacing w:line="360" w:lineRule="auto"/>
              <w:rPr>
                <w:rFonts w:hint="eastAsia" w:ascii="宋体" w:hAnsi="宋体" w:cs="宋体"/>
                <w:color w:val="000000"/>
                <w:highlight w:val="none"/>
                <w:lang w:val="en-US" w:eastAsia="zh-CN"/>
              </w:rPr>
            </w:pPr>
            <w:r>
              <w:rPr>
                <w:rFonts w:hint="eastAsia" w:ascii="宋体" w:hAnsi="宋体" w:cs="宋体"/>
                <w:color w:val="000000"/>
                <w:highlight w:val="none"/>
                <w:lang w:val="en-US" w:eastAsia="zh-CN"/>
              </w:rPr>
              <w:t xml:space="preserve">邮编：215100   电话：0512-62728826 </w:t>
            </w:r>
            <w:r>
              <w:rPr>
                <w:rFonts w:hint="eastAsia" w:ascii="宋体" w:hAnsi="宋体" w:cs="宋体"/>
                <w:color w:val="000000"/>
                <w:highlight w:val="none"/>
                <w:lang w:val="en-US" w:eastAsia="zh-CN"/>
              </w:rPr>
            </w:r>
            <w:r/>
          </w:p>
          <w:p>
            <w:pPr>
              <w:pStyle w:val="1128"/>
              <w:ind w:firstLine="0"/>
              <w:jc w:val="both"/>
              <w:spacing w:line="360" w:lineRule="auto"/>
              <w:rPr>
                <w:rFonts w:hint="eastAsia" w:ascii="宋体" w:hAnsi="宋体" w:cs="宋体"/>
                <w:color w:val="000000"/>
                <w:highlight w:val="none"/>
                <w:lang w:val="en-US" w:eastAsia="zh-CN"/>
              </w:rPr>
            </w:pPr>
            <w:r>
              <w:rPr>
                <w:rFonts w:hint="eastAsia" w:ascii="宋体" w:hAnsi="宋体" w:cs="宋体"/>
                <w:color w:val="000000"/>
                <w:highlight w:val="none"/>
                <w:lang w:val="en-US" w:eastAsia="zh-CN"/>
              </w:rPr>
              <w:t xml:space="preserve">联系人：樊亚男、蔡艳平</w:t>
            </w:r>
            <w:r>
              <w:rPr>
                <w:rFonts w:hint="eastAsia" w:ascii="宋体" w:hAnsi="宋体" w:cs="宋体"/>
                <w:color w:val="000000"/>
                <w:highlight w:val="none"/>
                <w:lang w:val="en-US" w:eastAsia="zh-CN"/>
              </w:rPr>
            </w:r>
            <w:r/>
          </w:p>
        </w:tc>
      </w:tr>
      <w:tr>
        <w:trPr>
          <w:trHeight w:val="510"/>
        </w:trPr>
        <w:tc>
          <w:tcPr>
            <w:tcW w:w="760" w:type="dxa"/>
            <w:vAlign w:val="center"/>
            <w:textDirection w:val="lrTb"/>
            <w:noWrap w:val="false"/>
          </w:tcPr>
          <w:p>
            <w:pPr>
              <w:pStyle w:val="1128"/>
              <w:ind w:firstLine="0"/>
              <w:jc w:val="center"/>
              <w:spacing w:line="360" w:lineRule="auto"/>
              <w:rPr>
                <w:rFonts w:hint="eastAsia" w:ascii="宋体" w:hAnsi="宋体" w:cs="宋体"/>
                <w:color w:val="000000"/>
                <w:highlight w:val="none"/>
                <w:lang w:val="en-US" w:eastAsia="zh-CN"/>
              </w:rPr>
            </w:pPr>
            <w:r>
              <w:rPr>
                <w:rFonts w:hint="eastAsia" w:ascii="宋体" w:hAnsi="宋体" w:cs="宋体"/>
                <w:color w:val="000000"/>
                <w:highlight w:val="none"/>
                <w:lang w:val="en-US" w:eastAsia="zh-CN"/>
              </w:rPr>
              <w:t xml:space="preserve">6</w:t>
            </w:r>
            <w:r>
              <w:rPr>
                <w:rFonts w:hint="eastAsia" w:ascii="宋体" w:hAnsi="宋体" w:cs="宋体"/>
                <w:color w:val="000000"/>
                <w:highlight w:val="none"/>
                <w:lang w:val="en-US" w:eastAsia="zh-CN"/>
              </w:rPr>
            </w:r>
            <w:r/>
          </w:p>
        </w:tc>
        <w:tc>
          <w:tcPr>
            <w:tcW w:w="1752" w:type="dxa"/>
            <w:vAlign w:val="center"/>
            <w:textDirection w:val="lrTb"/>
            <w:noWrap w:val="false"/>
          </w:tcPr>
          <w:p>
            <w:pPr>
              <w:pStyle w:val="1128"/>
              <w:ind w:firstLine="0"/>
              <w:jc w:val="center"/>
              <w:spacing w:line="360" w:lineRule="auto"/>
              <w:rPr>
                <w:rFonts w:hint="eastAsia" w:ascii="宋体" w:hAnsi="宋体" w:cs="宋体"/>
                <w:color w:val="000000"/>
                <w:highlight w:val="none"/>
                <w:lang w:val="en-US" w:eastAsia="zh-CN"/>
              </w:rPr>
            </w:pPr>
            <w:r>
              <w:rPr>
                <w:rFonts w:hint="eastAsia" w:ascii="宋体" w:hAnsi="宋体" w:cs="宋体"/>
                <w:color w:val="000000"/>
                <w:highlight w:val="none"/>
                <w:lang w:val="en-US" w:eastAsia="zh-CN"/>
              </w:rPr>
              <w:t xml:space="preserve">采购单位</w:t>
            </w:r>
            <w:r>
              <w:rPr>
                <w:rFonts w:hint="eastAsia" w:ascii="宋体" w:hAnsi="宋体" w:cs="宋体"/>
                <w:color w:val="000000"/>
                <w:highlight w:val="none"/>
                <w:lang w:val="en-US" w:eastAsia="zh-CN"/>
              </w:rPr>
            </w:r>
            <w:r/>
          </w:p>
        </w:tc>
        <w:tc>
          <w:tcPr>
            <w:tcW w:w="7735" w:type="dxa"/>
            <w:vAlign w:val="top"/>
            <w:textDirection w:val="lrTb"/>
            <w:noWrap w:val="false"/>
          </w:tcPr>
          <w:p>
            <w:pPr>
              <w:pStyle w:val="1128"/>
              <w:ind w:firstLine="0"/>
              <w:jc w:val="both"/>
              <w:spacing w:line="360" w:lineRule="auto"/>
              <w:rPr>
                <w:rFonts w:hint="eastAsia" w:ascii="宋体" w:hAnsi="宋体" w:cs="宋体"/>
                <w:color w:val="000000"/>
                <w:highlight w:val="none"/>
                <w:lang w:val="en-US" w:eastAsia="zh-CN"/>
              </w:rPr>
            </w:pPr>
            <w:r>
              <w:rPr>
                <w:rFonts w:hint="eastAsia" w:ascii="宋体" w:hAnsi="宋体" w:cs="宋体"/>
                <w:color w:val="000000"/>
                <w:highlight w:val="none"/>
                <w:lang w:val="en-US" w:eastAsia="zh-CN"/>
              </w:rPr>
              <w:t xml:space="preserve">名称：苏州市姑苏区残疾人联合会</w:t>
            </w:r>
            <w:r>
              <w:rPr>
                <w:rFonts w:hint="eastAsia" w:ascii="宋体" w:hAnsi="宋体" w:cs="宋体"/>
                <w:color w:val="000000"/>
                <w:highlight w:val="none"/>
                <w:lang w:val="en-US" w:eastAsia="zh-CN"/>
              </w:rPr>
            </w:r>
            <w:r/>
          </w:p>
          <w:p>
            <w:pPr>
              <w:pStyle w:val="1128"/>
              <w:ind w:firstLine="0"/>
              <w:jc w:val="both"/>
              <w:spacing w:line="360" w:lineRule="auto"/>
              <w:rPr>
                <w:rFonts w:hint="eastAsia" w:ascii="宋体" w:hAnsi="宋体" w:cs="宋体"/>
                <w:color w:val="000000"/>
                <w:highlight w:val="none"/>
                <w:lang w:val="en-US" w:eastAsia="zh-CN"/>
              </w:rPr>
            </w:pPr>
            <w:r>
              <w:rPr>
                <w:rFonts w:hint="eastAsia" w:ascii="宋体" w:hAnsi="宋体" w:cs="宋体"/>
                <w:color w:val="000000"/>
                <w:highlight w:val="none"/>
                <w:lang w:val="en-US" w:eastAsia="zh-CN"/>
              </w:rPr>
              <w:t xml:space="preserve">地址：苏州市姑苏区平江街道白塔东路棋杆弄15号 </w:t>
            </w:r>
            <w:r>
              <w:rPr>
                <w:rFonts w:hint="eastAsia" w:ascii="宋体" w:hAnsi="宋体" w:cs="宋体"/>
                <w:color w:val="000000"/>
                <w:highlight w:val="none"/>
                <w:lang w:val="en-US" w:eastAsia="zh-CN"/>
              </w:rPr>
            </w:r>
            <w:r/>
          </w:p>
          <w:p>
            <w:pPr>
              <w:pStyle w:val="1128"/>
              <w:ind w:firstLine="0"/>
              <w:jc w:val="both"/>
              <w:spacing w:line="360" w:lineRule="auto"/>
              <w:rPr>
                <w:rFonts w:hint="eastAsia" w:ascii="宋体" w:hAnsi="宋体" w:cs="宋体"/>
                <w:color w:val="000000"/>
                <w:highlight w:val="none"/>
                <w:lang w:val="en-US" w:eastAsia="zh-CN"/>
              </w:rPr>
            </w:pPr>
            <w:r>
              <w:rPr>
                <w:rFonts w:hint="eastAsia" w:ascii="宋体" w:hAnsi="宋体" w:cs="宋体"/>
                <w:color w:val="000000"/>
                <w:highlight w:val="none"/>
                <w:lang w:val="en-US" w:eastAsia="zh-CN"/>
              </w:rPr>
              <w:t xml:space="preserve">联系人：顾慧                  </w:t>
            </w:r>
            <w:r>
              <w:rPr>
                <w:rFonts w:hint="eastAsia" w:ascii="宋体" w:hAnsi="宋体" w:cs="宋体"/>
                <w:color w:val="000000"/>
                <w:highlight w:val="none"/>
                <w:lang w:val="en-US" w:eastAsia="zh-CN"/>
              </w:rPr>
            </w:r>
            <w:r/>
          </w:p>
          <w:p>
            <w:pPr>
              <w:pStyle w:val="1128"/>
              <w:ind w:firstLine="0"/>
              <w:jc w:val="both"/>
              <w:spacing w:line="360" w:lineRule="auto"/>
              <w:rPr>
                <w:rFonts w:hint="eastAsia" w:ascii="宋体" w:hAnsi="宋体" w:cs="宋体"/>
                <w:color w:val="000000"/>
                <w:highlight w:val="none"/>
                <w:lang w:val="en-US" w:eastAsia="zh-CN"/>
              </w:rPr>
            </w:pPr>
            <w:r>
              <w:rPr>
                <w:rFonts w:hint="eastAsia" w:ascii="宋体" w:hAnsi="宋体" w:cs="宋体"/>
                <w:color w:val="000000"/>
                <w:highlight w:val="none"/>
                <w:lang w:val="en-US" w:eastAsia="zh-CN"/>
              </w:rPr>
              <w:t xml:space="preserve">联系电话：0512-65723150</w:t>
            </w:r>
            <w:r>
              <w:rPr>
                <w:rFonts w:hint="eastAsia" w:ascii="宋体" w:hAnsi="宋体" w:cs="宋体"/>
                <w:color w:val="000000"/>
                <w:highlight w:val="none"/>
                <w:lang w:val="en-US" w:eastAsia="zh-CN"/>
              </w:rPr>
            </w:r>
            <w:r/>
          </w:p>
        </w:tc>
      </w:tr>
      <w:tr>
        <w:trPr>
          <w:trHeight w:val="650"/>
        </w:trPr>
        <w:tc>
          <w:tcPr>
            <w:tcW w:w="760" w:type="dxa"/>
            <w:vAlign w:val="center"/>
            <w:textDirection w:val="lrTb"/>
            <w:noWrap w:val="false"/>
          </w:tcPr>
          <w:p>
            <w:pPr>
              <w:pStyle w:val="1128"/>
              <w:ind w:firstLine="0"/>
              <w:jc w:val="center"/>
              <w:spacing w:line="360" w:lineRule="auto"/>
              <w:rPr>
                <w:rFonts w:hint="eastAsia" w:ascii="宋体" w:hAnsi="宋体" w:cs="宋体"/>
                <w:color w:val="000000"/>
                <w:highlight w:val="none"/>
                <w:lang w:val="en-US" w:eastAsia="zh-CN"/>
              </w:rPr>
            </w:pPr>
            <w:r>
              <w:rPr>
                <w:rFonts w:hint="eastAsia" w:ascii="宋体" w:hAnsi="宋体" w:cs="宋体"/>
                <w:color w:val="000000"/>
                <w:highlight w:val="none"/>
                <w:lang w:val="en-US" w:eastAsia="zh-CN"/>
              </w:rPr>
              <w:t xml:space="preserve">7</w:t>
            </w:r>
            <w:r>
              <w:rPr>
                <w:rFonts w:hint="eastAsia" w:ascii="宋体" w:hAnsi="宋体" w:cs="宋体"/>
                <w:color w:val="000000"/>
                <w:highlight w:val="none"/>
                <w:lang w:val="en-US" w:eastAsia="zh-CN"/>
              </w:rPr>
            </w:r>
            <w:r/>
          </w:p>
        </w:tc>
        <w:tc>
          <w:tcPr>
            <w:tcW w:w="1752" w:type="dxa"/>
            <w:vAlign w:val="center"/>
            <w:textDirection w:val="lrTb"/>
            <w:noWrap w:val="false"/>
          </w:tcPr>
          <w:p>
            <w:pPr>
              <w:pStyle w:val="1128"/>
              <w:ind w:firstLine="0"/>
              <w:jc w:val="center"/>
              <w:spacing w:line="360" w:lineRule="auto"/>
              <w:rPr>
                <w:rFonts w:hint="eastAsia" w:ascii="宋体" w:hAnsi="宋体" w:cs="宋体"/>
                <w:color w:val="000000"/>
                <w:highlight w:val="none"/>
                <w:lang w:val="en-US" w:eastAsia="zh-CN"/>
              </w:rPr>
            </w:pPr>
            <w:r>
              <w:rPr>
                <w:rFonts w:hint="eastAsia" w:ascii="宋体" w:hAnsi="宋体" w:cs="宋体"/>
                <w:color w:val="000000"/>
                <w:highlight w:val="none"/>
                <w:lang w:val="en-US" w:eastAsia="zh-CN"/>
              </w:rPr>
              <w:t xml:space="preserve">响应文件份数</w:t>
            </w:r>
            <w:r>
              <w:rPr>
                <w:rFonts w:hint="eastAsia" w:ascii="宋体" w:hAnsi="宋体" w:cs="宋体"/>
                <w:color w:val="000000"/>
                <w:highlight w:val="none"/>
                <w:lang w:val="en-US" w:eastAsia="zh-CN"/>
              </w:rPr>
            </w:r>
            <w:r/>
          </w:p>
        </w:tc>
        <w:tc>
          <w:tcPr>
            <w:tcW w:w="7735" w:type="dxa"/>
            <w:vAlign w:val="center"/>
            <w:textDirection w:val="lrTb"/>
            <w:noWrap w:val="false"/>
          </w:tcPr>
          <w:p>
            <w:pPr>
              <w:pStyle w:val="1128"/>
              <w:ind w:firstLine="0"/>
              <w:spacing w:line="360" w:lineRule="auto"/>
              <w:rPr>
                <w:rFonts w:hint="eastAsia" w:ascii="宋体" w:hAnsi="宋体" w:cs="宋体"/>
                <w:color w:val="000000"/>
                <w:highlight w:val="none"/>
                <w:lang w:val="en-US" w:eastAsia="zh-CN"/>
              </w:rPr>
            </w:pPr>
            <w:r>
              <w:rPr>
                <w:rFonts w:hint="eastAsia" w:ascii="宋体" w:hAnsi="宋体" w:cs="宋体"/>
                <w:color w:val="000000"/>
                <w:highlight w:val="none"/>
                <w:lang w:val="en-US" w:eastAsia="zh-CN"/>
              </w:rPr>
              <w:t xml:space="preserve">网上响应文件</w:t>
            </w:r>
            <w:r>
              <w:rPr>
                <w:rFonts w:hint="eastAsia" w:ascii="宋体" w:hAnsi="宋体" w:cs="宋体"/>
                <w:color w:val="000000"/>
                <w:highlight w:val="none"/>
                <w:u w:val="single"/>
                <w:lang w:val="en-US" w:eastAsia="zh-CN"/>
              </w:rPr>
              <w:t xml:space="preserve"> 壹 </w:t>
            </w:r>
            <w:r>
              <w:rPr>
                <w:rFonts w:hint="eastAsia" w:ascii="宋体" w:hAnsi="宋体" w:cs="宋体"/>
                <w:color w:val="000000"/>
                <w:highlight w:val="none"/>
                <w:lang w:val="en-US" w:eastAsia="zh-CN"/>
              </w:rPr>
              <w:t xml:space="preserve">份</w:t>
            </w:r>
            <w:r>
              <w:rPr>
                <w:rFonts w:hint="eastAsia" w:ascii="宋体" w:hAnsi="宋体" w:cs="宋体"/>
                <w:color w:val="000000"/>
                <w:highlight w:val="none"/>
                <w:lang w:val="en-US" w:eastAsia="zh-CN"/>
              </w:rPr>
            </w:r>
            <w:r/>
          </w:p>
        </w:tc>
      </w:tr>
      <w:tr>
        <w:trPr>
          <w:trHeight w:val="607"/>
        </w:trPr>
        <w:tc>
          <w:tcPr>
            <w:tcW w:w="760" w:type="dxa"/>
            <w:vAlign w:val="center"/>
            <w:textDirection w:val="lrTb"/>
            <w:noWrap w:val="false"/>
          </w:tcPr>
          <w:p>
            <w:pPr>
              <w:pStyle w:val="1128"/>
              <w:ind w:firstLine="0"/>
              <w:jc w:val="center"/>
              <w:spacing w:line="360" w:lineRule="auto"/>
              <w:rPr>
                <w:rFonts w:hint="eastAsia" w:ascii="宋体" w:hAnsi="宋体" w:cs="宋体"/>
                <w:color w:val="000000"/>
                <w:highlight w:val="none"/>
                <w:lang w:val="en-US" w:eastAsia="zh-CN"/>
              </w:rPr>
            </w:pPr>
            <w:r>
              <w:rPr>
                <w:rFonts w:hint="eastAsia" w:ascii="宋体" w:hAnsi="宋体" w:cs="宋体"/>
                <w:color w:val="000000"/>
                <w:highlight w:val="none"/>
                <w:lang w:val="en-US" w:eastAsia="zh-CN"/>
              </w:rPr>
              <w:t xml:space="preserve">8</w:t>
            </w:r>
            <w:r>
              <w:rPr>
                <w:rFonts w:hint="eastAsia" w:ascii="宋体" w:hAnsi="宋体" w:cs="宋体"/>
                <w:color w:val="000000"/>
                <w:highlight w:val="none"/>
                <w:lang w:val="en-US" w:eastAsia="zh-CN"/>
              </w:rPr>
            </w:r>
            <w:r/>
          </w:p>
        </w:tc>
        <w:tc>
          <w:tcPr>
            <w:tcW w:w="1752" w:type="dxa"/>
            <w:vAlign w:val="center"/>
            <w:textDirection w:val="lrTb"/>
            <w:noWrap w:val="false"/>
          </w:tcPr>
          <w:p>
            <w:pPr>
              <w:pStyle w:val="1128"/>
              <w:ind w:firstLine="0"/>
              <w:jc w:val="center"/>
              <w:spacing w:line="360" w:lineRule="auto"/>
              <w:rPr>
                <w:rFonts w:hint="eastAsia" w:ascii="宋体" w:hAnsi="宋体" w:cs="宋体"/>
                <w:color w:val="000000"/>
                <w:highlight w:val="none"/>
                <w:lang w:val="en-US" w:eastAsia="zh-CN"/>
              </w:rPr>
            </w:pPr>
            <w:r>
              <w:rPr>
                <w:rFonts w:hint="eastAsia" w:ascii="宋体" w:hAnsi="宋体" w:cs="宋体"/>
                <w:color w:val="000000"/>
                <w:highlight w:val="none"/>
                <w:lang w:val="en-US" w:eastAsia="zh-CN"/>
              </w:rPr>
              <w:t xml:space="preserve">网上报名截止时间</w:t>
            </w:r>
            <w:r>
              <w:rPr>
                <w:rFonts w:hint="eastAsia" w:ascii="宋体" w:hAnsi="宋体" w:cs="宋体"/>
                <w:color w:val="000000"/>
                <w:highlight w:val="none"/>
                <w:lang w:val="en-US" w:eastAsia="zh-CN"/>
              </w:rPr>
            </w:r>
            <w:r/>
          </w:p>
        </w:tc>
        <w:tc>
          <w:tcPr>
            <w:tcW w:w="7735" w:type="dxa"/>
            <w:vAlign w:val="top"/>
            <w:textDirection w:val="lrTb"/>
            <w:noWrap w:val="false"/>
          </w:tcPr>
          <w:p>
            <w:pPr>
              <w:pStyle w:val="1128"/>
              <w:ind w:firstLine="0"/>
              <w:jc w:val="both"/>
              <w:spacing w:line="360" w:lineRule="auto"/>
              <w:rPr>
                <w:rFonts w:hint="eastAsia" w:ascii="宋体" w:hAnsi="宋体" w:cs="宋体"/>
                <w:color w:val="000000"/>
                <w:highlight w:val="none"/>
                <w:lang w:val="en-US" w:eastAsia="zh-CN"/>
              </w:rPr>
            </w:pPr>
            <w:r>
              <w:rPr>
                <w:rFonts w:hint="eastAsia" w:ascii="宋体" w:hAnsi="宋体" w:cs="宋体"/>
                <w:color w:val="000000"/>
                <w:highlight w:val="none"/>
                <w:lang w:val="en-US" w:eastAsia="zh-CN"/>
              </w:rPr>
              <w:t xml:space="preserve">2026年 9  月  2   日</w:t>
            </w:r>
            <w:r>
              <w:rPr>
                <w:rFonts w:hint="eastAsia" w:ascii="宋体" w:hAnsi="宋体" w:cs="宋体"/>
                <w:color w:val="000000"/>
                <w:highlight w:val="none"/>
                <w:lang w:val="en-US" w:eastAsia="zh-CN"/>
              </w:rPr>
            </w:r>
            <w:r/>
          </w:p>
        </w:tc>
      </w:tr>
      <w:tr>
        <w:trPr>
          <w:trHeight w:val="741"/>
        </w:trPr>
        <w:tc>
          <w:tcPr>
            <w:tcW w:w="760" w:type="dxa"/>
            <w:vAlign w:val="center"/>
            <w:textDirection w:val="lrTb"/>
            <w:noWrap w:val="false"/>
          </w:tcPr>
          <w:p>
            <w:pPr>
              <w:pStyle w:val="1128"/>
              <w:ind w:firstLine="0"/>
              <w:jc w:val="center"/>
              <w:spacing w:line="360" w:lineRule="auto"/>
              <w:rPr>
                <w:rFonts w:hint="eastAsia" w:ascii="宋体" w:hAnsi="宋体" w:cs="宋体"/>
                <w:color w:val="000000"/>
                <w:highlight w:val="none"/>
                <w:lang w:val="en-US" w:eastAsia="zh-CN"/>
              </w:rPr>
            </w:pPr>
            <w:r>
              <w:rPr>
                <w:rFonts w:hint="eastAsia" w:ascii="宋体" w:hAnsi="宋体" w:cs="宋体"/>
                <w:color w:val="000000"/>
                <w:highlight w:val="none"/>
                <w:lang w:val="en-US" w:eastAsia="zh-CN"/>
              </w:rPr>
              <w:t xml:space="preserve">9</w:t>
            </w:r>
            <w:r>
              <w:rPr>
                <w:rFonts w:hint="eastAsia" w:ascii="宋体" w:hAnsi="宋体" w:cs="宋体"/>
                <w:color w:val="000000"/>
                <w:highlight w:val="none"/>
                <w:lang w:val="en-US" w:eastAsia="zh-CN"/>
              </w:rPr>
            </w:r>
            <w:r/>
          </w:p>
        </w:tc>
        <w:tc>
          <w:tcPr>
            <w:tcW w:w="1752" w:type="dxa"/>
            <w:vAlign w:val="center"/>
            <w:textDirection w:val="lrTb"/>
            <w:noWrap w:val="false"/>
          </w:tcPr>
          <w:p>
            <w:pPr>
              <w:pStyle w:val="1128"/>
              <w:ind w:firstLine="0"/>
              <w:jc w:val="center"/>
              <w:spacing w:line="360" w:lineRule="auto"/>
              <w:rPr>
                <w:rFonts w:hint="eastAsia" w:ascii="宋体" w:hAnsi="宋体" w:cs="宋体"/>
                <w:color w:val="000000"/>
                <w:highlight w:val="none"/>
                <w:lang w:val="en-US" w:eastAsia="zh-CN"/>
              </w:rPr>
            </w:pPr>
            <w:r>
              <w:rPr>
                <w:rFonts w:hint="eastAsia" w:ascii="宋体" w:hAnsi="宋体" w:cs="宋体"/>
                <w:color w:val="000000"/>
                <w:highlight w:val="none"/>
                <w:lang w:val="en-US" w:eastAsia="zh-CN"/>
              </w:rPr>
              <w:t xml:space="preserve">开标时间及地点</w:t>
            </w:r>
            <w:r>
              <w:rPr>
                <w:rFonts w:hint="eastAsia" w:ascii="宋体" w:hAnsi="宋体" w:cs="宋体"/>
                <w:color w:val="000000"/>
                <w:highlight w:val="none"/>
                <w:lang w:val="en-US" w:eastAsia="zh-CN"/>
              </w:rPr>
            </w:r>
            <w:r/>
          </w:p>
        </w:tc>
        <w:tc>
          <w:tcPr>
            <w:tcW w:w="7735" w:type="dxa"/>
            <w:vAlign w:val="center"/>
            <w:textDirection w:val="lrTb"/>
            <w:noWrap w:val="false"/>
          </w:tcPr>
          <w:p>
            <w:pPr>
              <w:pStyle w:val="1128"/>
              <w:ind w:firstLine="0"/>
              <w:jc w:val="both"/>
              <w:spacing w:line="360" w:lineRule="auto"/>
              <w:rPr>
                <w:rFonts w:hint="eastAsia" w:ascii="宋体" w:hAnsi="宋体" w:cs="宋体"/>
                <w:color w:val="000000"/>
                <w:highlight w:val="none"/>
                <w:lang w:val="en-US" w:eastAsia="zh-CN"/>
              </w:rPr>
            </w:pPr>
            <w:r>
              <w:rPr>
                <w:rFonts w:hint="eastAsia" w:ascii="宋体" w:hAnsi="宋体" w:cs="宋体"/>
                <w:color w:val="000000"/>
                <w:highlight w:val="none"/>
                <w:lang w:val="en-US" w:eastAsia="zh-CN"/>
              </w:rPr>
              <w:t xml:space="preserve">时间：2026年  9  月 16   日  13：30 整</w:t>
            </w:r>
            <w:r>
              <w:rPr>
                <w:rFonts w:hint="eastAsia" w:ascii="宋体" w:hAnsi="宋体" w:cs="宋体"/>
                <w:color w:val="000000"/>
                <w:highlight w:val="none"/>
                <w:lang w:val="en-US" w:eastAsia="zh-CN"/>
              </w:rPr>
            </w:r>
            <w:r/>
          </w:p>
          <w:p>
            <w:pPr>
              <w:pStyle w:val="1128"/>
              <w:ind w:firstLine="0"/>
              <w:jc w:val="both"/>
              <w:spacing w:line="360" w:lineRule="auto"/>
              <w:rPr>
                <w:rFonts w:hint="eastAsia" w:ascii="宋体" w:hAnsi="宋体" w:cs="宋体"/>
                <w:color w:val="000000"/>
                <w:highlight w:val="none"/>
                <w:lang w:val="en-US" w:eastAsia="zh-CN"/>
              </w:rPr>
            </w:pPr>
            <w:r>
              <w:rPr>
                <w:rFonts w:hint="eastAsia" w:ascii="宋体" w:hAnsi="宋体" w:cs="宋体"/>
                <w:color w:val="000000"/>
                <w:highlight w:val="none"/>
                <w:lang w:val="en-US" w:eastAsia="zh-CN"/>
              </w:rPr>
              <w:t xml:space="preserve">地点：“苏采云”系统（网址：</w:t>
            </w:r>
            <w:r>
              <w:rPr>
                <w:rFonts w:ascii="宋体" w:hAnsi="宋体" w:cs="宋体"/>
                <w:color w:val="000000"/>
                <w:highlight w:val="none"/>
                <w:lang w:val="en-US" w:eastAsia="zh-CN"/>
              </w:rPr>
              <w:t xml:space="preserve">https://jszfcg.jsczt.cn</w:t>
            </w:r>
            <w:r>
              <w:rPr>
                <w:rFonts w:hint="eastAsia" w:ascii="宋体" w:hAnsi="宋体" w:cs="宋体"/>
                <w:color w:val="000000"/>
                <w:highlight w:val="none"/>
                <w:lang w:val="en-US" w:eastAsia="zh-CN"/>
              </w:rPr>
              <w:t xml:space="preserve">）</w:t>
            </w:r>
            <w:r>
              <w:rPr>
                <w:rFonts w:hint="eastAsia" w:ascii="宋体" w:hAnsi="宋体" w:cs="宋体"/>
                <w:color w:val="000000"/>
                <w:highlight w:val="none"/>
                <w:lang w:val="en-US" w:eastAsia="zh-CN"/>
              </w:rPr>
            </w:r>
            <w:r/>
          </w:p>
        </w:tc>
      </w:tr>
      <w:tr>
        <w:trPr/>
        <w:tc>
          <w:tcPr>
            <w:tcW w:w="760" w:type="dxa"/>
            <w:vAlign w:val="center"/>
            <w:textDirection w:val="lrTb"/>
            <w:noWrap w:val="false"/>
          </w:tcPr>
          <w:p>
            <w:pPr>
              <w:pStyle w:val="1128"/>
              <w:ind w:firstLine="0"/>
              <w:jc w:val="center"/>
              <w:spacing w:line="360" w:lineRule="auto"/>
              <w:rPr>
                <w:rFonts w:hint="eastAsia" w:ascii="宋体" w:hAnsi="宋体" w:cs="宋体"/>
                <w:color w:val="000000"/>
                <w:highlight w:val="none"/>
                <w:lang w:val="en-US" w:eastAsia="zh-CN"/>
              </w:rPr>
            </w:pPr>
            <w:r>
              <w:rPr>
                <w:rFonts w:hint="eastAsia" w:ascii="宋体" w:hAnsi="宋体" w:cs="宋体"/>
                <w:color w:val="000000"/>
                <w:highlight w:val="none"/>
                <w:lang w:val="en-US" w:eastAsia="zh-CN"/>
              </w:rPr>
              <w:t xml:space="preserve">10</w:t>
            </w:r>
            <w:r>
              <w:rPr>
                <w:rFonts w:hint="eastAsia" w:ascii="宋体" w:hAnsi="宋体" w:cs="宋体"/>
                <w:color w:val="000000"/>
                <w:highlight w:val="none"/>
                <w:lang w:val="en-US" w:eastAsia="zh-CN"/>
              </w:rPr>
            </w:r>
            <w:r/>
          </w:p>
        </w:tc>
        <w:tc>
          <w:tcPr>
            <w:tcW w:w="1752" w:type="dxa"/>
            <w:vAlign w:val="center"/>
            <w:textDirection w:val="lrTb"/>
            <w:noWrap w:val="false"/>
          </w:tcPr>
          <w:p>
            <w:pPr>
              <w:pStyle w:val="1128"/>
              <w:ind w:firstLine="0"/>
              <w:jc w:val="center"/>
              <w:spacing w:line="360" w:lineRule="auto"/>
              <w:rPr>
                <w:rFonts w:hint="eastAsia" w:ascii="宋体" w:hAnsi="宋体" w:cs="宋体"/>
                <w:color w:val="000000"/>
                <w:highlight w:val="none"/>
                <w:lang w:val="en-US" w:eastAsia="zh-CN"/>
              </w:rPr>
            </w:pPr>
            <w:r>
              <w:rPr>
                <w:rFonts w:hint="eastAsia" w:ascii="宋体" w:hAnsi="宋体" w:cs="宋体"/>
                <w:color w:val="000000"/>
                <w:highlight w:val="none"/>
                <w:lang w:val="en-US" w:eastAsia="zh-CN"/>
              </w:rPr>
              <w:t xml:space="preserve">成交服务费</w:t>
            </w:r>
            <w:r>
              <w:rPr>
                <w:rFonts w:hint="eastAsia" w:ascii="宋体" w:hAnsi="宋体" w:cs="宋体"/>
                <w:color w:val="000000"/>
                <w:highlight w:val="none"/>
                <w:lang w:val="en-US" w:eastAsia="zh-CN"/>
              </w:rPr>
            </w:r>
            <w:r/>
          </w:p>
        </w:tc>
        <w:tc>
          <w:tcPr>
            <w:tcW w:w="7735" w:type="dxa"/>
            <w:vAlign w:val="top"/>
            <w:textDirection w:val="lrTb"/>
            <w:noWrap w:val="false"/>
          </w:tcPr>
          <w:p>
            <w:pPr>
              <w:pStyle w:val="1060"/>
              <w:spacing w:line="360" w:lineRule="auto"/>
              <w:rPr>
                <w:rFonts w:hint="eastAsia" w:ascii="宋体" w:hAnsi="宋体" w:cs="宋体"/>
                <w:color w:val="000000"/>
                <w:sz w:val="24"/>
                <w:highlight w:val="none"/>
              </w:rPr>
            </w:pPr>
            <w:r>
              <w:rPr>
                <w:rFonts w:ascii="宋体" w:hAnsi="宋体" w:cs="宋体"/>
                <w:color w:val="000000"/>
                <w:sz w:val="24"/>
                <w:highlight w:val="none"/>
              </w:rPr>
              <w:t xml:space="preserve">本项目代理服务费由</w:t>
            </w:r>
            <w:r>
              <w:rPr>
                <w:rFonts w:hint="eastAsia" w:ascii="宋体" w:hAnsi="宋体" w:cs="宋体"/>
                <w:color w:val="000000"/>
                <w:sz w:val="24"/>
                <w:highlight w:val="none"/>
              </w:rPr>
              <w:t xml:space="preserve">采购人</w:t>
            </w:r>
            <w:r>
              <w:rPr>
                <w:rFonts w:ascii="宋体" w:hAnsi="宋体" w:cs="宋体"/>
                <w:color w:val="000000"/>
                <w:sz w:val="24"/>
                <w:highlight w:val="none"/>
              </w:rPr>
              <w:t xml:space="preserve">向采购代理机构支付。</w:t>
            </w:r>
            <w:r>
              <w:rPr>
                <w:rFonts w:hint="eastAsia" w:ascii="宋体" w:hAnsi="宋体" w:cs="宋体"/>
                <w:color w:val="000000"/>
                <w:sz w:val="24"/>
                <w:highlight w:val="none"/>
              </w:rPr>
            </w:r>
            <w:r/>
          </w:p>
          <w:p>
            <w:pPr>
              <w:pStyle w:val="1060"/>
              <w:ind w:right="-161"/>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服务费缴费信息：</w:t>
            </w:r>
            <w:r>
              <w:rPr>
                <w:rFonts w:hint="eastAsia" w:ascii="宋体" w:hAnsi="宋体" w:cs="宋体"/>
                <w:color w:val="000000"/>
                <w:sz w:val="24"/>
                <w:highlight w:val="none"/>
              </w:rPr>
            </w:r>
            <w:r/>
          </w:p>
          <w:p>
            <w:pPr>
              <w:pStyle w:val="1060"/>
              <w:ind w:right="-161"/>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账户名：苏州恒泰招投标咨询服务有限公司</w:t>
            </w:r>
            <w:r>
              <w:rPr>
                <w:rFonts w:hint="eastAsia" w:ascii="宋体" w:hAnsi="宋体" w:cs="宋体"/>
                <w:color w:val="000000"/>
                <w:sz w:val="24"/>
                <w:highlight w:val="none"/>
                <w:lang w:val="zh-CN"/>
              </w:rPr>
            </w:r>
            <w:r/>
          </w:p>
          <w:p>
            <w:pPr>
              <w:pStyle w:val="1060"/>
              <w:ind w:right="-161"/>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开户行：中国农业银行苏州国贸支行</w:t>
            </w:r>
            <w:r>
              <w:rPr>
                <w:rFonts w:hint="eastAsia" w:ascii="宋体" w:hAnsi="宋体" w:cs="宋体"/>
                <w:color w:val="000000"/>
                <w:sz w:val="24"/>
                <w:highlight w:val="none"/>
                <w:lang w:val="zh-CN"/>
              </w:rPr>
            </w:r>
            <w:r/>
          </w:p>
          <w:p>
            <w:pPr>
              <w:pStyle w:val="1060"/>
              <w:spacing w:line="360" w:lineRule="auto"/>
              <w:rPr>
                <w:rFonts w:hint="eastAsia" w:ascii="宋体" w:hAnsi="宋体" w:cs="宋体"/>
                <w:color w:val="000000"/>
                <w:highlight w:val="none"/>
              </w:rPr>
            </w:pPr>
            <w:r>
              <w:rPr>
                <w:rFonts w:hint="eastAsia" w:ascii="宋体" w:hAnsi="宋体" w:cs="宋体"/>
                <w:color w:val="000000"/>
                <w:sz w:val="24"/>
                <w:highlight w:val="none"/>
                <w:lang w:val="zh-CN"/>
              </w:rPr>
              <w:t xml:space="preserve">账  号：10</w:t>
            </w:r>
            <w:r>
              <w:rPr>
                <w:rFonts w:hint="eastAsia" w:ascii="宋体" w:hAnsi="宋体" w:cs="宋体"/>
                <w:color w:val="000000"/>
                <w:sz w:val="24"/>
                <w:highlight w:val="none"/>
              </w:rPr>
              <w:t xml:space="preserve">553901040010019</w:t>
            </w:r>
            <w:r>
              <w:rPr>
                <w:rFonts w:hint="eastAsia" w:ascii="宋体" w:hAnsi="宋体" w:cs="宋体"/>
                <w:color w:val="000000"/>
                <w:highlight w:val="none"/>
              </w:rPr>
            </w:r>
            <w:r/>
          </w:p>
        </w:tc>
      </w:tr>
      <w:tr>
        <w:trPr>
          <w:trHeight w:val="584"/>
        </w:trPr>
        <w:tc>
          <w:tcPr>
            <w:tcW w:w="760" w:type="dxa"/>
            <w:vAlign w:val="center"/>
            <w:textDirection w:val="lrTb"/>
            <w:noWrap w:val="false"/>
          </w:tcPr>
          <w:p>
            <w:pPr>
              <w:pStyle w:val="1128"/>
              <w:ind w:firstLine="0"/>
              <w:jc w:val="center"/>
              <w:spacing w:line="360" w:lineRule="auto"/>
              <w:rPr>
                <w:rFonts w:hint="eastAsia" w:ascii="宋体" w:hAnsi="宋体" w:cs="宋体"/>
                <w:color w:val="000000"/>
                <w:highlight w:val="none"/>
                <w:lang w:val="en-US" w:eastAsia="zh-CN"/>
              </w:rPr>
            </w:pPr>
            <w:r>
              <w:rPr>
                <w:rFonts w:hint="eastAsia" w:ascii="宋体" w:hAnsi="宋体" w:cs="宋体"/>
                <w:color w:val="000000"/>
                <w:highlight w:val="none"/>
                <w:lang w:val="en-US" w:eastAsia="zh-CN"/>
              </w:rPr>
              <w:t xml:space="preserve">11</w:t>
            </w:r>
            <w:r>
              <w:rPr>
                <w:rFonts w:hint="eastAsia" w:ascii="宋体" w:hAnsi="宋体" w:cs="宋体"/>
                <w:color w:val="000000"/>
                <w:highlight w:val="none"/>
                <w:lang w:val="en-US" w:eastAsia="zh-CN"/>
              </w:rPr>
            </w:r>
            <w:r/>
          </w:p>
        </w:tc>
        <w:tc>
          <w:tcPr>
            <w:tcW w:w="1752" w:type="dxa"/>
            <w:vAlign w:val="center"/>
            <w:textDirection w:val="lrTb"/>
            <w:noWrap w:val="false"/>
          </w:tcPr>
          <w:p>
            <w:pPr>
              <w:pStyle w:val="1128"/>
              <w:ind w:firstLine="0"/>
              <w:jc w:val="center"/>
              <w:spacing w:line="360" w:lineRule="auto"/>
              <w:rPr>
                <w:rFonts w:hint="eastAsia" w:ascii="宋体" w:hAnsi="宋体" w:cs="宋体"/>
                <w:color w:val="000000"/>
                <w:highlight w:val="none"/>
                <w:lang w:val="en-US" w:eastAsia="zh-CN"/>
              </w:rPr>
            </w:pPr>
            <w:r>
              <w:rPr>
                <w:rFonts w:hint="eastAsia" w:ascii="宋体" w:hAnsi="宋体" w:cs="宋体"/>
                <w:color w:val="000000"/>
                <w:highlight w:val="none"/>
                <w:lang w:val="en-US" w:eastAsia="zh-CN"/>
              </w:rPr>
              <w:t xml:space="preserve">导致废标因素</w:t>
            </w:r>
            <w:r>
              <w:rPr>
                <w:rFonts w:hint="eastAsia" w:ascii="宋体" w:hAnsi="宋体" w:cs="宋体"/>
                <w:color w:val="000000"/>
                <w:highlight w:val="none"/>
                <w:lang w:val="en-US" w:eastAsia="zh-CN"/>
              </w:rPr>
            </w:r>
            <w:r/>
          </w:p>
        </w:tc>
        <w:tc>
          <w:tcPr>
            <w:tcW w:w="7735" w:type="dxa"/>
            <w:vAlign w:val="center"/>
            <w:textDirection w:val="lrTb"/>
            <w:noWrap w:val="false"/>
          </w:tcPr>
          <w:p>
            <w:pPr>
              <w:pStyle w:val="10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出现下列情形之一的，为废标： </w:t>
            </w:r>
            <w:r>
              <w:rPr>
                <w:rFonts w:hint="eastAsia" w:ascii="宋体" w:hAnsi="宋体" w:cs="宋体"/>
                <w:color w:val="000000"/>
                <w:sz w:val="24"/>
                <w:highlight w:val="none"/>
              </w:rPr>
            </w:r>
            <w:r/>
          </w:p>
          <w:p>
            <w:pPr>
              <w:pStyle w:val="10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（一）出现影响采购公正的违法、违规行为的； </w:t>
            </w:r>
            <w:r>
              <w:rPr>
                <w:rFonts w:hint="eastAsia" w:ascii="宋体" w:hAnsi="宋体" w:cs="宋体"/>
                <w:color w:val="000000"/>
                <w:sz w:val="24"/>
                <w:highlight w:val="none"/>
              </w:rPr>
            </w:r>
            <w:r/>
          </w:p>
          <w:p>
            <w:pPr>
              <w:pStyle w:val="10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（二）投标单位的报价均超过了采购预算或者最高限价，采购人不能支付的； </w:t>
            </w:r>
            <w:r>
              <w:rPr>
                <w:rFonts w:hint="eastAsia" w:ascii="宋体" w:hAnsi="宋体" w:cs="宋体"/>
                <w:color w:val="000000"/>
                <w:sz w:val="24"/>
                <w:highlight w:val="none"/>
              </w:rPr>
            </w:r>
            <w:r/>
          </w:p>
          <w:p>
            <w:pPr>
              <w:pStyle w:val="1128"/>
              <w:ind w:firstLine="0"/>
              <w:jc w:val="both"/>
              <w:spacing w:line="360" w:lineRule="auto"/>
              <w:rPr>
                <w:rFonts w:hint="eastAsia" w:ascii="宋体" w:hAnsi="宋体" w:cs="宋体"/>
                <w:color w:val="000000"/>
                <w:highlight w:val="none"/>
                <w:lang w:val="en-US" w:eastAsia="zh-CN"/>
              </w:rPr>
            </w:pPr>
            <w:r>
              <w:rPr>
                <w:rFonts w:hint="eastAsia" w:ascii="宋体" w:hAnsi="宋体" w:cs="宋体"/>
                <w:color w:val="000000"/>
                <w:highlight w:val="none"/>
                <w:lang w:val="en-US" w:eastAsia="zh-CN"/>
              </w:rPr>
              <w:t xml:space="preserve">（三）因重大变故，采购任务取消的。</w:t>
            </w:r>
            <w:r>
              <w:rPr>
                <w:rFonts w:hint="eastAsia" w:ascii="宋体" w:hAnsi="宋体" w:cs="宋体"/>
                <w:color w:val="000000"/>
                <w:highlight w:val="none"/>
                <w:lang w:val="en-US" w:eastAsia="zh-CN"/>
              </w:rPr>
            </w:r>
            <w:r/>
          </w:p>
        </w:tc>
      </w:tr>
      <w:tr>
        <w:trPr>
          <w:trHeight w:val="584"/>
        </w:trPr>
        <w:tc>
          <w:tcPr>
            <w:tcW w:w="760" w:type="dxa"/>
            <w:vAlign w:val="center"/>
            <w:textDirection w:val="lrTb"/>
            <w:noWrap w:val="false"/>
          </w:tcPr>
          <w:p>
            <w:pPr>
              <w:pStyle w:val="106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12</w:t>
            </w:r>
            <w:r>
              <w:rPr>
                <w:rFonts w:hint="eastAsia" w:ascii="宋体" w:hAnsi="宋体" w:cs="宋体"/>
                <w:color w:val="000000"/>
                <w:sz w:val="24"/>
                <w:highlight w:val="none"/>
              </w:rPr>
            </w:r>
            <w:r/>
          </w:p>
        </w:tc>
        <w:tc>
          <w:tcPr>
            <w:tcW w:w="1752" w:type="dxa"/>
            <w:vAlign w:val="center"/>
            <w:textDirection w:val="lrTb"/>
            <w:noWrap w:val="false"/>
          </w:tcPr>
          <w:p>
            <w:pPr>
              <w:pStyle w:val="10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导致无效标</w:t>
            </w:r>
            <w:r>
              <w:rPr>
                <w:rFonts w:hint="eastAsia" w:ascii="宋体" w:hAnsi="宋体" w:cs="宋体"/>
                <w:color w:val="000000"/>
                <w:sz w:val="24"/>
                <w:highlight w:val="none"/>
              </w:rPr>
            </w:r>
            <w:r/>
          </w:p>
          <w:p>
            <w:pPr>
              <w:pStyle w:val="10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因素</w:t>
            </w:r>
            <w:r>
              <w:rPr>
                <w:rFonts w:hint="eastAsia" w:ascii="宋体" w:hAnsi="宋体" w:cs="宋体"/>
                <w:color w:val="000000"/>
                <w:sz w:val="24"/>
                <w:highlight w:val="none"/>
              </w:rPr>
            </w:r>
            <w:r/>
          </w:p>
        </w:tc>
        <w:tc>
          <w:tcPr>
            <w:tcW w:w="7735" w:type="dxa"/>
            <w:vAlign w:val="top"/>
            <w:textDirection w:val="lrTb"/>
            <w:noWrap w:val="false"/>
          </w:tcPr>
          <w:p>
            <w:pPr>
              <w:pStyle w:val="1060"/>
              <w:jc w:val="left"/>
              <w:spacing w:line="360" w:lineRule="auto"/>
              <w:shd w:val="clear" w:color="auto" w:fill="ffffff"/>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投标文件属下列情况之一的，在资格性、符合性检查时按照无效投标处理：</w:t>
            </w:r>
            <w:r>
              <w:rPr>
                <w:rFonts w:hint="eastAsia" w:ascii="宋体" w:hAnsi="宋体" w:cs="宋体"/>
                <w:bCs/>
                <w:color w:val="000000"/>
                <w:sz w:val="24"/>
                <w:highlight w:val="none"/>
              </w:rPr>
            </w:r>
            <w:r/>
          </w:p>
          <w:p>
            <w:pPr>
              <w:pStyle w:val="1075"/>
              <w:contextualSpacing/>
              <w:ind w:firstLine="0"/>
              <w:spacing w:line="360" w:lineRule="auto"/>
              <w:shd w:val="clear" w:color="auto" w:fill="ffffff"/>
              <w:rPr>
                <w:rFonts w:hint="eastAsia" w:ascii="宋体" w:hAnsi="宋体" w:eastAsia="宋体" w:cs="宋体"/>
                <w:bCs/>
                <w:color w:val="000000"/>
                <w:szCs w:val="24"/>
                <w:highlight w:val="none"/>
              </w:rPr>
            </w:pPr>
            <w:r>
              <w:rPr>
                <w:rFonts w:hint="eastAsia" w:ascii="宋体" w:hAnsi="宋体" w:eastAsia="宋体" w:cs="宋体"/>
                <w:color w:val="000000"/>
                <w:szCs w:val="24"/>
                <w:highlight w:val="none"/>
              </w:rPr>
              <w:t xml:space="preserve">（一）未按第二章《供应商须知》“三、响应文件的编制”第1条要求，提交全部资格审查及符合性审查文件的；</w:t>
            </w:r>
            <w:r>
              <w:rPr>
                <w:rFonts w:hint="eastAsia" w:ascii="宋体" w:hAnsi="宋体" w:eastAsia="宋体" w:cs="宋体"/>
                <w:bCs/>
                <w:color w:val="000000"/>
                <w:szCs w:val="24"/>
                <w:highlight w:val="none"/>
              </w:rPr>
            </w:r>
            <w:r/>
          </w:p>
          <w:p>
            <w:pPr>
              <w:pStyle w:val="1060"/>
              <w:contextualSpacing/>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（二）投标文件未按征集文件要求制作电子投标文件及签章的；</w:t>
            </w:r>
            <w:r>
              <w:rPr>
                <w:rFonts w:hint="eastAsia" w:ascii="宋体" w:hAnsi="宋体" w:cs="宋体"/>
                <w:color w:val="000000"/>
                <w:sz w:val="24"/>
                <w:highlight w:val="none"/>
              </w:rPr>
            </w:r>
            <w:r/>
          </w:p>
          <w:p>
            <w:pPr>
              <w:pStyle w:val="1060"/>
              <w:contextualSpacing/>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（三）不具备征集文件中规定的资格要求的；</w:t>
            </w:r>
            <w:r>
              <w:rPr>
                <w:rFonts w:hint="eastAsia" w:ascii="宋体" w:hAnsi="宋体" w:cs="宋体"/>
                <w:color w:val="000000"/>
                <w:sz w:val="24"/>
                <w:highlight w:val="none"/>
              </w:rPr>
            </w:r>
            <w:r/>
          </w:p>
          <w:p>
            <w:pPr>
              <w:pStyle w:val="1060"/>
              <w:contextualSpacing/>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（四）报价超过征集文件中规定的预算金额或者最高限价的；</w:t>
            </w:r>
            <w:r>
              <w:rPr>
                <w:rFonts w:hint="eastAsia" w:ascii="宋体" w:hAnsi="宋体" w:cs="宋体"/>
                <w:color w:val="000000"/>
                <w:sz w:val="24"/>
                <w:highlight w:val="none"/>
              </w:rPr>
            </w:r>
            <w:r/>
          </w:p>
          <w:p>
            <w:pPr>
              <w:pStyle w:val="1060"/>
              <w:contextualSpacing/>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（五）投标文件含有采购人不能接受的附加条件的；</w:t>
            </w:r>
            <w:r>
              <w:rPr>
                <w:rFonts w:hint="eastAsia" w:ascii="宋体" w:hAnsi="宋体" w:cs="宋体"/>
                <w:color w:val="000000"/>
                <w:sz w:val="24"/>
                <w:highlight w:val="none"/>
              </w:rPr>
            </w:r>
            <w:r/>
          </w:p>
          <w:p>
            <w:pPr>
              <w:pStyle w:val="10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（六）法律、法规和征集文件规定的其他无效情形。</w:t>
            </w:r>
            <w:r>
              <w:rPr>
                <w:rFonts w:hint="eastAsia" w:ascii="宋体" w:hAnsi="宋体" w:cs="宋体"/>
                <w:color w:val="000000"/>
                <w:sz w:val="24"/>
                <w:highlight w:val="none"/>
              </w:rPr>
            </w:r>
            <w:r/>
          </w:p>
        </w:tc>
      </w:tr>
    </w:tbl>
    <w:p>
      <w:pPr>
        <w:pStyle w:val="1128"/>
        <w:ind w:firstLine="0"/>
        <w:jc w:val="both"/>
        <w:spacing w:line="360" w:lineRule="auto"/>
        <w:rPr>
          <w:rFonts w:hint="eastAsia" w:ascii="宋体" w:hAnsi="宋体" w:cs="宋体"/>
          <w:color w:val="000000"/>
          <w:sz w:val="21"/>
          <w:highlight w:val="none"/>
        </w:rPr>
      </w:pPr>
      <w:r>
        <w:rPr>
          <w:rFonts w:hint="eastAsia" w:ascii="宋体" w:hAnsi="宋体" w:cs="宋体"/>
          <w:color w:val="000000"/>
          <w:sz w:val="21"/>
          <w:highlight w:val="none"/>
        </w:rPr>
      </w:r>
      <w:r/>
    </w:p>
    <w:p>
      <w:pPr>
        <w:pStyle w:val="1060"/>
        <w:jc w:val="center"/>
        <w:spacing w:line="360" w:lineRule="auto"/>
        <w:rPr>
          <w:rFonts w:hint="eastAsia" w:ascii="宋体" w:hAnsi="宋体" w:cs="宋体"/>
          <w:b/>
          <w:color w:val="000000"/>
          <w:sz w:val="52"/>
          <w:highlight w:val="none"/>
        </w:rPr>
      </w:pPr>
      <w:r>
        <w:rPr>
          <w:rFonts w:hint="eastAsia" w:ascii="宋体" w:hAnsi="宋体" w:cs="宋体"/>
          <w:b/>
          <w:color w:val="000000"/>
          <w:sz w:val="52"/>
          <w:highlight w:val="none"/>
        </w:rPr>
      </w:r>
      <w:r/>
    </w:p>
    <w:p>
      <w:pPr>
        <w:pStyle w:val="1060"/>
        <w:jc w:val="center"/>
        <w:spacing w:line="360" w:lineRule="auto"/>
        <w:rPr>
          <w:rFonts w:hint="eastAsia" w:ascii="宋体" w:hAnsi="宋体" w:cs="宋体"/>
          <w:b/>
          <w:color w:val="000000"/>
          <w:sz w:val="52"/>
          <w:highlight w:val="none"/>
        </w:rPr>
      </w:pPr>
      <w:r>
        <w:rPr>
          <w:rFonts w:hint="eastAsia" w:ascii="宋体" w:hAnsi="宋体" w:cs="宋体"/>
          <w:b/>
          <w:color w:val="000000"/>
          <w:sz w:val="52"/>
          <w:highlight w:val="none"/>
        </w:rPr>
      </w:r>
      <w:r/>
    </w:p>
    <w:p>
      <w:pPr>
        <w:pStyle w:val="1060"/>
        <w:spacing w:line="360" w:lineRule="auto"/>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pStyle w:val="1060"/>
        <w:jc w:val="center"/>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1060"/>
        <w:jc w:val="center"/>
        <w:rPr>
          <w:rFonts w:hint="eastAsia" w:ascii="宋体" w:hAnsi="宋体" w:cs="宋体"/>
          <w:color w:val="000000"/>
          <w:sz w:val="32"/>
          <w:szCs w:val="32"/>
          <w:highlight w:val="none"/>
        </w:rPr>
      </w:pPr>
      <w:r>
        <w:rPr>
          <w:rFonts w:hint="eastAsia" w:ascii="宋体" w:hAnsi="宋体" w:cs="宋体"/>
          <w:color w:val="000000"/>
          <w:sz w:val="32"/>
          <w:szCs w:val="32"/>
          <w:highlight w:val="none"/>
        </w:rPr>
        <w:br w:type="page" w:clear="all"/>
      </w:r>
      <w:r>
        <w:rPr>
          <w:rFonts w:hint="eastAsia" w:ascii="宋体" w:hAnsi="宋体" w:cs="宋体"/>
          <w:color w:val="000000"/>
          <w:sz w:val="32"/>
          <w:szCs w:val="32"/>
          <w:highlight w:val="none"/>
        </w:rPr>
      </w:r>
      <w:r/>
    </w:p>
    <w:p>
      <w:pPr>
        <w:pStyle w:val="1060"/>
        <w:jc w:val="center"/>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pStyle w:val="1236"/>
        <w:tabs>
          <w:tab w:val="right" w:pos="10467" w:leader="dot"/>
        </w:tabs>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pStyle w:val="1060"/>
        <w:jc w:val="center"/>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pStyle w:val="1060"/>
        <w:jc w:val="center"/>
        <w:rPr>
          <w:rFonts w:hint="eastAsia" w:ascii="宋体" w:hAnsi="宋体" w:cs="宋体"/>
          <w:color w:val="000000"/>
          <w:sz w:val="32"/>
          <w:szCs w:val="32"/>
          <w:highlight w:val="none"/>
        </w:rPr>
      </w:pPr>
      <w:r>
        <w:rPr>
          <w:rFonts w:hint="eastAsia" w:ascii="宋体" w:hAnsi="宋体" w:cs="宋体"/>
          <w:color w:val="000000"/>
          <w:sz w:val="32"/>
          <w:szCs w:val="32"/>
          <w:highlight w:val="none"/>
        </w:rPr>
        <w:t xml:space="preserve">目录</w:t>
      </w:r>
      <w:r>
        <w:rPr>
          <w:rFonts w:hint="eastAsia" w:ascii="宋体" w:hAnsi="宋体" w:cs="宋体"/>
          <w:color w:val="000000"/>
          <w:sz w:val="32"/>
          <w:szCs w:val="32"/>
          <w:highlight w:val="none"/>
        </w:rPr>
      </w:r>
      <w:r/>
    </w:p>
    <w:p>
      <w:pPr>
        <w:pStyle w:val="1119"/>
        <w:tabs>
          <w:tab w:val="right" w:pos="10467" w:leader="dot"/>
        </w:tabs>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fldChar w:fldCharType="begin"/>
      </w:r>
      <w:r>
        <w:rPr>
          <w:rFonts w:hint="eastAsia" w:ascii="宋体" w:hAnsi="宋体" w:eastAsia="宋体" w:cs="宋体"/>
          <w:color w:val="000000"/>
          <w:sz w:val="32"/>
          <w:szCs w:val="32"/>
          <w:highlight w:val="none"/>
        </w:rPr>
        <w:instrText xml:space="preserve">TOC \o "1-1" \h \u </w:instrText>
      </w:r>
      <w:r>
        <w:rPr>
          <w:rFonts w:hint="eastAsia" w:ascii="宋体" w:hAnsi="宋体" w:eastAsia="宋体" w:cs="宋体"/>
          <w:color w:val="000000"/>
          <w:sz w:val="32"/>
          <w:szCs w:val="32"/>
          <w:highlight w:val="none"/>
        </w:rPr>
        <w:fldChar w:fldCharType="separate"/>
      </w:r>
      <w:r>
        <w:rPr>
          <w:rFonts w:hint="eastAsia" w:ascii="宋体" w:hAnsi="宋体" w:eastAsia="宋体" w:cs="宋体"/>
          <w:color w:val="000000"/>
          <w:sz w:val="32"/>
          <w:szCs w:val="32"/>
          <w:highlight w:val="none"/>
        </w:rPr>
      </w:r>
      <w:r/>
    </w:p>
    <w:p>
      <w:pPr>
        <w:pStyle w:val="1119"/>
        <w:tabs>
          <w:tab w:val="right" w:pos="10467" w:leader="dot"/>
        </w:tabs>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fldChar w:fldCharType="begin"/>
      </w:r>
      <w:r>
        <w:rPr>
          <w:rFonts w:hint="eastAsia" w:ascii="宋体" w:hAnsi="宋体" w:eastAsia="宋体" w:cs="宋体"/>
          <w:color w:val="000000"/>
          <w:sz w:val="32"/>
          <w:szCs w:val="32"/>
          <w:highlight w:val="none"/>
        </w:rPr>
        <w:instrText xml:space="preserve"> HYPERLINK \l _Toc10643 </w:instrText>
      </w:r>
      <w:r>
        <w:rPr>
          <w:rFonts w:hint="eastAsia" w:ascii="宋体" w:hAnsi="宋体" w:eastAsia="宋体" w:cs="宋体"/>
          <w:color w:val="000000"/>
          <w:sz w:val="32"/>
          <w:szCs w:val="32"/>
          <w:highlight w:val="none"/>
        </w:rPr>
        <w:fldChar w:fldCharType="separate"/>
      </w:r>
      <w:r>
        <w:rPr>
          <w:rFonts w:hint="eastAsia" w:ascii="宋体" w:hAnsi="宋体" w:eastAsia="宋体" w:cs="宋体"/>
          <w:color w:val="000000"/>
          <w:sz w:val="32"/>
          <w:szCs w:val="32"/>
          <w:highlight w:val="none"/>
        </w:rPr>
        <w:t xml:space="preserve">第一章 征集邀请函</w:t>
      </w:r>
      <w:r>
        <w:rPr>
          <w:rFonts w:hint="eastAsia" w:ascii="宋体" w:hAnsi="宋体" w:eastAsia="宋体" w:cs="宋体"/>
          <w:color w:val="000000"/>
          <w:sz w:val="32"/>
          <w:szCs w:val="32"/>
          <w:highlight w:val="none"/>
        </w:rPr>
        <w:tab/>
      </w:r>
      <w:r>
        <w:rPr>
          <w:rFonts w:hint="eastAsia" w:ascii="宋体" w:hAnsi="宋体" w:eastAsia="宋体" w:cs="宋体"/>
          <w:color w:val="000000"/>
          <w:sz w:val="32"/>
          <w:szCs w:val="32"/>
          <w:highlight w:val="none"/>
        </w:rPr>
        <w:fldChar w:fldCharType="begin"/>
      </w:r>
      <w:r>
        <w:rPr>
          <w:rFonts w:hint="eastAsia" w:ascii="宋体" w:hAnsi="宋体" w:eastAsia="宋体" w:cs="宋体"/>
          <w:color w:val="000000"/>
          <w:sz w:val="32"/>
          <w:szCs w:val="32"/>
          <w:highlight w:val="none"/>
        </w:rPr>
        <w:instrText xml:space="preserve"> PAGEREF _Toc10643 \h </w:instrText>
      </w:r>
      <w:r>
        <w:rPr>
          <w:rFonts w:hint="eastAsia" w:ascii="宋体" w:hAnsi="宋体" w:eastAsia="宋体" w:cs="宋体"/>
          <w:color w:val="000000"/>
          <w:sz w:val="32"/>
          <w:szCs w:val="32"/>
          <w:highlight w:val="none"/>
        </w:rPr>
        <w:fldChar w:fldCharType="separate"/>
      </w:r>
      <w:r>
        <w:rPr>
          <w:rFonts w:hint="eastAsia" w:ascii="宋体" w:hAnsi="宋体" w:eastAsia="宋体" w:cs="宋体"/>
          <w:color w:val="000000"/>
          <w:sz w:val="32"/>
          <w:szCs w:val="32"/>
          <w:highlight w:val="none"/>
        </w:rPr>
        <w:t xml:space="preserve">5</w:t>
      </w:r>
      <w:r>
        <w:rPr>
          <w:rFonts w:hint="eastAsia" w:ascii="宋体" w:hAnsi="宋体" w:eastAsia="宋体" w:cs="宋体"/>
          <w:color w:val="000000"/>
          <w:sz w:val="32"/>
          <w:szCs w:val="32"/>
          <w:highlight w:val="none"/>
        </w:rPr>
        <w:fldChar w:fldCharType="end"/>
      </w:r>
      <w:r>
        <w:rPr>
          <w:rFonts w:hint="eastAsia" w:ascii="宋体" w:hAnsi="宋体" w:eastAsia="宋体" w:cs="宋体"/>
          <w:color w:val="000000"/>
          <w:sz w:val="32"/>
          <w:szCs w:val="32"/>
          <w:highlight w:val="none"/>
        </w:rPr>
        <w:fldChar w:fldCharType="end"/>
      </w:r>
      <w:r>
        <w:rPr>
          <w:rFonts w:hint="eastAsia" w:ascii="宋体" w:hAnsi="宋体" w:eastAsia="宋体" w:cs="宋体"/>
          <w:color w:val="000000"/>
          <w:sz w:val="32"/>
          <w:szCs w:val="32"/>
          <w:highlight w:val="none"/>
        </w:rPr>
      </w:r>
      <w:r/>
    </w:p>
    <w:p>
      <w:pPr>
        <w:pStyle w:val="1119"/>
        <w:tabs>
          <w:tab w:val="right" w:pos="10467" w:leader="dot"/>
        </w:tabs>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fldChar w:fldCharType="begin"/>
      </w:r>
      <w:r>
        <w:rPr>
          <w:rFonts w:hint="eastAsia" w:ascii="宋体" w:hAnsi="宋体" w:eastAsia="宋体" w:cs="宋体"/>
          <w:color w:val="000000"/>
          <w:sz w:val="32"/>
          <w:szCs w:val="32"/>
          <w:highlight w:val="none"/>
        </w:rPr>
        <w:instrText xml:space="preserve"> HYPERLINK \l _Toc30596 </w:instrText>
      </w:r>
      <w:r>
        <w:rPr>
          <w:rFonts w:hint="eastAsia" w:ascii="宋体" w:hAnsi="宋体" w:eastAsia="宋体" w:cs="宋体"/>
          <w:color w:val="000000"/>
          <w:sz w:val="32"/>
          <w:szCs w:val="32"/>
          <w:highlight w:val="none"/>
        </w:rPr>
        <w:fldChar w:fldCharType="separate"/>
      </w:r>
      <w:r>
        <w:rPr>
          <w:rFonts w:hint="eastAsia" w:ascii="宋体" w:hAnsi="宋体" w:eastAsia="宋体" w:cs="宋体"/>
          <w:color w:val="000000"/>
          <w:sz w:val="32"/>
          <w:szCs w:val="32"/>
          <w:highlight w:val="none"/>
        </w:rPr>
        <w:t xml:space="preserve">第二章 供应商须知</w:t>
      </w:r>
      <w:r>
        <w:rPr>
          <w:rFonts w:hint="eastAsia" w:ascii="宋体" w:hAnsi="宋体" w:eastAsia="宋体" w:cs="宋体"/>
          <w:color w:val="000000"/>
          <w:sz w:val="32"/>
          <w:szCs w:val="32"/>
          <w:highlight w:val="none"/>
        </w:rPr>
        <w:tab/>
      </w:r>
      <w:r>
        <w:rPr>
          <w:rFonts w:hint="eastAsia" w:ascii="宋体" w:hAnsi="宋体" w:eastAsia="宋体" w:cs="宋体"/>
          <w:color w:val="000000"/>
          <w:sz w:val="32"/>
          <w:szCs w:val="32"/>
          <w:highlight w:val="none"/>
        </w:rPr>
        <w:fldChar w:fldCharType="begin"/>
      </w:r>
      <w:r>
        <w:rPr>
          <w:rFonts w:hint="eastAsia" w:ascii="宋体" w:hAnsi="宋体" w:eastAsia="宋体" w:cs="宋体"/>
          <w:color w:val="000000"/>
          <w:sz w:val="32"/>
          <w:szCs w:val="32"/>
          <w:highlight w:val="none"/>
        </w:rPr>
        <w:instrText xml:space="preserve"> PAGEREF _Toc30596 \h </w:instrText>
      </w:r>
      <w:r>
        <w:rPr>
          <w:rFonts w:hint="eastAsia" w:ascii="宋体" w:hAnsi="宋体" w:eastAsia="宋体" w:cs="宋体"/>
          <w:color w:val="000000"/>
          <w:sz w:val="32"/>
          <w:szCs w:val="32"/>
          <w:highlight w:val="none"/>
        </w:rPr>
        <w:fldChar w:fldCharType="separate"/>
      </w:r>
      <w:r>
        <w:rPr>
          <w:rFonts w:hint="eastAsia" w:ascii="宋体" w:hAnsi="宋体" w:eastAsia="宋体" w:cs="宋体"/>
          <w:color w:val="000000"/>
          <w:sz w:val="32"/>
          <w:szCs w:val="32"/>
          <w:highlight w:val="none"/>
        </w:rPr>
        <w:t xml:space="preserve">10</w:t>
      </w:r>
      <w:r>
        <w:rPr>
          <w:rFonts w:hint="eastAsia" w:ascii="宋体" w:hAnsi="宋体" w:eastAsia="宋体" w:cs="宋体"/>
          <w:color w:val="000000"/>
          <w:sz w:val="32"/>
          <w:szCs w:val="32"/>
          <w:highlight w:val="none"/>
        </w:rPr>
        <w:fldChar w:fldCharType="end"/>
      </w:r>
      <w:r>
        <w:rPr>
          <w:rFonts w:hint="eastAsia" w:ascii="宋体" w:hAnsi="宋体" w:eastAsia="宋体" w:cs="宋体"/>
          <w:color w:val="000000"/>
          <w:sz w:val="32"/>
          <w:szCs w:val="32"/>
          <w:highlight w:val="none"/>
        </w:rPr>
        <w:fldChar w:fldCharType="end"/>
      </w:r>
      <w:r>
        <w:rPr>
          <w:rFonts w:hint="eastAsia" w:ascii="宋体" w:hAnsi="宋体" w:eastAsia="宋体" w:cs="宋体"/>
          <w:color w:val="000000"/>
          <w:sz w:val="32"/>
          <w:szCs w:val="32"/>
          <w:highlight w:val="none"/>
        </w:rPr>
      </w:r>
      <w:r/>
    </w:p>
    <w:p>
      <w:pPr>
        <w:pStyle w:val="1119"/>
        <w:tabs>
          <w:tab w:val="right" w:pos="10467" w:leader="dot"/>
        </w:tabs>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fldChar w:fldCharType="begin"/>
      </w:r>
      <w:r>
        <w:rPr>
          <w:rFonts w:hint="eastAsia" w:ascii="宋体" w:hAnsi="宋体" w:eastAsia="宋体" w:cs="宋体"/>
          <w:color w:val="000000"/>
          <w:sz w:val="32"/>
          <w:szCs w:val="32"/>
          <w:highlight w:val="none"/>
        </w:rPr>
        <w:instrText xml:space="preserve"> HYPERLINK \l _Toc14644 </w:instrText>
      </w:r>
      <w:r>
        <w:rPr>
          <w:rFonts w:hint="eastAsia" w:ascii="宋体" w:hAnsi="宋体" w:eastAsia="宋体" w:cs="宋体"/>
          <w:color w:val="000000"/>
          <w:sz w:val="32"/>
          <w:szCs w:val="32"/>
          <w:highlight w:val="none"/>
        </w:rPr>
        <w:fldChar w:fldCharType="separate"/>
      </w:r>
      <w:r>
        <w:rPr>
          <w:rFonts w:hint="eastAsia" w:ascii="宋体" w:hAnsi="宋体" w:eastAsia="宋体" w:cs="宋体"/>
          <w:color w:val="000000"/>
          <w:sz w:val="32"/>
          <w:szCs w:val="32"/>
          <w:highlight w:val="none"/>
        </w:rPr>
        <w:t xml:space="preserve">第三章 响应文件格式</w:t>
      </w:r>
      <w:r>
        <w:rPr>
          <w:rFonts w:hint="eastAsia" w:ascii="宋体" w:hAnsi="宋体" w:eastAsia="宋体" w:cs="宋体"/>
          <w:color w:val="000000"/>
          <w:sz w:val="32"/>
          <w:szCs w:val="32"/>
          <w:highlight w:val="none"/>
        </w:rPr>
        <w:tab/>
      </w:r>
      <w:r>
        <w:rPr>
          <w:rFonts w:hint="eastAsia" w:ascii="宋体" w:hAnsi="宋体" w:eastAsia="宋体" w:cs="宋体"/>
          <w:color w:val="000000"/>
          <w:sz w:val="32"/>
          <w:szCs w:val="32"/>
          <w:highlight w:val="none"/>
        </w:rPr>
        <w:fldChar w:fldCharType="begin"/>
      </w:r>
      <w:r>
        <w:rPr>
          <w:rFonts w:hint="eastAsia" w:ascii="宋体" w:hAnsi="宋体" w:eastAsia="宋体" w:cs="宋体"/>
          <w:color w:val="000000"/>
          <w:sz w:val="32"/>
          <w:szCs w:val="32"/>
          <w:highlight w:val="none"/>
        </w:rPr>
        <w:instrText xml:space="preserve"> PAGEREF _Toc14644 \h </w:instrText>
      </w:r>
      <w:r>
        <w:rPr>
          <w:rFonts w:hint="eastAsia" w:ascii="宋体" w:hAnsi="宋体" w:eastAsia="宋体" w:cs="宋体"/>
          <w:color w:val="000000"/>
          <w:sz w:val="32"/>
          <w:szCs w:val="32"/>
          <w:highlight w:val="none"/>
        </w:rPr>
        <w:fldChar w:fldCharType="separate"/>
      </w:r>
      <w:r>
        <w:rPr>
          <w:rFonts w:hint="eastAsia" w:ascii="宋体" w:hAnsi="宋体" w:eastAsia="宋体" w:cs="宋体"/>
          <w:color w:val="000000"/>
          <w:sz w:val="32"/>
          <w:szCs w:val="32"/>
          <w:highlight w:val="none"/>
        </w:rPr>
        <w:t xml:space="preserve">19</w:t>
      </w:r>
      <w:r>
        <w:rPr>
          <w:rFonts w:hint="eastAsia" w:ascii="宋体" w:hAnsi="宋体" w:eastAsia="宋体" w:cs="宋体"/>
          <w:color w:val="000000"/>
          <w:sz w:val="32"/>
          <w:szCs w:val="32"/>
          <w:highlight w:val="none"/>
        </w:rPr>
        <w:fldChar w:fldCharType="end"/>
      </w:r>
      <w:r>
        <w:rPr>
          <w:rFonts w:hint="eastAsia" w:ascii="宋体" w:hAnsi="宋体" w:eastAsia="宋体" w:cs="宋体"/>
          <w:color w:val="000000"/>
          <w:sz w:val="32"/>
          <w:szCs w:val="32"/>
          <w:highlight w:val="none"/>
        </w:rPr>
        <w:fldChar w:fldCharType="end"/>
      </w:r>
      <w:r>
        <w:rPr>
          <w:rFonts w:hint="eastAsia" w:ascii="宋体" w:hAnsi="宋体" w:eastAsia="宋体" w:cs="宋体"/>
          <w:color w:val="000000"/>
          <w:sz w:val="32"/>
          <w:szCs w:val="32"/>
          <w:highlight w:val="none"/>
        </w:rPr>
      </w:r>
      <w:r/>
    </w:p>
    <w:p>
      <w:pPr>
        <w:pStyle w:val="1119"/>
        <w:tabs>
          <w:tab w:val="right" w:pos="10467" w:leader="dot"/>
        </w:tabs>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fldChar w:fldCharType="begin"/>
      </w:r>
      <w:r>
        <w:rPr>
          <w:rFonts w:hint="eastAsia" w:ascii="宋体" w:hAnsi="宋体" w:eastAsia="宋体" w:cs="宋体"/>
          <w:color w:val="000000"/>
          <w:sz w:val="32"/>
          <w:szCs w:val="32"/>
          <w:highlight w:val="none"/>
        </w:rPr>
        <w:instrText xml:space="preserve"> HYPERLINK \l _Toc9742 </w:instrText>
      </w:r>
      <w:r>
        <w:rPr>
          <w:rFonts w:hint="eastAsia" w:ascii="宋体" w:hAnsi="宋体" w:eastAsia="宋体" w:cs="宋体"/>
          <w:color w:val="000000"/>
          <w:sz w:val="32"/>
          <w:szCs w:val="32"/>
          <w:highlight w:val="none"/>
        </w:rPr>
        <w:fldChar w:fldCharType="separate"/>
      </w:r>
      <w:r>
        <w:rPr>
          <w:rFonts w:hint="eastAsia" w:ascii="宋体" w:hAnsi="宋体" w:eastAsia="宋体" w:cs="宋体"/>
          <w:color w:val="000000"/>
          <w:sz w:val="32"/>
          <w:szCs w:val="32"/>
          <w:highlight w:val="none"/>
        </w:rPr>
        <w:t xml:space="preserve">第四章 采购需求</w:t>
      </w:r>
      <w:r>
        <w:rPr>
          <w:rFonts w:hint="eastAsia" w:ascii="宋体" w:hAnsi="宋体" w:eastAsia="宋体" w:cs="宋体"/>
          <w:color w:val="000000"/>
          <w:sz w:val="32"/>
          <w:szCs w:val="32"/>
          <w:highlight w:val="none"/>
        </w:rPr>
        <w:tab/>
      </w:r>
      <w:r>
        <w:rPr>
          <w:rFonts w:hint="eastAsia" w:ascii="宋体" w:hAnsi="宋体" w:eastAsia="宋体" w:cs="宋体"/>
          <w:color w:val="000000"/>
          <w:sz w:val="32"/>
          <w:szCs w:val="32"/>
          <w:highlight w:val="none"/>
        </w:rPr>
        <w:fldChar w:fldCharType="begin"/>
      </w:r>
      <w:r>
        <w:rPr>
          <w:rFonts w:hint="eastAsia" w:ascii="宋体" w:hAnsi="宋体" w:eastAsia="宋体" w:cs="宋体"/>
          <w:color w:val="000000"/>
          <w:sz w:val="32"/>
          <w:szCs w:val="32"/>
          <w:highlight w:val="none"/>
        </w:rPr>
        <w:instrText xml:space="preserve"> PAGEREF _Toc9742 \h </w:instrText>
      </w:r>
      <w:r>
        <w:rPr>
          <w:rFonts w:hint="eastAsia" w:ascii="宋体" w:hAnsi="宋体" w:eastAsia="宋体" w:cs="宋体"/>
          <w:color w:val="000000"/>
          <w:sz w:val="32"/>
          <w:szCs w:val="32"/>
          <w:highlight w:val="none"/>
        </w:rPr>
        <w:fldChar w:fldCharType="separate"/>
      </w:r>
      <w:r>
        <w:rPr>
          <w:rFonts w:hint="eastAsia" w:ascii="宋体" w:hAnsi="宋体" w:eastAsia="宋体" w:cs="宋体"/>
          <w:color w:val="000000"/>
          <w:sz w:val="32"/>
          <w:szCs w:val="32"/>
          <w:highlight w:val="none"/>
        </w:rPr>
        <w:t xml:space="preserve">40</w:t>
      </w:r>
      <w:r>
        <w:rPr>
          <w:rFonts w:hint="eastAsia" w:ascii="宋体" w:hAnsi="宋体" w:eastAsia="宋体" w:cs="宋体"/>
          <w:color w:val="000000"/>
          <w:sz w:val="32"/>
          <w:szCs w:val="32"/>
          <w:highlight w:val="none"/>
        </w:rPr>
        <w:fldChar w:fldCharType="end"/>
      </w:r>
      <w:r>
        <w:rPr>
          <w:rFonts w:hint="eastAsia" w:ascii="宋体" w:hAnsi="宋体" w:eastAsia="宋体" w:cs="宋体"/>
          <w:color w:val="000000"/>
          <w:sz w:val="32"/>
          <w:szCs w:val="32"/>
          <w:highlight w:val="none"/>
        </w:rPr>
        <w:fldChar w:fldCharType="end"/>
      </w:r>
      <w:r>
        <w:rPr>
          <w:rFonts w:hint="eastAsia" w:ascii="宋体" w:hAnsi="宋体" w:eastAsia="宋体" w:cs="宋体"/>
          <w:color w:val="000000"/>
          <w:sz w:val="32"/>
          <w:szCs w:val="32"/>
          <w:highlight w:val="none"/>
        </w:rPr>
      </w:r>
      <w:r/>
    </w:p>
    <w:p>
      <w:pPr>
        <w:pStyle w:val="1119"/>
        <w:tabs>
          <w:tab w:val="right" w:pos="10467" w:leader="dot"/>
        </w:tabs>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fldChar w:fldCharType="begin"/>
      </w:r>
      <w:r>
        <w:rPr>
          <w:rFonts w:hint="eastAsia" w:ascii="宋体" w:hAnsi="宋体" w:eastAsia="宋体" w:cs="宋体"/>
          <w:color w:val="000000"/>
          <w:sz w:val="32"/>
          <w:szCs w:val="32"/>
          <w:highlight w:val="none"/>
        </w:rPr>
        <w:instrText xml:space="preserve"> HYPERLINK \l _Toc27765 </w:instrText>
      </w:r>
      <w:r>
        <w:rPr>
          <w:rFonts w:hint="eastAsia" w:ascii="宋体" w:hAnsi="宋体" w:eastAsia="宋体" w:cs="宋体"/>
          <w:color w:val="000000"/>
          <w:sz w:val="32"/>
          <w:szCs w:val="32"/>
          <w:highlight w:val="none"/>
        </w:rPr>
        <w:fldChar w:fldCharType="separate"/>
      </w:r>
      <w:r>
        <w:rPr>
          <w:rFonts w:hint="eastAsia" w:ascii="宋体" w:hAnsi="宋体" w:eastAsia="宋体" w:cs="宋体"/>
          <w:color w:val="000000"/>
          <w:sz w:val="32"/>
          <w:szCs w:val="32"/>
          <w:highlight w:val="none"/>
        </w:rPr>
        <w:t xml:space="preserve">第五章 框架协议文本</w:t>
      </w:r>
      <w:r>
        <w:rPr>
          <w:rFonts w:hint="eastAsia" w:ascii="宋体" w:hAnsi="宋体" w:eastAsia="宋体" w:cs="宋体"/>
          <w:color w:val="000000"/>
          <w:sz w:val="32"/>
          <w:szCs w:val="32"/>
          <w:highlight w:val="none"/>
        </w:rPr>
        <w:tab/>
      </w:r>
      <w:r>
        <w:rPr>
          <w:rFonts w:hint="eastAsia" w:ascii="宋体" w:hAnsi="宋体" w:eastAsia="宋体" w:cs="宋体"/>
          <w:color w:val="000000"/>
          <w:sz w:val="32"/>
          <w:szCs w:val="32"/>
          <w:highlight w:val="none"/>
        </w:rPr>
        <w:fldChar w:fldCharType="begin"/>
      </w:r>
      <w:r>
        <w:rPr>
          <w:rFonts w:hint="eastAsia" w:ascii="宋体" w:hAnsi="宋体" w:eastAsia="宋体" w:cs="宋体"/>
          <w:color w:val="000000"/>
          <w:sz w:val="32"/>
          <w:szCs w:val="32"/>
          <w:highlight w:val="none"/>
        </w:rPr>
        <w:instrText xml:space="preserve"> PAGEREF _Toc27765 \h </w:instrText>
      </w:r>
      <w:r>
        <w:rPr>
          <w:rFonts w:hint="eastAsia" w:ascii="宋体" w:hAnsi="宋体" w:eastAsia="宋体" w:cs="宋体"/>
          <w:color w:val="000000"/>
          <w:sz w:val="32"/>
          <w:szCs w:val="32"/>
          <w:highlight w:val="none"/>
        </w:rPr>
        <w:fldChar w:fldCharType="separate"/>
      </w:r>
      <w:r>
        <w:rPr>
          <w:rFonts w:hint="eastAsia" w:ascii="宋体" w:hAnsi="宋体" w:eastAsia="宋体" w:cs="宋体"/>
          <w:color w:val="000000"/>
          <w:sz w:val="32"/>
          <w:szCs w:val="32"/>
          <w:highlight w:val="none"/>
        </w:rPr>
        <w:t xml:space="preserve">71</w:t>
      </w:r>
      <w:r>
        <w:rPr>
          <w:rFonts w:hint="eastAsia" w:ascii="宋体" w:hAnsi="宋体" w:eastAsia="宋体" w:cs="宋体"/>
          <w:color w:val="000000"/>
          <w:sz w:val="32"/>
          <w:szCs w:val="32"/>
          <w:highlight w:val="none"/>
        </w:rPr>
        <w:fldChar w:fldCharType="end"/>
      </w:r>
      <w:r>
        <w:rPr>
          <w:rFonts w:hint="eastAsia" w:ascii="宋体" w:hAnsi="宋体" w:eastAsia="宋体" w:cs="宋体"/>
          <w:color w:val="000000"/>
          <w:sz w:val="32"/>
          <w:szCs w:val="32"/>
          <w:highlight w:val="none"/>
        </w:rPr>
        <w:fldChar w:fldCharType="end"/>
      </w:r>
      <w:r>
        <w:rPr>
          <w:rFonts w:hint="eastAsia" w:ascii="宋体" w:hAnsi="宋体" w:eastAsia="宋体" w:cs="宋体"/>
          <w:color w:val="000000"/>
          <w:sz w:val="32"/>
          <w:szCs w:val="32"/>
          <w:highlight w:val="none"/>
        </w:rPr>
      </w:r>
      <w:r/>
    </w:p>
    <w:p>
      <w:pPr>
        <w:pStyle w:val="1119"/>
        <w:tabs>
          <w:tab w:val="right" w:pos="10467" w:leader="dot"/>
        </w:tabs>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fldChar w:fldCharType="begin"/>
      </w:r>
      <w:r>
        <w:rPr>
          <w:rFonts w:hint="eastAsia" w:ascii="宋体" w:hAnsi="宋体" w:eastAsia="宋体" w:cs="宋体"/>
          <w:color w:val="000000"/>
          <w:sz w:val="32"/>
          <w:szCs w:val="32"/>
          <w:highlight w:val="none"/>
        </w:rPr>
        <w:instrText xml:space="preserve"> HYPERLINK \l _Toc19023 </w:instrText>
      </w:r>
      <w:r>
        <w:rPr>
          <w:rFonts w:hint="eastAsia" w:ascii="宋体" w:hAnsi="宋体" w:eastAsia="宋体" w:cs="宋体"/>
          <w:color w:val="000000"/>
          <w:sz w:val="32"/>
          <w:szCs w:val="32"/>
          <w:highlight w:val="none"/>
        </w:rPr>
        <w:fldChar w:fldCharType="separate"/>
      </w:r>
      <w:r>
        <w:rPr>
          <w:rFonts w:hint="eastAsia" w:ascii="宋体" w:hAnsi="宋体" w:eastAsia="宋体" w:cs="宋体"/>
          <w:color w:val="000000"/>
          <w:sz w:val="32"/>
          <w:szCs w:val="32"/>
          <w:highlight w:val="none"/>
        </w:rPr>
        <w:t xml:space="preserve">第六章 确定入围及成交供应商</w:t>
      </w:r>
      <w:r>
        <w:rPr>
          <w:rFonts w:hint="eastAsia" w:ascii="宋体" w:hAnsi="宋体" w:eastAsia="宋体" w:cs="宋体"/>
          <w:color w:val="000000"/>
          <w:sz w:val="32"/>
          <w:szCs w:val="32"/>
          <w:highlight w:val="none"/>
        </w:rPr>
        <w:tab/>
      </w:r>
      <w:r>
        <w:rPr>
          <w:rFonts w:hint="eastAsia" w:ascii="宋体" w:hAnsi="宋体" w:eastAsia="宋体" w:cs="宋体"/>
          <w:color w:val="000000"/>
          <w:sz w:val="32"/>
          <w:szCs w:val="32"/>
          <w:highlight w:val="none"/>
        </w:rPr>
        <w:fldChar w:fldCharType="begin"/>
      </w:r>
      <w:r>
        <w:rPr>
          <w:rFonts w:hint="eastAsia" w:ascii="宋体" w:hAnsi="宋体" w:eastAsia="宋体" w:cs="宋体"/>
          <w:color w:val="000000"/>
          <w:sz w:val="32"/>
          <w:szCs w:val="32"/>
          <w:highlight w:val="none"/>
        </w:rPr>
        <w:instrText xml:space="preserve"> PAGEREF _Toc19023 \h </w:instrText>
      </w:r>
      <w:r>
        <w:rPr>
          <w:rFonts w:hint="eastAsia" w:ascii="宋体" w:hAnsi="宋体" w:eastAsia="宋体" w:cs="宋体"/>
          <w:color w:val="000000"/>
          <w:sz w:val="32"/>
          <w:szCs w:val="32"/>
          <w:highlight w:val="none"/>
        </w:rPr>
        <w:fldChar w:fldCharType="separate"/>
      </w:r>
      <w:r>
        <w:rPr>
          <w:rFonts w:hint="eastAsia" w:ascii="宋体" w:hAnsi="宋体" w:eastAsia="宋体" w:cs="宋体"/>
          <w:color w:val="000000"/>
          <w:sz w:val="32"/>
          <w:szCs w:val="32"/>
          <w:highlight w:val="none"/>
        </w:rPr>
        <w:t xml:space="preserve">77</w:t>
      </w:r>
      <w:r>
        <w:rPr>
          <w:rFonts w:hint="eastAsia" w:ascii="宋体" w:hAnsi="宋体" w:eastAsia="宋体" w:cs="宋体"/>
          <w:color w:val="000000"/>
          <w:sz w:val="32"/>
          <w:szCs w:val="32"/>
          <w:highlight w:val="none"/>
        </w:rPr>
        <w:fldChar w:fldCharType="end"/>
      </w:r>
      <w:r>
        <w:rPr>
          <w:rFonts w:hint="eastAsia" w:ascii="宋体" w:hAnsi="宋体" w:eastAsia="宋体" w:cs="宋体"/>
          <w:color w:val="000000"/>
          <w:sz w:val="32"/>
          <w:szCs w:val="32"/>
          <w:highlight w:val="none"/>
        </w:rPr>
        <w:fldChar w:fldCharType="end"/>
      </w:r>
      <w:r>
        <w:rPr>
          <w:rFonts w:hint="eastAsia" w:ascii="宋体" w:hAnsi="宋体" w:eastAsia="宋体" w:cs="宋体"/>
          <w:color w:val="000000"/>
          <w:sz w:val="32"/>
          <w:szCs w:val="32"/>
          <w:highlight w:val="none"/>
        </w:rPr>
      </w:r>
      <w:r/>
    </w:p>
    <w:p>
      <w:pPr>
        <w:pStyle w:val="1060"/>
        <w:spacing w:line="360" w:lineRule="auto"/>
        <w:rPr>
          <w:rFonts w:hint="eastAsia" w:ascii="宋体" w:hAnsi="宋体" w:cs="宋体"/>
          <w:color w:val="000000"/>
          <w:szCs w:val="28"/>
          <w:highlight w:val="none"/>
        </w:rPr>
      </w:pPr>
      <w:r>
        <w:rPr>
          <w:rFonts w:hint="eastAsia" w:ascii="宋体" w:hAnsi="宋体" w:cs="宋体"/>
          <w:color w:val="000000"/>
          <w:sz w:val="32"/>
          <w:szCs w:val="32"/>
          <w:highlight w:val="none"/>
        </w:rPr>
        <w:fldChar w:fldCharType="end"/>
      </w:r>
      <w:r>
        <w:rPr>
          <w:rFonts w:hint="eastAsia" w:ascii="宋体" w:hAnsi="宋体" w:cs="宋体"/>
          <w:color w:val="000000"/>
          <w:szCs w:val="28"/>
          <w:highlight w:val="none"/>
        </w:rPr>
      </w:r>
      <w:r/>
    </w:p>
    <w:p>
      <w:pPr>
        <w:pStyle w:val="1060"/>
        <w:spacing w:line="360" w:lineRule="auto"/>
        <w:rPr>
          <w:rFonts w:hint="eastAsia" w:ascii="宋体" w:hAnsi="宋体" w:cs="宋体"/>
          <w:color w:val="000000"/>
          <w:szCs w:val="28"/>
          <w:highlight w:val="none"/>
        </w:rPr>
      </w:pPr>
      <w:r>
        <w:rPr>
          <w:rFonts w:hint="eastAsia" w:ascii="宋体" w:hAnsi="宋体" w:cs="宋体"/>
          <w:color w:val="000000"/>
          <w:szCs w:val="28"/>
          <w:highlight w:val="none"/>
        </w:rPr>
      </w:r>
      <w:r/>
    </w:p>
    <w:p>
      <w:pPr>
        <w:pStyle w:val="1060"/>
        <w:spacing w:line="360" w:lineRule="auto"/>
        <w:rPr>
          <w:rFonts w:hint="eastAsia" w:ascii="宋体" w:hAnsi="宋体" w:cs="宋体"/>
          <w:color w:val="000000"/>
          <w:highlight w:val="none"/>
        </w:rPr>
      </w:pPr>
      <w:r>
        <w:rPr>
          <w:rFonts w:hint="eastAsia" w:ascii="宋体" w:hAnsi="宋体" w:cs="宋体"/>
          <w:color w:val="000000"/>
          <w:highlight w:val="none"/>
        </w:rPr>
      </w:r>
      <w:r/>
    </w:p>
    <w:p>
      <w:pPr>
        <w:pStyle w:val="1060"/>
        <w:spacing w:line="360" w:lineRule="auto"/>
        <w:rPr>
          <w:rFonts w:hint="eastAsia" w:ascii="宋体" w:hAnsi="宋体" w:cs="宋体"/>
          <w:color w:val="000000"/>
          <w:highlight w:val="none"/>
        </w:rPr>
      </w:pPr>
      <w:r>
        <w:rPr>
          <w:rFonts w:hint="eastAsia" w:ascii="宋体" w:hAnsi="宋体" w:cs="宋体"/>
          <w:color w:val="000000"/>
          <w:highlight w:val="none"/>
        </w:rPr>
      </w:r>
      <w:r/>
    </w:p>
    <w:p>
      <w:pPr>
        <w:pStyle w:val="1060"/>
        <w:spacing w:line="360" w:lineRule="auto"/>
        <w:rPr>
          <w:rFonts w:hint="eastAsia" w:ascii="宋体" w:hAnsi="宋体" w:cs="宋体"/>
          <w:color w:val="000000"/>
          <w:highlight w:val="none"/>
        </w:rPr>
      </w:pPr>
      <w:r>
        <w:rPr>
          <w:rFonts w:hint="eastAsia" w:ascii="宋体" w:hAnsi="宋体" w:cs="宋体"/>
          <w:color w:val="000000"/>
          <w:highlight w:val="none"/>
        </w:rPr>
      </w:r>
      <w:r/>
    </w:p>
    <w:p>
      <w:pPr>
        <w:pStyle w:val="1060"/>
        <w:spacing w:line="360" w:lineRule="auto"/>
        <w:rPr>
          <w:rFonts w:hint="eastAsia" w:ascii="宋体" w:hAnsi="宋体" w:cs="宋体"/>
          <w:color w:val="000000"/>
          <w:highlight w:val="none"/>
        </w:rPr>
      </w:pPr>
      <w:r>
        <w:rPr>
          <w:rFonts w:hint="eastAsia" w:ascii="宋体" w:hAnsi="宋体" w:cs="宋体"/>
          <w:color w:val="000000"/>
          <w:highlight w:val="none"/>
        </w:rPr>
      </w:r>
      <w:r/>
    </w:p>
    <w:p>
      <w:pPr>
        <w:pStyle w:val="1060"/>
        <w:spacing w:line="360" w:lineRule="auto"/>
        <w:rPr>
          <w:rFonts w:hint="eastAsia" w:ascii="宋体" w:hAnsi="宋体" w:cs="宋体"/>
          <w:color w:val="000000"/>
          <w:highlight w:val="none"/>
        </w:rPr>
      </w:pPr>
      <w:r>
        <w:rPr>
          <w:rFonts w:hint="eastAsia" w:ascii="宋体" w:hAnsi="宋体" w:cs="宋体"/>
          <w:color w:val="000000"/>
          <w:highlight w:val="none"/>
        </w:rPr>
      </w:r>
      <w:r/>
    </w:p>
    <w:p>
      <w:pPr>
        <w:pStyle w:val="1060"/>
        <w:spacing w:line="360" w:lineRule="auto"/>
        <w:rPr>
          <w:rFonts w:hint="eastAsia" w:ascii="宋体" w:hAnsi="宋体" w:cs="宋体"/>
          <w:color w:val="000000"/>
          <w:highlight w:val="none"/>
        </w:rPr>
      </w:pPr>
      <w:r>
        <w:rPr>
          <w:rFonts w:hint="eastAsia" w:ascii="宋体" w:hAnsi="宋体" w:cs="宋体"/>
          <w:color w:val="000000"/>
          <w:highlight w:val="none"/>
        </w:rPr>
      </w:r>
      <w:r/>
    </w:p>
    <w:p>
      <w:pPr>
        <w:pStyle w:val="1060"/>
        <w:spacing w:line="360" w:lineRule="auto"/>
        <w:rPr>
          <w:rFonts w:hint="eastAsia" w:ascii="宋体" w:hAnsi="宋体" w:cs="宋体"/>
          <w:color w:val="000000"/>
          <w:highlight w:val="none"/>
        </w:rPr>
      </w:pPr>
      <w:r>
        <w:rPr>
          <w:rFonts w:hint="eastAsia" w:ascii="宋体" w:hAnsi="宋体" w:cs="宋体"/>
          <w:color w:val="000000"/>
          <w:highlight w:val="none"/>
        </w:rPr>
      </w:r>
      <w:r/>
    </w:p>
    <w:p>
      <w:pPr>
        <w:pStyle w:val="1060"/>
        <w:spacing w:line="360" w:lineRule="auto"/>
        <w:rPr>
          <w:rFonts w:hint="eastAsia" w:ascii="宋体" w:hAnsi="宋体" w:cs="宋体"/>
          <w:color w:val="000000"/>
          <w:highlight w:val="none"/>
        </w:rPr>
      </w:pPr>
      <w:r>
        <w:rPr>
          <w:rFonts w:hint="eastAsia" w:ascii="宋体" w:hAnsi="宋体" w:cs="宋体"/>
          <w:color w:val="000000"/>
          <w:highlight w:val="none"/>
        </w:rPr>
      </w:r>
      <w:r/>
    </w:p>
    <w:p>
      <w:pPr>
        <w:pStyle w:val="1060"/>
        <w:spacing w:line="360" w:lineRule="auto"/>
        <w:rPr>
          <w:rFonts w:hint="eastAsia" w:ascii="宋体" w:hAnsi="宋体" w:cs="宋体"/>
          <w:color w:val="000000"/>
          <w:highlight w:val="none"/>
        </w:rPr>
      </w:pPr>
      <w:r>
        <w:rPr>
          <w:rFonts w:hint="eastAsia" w:ascii="宋体" w:hAnsi="宋体" w:cs="宋体"/>
          <w:color w:val="000000"/>
          <w:highlight w:val="none"/>
        </w:rPr>
      </w:r>
      <w:r/>
    </w:p>
    <w:p>
      <w:pPr>
        <w:pStyle w:val="1061"/>
        <w:numPr>
          <w:ilvl w:val="0"/>
          <w:numId w:val="1"/>
        </w:numPr>
        <w:jc w:val="center"/>
        <w:pageBreakBefore/>
        <w:spacing w:before="0" w:after="0" w:line="360" w:lineRule="auto"/>
        <w:rPr>
          <w:rFonts w:hint="eastAsia" w:ascii="宋体" w:hAnsi="宋体" w:cs="宋体"/>
          <w:color w:val="000000"/>
          <w:highlight w:val="none"/>
        </w:rPr>
        <w:sectPr>
          <w:headerReference w:type="default" r:id="rId9"/>
          <w:headerReference w:type="first" r:id="rId10"/>
          <w:footerReference w:type="default" r:id="rId13"/>
          <w:footnotePr/>
          <w:endnotePr/>
          <w:type w:val="nextPage"/>
          <w:pgSz w:w="11907" w:h="16840" w:orient="portrait"/>
          <w:pgMar w:top="720" w:right="720" w:bottom="720" w:left="720" w:header="851" w:footer="992" w:gutter="0"/>
          <w:pgNumType w:start="1"/>
          <w:cols w:num="1" w:sep="0" w:space="1701" w:equalWidth="1"/>
          <w:docGrid w:linePitch="360"/>
        </w:sectPr>
      </w:pPr>
      <w:r/>
      <w:bookmarkStart w:id="41" w:name="_Toc17957"/>
      <w:r/>
      <w:bookmarkStart w:id="42" w:name="_Toc2992"/>
      <w:r/>
      <w:bookmarkStart w:id="43" w:name="_Toc25570"/>
      <w:r/>
      <w:bookmarkStart w:id="44" w:name="_Toc5738"/>
      <w:r/>
      <w:bookmarkStart w:id="45" w:name="_Toc24914"/>
      <w:r/>
      <w:bookmarkStart w:id="46" w:name="_Toc5258"/>
      <w:r/>
      <w:bookmarkStart w:id="47" w:name="_Toc11888"/>
      <w:r/>
      <w:bookmarkStart w:id="48" w:name="_Toc26146"/>
      <w:r>
        <w:rPr>
          <w:rFonts w:hint="eastAsia" w:ascii="宋体" w:hAnsi="宋体" w:cs="宋体"/>
          <w:color w:val="000000"/>
          <w:highlight w:val="none"/>
        </w:rPr>
      </w:r>
      <w:r/>
    </w:p>
    <w:p>
      <w:pPr>
        <w:pStyle w:val="1061"/>
        <w:numPr>
          <w:ilvl w:val="0"/>
          <w:numId w:val="1"/>
        </w:numPr>
        <w:jc w:val="center"/>
        <w:pageBreakBefore/>
        <w:spacing w:before="0" w:after="0" w:line="360" w:lineRule="auto"/>
        <w:rPr>
          <w:rFonts w:hint="eastAsia" w:ascii="宋体" w:hAnsi="宋体" w:cs="宋体"/>
          <w:color w:val="000000"/>
          <w:highlight w:val="none"/>
        </w:rPr>
      </w:pPr>
      <w:r>
        <w:rPr>
          <w:rFonts w:hint="eastAsia" w:ascii="宋体" w:hAnsi="宋体" w:cs="宋体"/>
          <w:color w:val="000000"/>
          <w:highlight w:val="none"/>
          <w:lang w:val="en-US" w:eastAsia="zh-CN"/>
        </w:rPr>
        <w:t xml:space="preserve"> </w:t>
      </w:r>
      <w:bookmarkEnd w:id="41"/>
      <w:r/>
      <w:bookmarkEnd w:id="42"/>
      <w:r/>
      <w:bookmarkEnd w:id="43"/>
      <w:r/>
      <w:bookmarkEnd w:id="44"/>
      <w:r/>
      <w:bookmarkEnd w:id="45"/>
      <w:r/>
      <w:bookmarkEnd w:id="46"/>
      <w:r/>
      <w:bookmarkEnd w:id="47"/>
      <w:r/>
      <w:bookmarkEnd w:id="48"/>
      <w:r/>
      <w:bookmarkStart w:id="49" w:name="_Toc10643"/>
      <w:r/>
      <w:bookmarkStart w:id="50" w:name="_Toc19568"/>
      <w:r/>
      <w:bookmarkStart w:id="51" w:name="_Toc7221"/>
      <w:r/>
      <w:bookmarkStart w:id="52" w:name="_Toc20187"/>
      <w:r/>
      <w:bookmarkStart w:id="53" w:name="_Toc847"/>
      <w:r/>
      <w:bookmarkStart w:id="54" w:name="_Toc21753"/>
      <w:r/>
      <w:bookmarkStart w:id="55" w:name="_Toc5606"/>
      <w:r/>
      <w:bookmarkStart w:id="56" w:name="_Toc13678"/>
      <w:r/>
      <w:bookmarkStart w:id="57" w:name="_Toc30752"/>
      <w:r/>
      <w:bookmarkStart w:id="58" w:name="_Toc17035"/>
      <w:r/>
      <w:bookmarkStart w:id="59" w:name="_Toc5531"/>
      <w:r/>
      <w:bookmarkStart w:id="60" w:name="_Toc16528"/>
      <w:r/>
      <w:bookmarkStart w:id="61" w:name="_Toc3573"/>
      <w:r/>
      <w:bookmarkStart w:id="62" w:name="_Toc28132"/>
      <w:r/>
      <w:bookmarkStart w:id="63" w:name="_Toc10165"/>
      <w:r>
        <w:rPr>
          <w:rFonts w:hint="eastAsia" w:ascii="宋体" w:hAnsi="宋体" w:cs="宋体"/>
          <w:color w:val="000000"/>
          <w:highlight w:val="none"/>
        </w:rPr>
        <w:t xml:space="preserve">征集邀请函</w:t>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rPr>
          <w:rFonts w:hint="eastAsia" w:ascii="宋体" w:hAnsi="宋体" w:cs="宋体"/>
          <w:color w:val="000000"/>
          <w:highlight w:val="none"/>
        </w:rPr>
      </w:r>
      <w:r/>
    </w:p>
    <w:p>
      <w:pPr>
        <w:pStyle w:val="1128"/>
        <w:jc w:val="both"/>
        <w:spacing w:line="360" w:lineRule="auto"/>
        <w:tabs>
          <w:tab w:val="left" w:pos="567" w:leader="none"/>
        </w:tabs>
        <w:rPr>
          <w:rFonts w:hint="eastAsia" w:ascii="宋体" w:hAnsi="宋体" w:cs="宋体"/>
          <w:color w:val="000000"/>
          <w:highlight w:val="none"/>
        </w:rPr>
      </w:pPr>
      <w:r>
        <w:rPr>
          <w:rFonts w:hint="eastAsia" w:ascii="宋体" w:hAnsi="宋体" w:cs="宋体"/>
          <w:color w:val="000000"/>
          <w:highlight w:val="none"/>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8986"/>
      </w:tblGrid>
      <w:tr>
        <w:trPr/>
        <w:tc>
          <w:tcPr>
            <w:shd w:val="clear" w:color="auto" w:fill="ffffff"/>
            <w:tcMar>
              <w:left w:w="108" w:type="dxa"/>
              <w:right w:w="108" w:type="dxa"/>
            </w:tcMar>
            <w:tcW w:w="8986" w:type="dxa"/>
            <w:vAlign w:val="top"/>
            <w:textDirection w:val="lrTb"/>
            <w:noWrap w:val="false"/>
          </w:tcPr>
          <w:p>
            <w:pPr>
              <w:pStyle w:val="1060"/>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项目概况</w:t>
            </w:r>
            <w:r>
              <w:rPr>
                <w:rFonts w:hint="eastAsia" w:ascii="宋体" w:hAnsi="宋体" w:cs="宋体"/>
                <w:color w:val="000000"/>
                <w:sz w:val="24"/>
                <w:highlight w:val="none"/>
              </w:rPr>
            </w:r>
            <w:r/>
          </w:p>
          <w:p>
            <w:pPr>
              <w:pStyle w:val="1139"/>
              <w:ind w:firstLine="480"/>
              <w:spacing w:before="0" w:beforeAutospacing="0" w:after="0" w:afterAutospacing="0" w:line="360" w:lineRule="auto"/>
              <w:rPr>
                <w:rFonts w:hint="eastAsia"/>
                <w:color w:val="000000"/>
                <w:highlight w:val="none"/>
              </w:rPr>
            </w:pPr>
            <w:r>
              <w:rPr>
                <w:rFonts w:hint="eastAsia"/>
                <w:color w:val="000000"/>
                <w:highlight w:val="none"/>
                <w:u w:val="single"/>
              </w:rPr>
              <w:t xml:space="preserve">苏州市姑苏区残疾人辅助器具适配服务</w:t>
            </w:r>
            <w:r>
              <w:rPr>
                <w:rFonts w:hint="eastAsia"/>
                <w:color w:val="000000"/>
                <w:highlight w:val="none"/>
              </w:rPr>
              <w:t xml:space="preserve">项目的潜在供应商应在</w:t>
            </w:r>
            <w:r>
              <w:rPr>
                <w:rFonts w:hint="eastAsia"/>
                <w:color w:val="000000"/>
                <w:highlight w:val="none"/>
                <w:u w:val="single"/>
                <w:lang w:val="zh-CN"/>
              </w:rPr>
              <w:t xml:space="preserve">“苏采云”系统</w:t>
            </w:r>
            <w:r>
              <w:rPr>
                <w:rFonts w:hint="eastAsia"/>
                <w:color w:val="000000"/>
                <w:highlight w:val="none"/>
                <w:u w:val="single"/>
              </w:rPr>
              <w:t xml:space="preserve"> </w:t>
            </w:r>
            <w:r>
              <w:rPr>
                <w:rFonts w:hint="eastAsia"/>
                <w:color w:val="000000"/>
                <w:highlight w:val="none"/>
              </w:rPr>
              <w:t xml:space="preserve">获取征集文件，并于</w:t>
            </w:r>
            <w:r>
              <w:rPr>
                <w:rFonts w:hint="eastAsia"/>
                <w:color w:val="000000"/>
                <w:highlight w:val="none"/>
                <w:u w:val="single"/>
              </w:rPr>
              <w:t xml:space="preserve">2026年 9  月 16   日13点30分</w:t>
            </w:r>
            <w:r>
              <w:rPr>
                <w:rFonts w:hint="eastAsia"/>
                <w:color w:val="000000"/>
                <w:highlight w:val="none"/>
              </w:rPr>
              <w:t xml:space="preserve">（北京时间）前递交响应文件。</w:t>
            </w:r>
            <w:r>
              <w:rPr>
                <w:rFonts w:hint="eastAsia"/>
                <w:color w:val="000000"/>
                <w:highlight w:val="none"/>
              </w:rPr>
            </w:r>
            <w:r/>
          </w:p>
        </w:tc>
      </w:tr>
    </w:tbl>
    <w:p>
      <w:pPr>
        <w:pStyle w:val="106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一、项目基本情况：</w:t>
      </w:r>
      <w:r>
        <w:rPr>
          <w:rFonts w:hint="eastAsia" w:ascii="宋体" w:hAnsi="宋体" w:cs="宋体"/>
          <w:color w:val="000000"/>
          <w:sz w:val="24"/>
          <w:highlight w:val="none"/>
        </w:rPr>
      </w:r>
      <w:r/>
    </w:p>
    <w:p>
      <w:pPr>
        <w:pStyle w:val="106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1、项目编号：</w:t>
      </w:r>
      <w:bookmarkStart w:id="64" w:name="OLE_LINK8"/>
      <w:r>
        <w:rPr>
          <w:rFonts w:hint="eastAsia" w:ascii="宋体" w:hAnsi="宋体" w:cs="宋体"/>
          <w:color w:val="000000"/>
          <w:sz w:val="24"/>
          <w:highlight w:val="none"/>
          <w:lang w:eastAsia="zh-CN"/>
        </w:rPr>
        <w:t xml:space="preserve">JSZC-320508-SZHT-K2026-0005</w:t>
      </w:r>
      <w:r>
        <w:rPr>
          <w:rFonts w:hint="eastAsia" w:ascii="宋体" w:hAnsi="宋体" w:cs="宋体"/>
          <w:color w:val="000000"/>
          <w:sz w:val="24"/>
          <w:highlight w:val="none"/>
        </w:rPr>
        <w:t xml:space="preserve"> </w:t>
      </w:r>
      <w:bookmarkEnd w:id="64"/>
      <w:r>
        <w:rPr>
          <w:rFonts w:hint="eastAsia" w:ascii="宋体" w:hAnsi="宋体" w:cs="宋体"/>
          <w:color w:val="000000"/>
          <w:sz w:val="24"/>
          <w:highlight w:val="none"/>
        </w:rPr>
      </w:r>
      <w:r/>
    </w:p>
    <w:p>
      <w:pPr>
        <w:pStyle w:val="106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2、项目名称：</w:t>
      </w:r>
      <w:bookmarkStart w:id="65" w:name="OLE_LINK7"/>
      <w:r>
        <w:rPr>
          <w:rFonts w:hint="eastAsia" w:ascii="宋体" w:hAnsi="宋体" w:cs="宋体"/>
          <w:color w:val="000000"/>
          <w:sz w:val="24"/>
          <w:highlight w:val="none"/>
        </w:rPr>
        <w:t xml:space="preserve">苏州市姑苏区残疾人辅助器具适配服务</w:t>
      </w:r>
      <w:r>
        <w:rPr>
          <w:rFonts w:hint="eastAsia" w:ascii="宋体" w:hAnsi="宋体" w:cs="宋体"/>
          <w:color w:val="000000"/>
          <w:sz w:val="24"/>
          <w:highlight w:val="none"/>
        </w:rPr>
      </w:r>
      <w:r/>
    </w:p>
    <w:p>
      <w:pPr>
        <w:pStyle w:val="1060"/>
        <w:ind w:firstLine="480"/>
        <w:jc w:val="left"/>
        <w:spacing w:line="360" w:lineRule="auto"/>
        <w:rPr>
          <w:rFonts w:hint="eastAsia" w:ascii="宋体" w:hAnsi="宋体" w:cs="宋体"/>
          <w:color w:val="000000"/>
          <w:sz w:val="24"/>
          <w:highlight w:val="none"/>
        </w:rPr>
      </w:pPr>
      <w:r/>
      <w:bookmarkEnd w:id="65"/>
      <w:r>
        <w:rPr>
          <w:rFonts w:hint="eastAsia" w:ascii="宋体" w:hAnsi="宋体" w:cs="宋体"/>
          <w:color w:val="000000"/>
          <w:sz w:val="24"/>
          <w:highlight w:val="none"/>
        </w:rPr>
        <w:t xml:space="preserve">3、采购方式：封闭式框架协议采购</w:t>
      </w:r>
      <w:r>
        <w:rPr>
          <w:rFonts w:hint="eastAsia" w:ascii="宋体" w:hAnsi="宋体" w:cs="宋体"/>
          <w:color w:val="000000"/>
          <w:sz w:val="24"/>
          <w:highlight w:val="none"/>
        </w:rPr>
      </w:r>
      <w:r/>
    </w:p>
    <w:p>
      <w:pPr>
        <w:pStyle w:val="106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4、预算总金额：人民币叁元（¥3.00元）</w:t>
      </w:r>
      <w:r>
        <w:rPr>
          <w:rFonts w:hint="eastAsia" w:ascii="宋体" w:hAnsi="宋体" w:cs="宋体"/>
          <w:color w:val="000000"/>
          <w:sz w:val="24"/>
          <w:highlight w:val="none"/>
        </w:rPr>
      </w:r>
      <w:r/>
    </w:p>
    <w:p>
      <w:pPr>
        <w:pStyle w:val="106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第一包：残疾人助听器适配服务；人民币壹元整（¥1.00元）</w:t>
      </w:r>
      <w:r>
        <w:rPr>
          <w:rFonts w:hint="eastAsia" w:ascii="宋体" w:hAnsi="宋体" w:cs="宋体"/>
          <w:color w:val="000000"/>
          <w:sz w:val="24"/>
          <w:highlight w:val="none"/>
        </w:rPr>
      </w:r>
      <w:r/>
    </w:p>
    <w:p>
      <w:pPr>
        <w:pStyle w:val="106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第二包：残疾人假肢矫形器适配服务；人民币壹元整（¥1.00元）</w:t>
      </w:r>
      <w:r>
        <w:rPr>
          <w:rFonts w:hint="eastAsia" w:ascii="宋体" w:hAnsi="宋体" w:cs="宋体"/>
          <w:color w:val="000000"/>
          <w:sz w:val="24"/>
          <w:highlight w:val="none"/>
        </w:rPr>
      </w:r>
      <w:r/>
    </w:p>
    <w:p>
      <w:pPr>
        <w:pStyle w:val="106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第三包：残疾人其他辅助器具适配服务；人民币壹元整（¥1.00元）</w:t>
      </w:r>
      <w:r>
        <w:rPr>
          <w:rFonts w:hint="eastAsia" w:ascii="宋体" w:hAnsi="宋体" w:cs="宋体"/>
          <w:color w:val="000000"/>
          <w:sz w:val="24"/>
          <w:highlight w:val="none"/>
        </w:rPr>
      </w:r>
      <w:r/>
    </w:p>
    <w:p>
      <w:pPr>
        <w:pStyle w:val="106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5、最高限价：人民币叁元（¥3.00元）</w:t>
      </w:r>
      <w:r>
        <w:rPr>
          <w:rFonts w:hint="eastAsia" w:ascii="宋体" w:hAnsi="宋体" w:cs="宋体"/>
          <w:color w:val="000000"/>
          <w:sz w:val="24"/>
          <w:highlight w:val="none"/>
        </w:rPr>
      </w:r>
      <w:r/>
    </w:p>
    <w:p>
      <w:pPr>
        <w:pStyle w:val="106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第一包：残疾人助听器适配服务；人民币壹元整（¥1.00元）</w:t>
      </w:r>
      <w:r>
        <w:rPr>
          <w:rFonts w:hint="eastAsia" w:ascii="宋体" w:hAnsi="宋体" w:cs="宋体"/>
          <w:color w:val="000000"/>
          <w:sz w:val="24"/>
          <w:highlight w:val="none"/>
        </w:rPr>
      </w:r>
      <w:r/>
    </w:p>
    <w:p>
      <w:pPr>
        <w:pStyle w:val="106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第二包：残疾人假肢矫形器适配服务；人民币壹元整（¥1.00元）</w:t>
      </w:r>
      <w:r>
        <w:rPr>
          <w:rFonts w:hint="eastAsia" w:ascii="宋体" w:hAnsi="宋体" w:cs="宋体"/>
          <w:color w:val="000000"/>
          <w:sz w:val="24"/>
          <w:highlight w:val="none"/>
        </w:rPr>
      </w:r>
      <w:r/>
    </w:p>
    <w:p>
      <w:pPr>
        <w:pStyle w:val="106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第三包：残疾人其他辅助器具适配服务；人民币壹元整（¥1.00元）</w:t>
      </w:r>
      <w:r>
        <w:rPr>
          <w:rFonts w:hint="eastAsia" w:ascii="宋体" w:hAnsi="宋体" w:cs="宋体"/>
          <w:color w:val="000000"/>
          <w:sz w:val="24"/>
          <w:highlight w:val="none"/>
        </w:rPr>
      </w:r>
      <w:r/>
    </w:p>
    <w:p>
      <w:pPr>
        <w:pStyle w:val="106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6、适用本次框架协议的采购人：苏州市姑苏区残疾人联合会。</w:t>
      </w:r>
      <w:r>
        <w:rPr>
          <w:rFonts w:hint="eastAsia" w:ascii="宋体" w:hAnsi="宋体" w:cs="宋体"/>
          <w:color w:val="000000"/>
          <w:sz w:val="24"/>
          <w:highlight w:val="none"/>
        </w:rPr>
      </w:r>
      <w:r/>
    </w:p>
    <w:p>
      <w:pPr>
        <w:pStyle w:val="106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适用本次框架协议的服务对象范围：苏州市姑苏区户籍的持证残疾人、18周岁以下残疾儿童（需国内三级以上专业医疗机构诊断证明及相关检查诊断材料）；在校残疾学生（需出具有效学生证和国内三级以上专业医疗机构诊断证明及相关检查诊断材料）。（若政策调整，需按照最新政策执行）；</w:t>
      </w:r>
      <w:r>
        <w:rPr>
          <w:rFonts w:hint="eastAsia" w:ascii="宋体" w:hAnsi="宋体" w:cs="宋体"/>
          <w:color w:val="000000"/>
          <w:sz w:val="24"/>
          <w:highlight w:val="none"/>
        </w:rPr>
      </w:r>
      <w:r/>
    </w:p>
    <w:p>
      <w:pPr>
        <w:pStyle w:val="106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8、采购需求：苏州市姑苏区残疾人辅助器具适配服务，共分三个分包：</w:t>
      </w:r>
      <w:r>
        <w:rPr>
          <w:rFonts w:hint="eastAsia" w:ascii="宋体" w:hAnsi="宋体" w:cs="宋体"/>
          <w:color w:val="000000"/>
          <w:sz w:val="24"/>
          <w:highlight w:val="none"/>
        </w:rPr>
      </w:r>
      <w:r/>
    </w:p>
    <w:p>
      <w:pPr>
        <w:pStyle w:val="106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第一包：残疾人助听器适配服务； </w:t>
      </w:r>
      <w:r>
        <w:rPr>
          <w:rFonts w:hint="eastAsia" w:ascii="宋体" w:hAnsi="宋体" w:cs="宋体"/>
          <w:color w:val="000000"/>
          <w:sz w:val="24"/>
          <w:highlight w:val="none"/>
        </w:rPr>
      </w:r>
      <w:r/>
    </w:p>
    <w:p>
      <w:pPr>
        <w:pStyle w:val="106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第二包：残疾人假肢矫形器适配服务；</w:t>
      </w:r>
      <w:r>
        <w:rPr>
          <w:rFonts w:hint="eastAsia" w:ascii="宋体" w:hAnsi="宋体" w:cs="宋体"/>
          <w:color w:val="000000"/>
          <w:sz w:val="24"/>
          <w:highlight w:val="none"/>
        </w:rPr>
      </w:r>
      <w:r/>
    </w:p>
    <w:p>
      <w:pPr>
        <w:pStyle w:val="106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第三包：残疾人其他辅助器具适配服务。</w:t>
      </w:r>
      <w:r>
        <w:rPr>
          <w:rFonts w:hint="eastAsia" w:ascii="宋体" w:hAnsi="宋体" w:cs="宋体"/>
          <w:color w:val="000000"/>
          <w:sz w:val="24"/>
          <w:highlight w:val="none"/>
        </w:rPr>
      </w:r>
      <w:r/>
    </w:p>
    <w:p>
      <w:pPr>
        <w:pStyle w:val="106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9、合同履行期限：</w:t>
      </w:r>
      <w:r>
        <w:rPr>
          <w:rFonts w:hint="eastAsia" w:ascii="宋体" w:hAnsi="宋体" w:cs="宋体"/>
          <w:color w:val="000000"/>
          <w:sz w:val="24"/>
          <w:highlight w:val="none"/>
        </w:rPr>
      </w:r>
      <w:r/>
    </w:p>
    <w:p>
      <w:pPr>
        <w:pStyle w:val="106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第一包：2026年11月1日起至2028年10月31日。</w:t>
      </w:r>
      <w:r>
        <w:rPr>
          <w:rFonts w:hint="eastAsia" w:ascii="宋体" w:hAnsi="宋体" w:cs="宋体"/>
          <w:color w:val="000000"/>
          <w:sz w:val="24"/>
          <w:highlight w:val="none"/>
        </w:rPr>
      </w:r>
      <w:r/>
    </w:p>
    <w:p>
      <w:pPr>
        <w:pStyle w:val="106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第二包：2027年2月1日起至2028年10月31日。</w:t>
      </w:r>
      <w:r>
        <w:rPr>
          <w:rFonts w:hint="eastAsia" w:ascii="宋体" w:hAnsi="宋体" w:cs="宋体"/>
          <w:color w:val="000000"/>
          <w:sz w:val="24"/>
          <w:highlight w:val="none"/>
        </w:rPr>
      </w:r>
      <w:r/>
    </w:p>
    <w:p>
      <w:pPr>
        <w:pStyle w:val="106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第三包：2026年11月1日起至2028年10月31日。       </w:t>
      </w:r>
      <w:r>
        <w:rPr>
          <w:rFonts w:hint="eastAsia" w:ascii="宋体" w:hAnsi="宋体" w:cs="宋体"/>
          <w:color w:val="000000"/>
          <w:sz w:val="24"/>
          <w:highlight w:val="none"/>
        </w:rPr>
      </w:r>
      <w:r/>
    </w:p>
    <w:p>
      <w:pPr>
        <w:pStyle w:val="1060"/>
        <w:ind w:firstLine="480"/>
        <w:jc w:val="left"/>
        <w:spacing w:line="360" w:lineRule="auto"/>
        <w:rPr>
          <w:rFonts w:hint="eastAsia" w:ascii="宋体" w:hAnsi="宋体" w:cs="宋体"/>
          <w:b/>
          <w:color w:val="000000"/>
          <w:sz w:val="24"/>
          <w:highlight w:val="none"/>
          <w:shd w:val="clear" w:color="auto" w:fill="ffffff"/>
          <w:lang w:bidi="ar"/>
        </w:rPr>
      </w:pPr>
      <w:r>
        <w:rPr>
          <w:rFonts w:hint="eastAsia" w:ascii="宋体" w:hAnsi="宋体" w:cs="宋体"/>
          <w:color w:val="000000"/>
          <w:sz w:val="24"/>
          <w:highlight w:val="none"/>
        </w:rPr>
        <w:t xml:space="preserve">10、本项目不接受联合体投标。</w:t>
      </w:r>
      <w:r>
        <w:rPr>
          <w:rFonts w:hint="eastAsia" w:ascii="宋体" w:hAnsi="宋体" w:cs="宋体"/>
          <w:b/>
          <w:color w:val="000000"/>
          <w:sz w:val="24"/>
          <w:highlight w:val="none"/>
          <w:shd w:val="clear" w:color="auto" w:fill="ffffff"/>
          <w:lang w:bidi="ar"/>
        </w:rPr>
      </w:r>
      <w:r/>
    </w:p>
    <w:p>
      <w:pPr>
        <w:pStyle w:val="106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二、供应商资质要求：</w:t>
      </w:r>
      <w:r>
        <w:rPr>
          <w:rFonts w:hint="eastAsia" w:ascii="宋体" w:hAnsi="宋体" w:cs="宋体"/>
          <w:color w:val="000000"/>
          <w:sz w:val="24"/>
          <w:highlight w:val="none"/>
        </w:rPr>
      </w:r>
      <w:r/>
    </w:p>
    <w:p>
      <w:pPr>
        <w:pStyle w:val="1128"/>
        <w:jc w:val="both"/>
        <w:spacing w:line="360" w:lineRule="auto"/>
        <w:rPr>
          <w:rFonts w:hint="eastAsia" w:ascii="宋体" w:hAnsi="宋体" w:cs="宋体"/>
          <w:color w:val="000000"/>
          <w:highlight w:val="none"/>
        </w:rPr>
      </w:pPr>
      <w:r>
        <w:rPr>
          <w:rFonts w:hint="eastAsia" w:ascii="宋体" w:hAnsi="宋体" w:cs="宋体"/>
          <w:color w:val="000000"/>
          <w:highlight w:val="none"/>
        </w:rPr>
        <w:t xml:space="preserve">1</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满足《中华人民共和国政府采购法》第二十二条规定；</w:t>
      </w:r>
      <w:r>
        <w:rPr>
          <w:rFonts w:hint="eastAsia" w:ascii="宋体" w:hAnsi="宋体" w:cs="宋体"/>
          <w:color w:val="000000"/>
          <w:highlight w:val="none"/>
        </w:rPr>
      </w:r>
      <w:r/>
    </w:p>
    <w:p>
      <w:pPr>
        <w:pStyle w:val="1128"/>
        <w:jc w:val="both"/>
        <w:spacing w:line="360" w:lineRule="auto"/>
        <w:rPr>
          <w:rFonts w:hint="eastAsia" w:ascii="宋体" w:hAnsi="宋体" w:cs="宋体"/>
          <w:color w:val="000000"/>
          <w:highlight w:val="none"/>
        </w:rPr>
      </w:pPr>
      <w:r>
        <w:rPr>
          <w:rFonts w:hint="eastAsia" w:ascii="宋体" w:hAnsi="宋体" w:cs="宋体"/>
          <w:color w:val="000000"/>
          <w:highlight w:val="none"/>
        </w:rPr>
        <w:t xml:space="preserve">（1）具有独立承担民事责任的能力； </w:t>
      </w:r>
      <w:r>
        <w:rPr>
          <w:rFonts w:hint="eastAsia" w:ascii="宋体" w:hAnsi="宋体" w:cs="宋体"/>
          <w:color w:val="000000"/>
          <w:highlight w:val="none"/>
        </w:rPr>
      </w:r>
      <w:r/>
    </w:p>
    <w:p>
      <w:pPr>
        <w:pStyle w:val="1128"/>
        <w:jc w:val="both"/>
        <w:spacing w:line="360" w:lineRule="auto"/>
        <w:rPr>
          <w:rFonts w:hint="eastAsia" w:ascii="宋体" w:hAnsi="宋体" w:cs="宋体"/>
          <w:color w:val="000000"/>
          <w:highlight w:val="none"/>
        </w:rPr>
      </w:pPr>
      <w:r>
        <w:rPr>
          <w:rFonts w:hint="eastAsia" w:ascii="宋体" w:hAnsi="宋体" w:cs="宋体"/>
          <w:color w:val="000000"/>
          <w:highlight w:val="none"/>
        </w:rPr>
        <w:t xml:space="preserve">（2）具有良好的商业信誉和健全的财务会计制度；</w:t>
      </w:r>
      <w:r>
        <w:rPr>
          <w:rFonts w:hint="eastAsia" w:ascii="宋体" w:hAnsi="宋体" w:cs="宋体"/>
          <w:color w:val="000000"/>
          <w:highlight w:val="none"/>
        </w:rPr>
      </w:r>
      <w:r/>
    </w:p>
    <w:p>
      <w:pPr>
        <w:pStyle w:val="1128"/>
        <w:jc w:val="both"/>
        <w:spacing w:line="360" w:lineRule="auto"/>
        <w:rPr>
          <w:rFonts w:hint="eastAsia" w:ascii="宋体" w:hAnsi="宋体" w:cs="宋体"/>
          <w:color w:val="000000"/>
          <w:highlight w:val="none"/>
        </w:rPr>
      </w:pPr>
      <w:r>
        <w:rPr>
          <w:rFonts w:hint="eastAsia" w:ascii="宋体" w:hAnsi="宋体" w:cs="宋体"/>
          <w:color w:val="000000"/>
          <w:highlight w:val="none"/>
        </w:rPr>
        <w:t xml:space="preserve">（3）具有履行合同所必需的设备和专业技术能力；</w:t>
      </w:r>
      <w:r>
        <w:rPr>
          <w:rFonts w:hint="eastAsia" w:ascii="宋体" w:hAnsi="宋体" w:cs="宋体"/>
          <w:color w:val="000000"/>
          <w:highlight w:val="none"/>
        </w:rPr>
      </w:r>
      <w:r/>
    </w:p>
    <w:p>
      <w:pPr>
        <w:pStyle w:val="1128"/>
        <w:jc w:val="both"/>
        <w:spacing w:line="360" w:lineRule="auto"/>
        <w:rPr>
          <w:rFonts w:hint="eastAsia" w:ascii="宋体" w:hAnsi="宋体" w:cs="宋体"/>
          <w:color w:val="000000"/>
          <w:highlight w:val="none"/>
        </w:rPr>
      </w:pPr>
      <w:r>
        <w:rPr>
          <w:rFonts w:hint="eastAsia" w:ascii="宋体" w:hAnsi="宋体" w:cs="宋体"/>
          <w:color w:val="000000"/>
          <w:highlight w:val="none"/>
        </w:rPr>
        <w:t xml:space="preserve">（4）有依法缴纳税收和社会保障资金的良好记录；</w:t>
      </w:r>
      <w:r>
        <w:rPr>
          <w:rFonts w:hint="eastAsia" w:ascii="宋体" w:hAnsi="宋体" w:cs="宋体"/>
          <w:color w:val="000000"/>
          <w:highlight w:val="none"/>
        </w:rPr>
      </w:r>
      <w:r/>
    </w:p>
    <w:p>
      <w:pPr>
        <w:pStyle w:val="1128"/>
        <w:jc w:val="both"/>
        <w:spacing w:line="360" w:lineRule="auto"/>
        <w:rPr>
          <w:rFonts w:hint="eastAsia" w:ascii="宋体" w:hAnsi="宋体" w:cs="宋体"/>
          <w:color w:val="000000"/>
          <w:highlight w:val="none"/>
        </w:rPr>
      </w:pPr>
      <w:r>
        <w:rPr>
          <w:rFonts w:hint="eastAsia" w:ascii="宋体" w:hAnsi="宋体" w:cs="宋体"/>
          <w:color w:val="000000"/>
          <w:highlight w:val="none"/>
        </w:rPr>
        <w:t xml:space="preserve">（5）参加政府采购活动前三年内，在经营活动中没有重大违法记录；</w:t>
      </w:r>
      <w:r>
        <w:rPr>
          <w:rFonts w:hint="eastAsia" w:ascii="宋体" w:hAnsi="宋体" w:cs="宋体"/>
          <w:color w:val="000000"/>
          <w:highlight w:val="none"/>
        </w:rPr>
      </w:r>
      <w:r/>
    </w:p>
    <w:p>
      <w:pPr>
        <w:pStyle w:val="1128"/>
        <w:jc w:val="both"/>
        <w:spacing w:line="360" w:lineRule="auto"/>
        <w:rPr>
          <w:rFonts w:hint="eastAsia" w:ascii="宋体" w:hAnsi="宋体" w:cs="宋体"/>
          <w:color w:val="000000"/>
          <w:highlight w:val="none"/>
        </w:rPr>
      </w:pPr>
      <w:r>
        <w:rPr>
          <w:rFonts w:hint="eastAsia" w:ascii="宋体" w:hAnsi="宋体" w:cs="宋体"/>
          <w:color w:val="000000"/>
          <w:highlight w:val="none"/>
        </w:rPr>
        <w:t xml:space="preserve">（6）法律、行政法规规定的其他条件。</w:t>
      </w:r>
      <w:r>
        <w:rPr>
          <w:rFonts w:hint="eastAsia" w:ascii="宋体" w:hAnsi="宋体" w:cs="宋体"/>
          <w:color w:val="000000"/>
          <w:highlight w:val="none"/>
        </w:rPr>
      </w:r>
      <w:r/>
    </w:p>
    <w:p>
      <w:pPr>
        <w:pStyle w:val="1128"/>
        <w:jc w:val="both"/>
        <w:spacing w:line="360" w:lineRule="auto"/>
        <w:rPr>
          <w:rFonts w:hint="eastAsia" w:ascii="宋体" w:hAnsi="宋体" w:cs="宋体"/>
          <w:color w:val="000000"/>
          <w:highlight w:val="none"/>
        </w:rPr>
      </w:pPr>
      <w:r>
        <w:rPr>
          <w:rFonts w:hint="eastAsia" w:ascii="宋体" w:hAnsi="宋体" w:cs="宋体"/>
          <w:color w:val="000000"/>
          <w:highlight w:val="none"/>
        </w:rPr>
        <w:t xml:space="preserve">2、落实政府采购政策需满足的资格要求：无。</w:t>
      </w:r>
      <w:r>
        <w:rPr>
          <w:rFonts w:hint="eastAsia" w:ascii="宋体" w:hAnsi="宋体" w:cs="宋体"/>
          <w:color w:val="000000"/>
          <w:highlight w:val="none"/>
        </w:rPr>
      </w:r>
      <w:r/>
    </w:p>
    <w:p>
      <w:pPr>
        <w:pStyle w:val="1128"/>
        <w:jc w:val="both"/>
        <w:spacing w:line="360" w:lineRule="auto"/>
        <w:rPr>
          <w:rFonts w:hint="eastAsia" w:ascii="宋体" w:hAnsi="宋体" w:cs="宋体"/>
          <w:color w:val="000000"/>
          <w:highlight w:val="none"/>
        </w:rPr>
      </w:pPr>
      <w:r>
        <w:rPr>
          <w:rFonts w:hint="eastAsia" w:ascii="宋体" w:hAnsi="宋体" w:cs="宋体"/>
          <w:color w:val="000000"/>
          <w:highlight w:val="none"/>
        </w:rPr>
        <w:t xml:space="preserve">3、本项目的特定资格要求：</w:t>
      </w:r>
      <w:r>
        <w:rPr>
          <w:rFonts w:hint="eastAsia" w:ascii="宋体" w:hAnsi="宋体" w:cs="宋体"/>
          <w:color w:val="000000"/>
          <w:highlight w:val="none"/>
        </w:rPr>
      </w:r>
      <w:r/>
    </w:p>
    <w:p>
      <w:pPr>
        <w:pStyle w:val="1128"/>
        <w:jc w:val="both"/>
        <w:spacing w:line="360" w:lineRule="auto"/>
        <w:rPr>
          <w:rFonts w:hint="eastAsia" w:ascii="宋体" w:hAnsi="宋体" w:cs="宋体"/>
          <w:color w:val="000000"/>
          <w:highlight w:val="none"/>
        </w:rPr>
      </w:pPr>
      <w:r>
        <w:rPr>
          <w:rFonts w:hint="eastAsia" w:ascii="宋体" w:hAnsi="宋体" w:cs="宋体"/>
          <w:color w:val="000000"/>
          <w:highlight w:val="none"/>
        </w:rPr>
        <w:t xml:space="preserve">（1）第一包投标供应商须具有第二类医疗器械经营备案。</w:t>
      </w:r>
      <w:r>
        <w:rPr>
          <w:rFonts w:hint="eastAsia" w:ascii="宋体" w:hAnsi="宋体" w:cs="宋体"/>
          <w:color w:val="000000"/>
          <w:highlight w:val="none"/>
        </w:rPr>
      </w:r>
      <w:r/>
    </w:p>
    <w:p>
      <w:pPr>
        <w:pStyle w:val="1128"/>
        <w:jc w:val="both"/>
        <w:spacing w:line="360" w:lineRule="auto"/>
        <w:rPr>
          <w:rFonts w:hint="eastAsia" w:ascii="宋体" w:hAnsi="宋体" w:cs="宋体"/>
          <w:color w:val="000000"/>
          <w:highlight w:val="none"/>
          <w:lang w:val="en-US" w:eastAsia="zh-CN"/>
        </w:rPr>
      </w:pPr>
      <w:r>
        <w:rPr>
          <w:rFonts w:hint="eastAsia" w:ascii="宋体" w:hAnsi="宋体" w:cs="宋体"/>
          <w:color w:val="000000"/>
          <w:highlight w:val="none"/>
        </w:rPr>
        <w:t xml:space="preserve">（2）供应商提供该</w:t>
      </w:r>
      <w:r>
        <w:rPr>
          <w:rFonts w:hint="eastAsia" w:ascii="宋体" w:hAnsi="宋体" w:cs="宋体"/>
          <w:color w:val="000000"/>
          <w:highlight w:val="none"/>
          <w:lang w:eastAsia="zh-CN"/>
        </w:rPr>
        <w:t xml:space="preserve">分包</w:t>
      </w:r>
      <w:r>
        <w:rPr>
          <w:rFonts w:hint="eastAsia" w:ascii="宋体" w:hAnsi="宋体" w:cs="宋体"/>
          <w:color w:val="000000"/>
          <w:highlight w:val="none"/>
        </w:rPr>
        <w:t xml:space="preserve">所需服务的场所取得经营许可和消防合格证书</w:t>
      </w:r>
      <w:r>
        <w:rPr>
          <w:rFonts w:hint="eastAsia" w:ascii="宋体" w:hAnsi="宋体" w:cs="宋体"/>
          <w:color w:val="000000"/>
          <w:highlight w:val="none"/>
          <w:lang w:val="en-US" w:eastAsia="zh-CN"/>
        </w:rPr>
        <w:t xml:space="preserve">。若供应商存在多处经营场地的，投标时明确填报为本项目服务的指定场地；履约期间所有服务仅限在投标填报场地实施，未经采购单位书面批准，不得私自变更服务场地。</w:t>
      </w:r>
      <w:r>
        <w:rPr>
          <w:rFonts w:hint="eastAsia" w:ascii="宋体" w:hAnsi="宋体" w:cs="宋体"/>
          <w:color w:val="000000"/>
          <w:highlight w:val="none"/>
          <w:lang w:val="en-US" w:eastAsia="zh-CN"/>
        </w:rPr>
      </w:r>
      <w:r/>
    </w:p>
    <w:p>
      <w:pPr>
        <w:pStyle w:val="1128"/>
        <w:jc w:val="both"/>
        <w:spacing w:line="360" w:lineRule="auto"/>
        <w:rPr>
          <w:rFonts w:hint="eastAsia" w:ascii="宋体" w:hAnsi="宋体" w:cs="宋体"/>
          <w:color w:val="000000"/>
          <w:highlight w:val="none"/>
          <w:lang w:val="en-US" w:eastAsia="zh-CN"/>
        </w:rPr>
      </w:pPr>
      <w:r>
        <w:rPr>
          <w:rFonts w:hint="eastAsia" w:ascii="宋体" w:hAnsi="宋体" w:cs="宋体"/>
          <w:color w:val="000000"/>
          <w:highlight w:val="none"/>
          <w:lang w:val="en-US" w:eastAsia="zh-CN"/>
        </w:rPr>
        <w:t xml:space="preserve">（3）单位负责人为同一人或者存在直接控股、管理关系的不同供应商，不得参加同一合同项下的政府采购活动。</w:t>
      </w:r>
      <w:r>
        <w:rPr>
          <w:rFonts w:hint="eastAsia" w:ascii="宋体" w:hAnsi="宋体" w:cs="宋体"/>
          <w:color w:val="000000"/>
          <w:highlight w:val="none"/>
          <w:lang w:val="en-US" w:eastAsia="zh-CN"/>
        </w:rPr>
      </w:r>
      <w:r/>
    </w:p>
    <w:p>
      <w:pPr>
        <w:pStyle w:val="1128"/>
        <w:jc w:val="both"/>
        <w:spacing w:line="360" w:lineRule="auto"/>
        <w:rPr>
          <w:rFonts w:hint="eastAsia" w:ascii="宋体" w:hAnsi="宋体" w:cs="宋体"/>
          <w:color w:val="000000"/>
          <w:highlight w:val="none"/>
          <w:lang w:val="en-US" w:eastAsia="zh-CN"/>
        </w:rPr>
      </w:pPr>
      <w:r>
        <w:rPr>
          <w:rFonts w:hint="eastAsia" w:ascii="宋体" w:hAnsi="宋体" w:cs="宋体"/>
          <w:color w:val="000000"/>
          <w:highlight w:val="none"/>
          <w:lang w:val="en-US" w:eastAsia="zh-CN"/>
        </w:rPr>
        <w:t xml:space="preserve">（4）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cs="宋体"/>
          <w:color w:val="000000"/>
          <w:highlight w:val="none"/>
          <w:lang w:val="en-US" w:eastAsia="zh-CN"/>
        </w:rPr>
      </w:r>
      <w:r/>
    </w:p>
    <w:p>
      <w:pPr>
        <w:pStyle w:val="1128"/>
        <w:jc w:val="both"/>
        <w:spacing w:line="360" w:lineRule="auto"/>
        <w:rPr>
          <w:rFonts w:hint="eastAsia" w:ascii="宋体" w:hAnsi="宋体" w:cs="宋体"/>
          <w:color w:val="000000"/>
          <w:highlight w:val="none"/>
          <w:lang w:val="en-US" w:eastAsia="zh-CN"/>
        </w:rPr>
      </w:pPr>
      <w:r>
        <w:rPr>
          <w:rFonts w:hint="eastAsia" w:ascii="宋体" w:hAnsi="宋体" w:cs="宋体"/>
          <w:color w:val="000000"/>
          <w:highlight w:val="none"/>
          <w:lang w:val="en-US" w:eastAsia="zh-CN"/>
        </w:rPr>
        <w:t xml:space="preserve">三、获取征集文件：</w:t>
      </w:r>
      <w:r>
        <w:rPr>
          <w:rFonts w:hint="eastAsia" w:ascii="宋体" w:hAnsi="宋体" w:cs="宋体"/>
          <w:color w:val="000000"/>
          <w:highlight w:val="none"/>
          <w:lang w:val="en-US" w:eastAsia="zh-CN"/>
        </w:rPr>
      </w:r>
      <w:r/>
    </w:p>
    <w:p>
      <w:pPr>
        <w:pStyle w:val="1128"/>
        <w:jc w:val="both"/>
        <w:spacing w:line="360" w:lineRule="auto"/>
        <w:rPr>
          <w:rFonts w:hint="eastAsia" w:ascii="宋体" w:hAnsi="宋体" w:cs="宋体"/>
          <w:color w:val="000000"/>
          <w:highlight w:val="none"/>
          <w:lang w:val="en-US" w:eastAsia="zh-CN"/>
        </w:rPr>
      </w:pPr>
      <w:r>
        <w:rPr>
          <w:rFonts w:hint="eastAsia" w:ascii="宋体" w:hAnsi="宋体" w:cs="宋体"/>
          <w:color w:val="000000"/>
          <w:highlight w:val="none"/>
          <w:lang w:val="en-US" w:eastAsia="zh-CN"/>
        </w:rPr>
        <w:t xml:space="preserve">1、获取时间：自征集公告发布之日起至2026年 9 月 2  日，每天上午00:00-12:00，下午12:00-23:59（北京时间，法定节假日除外）。</w:t>
      </w:r>
      <w:r>
        <w:rPr>
          <w:rFonts w:hint="eastAsia" w:ascii="宋体" w:hAnsi="宋体" w:cs="宋体"/>
          <w:color w:val="000000"/>
          <w:highlight w:val="none"/>
          <w:lang w:val="en-US" w:eastAsia="zh-CN"/>
        </w:rPr>
      </w:r>
      <w:r/>
    </w:p>
    <w:p>
      <w:pPr>
        <w:pStyle w:val="1128"/>
        <w:jc w:val="both"/>
        <w:spacing w:line="360" w:lineRule="auto"/>
        <w:rPr>
          <w:rFonts w:hint="eastAsia" w:ascii="宋体" w:hAnsi="宋体" w:cs="宋体"/>
          <w:color w:val="000000"/>
          <w:highlight w:val="none"/>
          <w:lang w:val="en-US" w:eastAsia="zh-CN"/>
        </w:rPr>
      </w:pPr>
      <w:r>
        <w:rPr>
          <w:rFonts w:hint="eastAsia" w:ascii="宋体" w:hAnsi="宋体" w:cs="宋体"/>
          <w:color w:val="000000"/>
          <w:highlight w:val="none"/>
          <w:lang w:val="en-US" w:eastAsia="zh-CN"/>
        </w:rPr>
        <w:t xml:space="preserve">2、地点：“苏采云”系统自行报名并下载征集文件。</w:t>
      </w:r>
      <w:r>
        <w:rPr>
          <w:rFonts w:hint="eastAsia" w:ascii="宋体" w:hAnsi="宋体" w:cs="宋体"/>
          <w:color w:val="000000"/>
          <w:highlight w:val="none"/>
          <w:lang w:val="en-US" w:eastAsia="zh-CN"/>
        </w:rPr>
      </w:r>
      <w:r/>
    </w:p>
    <w:p>
      <w:pPr>
        <w:pStyle w:val="1128"/>
        <w:jc w:val="both"/>
        <w:spacing w:line="360" w:lineRule="auto"/>
        <w:rPr>
          <w:rFonts w:hint="eastAsia" w:ascii="宋体" w:hAnsi="宋体" w:cs="宋体"/>
          <w:color w:val="000000"/>
          <w:highlight w:val="none"/>
          <w:lang w:val="en-US" w:eastAsia="zh-CN"/>
        </w:rPr>
      </w:pPr>
      <w:r>
        <w:rPr>
          <w:rFonts w:hint="eastAsia" w:ascii="宋体" w:hAnsi="宋体" w:cs="宋体"/>
          <w:color w:val="000000"/>
          <w:highlight w:val="none"/>
          <w:lang w:val="en-US" w:eastAsia="zh-CN"/>
        </w:rPr>
        <w:t xml:space="preserve">四、提交响应文件截止时间、开标时间和地点：</w:t>
      </w:r>
      <w:r>
        <w:rPr>
          <w:rFonts w:hint="eastAsia" w:ascii="宋体" w:hAnsi="宋体" w:cs="宋体"/>
          <w:color w:val="000000"/>
          <w:highlight w:val="none"/>
          <w:lang w:val="en-US" w:eastAsia="zh-CN"/>
        </w:rPr>
      </w:r>
      <w:r/>
    </w:p>
    <w:p>
      <w:pPr>
        <w:pStyle w:val="1128"/>
        <w:jc w:val="both"/>
        <w:spacing w:line="360" w:lineRule="auto"/>
        <w:rPr>
          <w:rFonts w:hint="eastAsia" w:ascii="宋体" w:hAnsi="宋体" w:cs="宋体"/>
          <w:color w:val="000000"/>
          <w:highlight w:val="none"/>
          <w:lang w:val="en-US" w:eastAsia="zh-CN"/>
        </w:rPr>
      </w:pPr>
      <w:r>
        <w:rPr>
          <w:rFonts w:hint="eastAsia" w:ascii="宋体" w:hAnsi="宋体" w:cs="宋体"/>
          <w:color w:val="000000"/>
          <w:highlight w:val="none"/>
          <w:lang w:val="en-US" w:eastAsia="zh-CN"/>
        </w:rPr>
        <w:t xml:space="preserve">1、时间：2026年  9  月  16 日13:30（北京时间）</w:t>
      </w:r>
      <w:r>
        <w:rPr>
          <w:rFonts w:hint="eastAsia" w:ascii="宋体" w:hAnsi="宋体" w:cs="宋体"/>
          <w:color w:val="000000"/>
          <w:highlight w:val="none"/>
          <w:lang w:val="en-US" w:eastAsia="zh-CN"/>
        </w:rPr>
      </w:r>
      <w:r/>
    </w:p>
    <w:p>
      <w:pPr>
        <w:pStyle w:val="1128"/>
        <w:jc w:val="both"/>
        <w:spacing w:line="360" w:lineRule="auto"/>
        <w:rPr>
          <w:rFonts w:hint="eastAsia" w:ascii="宋体" w:hAnsi="宋体" w:cs="宋体"/>
          <w:color w:val="000000"/>
          <w:highlight w:val="none"/>
          <w:lang w:val="en-US" w:eastAsia="zh-CN"/>
        </w:rPr>
      </w:pPr>
      <w:r>
        <w:rPr>
          <w:rFonts w:hint="eastAsia" w:ascii="宋体" w:hAnsi="宋体" w:cs="宋体"/>
          <w:color w:val="000000"/>
          <w:highlight w:val="none"/>
          <w:lang w:val="en-US" w:eastAsia="zh-CN"/>
        </w:rPr>
        <w:t xml:space="preserve">2、地点：“苏采云”系统（网址：</w:t>
      </w:r>
      <w:r>
        <w:rPr>
          <w:rFonts w:ascii="宋体" w:hAnsi="宋体" w:cs="宋体"/>
          <w:color w:val="000000"/>
          <w:highlight w:val="none"/>
        </w:rPr>
        <w:t xml:space="preserve">https://jszfcg.jsczt.cn</w:t>
      </w:r>
      <w:r>
        <w:rPr>
          <w:rFonts w:hint="eastAsia" w:ascii="宋体" w:hAnsi="宋体" w:cs="宋体"/>
          <w:color w:val="000000"/>
          <w:highlight w:val="none"/>
          <w:lang w:val="en-US" w:eastAsia="zh-CN"/>
        </w:rPr>
        <w:t xml:space="preserve">）</w:t>
      </w:r>
      <w:r>
        <w:rPr>
          <w:rFonts w:hint="eastAsia" w:ascii="宋体" w:hAnsi="宋体" w:cs="宋体"/>
          <w:color w:val="000000"/>
          <w:highlight w:val="none"/>
          <w:lang w:val="en-US" w:eastAsia="zh-CN"/>
        </w:rPr>
      </w:r>
      <w:r/>
    </w:p>
    <w:p>
      <w:pPr>
        <w:pStyle w:val="1128"/>
        <w:jc w:val="both"/>
        <w:spacing w:line="360" w:lineRule="auto"/>
        <w:rPr>
          <w:rFonts w:hint="eastAsia" w:ascii="宋体" w:hAnsi="宋体" w:cs="宋体"/>
          <w:color w:val="000000"/>
          <w:highlight w:val="none"/>
          <w:lang w:val="en-US" w:eastAsia="zh-CN"/>
        </w:rPr>
      </w:pPr>
      <w:r>
        <w:rPr>
          <w:rFonts w:hint="eastAsia" w:ascii="宋体" w:hAnsi="宋体" w:cs="宋体"/>
          <w:color w:val="000000"/>
          <w:highlight w:val="none"/>
          <w:lang w:val="en-US" w:eastAsia="zh-CN"/>
        </w:rPr>
        <w:t xml:space="preserve">五、公告期限：</w:t>
      </w:r>
      <w:r>
        <w:rPr>
          <w:rFonts w:hint="eastAsia" w:ascii="宋体" w:hAnsi="宋体" w:cs="宋体"/>
          <w:color w:val="000000"/>
          <w:highlight w:val="none"/>
          <w:lang w:val="en-US" w:eastAsia="zh-CN"/>
        </w:rPr>
      </w:r>
      <w:r/>
    </w:p>
    <w:p>
      <w:pPr>
        <w:pStyle w:val="1128"/>
        <w:jc w:val="both"/>
        <w:spacing w:line="360" w:lineRule="auto"/>
        <w:rPr>
          <w:rFonts w:hint="eastAsia" w:ascii="宋体" w:hAnsi="宋体" w:cs="宋体"/>
          <w:color w:val="000000"/>
          <w:highlight w:val="none"/>
          <w:lang w:val="en-US" w:eastAsia="zh-CN"/>
        </w:rPr>
      </w:pPr>
      <w:r>
        <w:rPr>
          <w:rFonts w:hint="eastAsia" w:ascii="宋体" w:hAnsi="宋体" w:cs="宋体"/>
          <w:color w:val="000000"/>
          <w:highlight w:val="none"/>
          <w:lang w:val="en-US" w:eastAsia="zh-CN"/>
        </w:rPr>
        <w:t xml:space="preserve">自本公告发布之日起5个工作日。</w:t>
      </w:r>
      <w:r>
        <w:rPr>
          <w:rFonts w:hint="eastAsia" w:ascii="宋体" w:hAnsi="宋体" w:cs="宋体"/>
          <w:color w:val="000000"/>
          <w:highlight w:val="none"/>
          <w:lang w:val="en-US" w:eastAsia="zh-CN"/>
        </w:rPr>
      </w:r>
      <w:r/>
    </w:p>
    <w:p>
      <w:pPr>
        <w:pStyle w:val="1128"/>
        <w:jc w:val="both"/>
        <w:spacing w:line="360" w:lineRule="auto"/>
        <w:rPr>
          <w:rFonts w:hint="eastAsia" w:ascii="宋体" w:hAnsi="宋体" w:cs="宋体"/>
          <w:color w:val="000000"/>
          <w:highlight w:val="none"/>
          <w:lang w:val="en-US" w:eastAsia="zh-CN"/>
        </w:rPr>
      </w:pPr>
      <w:r>
        <w:rPr>
          <w:rFonts w:hint="eastAsia" w:ascii="宋体" w:hAnsi="宋体" w:cs="宋体"/>
          <w:color w:val="000000"/>
          <w:highlight w:val="none"/>
          <w:lang w:val="en-US" w:eastAsia="zh-CN"/>
        </w:rPr>
        <w:t xml:space="preserve">六、其他补充事宜</w:t>
      </w:r>
      <w:r>
        <w:rPr>
          <w:rFonts w:hint="eastAsia" w:ascii="宋体" w:hAnsi="宋体" w:cs="宋体"/>
          <w:color w:val="000000"/>
          <w:highlight w:val="none"/>
          <w:lang w:val="en-US" w:eastAsia="zh-CN"/>
        </w:rPr>
      </w:r>
      <w:r/>
    </w:p>
    <w:p>
      <w:pPr>
        <w:pStyle w:val="1128"/>
        <w:jc w:val="both"/>
        <w:spacing w:line="360" w:lineRule="auto"/>
        <w:rPr>
          <w:rFonts w:hint="eastAsia" w:ascii="宋体" w:hAnsi="宋体" w:cs="宋体"/>
          <w:color w:val="000000"/>
          <w:highlight w:val="none"/>
          <w:lang w:val="en-US" w:eastAsia="zh-CN"/>
        </w:rPr>
      </w:pPr>
      <w:r>
        <w:rPr>
          <w:rFonts w:hint="eastAsia" w:ascii="宋体" w:hAnsi="宋体" w:cs="宋体"/>
          <w:color w:val="000000"/>
          <w:highlight w:val="none"/>
          <w:lang w:val="en-US" w:eastAsia="zh-CN"/>
        </w:rPr>
        <w:t xml:space="preserve">1、征集文件获取流程：网上报名获取 </w:t>
      </w:r>
      <w:r>
        <w:rPr>
          <w:rFonts w:hint="eastAsia" w:ascii="宋体" w:hAnsi="宋体" w:cs="宋体"/>
          <w:color w:val="000000"/>
          <w:highlight w:val="none"/>
          <w:lang w:val="en-US" w:eastAsia="zh-CN"/>
        </w:rPr>
      </w:r>
      <w:r/>
    </w:p>
    <w:p>
      <w:pPr>
        <w:pStyle w:val="1128"/>
        <w:jc w:val="both"/>
        <w:spacing w:line="360" w:lineRule="auto"/>
        <w:rPr>
          <w:rFonts w:hint="eastAsia" w:ascii="宋体" w:hAnsi="宋体" w:cs="宋体"/>
          <w:color w:val="000000"/>
          <w:highlight w:val="none"/>
          <w:lang w:val="en-US" w:eastAsia="zh-CN"/>
        </w:rPr>
      </w:pPr>
      <w:r>
        <w:rPr>
          <w:rFonts w:hint="eastAsia" w:ascii="宋体" w:hAnsi="宋体" w:cs="宋体"/>
          <w:color w:val="000000"/>
          <w:highlight w:val="none"/>
          <w:lang w:val="en-US" w:eastAsia="zh-CN"/>
        </w:rPr>
        <w:t xml:space="preserve">（1）申领CA证书 </w:t>
      </w:r>
      <w:r>
        <w:rPr>
          <w:rFonts w:hint="eastAsia" w:ascii="宋体" w:hAnsi="宋体" w:cs="宋体"/>
          <w:color w:val="000000"/>
          <w:highlight w:val="none"/>
          <w:lang w:val="en-US" w:eastAsia="zh-CN"/>
        </w:rPr>
      </w:r>
      <w:r/>
    </w:p>
    <w:p>
      <w:pPr>
        <w:pStyle w:val="1128"/>
        <w:jc w:val="both"/>
        <w:spacing w:line="360" w:lineRule="auto"/>
        <w:rPr>
          <w:rFonts w:hint="eastAsia" w:ascii="宋体" w:hAnsi="宋体" w:cs="宋体"/>
          <w:color w:val="000000"/>
          <w:highlight w:val="none"/>
          <w:lang w:val="en-US" w:eastAsia="zh-CN"/>
        </w:rPr>
      </w:pPr>
      <w:r>
        <w:rPr>
          <w:rFonts w:hint="eastAsia" w:ascii="宋体" w:hAnsi="宋体" w:cs="宋体"/>
          <w:color w:val="000000"/>
          <w:highlight w:val="none"/>
          <w:lang w:val="en-US" w:eastAsia="zh-CN"/>
        </w:rPr>
        <w:t xml:space="preserve">供应商进入“江苏政府采购”官网首页-“苏采云”-进入“苏采云政府采购一体化平台”-点击“新CA办理指南”。详见《江苏省政府采购数字证书（供应商）数字证书CA及电子签章办理指南》。 </w:t>
      </w:r>
      <w:r>
        <w:rPr>
          <w:rFonts w:hint="eastAsia" w:ascii="宋体" w:hAnsi="宋体" w:cs="宋体"/>
          <w:color w:val="000000"/>
          <w:highlight w:val="none"/>
          <w:lang w:val="en-US" w:eastAsia="zh-CN"/>
        </w:rPr>
      </w:r>
      <w:r/>
    </w:p>
    <w:p>
      <w:pPr>
        <w:pStyle w:val="1128"/>
        <w:jc w:val="both"/>
        <w:spacing w:line="360" w:lineRule="auto"/>
        <w:rPr>
          <w:rFonts w:hint="eastAsia" w:ascii="宋体" w:hAnsi="宋体" w:cs="宋体"/>
          <w:color w:val="000000"/>
          <w:highlight w:val="none"/>
        </w:rPr>
      </w:pPr>
      <w:r>
        <w:rPr>
          <w:rFonts w:hint="eastAsia" w:ascii="宋体" w:hAnsi="宋体" w:cs="宋体"/>
          <w:color w:val="000000"/>
          <w:highlight w:val="none"/>
        </w:rPr>
        <w:t xml:space="preserve">（2）登录报名 </w:t>
      </w:r>
      <w:r>
        <w:rPr>
          <w:rFonts w:hint="eastAsia" w:ascii="宋体" w:hAnsi="宋体" w:cs="宋体"/>
          <w:color w:val="000000"/>
          <w:highlight w:val="none"/>
        </w:rPr>
      </w:r>
      <w:r/>
    </w:p>
    <w:p>
      <w:pPr>
        <w:pStyle w:val="1128"/>
        <w:jc w:val="both"/>
        <w:spacing w:line="360" w:lineRule="auto"/>
        <w:rPr>
          <w:rFonts w:hint="eastAsia" w:ascii="宋体" w:hAnsi="宋体" w:cs="宋体"/>
          <w:color w:val="000000"/>
          <w:highlight w:val="none"/>
        </w:rPr>
      </w:pPr>
      <w:r>
        <w:rPr>
          <w:rFonts w:hint="eastAsia" w:ascii="宋体" w:hAnsi="宋体" w:cs="宋体"/>
          <w:color w:val="000000"/>
          <w:highlight w:val="none"/>
        </w:rPr>
        <w:t xml:space="preserve">供应商进入“江苏政府采购”官网首页-点击“苏采云”-进入“苏采云政府采购一体化平台”-点击“供应商”。插入CA证书登录-点击“项目参与”-选择具体项目并点击“我要参与”-进入采购项目点击“参与投标”-填写确认函后“保存”进入签章页面-点击“电子签章”-点击“提交”。 </w:t>
      </w:r>
      <w:r>
        <w:rPr>
          <w:rFonts w:hint="eastAsia" w:ascii="宋体" w:hAnsi="宋体" w:cs="宋体"/>
          <w:color w:val="000000"/>
          <w:highlight w:val="none"/>
        </w:rPr>
      </w:r>
      <w:r/>
    </w:p>
    <w:p>
      <w:pPr>
        <w:pStyle w:val="1128"/>
        <w:jc w:val="both"/>
        <w:spacing w:line="360" w:lineRule="auto"/>
        <w:rPr>
          <w:rFonts w:hint="eastAsia" w:ascii="宋体" w:hAnsi="宋体" w:cs="宋体"/>
          <w:color w:val="000000"/>
          <w:highlight w:val="none"/>
        </w:rPr>
      </w:pPr>
      <w:r>
        <w:rPr>
          <w:rFonts w:hint="eastAsia" w:ascii="宋体" w:hAnsi="宋体" w:cs="宋体"/>
          <w:color w:val="000000"/>
          <w:highlight w:val="none"/>
        </w:rPr>
        <w:t xml:space="preserve">（3）获取采购文件方式</w:t>
      </w:r>
      <w:r>
        <w:rPr>
          <w:rFonts w:hint="eastAsia" w:ascii="宋体" w:hAnsi="宋体" w:cs="宋体"/>
          <w:color w:val="000000"/>
          <w:highlight w:val="none"/>
        </w:rPr>
      </w:r>
      <w:r/>
    </w:p>
    <w:p>
      <w:pPr>
        <w:pStyle w:val="1128"/>
        <w:jc w:val="both"/>
        <w:spacing w:line="360" w:lineRule="auto"/>
        <w:rPr>
          <w:rFonts w:hint="eastAsia" w:ascii="宋体" w:hAnsi="宋体" w:cs="宋体"/>
          <w:color w:val="000000"/>
          <w:highlight w:val="none"/>
        </w:rPr>
      </w:pPr>
      <w:r>
        <w:rPr>
          <w:rFonts w:hint="eastAsia" w:ascii="宋体" w:hAnsi="宋体" w:cs="宋体"/>
          <w:color w:val="000000"/>
          <w:highlight w:val="none"/>
        </w:rPr>
        <w:t xml:space="preserve">报名供应商确认报名后需自行从报名系统里面下载本项目采购文件，报名日期视同为依法获取采购文件日期。未依照采购公告要求实行网上报名的供应商，视为未参与该项政府采购活动，不具备对该政府采购项目提出质疑的法定权利，但因供应商资格条件或报名时间设定不符合有关法律法规规定等原因使供应商权益受损的除外。</w:t>
      </w:r>
      <w:r>
        <w:rPr>
          <w:rFonts w:hint="eastAsia" w:ascii="宋体" w:hAnsi="宋体" w:cs="宋体"/>
          <w:color w:val="000000"/>
          <w:highlight w:val="none"/>
        </w:rPr>
      </w:r>
      <w:r/>
    </w:p>
    <w:p>
      <w:pPr>
        <w:pStyle w:val="1128"/>
        <w:jc w:val="both"/>
        <w:spacing w:line="360" w:lineRule="auto"/>
        <w:rPr>
          <w:rFonts w:hint="eastAsia" w:ascii="宋体" w:hAnsi="宋体" w:cs="宋体"/>
          <w:color w:val="000000"/>
          <w:highlight w:val="none"/>
        </w:rPr>
      </w:pPr>
      <w:r>
        <w:rPr>
          <w:rFonts w:hint="eastAsia" w:ascii="宋体" w:hAnsi="宋体" w:cs="宋体"/>
          <w:color w:val="000000"/>
          <w:highlight w:val="none"/>
        </w:rPr>
        <w:t xml:space="preserve">（4）电子投标准备 </w:t>
      </w:r>
      <w:r>
        <w:rPr>
          <w:rFonts w:hint="eastAsia" w:ascii="宋体" w:hAnsi="宋体" w:cs="宋体"/>
          <w:color w:val="000000"/>
          <w:highlight w:val="none"/>
        </w:rPr>
      </w:r>
      <w:r/>
    </w:p>
    <w:p>
      <w:pPr>
        <w:pStyle w:val="1128"/>
        <w:jc w:val="both"/>
        <w:spacing w:line="360" w:lineRule="auto"/>
        <w:rPr>
          <w:rFonts w:hint="eastAsia" w:ascii="宋体" w:hAnsi="宋体" w:cs="宋体"/>
          <w:color w:val="000000"/>
          <w:highlight w:val="none"/>
        </w:rPr>
      </w:pPr>
      <w:r>
        <w:rPr>
          <w:rFonts w:hint="eastAsia" w:ascii="宋体" w:hAnsi="宋体" w:cs="宋体"/>
          <w:color w:val="000000"/>
          <w:highlight w:val="none"/>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 </w:t>
      </w:r>
      <w:r>
        <w:rPr>
          <w:rFonts w:hint="eastAsia" w:ascii="宋体" w:hAnsi="宋体" w:cs="宋体"/>
          <w:color w:val="000000"/>
          <w:highlight w:val="none"/>
        </w:rPr>
      </w:r>
      <w:r/>
    </w:p>
    <w:p>
      <w:pPr>
        <w:pStyle w:val="1128"/>
        <w:jc w:val="both"/>
        <w:spacing w:line="360" w:lineRule="auto"/>
        <w:rPr>
          <w:rFonts w:hint="eastAsia" w:ascii="宋体" w:hAnsi="宋体" w:cs="宋体"/>
          <w:color w:val="000000"/>
          <w:highlight w:val="none"/>
        </w:rPr>
      </w:pPr>
      <w:r>
        <w:rPr>
          <w:rFonts w:hint="eastAsia" w:ascii="宋体" w:hAnsi="宋体" w:cs="宋体"/>
          <w:color w:val="000000"/>
          <w:highlight w:val="none"/>
        </w:rPr>
        <w:t xml:space="preserve">（5）补充通知（如有）。成功获取响应文件的供应商通过“苏州市政府采购网”或“苏采云”系统自行查看所报项目的补充通知。 </w:t>
      </w:r>
      <w:r>
        <w:rPr>
          <w:rFonts w:hint="eastAsia" w:ascii="宋体" w:hAnsi="宋体" w:cs="宋体"/>
          <w:color w:val="000000"/>
          <w:highlight w:val="none"/>
        </w:rPr>
      </w:r>
      <w:r/>
    </w:p>
    <w:p>
      <w:pPr>
        <w:pStyle w:val="1128"/>
        <w:jc w:val="both"/>
        <w:spacing w:line="360" w:lineRule="auto"/>
        <w:rPr>
          <w:rFonts w:hint="eastAsia" w:ascii="宋体" w:hAnsi="宋体" w:cs="宋体"/>
          <w:color w:val="000000"/>
          <w:highlight w:val="none"/>
        </w:rPr>
      </w:pPr>
      <w:r>
        <w:rPr>
          <w:rFonts w:hint="eastAsia" w:ascii="宋体" w:hAnsi="宋体" w:cs="宋体"/>
          <w:color w:val="000000"/>
          <w:highlight w:val="none"/>
        </w:rPr>
        <w:t xml:space="preserve">（6）供应商参加</w:t>
      </w:r>
      <w:r>
        <w:rPr>
          <w:rFonts w:hint="eastAsia" w:ascii="宋体" w:hAnsi="宋体" w:cs="宋体"/>
          <w:color w:val="000000"/>
          <w:highlight w:val="none"/>
        </w:rPr>
        <w:t xml:space="preserve">开标（开启）会方式：供应商应准时登录“苏采云”系统在平台首页点击“开标大厅”，进入江苏省政府采购一体化不见面开标（采购）大厅，在今日项目列表，点击项目，进入不见面开标系统。网上远程参加开标，并完成解密和最后报价等程序。本项目为不见面开标项目，开标阶段供应商在【解密】环节必须使用CA证书解密电子投标（响应）文件，如在系统规定的解密时间内未能完成解密的视为放弃投标。如为多标段的项目，请仔细查看每个标段的操作情况。请供应商确保电脑、系统及其他设备（视频输入输出设备等）无误，且开标直至项目结束始终保持系统在线状态。</w:t>
      </w:r>
      <w:r>
        <w:rPr>
          <w:rFonts w:hint="eastAsia" w:ascii="宋体" w:hAnsi="宋体" w:cs="宋体"/>
          <w:color w:val="000000"/>
          <w:highlight w:val="none"/>
        </w:rPr>
      </w:r>
      <w:r/>
    </w:p>
    <w:p>
      <w:pPr>
        <w:pStyle w:val="1128"/>
        <w:jc w:val="both"/>
        <w:spacing w:line="360" w:lineRule="auto"/>
        <w:rPr>
          <w:rFonts w:hint="eastAsia" w:ascii="宋体" w:hAnsi="宋体" w:cs="宋体"/>
          <w:color w:val="000000"/>
          <w:highlight w:val="none"/>
        </w:rPr>
      </w:pPr>
      <w:r>
        <w:rPr>
          <w:rFonts w:hint="eastAsia" w:ascii="宋体" w:hAnsi="宋体" w:cs="宋体"/>
          <w:color w:val="000000"/>
          <w:highlight w:val="none"/>
        </w:rPr>
        <w:t xml:space="preserve">2、在网上报名或系统使用过程中如有疑问，请按以下方式联系： </w:t>
      </w:r>
      <w:r>
        <w:rPr>
          <w:rFonts w:hint="eastAsia" w:ascii="宋体" w:hAnsi="宋体" w:cs="宋体"/>
          <w:color w:val="000000"/>
          <w:highlight w:val="none"/>
        </w:rPr>
      </w:r>
      <w:r/>
    </w:p>
    <w:p>
      <w:pPr>
        <w:pStyle w:val="1128"/>
        <w:jc w:val="both"/>
        <w:spacing w:line="360" w:lineRule="auto"/>
        <w:rPr>
          <w:rFonts w:hint="eastAsia" w:ascii="宋体" w:hAnsi="宋体" w:cs="宋体"/>
          <w:color w:val="000000"/>
          <w:highlight w:val="none"/>
        </w:rPr>
      </w:pPr>
      <w:r>
        <w:rPr>
          <w:rFonts w:hint="eastAsia" w:ascii="宋体" w:hAnsi="宋体" w:cs="宋体"/>
          <w:color w:val="000000"/>
          <w:highlight w:val="none"/>
        </w:rPr>
        <w:t xml:space="preserve">注册咨询：13914088964；</w:t>
      </w:r>
      <w:r>
        <w:rPr>
          <w:rFonts w:hint="eastAsia" w:ascii="宋体" w:hAnsi="宋体" w:cs="宋体"/>
          <w:color w:val="000000"/>
          <w:highlight w:val="none"/>
        </w:rPr>
      </w:r>
      <w:r/>
    </w:p>
    <w:p>
      <w:pPr>
        <w:pStyle w:val="1128"/>
        <w:jc w:val="both"/>
        <w:spacing w:line="360" w:lineRule="auto"/>
        <w:rPr>
          <w:rFonts w:hint="eastAsia" w:ascii="宋体" w:hAnsi="宋体" w:cs="宋体"/>
          <w:color w:val="000000"/>
          <w:highlight w:val="none"/>
        </w:rPr>
      </w:pPr>
      <w:r>
        <w:rPr>
          <w:rFonts w:hint="eastAsia" w:ascii="宋体" w:hAnsi="宋体" w:cs="宋体"/>
          <w:color w:val="000000"/>
          <w:highlight w:val="none"/>
        </w:rPr>
        <w:t xml:space="preserve">CA技术咨询电话：400-608-6099；</w:t>
      </w:r>
      <w:r>
        <w:rPr>
          <w:rFonts w:hint="eastAsia" w:ascii="宋体" w:hAnsi="宋体" w:cs="宋体"/>
          <w:color w:val="000000"/>
          <w:highlight w:val="none"/>
        </w:rPr>
      </w:r>
      <w:r/>
    </w:p>
    <w:p>
      <w:pPr>
        <w:pStyle w:val="1128"/>
        <w:jc w:val="both"/>
        <w:spacing w:line="360" w:lineRule="auto"/>
        <w:rPr>
          <w:rFonts w:hint="eastAsia" w:ascii="宋体" w:hAnsi="宋体" w:cs="宋体"/>
          <w:color w:val="000000"/>
          <w:highlight w:val="none"/>
        </w:rPr>
      </w:pPr>
      <w:r>
        <w:rPr>
          <w:rFonts w:hint="eastAsia" w:ascii="宋体" w:hAnsi="宋体" w:cs="宋体"/>
          <w:color w:val="000000"/>
          <w:highlight w:val="none"/>
        </w:rPr>
        <w:t xml:space="preserve">签章使用问题：025-83633811、025-83633812、15380932027、15380932027、15371015030；</w:t>
      </w:r>
      <w:r>
        <w:rPr>
          <w:rFonts w:hint="eastAsia" w:ascii="宋体" w:hAnsi="宋体" w:cs="宋体"/>
          <w:color w:val="000000"/>
          <w:highlight w:val="none"/>
        </w:rPr>
      </w:r>
      <w:r/>
    </w:p>
    <w:p>
      <w:pPr>
        <w:pStyle w:val="1128"/>
        <w:jc w:val="both"/>
        <w:spacing w:line="360" w:lineRule="auto"/>
        <w:rPr>
          <w:rFonts w:hint="eastAsia" w:ascii="宋体" w:hAnsi="宋体" w:cs="宋体"/>
          <w:color w:val="000000"/>
          <w:highlight w:val="none"/>
        </w:rPr>
      </w:pPr>
      <w:r>
        <w:rPr>
          <w:rFonts w:hint="eastAsia" w:ascii="宋体" w:hAnsi="宋体" w:cs="宋体"/>
          <w:color w:val="000000"/>
          <w:highlight w:val="none"/>
        </w:rPr>
        <w:t xml:space="preserve">系统使用指导与咨询:联系电话:13914088964、0512-69820854;智能客服:登录苏采云系统后，联系系统右下方智能客服图标进行咨询。</w:t>
      </w:r>
      <w:r>
        <w:rPr>
          <w:rFonts w:hint="eastAsia" w:ascii="宋体" w:hAnsi="宋体" w:cs="宋体"/>
          <w:color w:val="000000"/>
          <w:highlight w:val="none"/>
        </w:rPr>
      </w:r>
      <w:r/>
    </w:p>
    <w:p>
      <w:pPr>
        <w:pStyle w:val="1128"/>
        <w:jc w:val="both"/>
        <w:spacing w:line="360" w:lineRule="auto"/>
        <w:rPr>
          <w:rFonts w:hint="eastAsia" w:ascii="宋体" w:hAnsi="宋体" w:cs="宋体"/>
          <w:color w:val="000000"/>
          <w:highlight w:val="none"/>
        </w:rPr>
      </w:pPr>
      <w:r>
        <w:rPr>
          <w:rFonts w:hint="eastAsia" w:ascii="宋体" w:hAnsi="宋体" w:cs="宋体"/>
          <w:color w:val="000000"/>
          <w:highlight w:val="none"/>
        </w:rPr>
        <w:t xml:space="preserve">3、本项目采用电子招投标形式，请供应商按照《苏采云系统供应商操作手册》（以下简称“操作手册”）进行制作、上传电子响应文件。电子响应文件制作完成后请于响应文件提交的截止时间前成功上传至“苏采云”系统，否则视为放弃参加该采购项目。供应商应充分考虑到网络环境、网络带宽等风险因素，如因供应商自身原因造成的电子响应文件上传不成功由供应商自行承担全部责任。</w:t>
      </w:r>
      <w:r>
        <w:rPr>
          <w:rFonts w:hint="eastAsia" w:ascii="宋体" w:hAnsi="宋体" w:cs="宋体"/>
          <w:color w:val="000000"/>
          <w:highlight w:val="none"/>
        </w:rPr>
      </w:r>
      <w:r/>
    </w:p>
    <w:p>
      <w:pPr>
        <w:pStyle w:val="1128"/>
        <w:jc w:val="both"/>
        <w:spacing w:line="360" w:lineRule="auto"/>
        <w:rPr>
          <w:rFonts w:hint="eastAsia" w:ascii="宋体" w:hAnsi="宋体" w:cs="宋体"/>
          <w:color w:val="000000"/>
          <w:highlight w:val="none"/>
        </w:rPr>
      </w:pPr>
      <w:r>
        <w:rPr>
          <w:rFonts w:hint="eastAsia" w:ascii="宋体" w:hAnsi="宋体" w:cs="宋体"/>
          <w:color w:val="000000"/>
          <w:highlight w:val="none"/>
        </w:rPr>
        <w:t xml:space="preserve">4、按《政府采购质疑和投诉办法》（中华人民共和国财政部令第94号）中相关规定提出，供应商应在法定质疑期内一次性提出针对同一采购程序环节的质疑，质疑函现场提交或邮寄至本公司。供应商打印、保留网上报名确认单，质疑时与质疑函一并提交。</w:t>
      </w:r>
      <w:r>
        <w:rPr>
          <w:rFonts w:hint="eastAsia" w:ascii="宋体" w:hAnsi="宋体" w:cs="宋体"/>
          <w:color w:val="000000"/>
          <w:highlight w:val="none"/>
        </w:rPr>
      </w:r>
      <w:r/>
    </w:p>
    <w:p>
      <w:pPr>
        <w:pStyle w:val="1128"/>
        <w:jc w:val="both"/>
        <w:spacing w:line="360" w:lineRule="auto"/>
        <w:rPr>
          <w:rFonts w:hint="eastAsia" w:ascii="宋体" w:hAnsi="宋体" w:cs="宋体"/>
          <w:color w:val="000000"/>
          <w:highlight w:val="none"/>
        </w:rPr>
      </w:pPr>
      <w:r>
        <w:rPr>
          <w:rFonts w:hint="eastAsia" w:ascii="宋体" w:hAnsi="宋体" w:cs="宋体"/>
          <w:color w:val="000000"/>
          <w:highlight w:val="none"/>
        </w:rPr>
        <w:t xml:space="preserve">供应商提出书面质疑必须有理、有据，不得恶意质疑或提交虚假质疑。否则，一经查实，采购人有权依据政府采购的有关规定，报请政府采购监管部门对该单位进行相应的行政处罚。</w:t>
      </w:r>
      <w:r>
        <w:rPr>
          <w:rFonts w:hint="eastAsia" w:ascii="宋体" w:hAnsi="宋体" w:cs="宋体"/>
          <w:color w:val="000000"/>
          <w:highlight w:val="none"/>
        </w:rPr>
      </w:r>
      <w:r/>
    </w:p>
    <w:p>
      <w:pPr>
        <w:pStyle w:val="1128"/>
        <w:jc w:val="both"/>
        <w:spacing w:line="360" w:lineRule="auto"/>
        <w:rPr>
          <w:rFonts w:hint="eastAsia" w:ascii="宋体" w:hAnsi="宋体" w:cs="宋体"/>
          <w:color w:val="000000"/>
          <w:highlight w:val="none"/>
        </w:rPr>
      </w:pPr>
      <w:r>
        <w:rPr>
          <w:rFonts w:hint="eastAsia" w:ascii="宋体" w:hAnsi="宋体" w:cs="宋体"/>
          <w:color w:val="000000"/>
          <w:highlight w:val="none"/>
        </w:rPr>
        <w:t xml:space="preserve">5、售价：无。</w:t>
      </w:r>
      <w:r>
        <w:rPr>
          <w:rFonts w:hint="eastAsia" w:ascii="宋体" w:hAnsi="宋体" w:cs="宋体"/>
          <w:color w:val="000000"/>
          <w:highlight w:val="none"/>
        </w:rPr>
      </w:r>
      <w:r/>
    </w:p>
    <w:p>
      <w:pPr>
        <w:pStyle w:val="1128"/>
        <w:jc w:val="both"/>
        <w:spacing w:line="360" w:lineRule="auto"/>
        <w:rPr>
          <w:rFonts w:hint="eastAsia" w:ascii="宋体" w:hAnsi="宋体" w:cs="宋体"/>
          <w:color w:val="000000"/>
          <w:highlight w:val="none"/>
          <w:lang w:val="en-US" w:eastAsia="zh-CN"/>
        </w:rPr>
      </w:pPr>
      <w:r>
        <w:rPr>
          <w:rFonts w:hint="eastAsia" w:ascii="宋体" w:hAnsi="宋体" w:cs="宋体"/>
          <w:color w:val="000000"/>
          <w:highlight w:val="none"/>
          <w:lang w:val="en-US" w:eastAsia="zh-CN"/>
        </w:rPr>
        <w:t xml:space="preserve">6、政府采购监管电话：0512-68728409。 </w:t>
      </w:r>
      <w:r>
        <w:rPr>
          <w:rFonts w:hint="eastAsia" w:ascii="宋体" w:hAnsi="宋体" w:cs="宋体"/>
          <w:color w:val="000000"/>
          <w:highlight w:val="none"/>
          <w:lang w:val="en-US" w:eastAsia="zh-CN"/>
        </w:rPr>
      </w:r>
      <w:r/>
    </w:p>
    <w:p>
      <w:pPr>
        <w:pStyle w:val="1128"/>
        <w:jc w:val="both"/>
        <w:spacing w:line="360" w:lineRule="auto"/>
        <w:rPr>
          <w:rFonts w:hint="eastAsia" w:ascii="宋体" w:hAnsi="宋体" w:cs="宋体"/>
          <w:color w:val="000000"/>
          <w:highlight w:val="none"/>
          <w:lang w:val="en-US" w:eastAsia="zh-CN"/>
        </w:rPr>
      </w:pPr>
      <w:r>
        <w:rPr>
          <w:rFonts w:hint="eastAsia" w:ascii="宋体" w:hAnsi="宋体" w:cs="宋体"/>
          <w:color w:val="000000"/>
          <w:highlight w:val="none"/>
          <w:lang w:val="en-US" w:eastAsia="zh-CN"/>
        </w:rPr>
        <w:t xml:space="preserve">7、本次采购的相关信息刊登在苏州市政府采购网、江苏政府采购网，成交公告亦是刊登在此媒体，敬请各供应商注意。</w:t>
      </w:r>
      <w:r>
        <w:rPr>
          <w:rFonts w:hint="eastAsia" w:ascii="宋体" w:hAnsi="宋体" w:cs="宋体"/>
          <w:color w:val="000000"/>
          <w:highlight w:val="none"/>
          <w:lang w:val="en-US" w:eastAsia="zh-CN"/>
        </w:rPr>
      </w:r>
      <w:r/>
    </w:p>
    <w:p>
      <w:pPr>
        <w:pStyle w:val="1128"/>
        <w:spacing w:line="360" w:lineRule="auto"/>
        <w:rPr>
          <w:rFonts w:hint="eastAsia" w:ascii="宋体" w:hAnsi="宋体" w:cs="宋体"/>
          <w:color w:val="000000"/>
          <w:highlight w:val="none"/>
        </w:rPr>
      </w:pPr>
      <w:r>
        <w:rPr>
          <w:rFonts w:hint="eastAsia" w:ascii="宋体" w:hAnsi="宋体" w:cs="宋体"/>
          <w:color w:val="000000"/>
          <w:highlight w:val="none"/>
          <w:lang w:eastAsia="zh-CN"/>
        </w:rPr>
        <w:t xml:space="preserve">八</w:t>
      </w:r>
      <w:r>
        <w:rPr>
          <w:rFonts w:hint="eastAsia" w:ascii="宋体" w:hAnsi="宋体" w:cs="宋体"/>
          <w:color w:val="000000"/>
          <w:highlight w:val="none"/>
        </w:rPr>
        <w:t xml:space="preserve">、对本次招标提出询问，请按以下方式联系。</w:t>
      </w:r>
      <w:r>
        <w:rPr>
          <w:rFonts w:hint="eastAsia" w:ascii="宋体" w:hAnsi="宋体" w:cs="宋体"/>
          <w:color w:val="000000"/>
          <w:highlight w:val="none"/>
        </w:rPr>
      </w:r>
      <w:r/>
    </w:p>
    <w:p>
      <w:pPr>
        <w:pStyle w:val="1128"/>
        <w:spacing w:line="360" w:lineRule="auto"/>
        <w:rPr>
          <w:rFonts w:hint="eastAsia" w:ascii="宋体" w:hAnsi="宋体" w:cs="宋体"/>
          <w:color w:val="000000"/>
          <w:highlight w:val="none"/>
        </w:rPr>
      </w:pPr>
      <w:r>
        <w:rPr>
          <w:rFonts w:hint="eastAsia" w:ascii="宋体" w:hAnsi="宋体" w:cs="宋体"/>
          <w:color w:val="000000"/>
          <w:highlight w:val="none"/>
        </w:rPr>
        <w:t xml:space="preserve">1</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采购人信息</w:t>
      </w:r>
      <w:r>
        <w:rPr>
          <w:rFonts w:hint="eastAsia" w:ascii="宋体" w:hAnsi="宋体" w:cs="宋体"/>
          <w:color w:val="000000"/>
          <w:highlight w:val="none"/>
        </w:rPr>
      </w:r>
      <w:r/>
    </w:p>
    <w:p>
      <w:pPr>
        <w:pStyle w:val="1128"/>
        <w:spacing w:line="360" w:lineRule="auto"/>
        <w:rPr>
          <w:rFonts w:hint="eastAsia" w:ascii="宋体" w:hAnsi="宋体" w:cs="宋体"/>
          <w:color w:val="000000"/>
          <w:highlight w:val="none"/>
          <w:lang w:eastAsia="zh-CN"/>
        </w:rPr>
      </w:pPr>
      <w:r>
        <w:rPr>
          <w:rFonts w:hint="eastAsia" w:ascii="宋体" w:hAnsi="宋体" w:cs="宋体"/>
          <w:color w:val="000000"/>
          <w:highlight w:val="none"/>
        </w:rPr>
        <w:t xml:space="preserve">名 称：</w:t>
      </w:r>
      <w:r>
        <w:rPr>
          <w:rFonts w:hint="eastAsia" w:ascii="宋体" w:hAnsi="宋体" w:cs="宋体"/>
          <w:color w:val="000000"/>
          <w:highlight w:val="none"/>
          <w:lang w:eastAsia="zh-CN"/>
        </w:rPr>
        <w:t xml:space="preserve">苏州市姑苏区残疾人联合会</w:t>
      </w:r>
      <w:r>
        <w:rPr>
          <w:rFonts w:hint="eastAsia" w:ascii="宋体" w:hAnsi="宋体" w:cs="宋体"/>
          <w:color w:val="000000"/>
          <w:highlight w:val="none"/>
          <w:lang w:eastAsia="zh-CN"/>
        </w:rPr>
      </w:r>
      <w:r/>
    </w:p>
    <w:p>
      <w:pPr>
        <w:pStyle w:val="1128"/>
        <w:spacing w:line="360" w:lineRule="auto"/>
        <w:rPr>
          <w:rFonts w:hint="eastAsia" w:ascii="宋体" w:hAnsi="宋体" w:cs="宋体"/>
          <w:color w:val="000000"/>
          <w:highlight w:val="none"/>
          <w:lang w:eastAsia="zh-CN"/>
        </w:rPr>
      </w:pPr>
      <w:r>
        <w:rPr>
          <w:rFonts w:hint="eastAsia" w:ascii="宋体" w:hAnsi="宋体" w:cs="宋体"/>
          <w:color w:val="000000"/>
          <w:highlight w:val="none"/>
        </w:rPr>
        <w:t xml:space="preserve">地 址：</w:t>
      </w:r>
      <w:bookmarkStart w:id="66" w:name="OLE_LINK5"/>
      <w:r>
        <w:rPr>
          <w:rFonts w:hint="eastAsia" w:ascii="宋体" w:hAnsi="宋体" w:cs="宋体"/>
          <w:color w:val="000000"/>
          <w:highlight w:val="none"/>
          <w:lang w:eastAsia="zh-CN"/>
        </w:rPr>
        <w:t xml:space="preserve">苏州市姑苏区平江街道白塔东路棋杆弄15号</w:t>
      </w:r>
      <w:r>
        <w:rPr>
          <w:rFonts w:hint="eastAsia" w:ascii="宋体" w:hAnsi="宋体" w:cs="宋体"/>
          <w:color w:val="000000"/>
          <w:highlight w:val="none"/>
          <w:lang w:eastAsia="zh-CN"/>
        </w:rPr>
      </w:r>
      <w:r/>
    </w:p>
    <w:p>
      <w:pPr>
        <w:pStyle w:val="1128"/>
        <w:spacing w:line="360" w:lineRule="auto"/>
        <w:rPr>
          <w:rFonts w:hint="eastAsia" w:ascii="宋体" w:hAnsi="宋体" w:cs="宋体"/>
          <w:color w:val="000000"/>
          <w:highlight w:val="none"/>
        </w:rPr>
      </w:pPr>
      <w:r/>
      <w:bookmarkEnd w:id="66"/>
      <w:r>
        <w:rPr>
          <w:rFonts w:hint="eastAsia" w:ascii="宋体" w:hAnsi="宋体" w:cs="宋体"/>
          <w:color w:val="000000"/>
          <w:highlight w:val="none"/>
        </w:rPr>
        <w:t xml:space="preserve">联系人：顾慧                      </w:t>
      </w:r>
      <w:r>
        <w:rPr>
          <w:rFonts w:hint="eastAsia" w:ascii="宋体" w:hAnsi="宋体" w:cs="宋体"/>
          <w:color w:val="000000"/>
          <w:highlight w:val="none"/>
        </w:rPr>
      </w:r>
      <w:r/>
    </w:p>
    <w:p>
      <w:pPr>
        <w:pStyle w:val="1128"/>
        <w:spacing w:line="360" w:lineRule="auto"/>
        <w:rPr>
          <w:rFonts w:hint="eastAsia" w:ascii="宋体" w:hAnsi="宋体" w:cs="宋体"/>
          <w:color w:val="000000"/>
          <w:highlight w:val="none"/>
          <w:lang w:eastAsia="zh-CN"/>
        </w:rPr>
      </w:pPr>
      <w:r>
        <w:rPr>
          <w:rFonts w:hint="eastAsia" w:ascii="宋体" w:hAnsi="宋体" w:cs="宋体"/>
          <w:color w:val="000000"/>
          <w:highlight w:val="none"/>
        </w:rPr>
        <w:t xml:space="preserve">联系电话：</w:t>
      </w:r>
      <w:r>
        <w:rPr>
          <w:rFonts w:hint="eastAsia" w:ascii="宋体" w:hAnsi="宋体" w:cs="宋体"/>
          <w:color w:val="000000"/>
          <w:highlight w:val="none"/>
          <w:lang w:eastAsia="zh-CN"/>
        </w:rPr>
        <w:t xml:space="preserve">0512-65723150</w:t>
      </w:r>
      <w:r>
        <w:rPr>
          <w:rFonts w:hint="eastAsia" w:ascii="宋体" w:hAnsi="宋体" w:cs="宋体"/>
          <w:color w:val="000000"/>
          <w:highlight w:val="none"/>
          <w:lang w:eastAsia="zh-CN"/>
        </w:rPr>
      </w:r>
      <w:r/>
    </w:p>
    <w:p>
      <w:pPr>
        <w:pStyle w:val="1128"/>
        <w:spacing w:line="360" w:lineRule="auto"/>
        <w:rPr>
          <w:rFonts w:hint="eastAsia" w:ascii="宋体" w:hAnsi="宋体" w:cs="宋体"/>
          <w:color w:val="000000"/>
          <w:highlight w:val="none"/>
        </w:rPr>
      </w:pPr>
      <w:r>
        <w:rPr>
          <w:rFonts w:hint="eastAsia" w:ascii="宋体" w:hAnsi="宋体" w:cs="宋体"/>
          <w:color w:val="000000"/>
          <w:highlight w:val="none"/>
        </w:rPr>
        <w:t xml:space="preserve">2</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代理机构联系方式</w:t>
      </w:r>
      <w:r>
        <w:rPr>
          <w:rFonts w:hint="eastAsia" w:ascii="宋体" w:hAnsi="宋体" w:cs="宋体"/>
          <w:color w:val="000000"/>
          <w:highlight w:val="none"/>
        </w:rPr>
      </w:r>
      <w:r/>
    </w:p>
    <w:p>
      <w:pPr>
        <w:pStyle w:val="1128"/>
        <w:spacing w:line="360" w:lineRule="auto"/>
        <w:rPr>
          <w:rFonts w:hint="eastAsia" w:ascii="宋体" w:hAnsi="宋体" w:cs="宋体"/>
          <w:color w:val="000000"/>
          <w:highlight w:val="none"/>
        </w:rPr>
      </w:pPr>
      <w:r>
        <w:rPr>
          <w:rFonts w:hint="eastAsia" w:ascii="宋体" w:hAnsi="宋体" w:cs="宋体"/>
          <w:color w:val="000000"/>
          <w:highlight w:val="none"/>
        </w:rPr>
        <w:t xml:space="preserve">名 称：苏州恒泰招投标咨询服务有限公司</w:t>
      </w:r>
      <w:r>
        <w:rPr>
          <w:rFonts w:hint="eastAsia" w:ascii="宋体" w:hAnsi="宋体" w:cs="宋体"/>
          <w:color w:val="000000"/>
          <w:highlight w:val="none"/>
        </w:rPr>
      </w:r>
      <w:r/>
    </w:p>
    <w:p>
      <w:pPr>
        <w:pStyle w:val="1128"/>
        <w:spacing w:line="360" w:lineRule="auto"/>
        <w:rPr>
          <w:rFonts w:hint="eastAsia" w:ascii="宋体" w:hAnsi="宋体" w:cs="宋体"/>
          <w:color w:val="000000"/>
          <w:highlight w:val="none"/>
        </w:rPr>
      </w:pPr>
      <w:r>
        <w:rPr>
          <w:rFonts w:hint="eastAsia" w:ascii="宋体" w:hAnsi="宋体" w:cs="宋体"/>
          <w:color w:val="000000"/>
          <w:highlight w:val="none"/>
        </w:rPr>
        <w:t xml:space="preserve">地 址：苏州市阳澄湖东路168号241-202室（苏州恒泰招标公司）</w:t>
      </w:r>
      <w:r>
        <w:rPr>
          <w:rFonts w:hint="eastAsia" w:ascii="宋体" w:hAnsi="宋体" w:cs="宋体"/>
          <w:color w:val="000000"/>
          <w:highlight w:val="none"/>
        </w:rPr>
      </w:r>
      <w:r/>
    </w:p>
    <w:p>
      <w:pPr>
        <w:pStyle w:val="1128"/>
        <w:spacing w:line="360" w:lineRule="auto"/>
        <w:rPr>
          <w:rFonts w:hint="eastAsia" w:ascii="宋体" w:hAnsi="宋体" w:cs="宋体"/>
          <w:color w:val="000000"/>
          <w:highlight w:val="none"/>
        </w:rPr>
      </w:pPr>
      <w:r>
        <w:rPr>
          <w:rFonts w:hint="eastAsia" w:ascii="宋体" w:hAnsi="宋体" w:cs="宋体"/>
          <w:color w:val="000000"/>
          <w:highlight w:val="none"/>
        </w:rPr>
        <w:t xml:space="preserve">联系人：樊亚男</w:t>
      </w:r>
      <w:r>
        <w:rPr>
          <w:rFonts w:hint="eastAsia" w:ascii="宋体" w:hAnsi="宋体" w:cs="宋体"/>
          <w:color w:val="000000"/>
          <w:highlight w:val="none"/>
          <w:lang w:eastAsia="zh-CN"/>
        </w:rPr>
        <w:t xml:space="preserve">、蔡艳平</w:t>
      </w:r>
      <w:r>
        <w:rPr>
          <w:rFonts w:hint="eastAsia" w:ascii="宋体" w:hAnsi="宋体" w:cs="宋体"/>
          <w:color w:val="000000"/>
          <w:highlight w:val="none"/>
        </w:rPr>
        <w:t xml:space="preserve">           </w:t>
      </w:r>
      <w:r>
        <w:rPr>
          <w:rFonts w:hint="eastAsia" w:ascii="宋体" w:hAnsi="宋体" w:cs="宋体"/>
          <w:color w:val="000000"/>
          <w:highlight w:val="none"/>
        </w:rPr>
      </w:r>
      <w:r/>
    </w:p>
    <w:p>
      <w:pPr>
        <w:pStyle w:val="1128"/>
        <w:spacing w:line="360" w:lineRule="auto"/>
        <w:rPr>
          <w:rFonts w:hint="eastAsia" w:ascii="宋体" w:hAnsi="宋体" w:cs="宋体"/>
          <w:color w:val="000000"/>
          <w:highlight w:val="none"/>
        </w:rPr>
      </w:pPr>
      <w:r>
        <w:rPr>
          <w:rFonts w:hint="eastAsia" w:ascii="宋体" w:hAnsi="宋体" w:cs="宋体"/>
          <w:color w:val="000000"/>
          <w:highlight w:val="none"/>
        </w:rPr>
        <w:t xml:space="preserve">电　话：0512-62728826　</w:t>
      </w:r>
      <w:r>
        <w:rPr>
          <w:rFonts w:hint="eastAsia" w:ascii="宋体" w:hAnsi="宋体" w:cs="宋体"/>
          <w:color w:val="000000"/>
          <w:highlight w:val="none"/>
        </w:rPr>
      </w:r>
      <w:r/>
    </w:p>
    <w:p>
      <w:pPr>
        <w:pStyle w:val="1128"/>
        <w:spacing w:line="360" w:lineRule="auto"/>
        <w:rPr>
          <w:rFonts w:hint="eastAsia" w:ascii="宋体" w:hAnsi="宋体" w:cs="宋体"/>
          <w:color w:val="000000"/>
          <w:highlight w:val="none"/>
          <w:lang w:val="en-US" w:eastAsia="zh-CN"/>
        </w:rPr>
      </w:pPr>
      <w:r>
        <w:rPr>
          <w:rFonts w:hint="eastAsia" w:ascii="宋体" w:hAnsi="宋体" w:cs="宋体"/>
          <w:color w:val="000000"/>
          <w:highlight w:val="none"/>
          <w:lang w:val="en-US" w:eastAsia="zh-CN"/>
        </w:rPr>
        <w:t xml:space="preserve">3、项目联系方式</w:t>
      </w:r>
      <w:r>
        <w:rPr>
          <w:rFonts w:hint="eastAsia" w:ascii="宋体" w:hAnsi="宋体" w:cs="宋体"/>
          <w:color w:val="000000"/>
          <w:highlight w:val="none"/>
          <w:lang w:val="en-US" w:eastAsia="zh-CN"/>
        </w:rPr>
      </w:r>
      <w:r/>
    </w:p>
    <w:p>
      <w:pPr>
        <w:pStyle w:val="1128"/>
        <w:spacing w:line="360" w:lineRule="auto"/>
        <w:rPr>
          <w:rFonts w:hint="eastAsia" w:ascii="宋体" w:hAnsi="宋体" w:cs="宋体"/>
          <w:color w:val="000000"/>
          <w:highlight w:val="none"/>
          <w:lang w:val="en-US" w:eastAsia="zh-CN"/>
        </w:rPr>
      </w:pPr>
      <w:r>
        <w:rPr>
          <w:rFonts w:hint="eastAsia" w:ascii="宋体" w:hAnsi="宋体" w:cs="宋体"/>
          <w:color w:val="000000"/>
          <w:highlight w:val="none"/>
          <w:lang w:val="en-US" w:eastAsia="zh-CN"/>
        </w:rPr>
        <w:t xml:space="preserve">项目联系人：</w:t>
      </w:r>
      <w:r>
        <w:rPr>
          <w:rFonts w:hint="eastAsia" w:ascii="宋体" w:hAnsi="宋体" w:cs="宋体"/>
          <w:color w:val="000000"/>
          <w:highlight w:val="none"/>
        </w:rPr>
        <w:t xml:space="preserve">樊亚男</w:t>
      </w:r>
      <w:r>
        <w:rPr>
          <w:rFonts w:hint="eastAsia" w:ascii="宋体" w:hAnsi="宋体" w:cs="宋体"/>
          <w:color w:val="000000"/>
          <w:highlight w:val="none"/>
          <w:lang w:eastAsia="zh-CN"/>
        </w:rPr>
        <w:t xml:space="preserve">、蔡艳平</w:t>
      </w:r>
      <w:r>
        <w:rPr>
          <w:rFonts w:hint="eastAsia" w:ascii="宋体" w:hAnsi="宋体" w:cs="宋体"/>
          <w:color w:val="000000"/>
          <w:highlight w:val="none"/>
        </w:rPr>
        <w:t xml:space="preserve"> </w:t>
      </w:r>
      <w:r>
        <w:rPr>
          <w:rFonts w:hint="eastAsia" w:ascii="宋体" w:hAnsi="宋体" w:cs="宋体"/>
          <w:color w:val="000000"/>
          <w:highlight w:val="none"/>
          <w:lang w:val="en-US" w:eastAsia="zh-CN"/>
        </w:rPr>
      </w:r>
      <w:r/>
    </w:p>
    <w:p>
      <w:pPr>
        <w:pStyle w:val="1128"/>
        <w:spacing w:line="360" w:lineRule="auto"/>
        <w:rPr>
          <w:rFonts w:hint="eastAsia" w:ascii="宋体" w:hAnsi="宋体" w:cs="宋体"/>
          <w:color w:val="000000"/>
          <w:highlight w:val="none"/>
          <w:lang w:val="en-US" w:eastAsia="zh-CN"/>
        </w:rPr>
      </w:pPr>
      <w:r>
        <w:rPr>
          <w:rFonts w:hint="eastAsia" w:ascii="宋体" w:hAnsi="宋体" w:cs="宋体"/>
          <w:color w:val="000000"/>
          <w:highlight w:val="none"/>
          <w:lang w:val="en-US" w:eastAsia="zh-CN"/>
        </w:rPr>
        <w:t xml:space="preserve">联系电话：0512-62728826　</w:t>
      </w:r>
      <w:r>
        <w:rPr>
          <w:rFonts w:hint="eastAsia" w:ascii="宋体" w:hAnsi="宋体" w:cs="宋体"/>
          <w:color w:val="000000"/>
          <w:highlight w:val="none"/>
          <w:lang w:val="en-US" w:eastAsia="zh-CN"/>
        </w:rPr>
      </w:r>
      <w:r/>
    </w:p>
    <w:p>
      <w:pPr>
        <w:pStyle w:val="1061"/>
        <w:numPr>
          <w:ilvl w:val="0"/>
          <w:numId w:val="1"/>
        </w:numPr>
        <w:jc w:val="center"/>
        <w:pageBreakBefore/>
        <w:spacing w:before="0" w:after="0" w:line="360" w:lineRule="auto"/>
        <w:rPr>
          <w:rFonts w:hint="eastAsia" w:ascii="宋体" w:hAnsi="宋体" w:cs="宋体"/>
          <w:color w:val="000000"/>
          <w:highlight w:val="none"/>
        </w:rPr>
      </w:pPr>
      <w:r>
        <w:rPr>
          <w:rFonts w:hint="eastAsia" w:ascii="宋体" w:hAnsi="宋体" w:cs="宋体"/>
          <w:color w:val="000000"/>
          <w:highlight w:val="none"/>
        </w:rPr>
        <w:t xml:space="preserve">  </w:t>
      </w:r>
      <w:bookmarkStart w:id="67" w:name="_Toc23786"/>
      <w:r/>
      <w:bookmarkStart w:id="68" w:name="_Toc30596"/>
      <w:r/>
      <w:bookmarkStart w:id="69" w:name="_Toc27508"/>
      <w:r/>
      <w:bookmarkStart w:id="70" w:name="_Toc30698"/>
      <w:r/>
      <w:bookmarkStart w:id="71" w:name="_Toc3290"/>
      <w:r/>
      <w:bookmarkStart w:id="72" w:name="_Toc27511"/>
      <w:r/>
      <w:bookmarkStart w:id="73" w:name="_Toc12909"/>
      <w:r/>
      <w:bookmarkStart w:id="74" w:name="_Toc30837"/>
      <w:r/>
      <w:bookmarkStart w:id="75" w:name="_Toc263059043"/>
      <w:r/>
      <w:bookmarkStart w:id="76" w:name="_Toc15641"/>
      <w:r/>
      <w:bookmarkStart w:id="77" w:name="_Toc7011"/>
      <w:r/>
      <w:bookmarkStart w:id="78" w:name="_Toc11736"/>
      <w:r/>
      <w:bookmarkStart w:id="79" w:name="_Toc17383"/>
      <w:r/>
      <w:bookmarkStart w:id="80" w:name="_Toc2476"/>
      <w:r/>
      <w:bookmarkStart w:id="81" w:name="_Toc29868"/>
      <w:r/>
      <w:bookmarkStart w:id="82" w:name="_Toc24007"/>
      <w:r/>
      <w:bookmarkStart w:id="83" w:name="_Toc12444"/>
      <w:r/>
      <w:bookmarkStart w:id="84" w:name="_Toc1932"/>
      <w:r/>
      <w:bookmarkStart w:id="85" w:name="_Toc26748"/>
      <w:r/>
      <w:bookmarkStart w:id="86" w:name="_Toc262737494"/>
      <w:r/>
      <w:bookmarkStart w:id="87" w:name="_Toc262749224"/>
      <w:r/>
      <w:bookmarkStart w:id="88" w:name="_Toc267406378"/>
      <w:r/>
      <w:bookmarkStart w:id="89" w:name="_Toc28356"/>
      <w:r/>
      <w:bookmarkStart w:id="90" w:name="_Toc32529"/>
      <w:r/>
      <w:bookmarkStart w:id="91" w:name="_Toc267036348"/>
      <w:r/>
      <w:bookmarkStart w:id="92" w:name="_Toc29663"/>
      <w:r/>
      <w:bookmarkStart w:id="93" w:name="_Toc11472"/>
      <w:r/>
      <w:bookmarkStart w:id="94" w:name="_Toc265829547"/>
      <w:r/>
      <w:bookmarkStart w:id="95" w:name="_Toc5480"/>
      <w:r>
        <w:rPr>
          <w:rFonts w:hint="eastAsia" w:ascii="宋体" w:hAnsi="宋体" w:cs="宋体"/>
          <w:color w:val="000000"/>
          <w:highlight w:val="none"/>
          <w:lang w:eastAsia="zh-CN"/>
        </w:rPr>
        <w:t xml:space="preserve">供应商</w:t>
      </w:r>
      <w:r>
        <w:rPr>
          <w:rFonts w:hint="eastAsia" w:ascii="宋体" w:hAnsi="宋体" w:cs="宋体"/>
          <w:color w:val="000000"/>
          <w:highlight w:val="none"/>
        </w:rPr>
        <w:t xml:space="preserve">须知</w:t>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rPr>
          <w:rFonts w:hint="eastAsia" w:ascii="宋体" w:hAnsi="宋体" w:cs="宋体"/>
          <w:color w:val="000000"/>
          <w:highlight w:val="none"/>
        </w:rPr>
      </w:r>
      <w:r/>
    </w:p>
    <w:p>
      <w:pPr>
        <w:pStyle w:val="1062"/>
        <w:ind w:firstLine="482"/>
        <w:spacing w:line="360" w:lineRule="auto"/>
        <w:rPr>
          <w:rFonts w:hint="eastAsia" w:eastAsia="宋体" w:cs="宋体"/>
          <w:color w:val="000000"/>
          <w:sz w:val="24"/>
          <w:szCs w:val="24"/>
          <w:highlight w:val="none"/>
        </w:rPr>
      </w:pPr>
      <w:r/>
      <w:bookmarkStart w:id="96" w:name="_Toc158691768"/>
      <w:r/>
      <w:bookmarkStart w:id="97" w:name="_Toc315868052"/>
      <w:r/>
      <w:bookmarkStart w:id="98" w:name="_Toc315875315"/>
      <w:r/>
      <w:bookmarkStart w:id="99" w:name="_Toc136507752"/>
      <w:r/>
      <w:bookmarkStart w:id="100" w:name="_Toc7771"/>
      <w:r/>
      <w:bookmarkStart w:id="101" w:name="_Toc15487"/>
      <w:r/>
      <w:bookmarkStart w:id="102" w:name="_Toc23206"/>
      <w:r/>
      <w:bookmarkStart w:id="103" w:name="_Toc30382"/>
      <w:r/>
      <w:bookmarkStart w:id="104" w:name="_Toc12906"/>
      <w:r/>
      <w:bookmarkStart w:id="105" w:name="_Toc31936"/>
      <w:r/>
      <w:bookmarkStart w:id="106" w:name="_Toc262749225"/>
      <w:r/>
      <w:bookmarkStart w:id="107" w:name="_Toc263059044"/>
      <w:r/>
      <w:bookmarkStart w:id="108" w:name="_Toc267036349"/>
      <w:r/>
      <w:bookmarkStart w:id="109" w:name="_Toc265829548"/>
      <w:r/>
      <w:bookmarkStart w:id="110" w:name="_Toc262737495"/>
      <w:r/>
      <w:bookmarkStart w:id="111" w:name="_Toc23647"/>
      <w:r/>
      <w:bookmarkStart w:id="112" w:name="_Toc32566"/>
      <w:r/>
      <w:bookmarkStart w:id="113" w:name="_Toc267406379"/>
      <w:r/>
      <w:bookmarkStart w:id="114" w:name="_Toc13642118"/>
      <w:r/>
      <w:bookmarkStart w:id="115" w:name="_Toc13889378"/>
      <w:r>
        <w:rPr>
          <w:rFonts w:hint="eastAsia" w:eastAsia="宋体" w:cs="宋体"/>
          <w:color w:val="000000"/>
          <w:sz w:val="24"/>
          <w:szCs w:val="24"/>
          <w:highlight w:val="none"/>
        </w:rPr>
        <w:t xml:space="preserve">一、总则</w:t>
      </w:r>
      <w:bookmarkEnd w:id="96"/>
      <w:r/>
      <w:bookmarkEnd w:id="97"/>
      <w:r/>
      <w:bookmarkEnd w:id="98"/>
      <w:r/>
      <w:bookmarkEnd w:id="99"/>
      <w:r>
        <w:rPr>
          <w:rFonts w:hint="eastAsia" w:eastAsia="宋体" w:cs="宋体"/>
          <w:color w:val="000000"/>
          <w:sz w:val="24"/>
          <w:szCs w:val="24"/>
          <w:highlight w:val="none"/>
        </w:rPr>
      </w:r>
      <w:r/>
    </w:p>
    <w:p>
      <w:pPr>
        <w:pStyle w:val="1060"/>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1、采购方式</w:t>
      </w:r>
      <w:r>
        <w:rPr>
          <w:rFonts w:hint="eastAsia" w:ascii="宋体" w:hAnsi="宋体" w:cs="宋体"/>
          <w:b/>
          <w:color w:val="000000"/>
          <w:sz w:val="24"/>
          <w:highlight w:val="none"/>
        </w:rPr>
      </w:r>
      <w:r/>
    </w:p>
    <w:p>
      <w:pPr>
        <w:pStyle w:val="106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1.1 本项目采用封闭式框架协议采购方式，本征集文件仅适用于征集公告中所述项目。</w:t>
      </w:r>
      <w:r>
        <w:rPr>
          <w:rFonts w:hint="eastAsia" w:ascii="宋体" w:hAnsi="宋体" w:cs="宋体"/>
          <w:color w:val="000000"/>
          <w:sz w:val="24"/>
          <w:highlight w:val="none"/>
        </w:rPr>
      </w:r>
      <w:r/>
    </w:p>
    <w:p>
      <w:pPr>
        <w:pStyle w:val="1060"/>
        <w:ind w:firstLine="482"/>
        <w:jc w:val="left"/>
        <w:spacing w:line="360" w:lineRule="auto"/>
        <w:rPr>
          <w:rFonts w:hint="eastAsia" w:ascii="宋体" w:hAnsi="宋体" w:cs="宋体"/>
          <w:b/>
          <w:color w:val="000000"/>
          <w:sz w:val="24"/>
          <w:highlight w:val="none"/>
        </w:rPr>
      </w:pPr>
      <w:r/>
      <w:bookmarkStart w:id="116" w:name="_Hlk131408870"/>
      <w:r>
        <w:rPr>
          <w:rFonts w:hint="eastAsia" w:ascii="宋体" w:hAnsi="宋体" w:cs="宋体"/>
          <w:b/>
          <w:color w:val="000000"/>
          <w:sz w:val="24"/>
          <w:highlight w:val="none"/>
        </w:rPr>
        <w:t xml:space="preserve">2、合格的</w:t>
      </w:r>
      <w:bookmarkEnd w:id="116"/>
      <w:r>
        <w:rPr>
          <w:rFonts w:hint="eastAsia" w:ascii="宋体" w:hAnsi="宋体" w:cs="宋体"/>
          <w:b/>
          <w:color w:val="000000"/>
          <w:sz w:val="24"/>
          <w:highlight w:val="none"/>
        </w:rPr>
        <w:t xml:space="preserve">供应商</w:t>
      </w:r>
      <w:r>
        <w:rPr>
          <w:rFonts w:hint="eastAsia" w:ascii="宋体" w:hAnsi="宋体" w:cs="宋体"/>
          <w:b/>
          <w:color w:val="000000"/>
          <w:sz w:val="24"/>
          <w:highlight w:val="none"/>
        </w:rPr>
      </w:r>
      <w:r/>
    </w:p>
    <w:p>
      <w:pPr>
        <w:pStyle w:val="106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 满足征集公告中供应商资格要求的规定，详见《征集邀请函》中供应商资格要求。</w:t>
      </w:r>
      <w:r>
        <w:rPr>
          <w:rFonts w:hint="eastAsia" w:ascii="宋体" w:hAnsi="宋体" w:cs="宋体"/>
          <w:color w:val="000000"/>
          <w:sz w:val="24"/>
          <w:highlight w:val="none"/>
        </w:rPr>
      </w:r>
      <w:r/>
    </w:p>
    <w:p>
      <w:pPr>
        <w:pStyle w:val="106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2.2 满足本征集文件实质性条款的规定。</w:t>
      </w:r>
      <w:r>
        <w:rPr>
          <w:rFonts w:hint="eastAsia" w:ascii="宋体" w:hAnsi="宋体" w:cs="宋体"/>
          <w:color w:val="000000"/>
          <w:sz w:val="24"/>
          <w:highlight w:val="none"/>
        </w:rPr>
      </w:r>
      <w:r/>
    </w:p>
    <w:p>
      <w:pPr>
        <w:pStyle w:val="1060"/>
        <w:ind w:firstLine="482"/>
        <w:jc w:val="left"/>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3、适用法律</w:t>
      </w:r>
      <w:r>
        <w:rPr>
          <w:rFonts w:hint="eastAsia" w:ascii="宋体" w:hAnsi="宋体" w:cs="宋体"/>
          <w:color w:val="000000"/>
          <w:sz w:val="24"/>
          <w:highlight w:val="none"/>
        </w:rPr>
      </w:r>
      <w:r/>
    </w:p>
    <w:p>
      <w:pPr>
        <w:pStyle w:val="106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3.1 本次封闭式框架协议采购活动（以下简称“采购活动”）及由此产生的框架协议文本和采购合同文本受中华人民共和国有关的法律法规制约和保护。</w:t>
      </w:r>
      <w:r>
        <w:rPr>
          <w:rFonts w:hint="eastAsia" w:ascii="宋体" w:hAnsi="宋体" w:cs="宋体"/>
          <w:color w:val="000000"/>
          <w:sz w:val="24"/>
          <w:highlight w:val="none"/>
        </w:rPr>
      </w:r>
      <w:r/>
    </w:p>
    <w:p>
      <w:pPr>
        <w:pStyle w:val="1060"/>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4、参加采购活动的费用</w:t>
      </w:r>
      <w:r>
        <w:rPr>
          <w:rFonts w:hint="eastAsia" w:ascii="宋体" w:hAnsi="宋体" w:cs="宋体"/>
          <w:b/>
          <w:color w:val="000000"/>
          <w:sz w:val="24"/>
          <w:highlight w:val="none"/>
        </w:rPr>
      </w:r>
      <w:r/>
    </w:p>
    <w:p>
      <w:pPr>
        <w:pStyle w:val="106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4.1 无论采购过程中的做法和结果如何，供应商应自行承担所有与参加采购活动有关的全部费用。</w:t>
      </w:r>
      <w:r>
        <w:rPr>
          <w:rFonts w:hint="eastAsia" w:ascii="宋体" w:hAnsi="宋体" w:cs="宋体"/>
          <w:color w:val="000000"/>
          <w:sz w:val="24"/>
          <w:highlight w:val="none"/>
        </w:rPr>
      </w:r>
      <w:r/>
    </w:p>
    <w:p>
      <w:pPr>
        <w:pStyle w:val="1060"/>
        <w:ind w:firstLine="480"/>
        <w:jc w:val="left"/>
        <w:spacing w:line="360" w:lineRule="auto"/>
        <w:rPr>
          <w:rFonts w:hint="eastAsia" w:ascii="宋体" w:hAnsi="宋体" w:cs="宋体"/>
          <w:b/>
          <w:color w:val="000000"/>
          <w:sz w:val="24"/>
          <w:highlight w:val="none"/>
        </w:rPr>
      </w:pPr>
      <w:r>
        <w:rPr>
          <w:rFonts w:hint="eastAsia" w:ascii="宋体" w:hAnsi="宋体" w:cs="宋体"/>
          <w:color w:val="000000"/>
          <w:sz w:val="24"/>
          <w:highlight w:val="none"/>
        </w:rPr>
        <w:t xml:space="preserve">4.2</w:t>
      </w:r>
      <w:r>
        <w:rPr>
          <w:rFonts w:hint="eastAsia" w:ascii="宋体" w:hAnsi="宋体" w:cs="宋体"/>
          <w:b/>
          <w:color w:val="000000"/>
          <w:sz w:val="24"/>
          <w:highlight w:val="none"/>
        </w:rPr>
        <w:t xml:space="preserve">本项目代理服务费由采购人向采购代理机构支付。</w:t>
      </w:r>
      <w:r>
        <w:rPr>
          <w:rFonts w:hint="eastAsia" w:ascii="宋体" w:hAnsi="宋体" w:cs="宋体"/>
          <w:b/>
          <w:color w:val="000000"/>
          <w:sz w:val="24"/>
          <w:highlight w:val="none"/>
        </w:rPr>
      </w:r>
      <w:r/>
    </w:p>
    <w:p>
      <w:pPr>
        <w:pStyle w:val="1060"/>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服务费缴费信息：</w:t>
      </w:r>
      <w:r>
        <w:rPr>
          <w:rFonts w:hint="eastAsia" w:ascii="宋体" w:hAnsi="宋体" w:cs="宋体"/>
          <w:b/>
          <w:color w:val="000000"/>
          <w:sz w:val="24"/>
          <w:highlight w:val="none"/>
        </w:rPr>
      </w:r>
      <w:r/>
    </w:p>
    <w:p>
      <w:pPr>
        <w:pStyle w:val="1060"/>
        <w:ind w:right="-161"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账户名：苏州恒泰招投标咨询服务有限公司</w:t>
      </w:r>
      <w:r>
        <w:rPr>
          <w:rFonts w:hint="eastAsia" w:ascii="宋体" w:hAnsi="宋体" w:cs="宋体"/>
          <w:color w:val="000000"/>
          <w:sz w:val="24"/>
          <w:highlight w:val="none"/>
        </w:rPr>
      </w:r>
      <w:r/>
    </w:p>
    <w:p>
      <w:pPr>
        <w:pStyle w:val="1060"/>
        <w:ind w:right="-161"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开户行：中国农业银行苏州国贸支行</w:t>
      </w:r>
      <w:r>
        <w:rPr>
          <w:rFonts w:hint="eastAsia" w:ascii="宋体" w:hAnsi="宋体" w:cs="宋体"/>
          <w:color w:val="000000"/>
          <w:sz w:val="24"/>
          <w:highlight w:val="none"/>
        </w:rPr>
      </w:r>
      <w:r/>
    </w:p>
    <w:p>
      <w:pPr>
        <w:pStyle w:val="106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账  号：10553901040010019</w:t>
      </w:r>
      <w:r>
        <w:rPr>
          <w:rFonts w:hint="eastAsia" w:ascii="宋体" w:hAnsi="宋体" w:cs="宋体"/>
          <w:color w:val="000000"/>
          <w:sz w:val="24"/>
          <w:highlight w:val="none"/>
        </w:rPr>
      </w:r>
      <w:r/>
    </w:p>
    <w:p>
      <w:pPr>
        <w:pStyle w:val="1060"/>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5、征集文件约束力</w:t>
      </w:r>
      <w:r>
        <w:rPr>
          <w:rFonts w:hint="eastAsia" w:ascii="宋体" w:hAnsi="宋体" w:cs="宋体"/>
          <w:b/>
          <w:color w:val="000000"/>
          <w:sz w:val="24"/>
          <w:highlight w:val="none"/>
        </w:rPr>
      </w:r>
      <w:r/>
    </w:p>
    <w:p>
      <w:pPr>
        <w:pStyle w:val="106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5.1 供应商一旦参加本项目采购活动，即被认为接受了本征集文件的规定和约束。</w:t>
      </w:r>
      <w:r>
        <w:rPr>
          <w:rFonts w:hint="eastAsia" w:ascii="宋体" w:hAnsi="宋体" w:cs="宋体"/>
          <w:color w:val="000000"/>
          <w:sz w:val="24"/>
          <w:highlight w:val="none"/>
        </w:rPr>
      </w:r>
      <w:r/>
    </w:p>
    <w:p>
      <w:pPr>
        <w:pStyle w:val="1062"/>
        <w:ind w:firstLine="482"/>
        <w:spacing w:line="360" w:lineRule="auto"/>
        <w:rPr>
          <w:rFonts w:hint="eastAsia" w:eastAsia="宋体" w:cs="宋体"/>
          <w:color w:val="000000"/>
          <w:sz w:val="24"/>
          <w:szCs w:val="24"/>
          <w:highlight w:val="none"/>
        </w:rPr>
      </w:pPr>
      <w:r/>
      <w:bookmarkStart w:id="117" w:name="_Toc315868053"/>
      <w:r/>
      <w:bookmarkStart w:id="118" w:name="_Toc158691769"/>
      <w:r/>
      <w:bookmarkStart w:id="119" w:name="_Toc315875316"/>
      <w:r/>
      <w:bookmarkStart w:id="120" w:name="_Toc136507753"/>
      <w:r>
        <w:rPr>
          <w:rFonts w:hint="eastAsia" w:eastAsia="宋体" w:cs="宋体"/>
          <w:color w:val="000000"/>
          <w:sz w:val="24"/>
          <w:szCs w:val="24"/>
          <w:highlight w:val="none"/>
        </w:rPr>
        <w:t xml:space="preserve">二、</w:t>
      </w:r>
      <w:r>
        <w:rPr>
          <w:rFonts w:hint="eastAsia" w:eastAsia="宋体" w:cs="宋体"/>
          <w:color w:val="000000"/>
          <w:sz w:val="24"/>
          <w:szCs w:val="24"/>
          <w:highlight w:val="none"/>
          <w:lang w:eastAsia="zh-CN"/>
        </w:rPr>
        <w:t xml:space="preserve">征集</w:t>
      </w:r>
      <w:r>
        <w:rPr>
          <w:rFonts w:hint="eastAsia" w:eastAsia="宋体" w:cs="宋体"/>
          <w:color w:val="000000"/>
          <w:sz w:val="24"/>
          <w:szCs w:val="24"/>
          <w:highlight w:val="none"/>
        </w:rPr>
        <w:t xml:space="preserve">文件</w:t>
      </w:r>
      <w:bookmarkEnd w:id="117"/>
      <w:r/>
      <w:bookmarkEnd w:id="118"/>
      <w:r>
        <w:rPr>
          <w:rFonts w:hint="eastAsia" w:eastAsia="宋体" w:cs="宋体"/>
          <w:color w:val="000000"/>
          <w:sz w:val="24"/>
          <w:szCs w:val="24"/>
          <w:highlight w:val="none"/>
        </w:rPr>
        <w:t xml:space="preserve">的说明</w:t>
      </w:r>
      <w:bookmarkEnd w:id="119"/>
      <w:r/>
      <w:bookmarkEnd w:id="120"/>
      <w:r>
        <w:rPr>
          <w:rFonts w:hint="eastAsia" w:eastAsia="宋体" w:cs="宋体"/>
          <w:color w:val="000000"/>
          <w:sz w:val="24"/>
          <w:szCs w:val="24"/>
          <w:highlight w:val="none"/>
        </w:rPr>
      </w:r>
      <w:r/>
    </w:p>
    <w:p>
      <w:pPr>
        <w:pStyle w:val="1060"/>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1、征集文件的构成</w:t>
      </w:r>
      <w:r>
        <w:rPr>
          <w:rFonts w:hint="eastAsia" w:ascii="宋体" w:hAnsi="宋体" w:cs="宋体"/>
          <w:b/>
          <w:color w:val="000000"/>
          <w:sz w:val="24"/>
          <w:highlight w:val="none"/>
        </w:rPr>
      </w:r>
      <w:r/>
    </w:p>
    <w:p>
      <w:pPr>
        <w:pStyle w:val="106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1.1 征集文件由以下部分组成：</w:t>
      </w:r>
      <w:r>
        <w:rPr>
          <w:rFonts w:hint="eastAsia" w:ascii="宋体" w:hAnsi="宋体" w:cs="宋体"/>
          <w:color w:val="000000"/>
          <w:sz w:val="24"/>
          <w:highlight w:val="none"/>
        </w:rPr>
      </w:r>
      <w:r/>
    </w:p>
    <w:p>
      <w:pPr>
        <w:pStyle w:val="106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第一章 征集邀请函</w:t>
      </w:r>
      <w:r>
        <w:rPr>
          <w:rFonts w:hint="eastAsia" w:ascii="宋体" w:hAnsi="宋体" w:cs="宋体"/>
          <w:color w:val="000000"/>
          <w:sz w:val="24"/>
          <w:highlight w:val="none"/>
        </w:rPr>
      </w:r>
      <w:r/>
    </w:p>
    <w:p>
      <w:pPr>
        <w:pStyle w:val="106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第二章 供应商须知</w:t>
      </w:r>
      <w:r>
        <w:rPr>
          <w:rFonts w:hint="eastAsia" w:ascii="宋体" w:hAnsi="宋体" w:cs="宋体"/>
          <w:color w:val="000000"/>
          <w:sz w:val="24"/>
          <w:highlight w:val="none"/>
        </w:rPr>
      </w:r>
      <w:r/>
    </w:p>
    <w:p>
      <w:pPr>
        <w:pStyle w:val="106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第三章 响应文件组成与格式</w:t>
      </w:r>
      <w:r>
        <w:rPr>
          <w:rFonts w:hint="eastAsia" w:ascii="宋体" w:hAnsi="宋体" w:cs="宋体"/>
          <w:color w:val="000000"/>
          <w:sz w:val="24"/>
          <w:highlight w:val="none"/>
        </w:rPr>
      </w:r>
      <w:r/>
    </w:p>
    <w:p>
      <w:pPr>
        <w:pStyle w:val="1060"/>
        <w:ind w:firstLine="480"/>
        <w:jc w:val="left"/>
        <w:spacing w:line="360" w:lineRule="auto"/>
        <w:rPr>
          <w:rFonts w:hint="eastAsia" w:ascii="宋体" w:hAnsi="宋体" w:cs="宋体"/>
          <w:color w:val="000000"/>
          <w:sz w:val="24"/>
          <w:highlight w:val="none"/>
        </w:rPr>
      </w:pPr>
      <w:r/>
      <w:bookmarkStart w:id="121" w:name="_Hlk132891655"/>
      <w:r>
        <w:rPr>
          <w:rFonts w:hint="eastAsia" w:ascii="宋体" w:hAnsi="宋体" w:cs="宋体"/>
          <w:color w:val="000000"/>
          <w:sz w:val="24"/>
          <w:highlight w:val="none"/>
        </w:rPr>
        <w:t xml:space="preserve">第四章 采购需求</w:t>
      </w:r>
      <w:r>
        <w:rPr>
          <w:rFonts w:hint="eastAsia" w:ascii="宋体" w:hAnsi="宋体" w:cs="宋体"/>
          <w:color w:val="000000"/>
          <w:sz w:val="24"/>
          <w:highlight w:val="none"/>
        </w:rPr>
      </w:r>
      <w:r/>
    </w:p>
    <w:p>
      <w:pPr>
        <w:pStyle w:val="1060"/>
        <w:ind w:firstLine="480"/>
        <w:jc w:val="left"/>
        <w:spacing w:line="360" w:lineRule="auto"/>
        <w:rPr>
          <w:rFonts w:hint="eastAsia" w:ascii="宋体" w:hAnsi="宋体" w:cs="宋体"/>
          <w:color w:val="000000"/>
          <w:sz w:val="24"/>
          <w:highlight w:val="none"/>
        </w:rPr>
      </w:pPr>
      <w:r/>
      <w:bookmarkEnd w:id="121"/>
      <w:r>
        <w:rPr>
          <w:rFonts w:hint="eastAsia" w:ascii="宋体" w:hAnsi="宋体" w:cs="宋体"/>
          <w:color w:val="000000"/>
          <w:sz w:val="24"/>
          <w:highlight w:val="none"/>
        </w:rPr>
        <w:t xml:space="preserve">第五章 框架协议文本</w:t>
      </w:r>
      <w:r>
        <w:rPr>
          <w:rFonts w:hint="eastAsia" w:ascii="宋体" w:hAnsi="宋体" w:cs="宋体"/>
          <w:color w:val="000000"/>
          <w:sz w:val="24"/>
          <w:highlight w:val="none"/>
        </w:rPr>
      </w:r>
      <w:r/>
    </w:p>
    <w:p>
      <w:pPr>
        <w:pStyle w:val="106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第六章 确定入围及成交供应商 </w:t>
      </w:r>
      <w:r>
        <w:rPr>
          <w:rFonts w:hint="eastAsia" w:ascii="宋体" w:hAnsi="宋体" w:cs="宋体"/>
          <w:color w:val="000000"/>
          <w:sz w:val="24"/>
          <w:highlight w:val="none"/>
        </w:rPr>
      </w:r>
      <w:r/>
    </w:p>
    <w:p>
      <w:pPr>
        <w:pStyle w:val="106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请仔细检查征集文件是否齐全，如有缺漏请立即与苏州恒泰招投标咨询服务有限公司（以下简称“代理机构”）联系解决。</w:t>
      </w:r>
      <w:r>
        <w:rPr>
          <w:rFonts w:hint="eastAsia" w:ascii="宋体" w:hAnsi="宋体" w:cs="宋体"/>
          <w:color w:val="000000"/>
          <w:sz w:val="24"/>
          <w:highlight w:val="none"/>
        </w:rPr>
      </w:r>
      <w:r/>
    </w:p>
    <w:p>
      <w:pPr>
        <w:pStyle w:val="106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1.2 征集文件及其更正事项如不是从规定网络地址下载获得的，代理机构对征集文件及其补遗的真实性、完整性不承担任何责任。</w:t>
      </w:r>
      <w:r>
        <w:rPr>
          <w:rFonts w:hint="eastAsia" w:ascii="宋体" w:hAnsi="宋体" w:cs="宋体"/>
          <w:color w:val="000000"/>
          <w:sz w:val="24"/>
          <w:highlight w:val="none"/>
        </w:rPr>
      </w:r>
      <w:r/>
    </w:p>
    <w:p>
      <w:pPr>
        <w:pStyle w:val="1060"/>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2、征集文件的澄清、修改</w:t>
      </w:r>
      <w:r>
        <w:rPr>
          <w:rFonts w:hint="eastAsia" w:ascii="宋体" w:hAnsi="宋体" w:cs="宋体"/>
          <w:b/>
          <w:color w:val="000000"/>
          <w:sz w:val="24"/>
          <w:highlight w:val="none"/>
        </w:rPr>
      </w:r>
      <w:r/>
    </w:p>
    <w:p>
      <w:pPr>
        <w:pStyle w:val="1060"/>
        <w:ind w:firstLine="480"/>
        <w:jc w:val="left"/>
        <w:spacing w:line="360" w:lineRule="auto"/>
        <w:rPr>
          <w:rFonts w:hint="eastAsia" w:ascii="宋体" w:hAnsi="宋体" w:cs="宋体"/>
          <w:b/>
          <w:color w:val="000000"/>
          <w:sz w:val="24"/>
          <w:highlight w:val="none"/>
        </w:rPr>
      </w:pPr>
      <w:r>
        <w:rPr>
          <w:rFonts w:hint="eastAsia" w:ascii="宋体" w:hAnsi="宋体" w:cs="宋体"/>
          <w:color w:val="000000"/>
          <w:sz w:val="24"/>
          <w:highlight w:val="none"/>
        </w:rPr>
        <w:t xml:space="preserve">2.1 出于实际需要或澄清供应商问题的情况下，采购人或代理机构可对已发出的征集文件进行必要的澄清或者修改，并将在指定媒体上发布更正公告。</w:t>
      </w:r>
      <w:r>
        <w:rPr>
          <w:rFonts w:hint="eastAsia" w:ascii="宋体" w:hAnsi="宋体" w:cs="宋体"/>
          <w:b/>
          <w:color w:val="000000"/>
          <w:sz w:val="24"/>
          <w:highlight w:val="none"/>
        </w:rPr>
        <w:t xml:space="preserve">各供应商应在响应文件提交截止时间前关注本征集公告网站上更正公告栏，按规定获取相关信息内容，否则其投标风险由供应商承担。</w:t>
      </w:r>
      <w:r>
        <w:rPr>
          <w:rFonts w:hint="eastAsia" w:ascii="宋体" w:hAnsi="宋体" w:cs="宋体"/>
          <w:b/>
          <w:color w:val="000000"/>
          <w:sz w:val="24"/>
          <w:highlight w:val="none"/>
        </w:rPr>
      </w:r>
      <w:r/>
    </w:p>
    <w:p>
      <w:pPr>
        <w:pStyle w:val="106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2.2 采购人或代理机构有权按照法定的要求顺延响应文件提交截止时间。</w:t>
      </w:r>
      <w:r>
        <w:rPr>
          <w:rFonts w:hint="eastAsia" w:ascii="宋体" w:hAnsi="宋体" w:cs="宋体"/>
          <w:color w:val="000000"/>
          <w:sz w:val="24"/>
          <w:highlight w:val="none"/>
        </w:rPr>
      </w:r>
      <w:r/>
    </w:p>
    <w:p>
      <w:pPr>
        <w:pStyle w:val="106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2.3 采购人或代理机构一旦对征集文件作出了澄清、修改，即刻发生效力，有关澄清或者修改的内容为征集文件的组成部分，对所有供应商具有约束力。</w:t>
      </w:r>
      <w:r>
        <w:rPr>
          <w:rFonts w:hint="eastAsia" w:ascii="宋体" w:hAnsi="宋体" w:cs="宋体"/>
          <w:color w:val="000000"/>
          <w:sz w:val="24"/>
          <w:highlight w:val="none"/>
        </w:rPr>
      </w:r>
      <w:r/>
    </w:p>
    <w:p>
      <w:pPr>
        <w:pStyle w:val="1062"/>
        <w:ind w:firstLine="482"/>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三、响应文件的编制</w:t>
      </w:r>
      <w:r>
        <w:rPr>
          <w:rFonts w:hint="eastAsia" w:eastAsia="宋体" w:cs="宋体"/>
          <w:color w:val="000000"/>
          <w:sz w:val="24"/>
          <w:szCs w:val="24"/>
          <w:highlight w:val="none"/>
        </w:rPr>
      </w:r>
      <w:r/>
    </w:p>
    <w:p>
      <w:pPr>
        <w:pStyle w:val="1060"/>
        <w:ind w:firstLine="42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1、响应文件的组成(部分格式见第三章附件)</w:t>
      </w:r>
      <w:r>
        <w:rPr>
          <w:rFonts w:hint="eastAsia" w:ascii="宋体" w:hAnsi="宋体" w:cs="宋体"/>
          <w:b/>
          <w:color w:val="000000"/>
          <w:sz w:val="24"/>
          <w:highlight w:val="none"/>
        </w:rPr>
      </w:r>
      <w:r/>
    </w:p>
    <w:p>
      <w:pPr>
        <w:pStyle w:val="1060"/>
        <w:ind w:firstLine="42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1.1封面</w:t>
      </w:r>
      <w:r>
        <w:rPr>
          <w:rFonts w:hint="eastAsia" w:ascii="宋体" w:hAnsi="宋体" w:cs="宋体"/>
          <w:b/>
          <w:color w:val="000000"/>
          <w:sz w:val="24"/>
          <w:highlight w:val="none"/>
        </w:rPr>
      </w:r>
      <w:r/>
    </w:p>
    <w:p>
      <w:pPr>
        <w:pStyle w:val="1060"/>
        <w:ind w:firstLine="42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1.2开标一览表</w:t>
      </w:r>
      <w:r>
        <w:rPr>
          <w:rFonts w:hint="eastAsia" w:ascii="宋体" w:hAnsi="宋体" w:cs="宋体"/>
          <w:b/>
          <w:color w:val="000000"/>
          <w:sz w:val="24"/>
          <w:highlight w:val="none"/>
          <w:lang w:val="zh-CN"/>
        </w:rPr>
        <w:t xml:space="preserve">（具体按照“苏采云”系统填报）</w:t>
      </w:r>
      <w:r>
        <w:rPr>
          <w:rFonts w:hint="eastAsia" w:ascii="宋体" w:hAnsi="宋体" w:cs="宋体"/>
          <w:color w:val="000000"/>
          <w:sz w:val="24"/>
          <w:highlight w:val="none"/>
        </w:rPr>
      </w:r>
      <w:r/>
    </w:p>
    <w:p>
      <w:pPr>
        <w:pStyle w:val="1060"/>
        <w:ind w:firstLine="42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1.3服务价格承诺</w:t>
      </w:r>
      <w:r>
        <w:rPr>
          <w:rFonts w:hint="eastAsia" w:ascii="宋体" w:hAnsi="宋体" w:cs="宋体"/>
          <w:b/>
          <w:color w:val="000000"/>
          <w:sz w:val="24"/>
          <w:highlight w:val="none"/>
        </w:rPr>
      </w:r>
      <w:r/>
    </w:p>
    <w:p>
      <w:pPr>
        <w:pStyle w:val="1060"/>
        <w:ind w:firstLine="42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1.4资格审查文件</w:t>
      </w:r>
      <w:r>
        <w:rPr>
          <w:rFonts w:hint="eastAsia" w:ascii="宋体" w:hAnsi="宋体" w:cs="宋体"/>
          <w:b/>
          <w:color w:val="000000"/>
          <w:sz w:val="24"/>
          <w:highlight w:val="none"/>
        </w:rPr>
      </w:r>
      <w:r/>
    </w:p>
    <w:p>
      <w:pPr>
        <w:pStyle w:val="1060"/>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1.</w:t>
      </w:r>
      <w:r>
        <w:rPr>
          <w:rFonts w:hint="eastAsia" w:ascii="宋体" w:hAnsi="宋体" w:cs="宋体"/>
          <w:color w:val="000000"/>
          <w:sz w:val="24"/>
          <w:highlight w:val="none"/>
        </w:rPr>
        <w:t xml:space="preserve">4</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1</w:t>
      </w:r>
      <w:r>
        <w:rPr>
          <w:rFonts w:hint="eastAsia" w:ascii="宋体" w:hAnsi="宋体" w:cs="宋体"/>
          <w:color w:val="000000"/>
          <w:sz w:val="24"/>
          <w:highlight w:val="none"/>
          <w:lang w:val="zh-CN"/>
        </w:rPr>
        <w:t xml:space="preserve">合格投标人资格证明材料：</w:t>
      </w:r>
      <w:r>
        <w:rPr>
          <w:rFonts w:hint="eastAsia" w:ascii="宋体" w:hAnsi="宋体" w:cs="宋体"/>
          <w:color w:val="000000"/>
          <w:sz w:val="24"/>
          <w:highlight w:val="none"/>
          <w:lang w:val="zh-CN"/>
        </w:rPr>
      </w:r>
      <w:r/>
    </w:p>
    <w:p>
      <w:pPr>
        <w:pStyle w:val="1060"/>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（1）具有独立承担民事责任的能力证明：包括法人或者其他组织的营业执照等证明文件，自然人的身份证明；</w:t>
      </w:r>
      <w:r>
        <w:rPr>
          <w:rFonts w:hint="eastAsia" w:ascii="宋体" w:hAnsi="宋体" w:cs="宋体"/>
          <w:color w:val="000000"/>
          <w:sz w:val="24"/>
          <w:highlight w:val="none"/>
          <w:lang w:val="zh-CN"/>
        </w:rPr>
      </w:r>
      <w:r/>
    </w:p>
    <w:p>
      <w:pPr>
        <w:pStyle w:val="1060"/>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（2）具有良好的商业信誉和健全的财务会计制度证明：法人应提供最近一期经</w:t>
      </w:r>
      <w:r>
        <w:rPr>
          <w:rFonts w:hint="eastAsia" w:ascii="宋体" w:hAnsi="宋体" w:cs="宋体"/>
          <w:color w:val="000000"/>
          <w:sz w:val="24"/>
          <w:highlight w:val="none"/>
        </w:rPr>
        <w:t xml:space="preserve">第三方</w:t>
      </w:r>
      <w:r>
        <w:rPr>
          <w:rFonts w:hint="eastAsia" w:ascii="宋体" w:hAnsi="宋体" w:cs="宋体"/>
          <w:color w:val="000000"/>
          <w:sz w:val="24"/>
          <w:highlight w:val="none"/>
          <w:lang w:val="zh-CN"/>
        </w:rPr>
        <w:t xml:space="preserve">审计的财务报告，其他组织、自然人及成立未满一年的法人应提供银行出具的资信证明；</w:t>
      </w:r>
      <w:r>
        <w:rPr>
          <w:rFonts w:hint="eastAsia" w:ascii="宋体" w:hAnsi="宋体" w:cs="宋体"/>
          <w:color w:val="000000"/>
          <w:sz w:val="24"/>
          <w:highlight w:val="none"/>
          <w:lang w:val="zh-CN"/>
        </w:rPr>
      </w:r>
      <w:r/>
    </w:p>
    <w:p>
      <w:pPr>
        <w:pStyle w:val="1060"/>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（3）具备履行合同所必需的设备和专业技术能力的证明材料或承诺；</w:t>
      </w:r>
      <w:r>
        <w:rPr>
          <w:rFonts w:hint="eastAsia" w:ascii="宋体" w:hAnsi="宋体" w:cs="宋体"/>
          <w:color w:val="000000"/>
          <w:sz w:val="24"/>
          <w:highlight w:val="none"/>
          <w:lang w:val="zh-CN"/>
        </w:rPr>
      </w:r>
      <w:r/>
    </w:p>
    <w:p>
      <w:pPr>
        <w:pStyle w:val="1060"/>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4）依法缴纳税收和社会保障资金的相关资料：投标人应提供提交投标文件截止时间前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cs="宋体"/>
          <w:color w:val="000000"/>
          <w:sz w:val="24"/>
          <w:highlight w:val="none"/>
          <w:lang w:val="zh-CN"/>
        </w:rPr>
      </w:r>
      <w:r/>
    </w:p>
    <w:p>
      <w:pPr>
        <w:pStyle w:val="1060"/>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zh-CN"/>
        </w:rPr>
        <w:t xml:space="preserve">（5）参加政府采购活动前三年内在经营活动中没有重大违法记录的书面声明函（</w:t>
      </w:r>
      <w:r>
        <w:rPr>
          <w:rFonts w:hint="eastAsia" w:ascii="宋体" w:hAnsi="宋体" w:cs="宋体"/>
          <w:color w:val="000000"/>
          <w:sz w:val="24"/>
          <w:highlight w:val="none"/>
        </w:rPr>
        <w:t xml:space="preserve">格式自拟）；</w:t>
      </w:r>
      <w:r>
        <w:rPr>
          <w:rFonts w:hint="eastAsia" w:ascii="宋体" w:hAnsi="宋体" w:cs="宋体"/>
          <w:color w:val="000000"/>
          <w:sz w:val="24"/>
          <w:highlight w:val="none"/>
        </w:rPr>
      </w:r>
      <w:r/>
    </w:p>
    <w:p>
      <w:pPr>
        <w:pStyle w:val="1060"/>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（6）第一包投标供应商须具有第二类医疗器械经营备案</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r>
      <w:r/>
    </w:p>
    <w:p>
      <w:pPr>
        <w:pStyle w:val="1060"/>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供应商提供该分包所需服务的场所取得经营许可和消防合格证书。若供应商存在多处经营场地的，投标时明确填报为本项目服务的指定场地；履约期间所有服务仅限在投标填报场地实施，未经采购单位书面批准，不得私自变更服务场地</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r>
      <w:r/>
    </w:p>
    <w:p>
      <w:pPr>
        <w:pStyle w:val="1060"/>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（8）单位负责人为同一人或者存在直接控股、管理关系的不同供应商，不得参加同一合同项下的政府采购活动</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r>
      <w:r/>
    </w:p>
    <w:p>
      <w:pPr>
        <w:pStyle w:val="1060"/>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9）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cs="宋体"/>
          <w:color w:val="000000"/>
          <w:sz w:val="24"/>
          <w:highlight w:val="none"/>
        </w:rPr>
      </w:r>
      <w:r/>
    </w:p>
    <w:p>
      <w:pPr>
        <w:pStyle w:val="1060"/>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1.</w:t>
      </w:r>
      <w:r>
        <w:rPr>
          <w:rFonts w:hint="eastAsia" w:ascii="宋体" w:hAnsi="宋体" w:cs="宋体"/>
          <w:color w:val="000000"/>
          <w:sz w:val="24"/>
          <w:highlight w:val="none"/>
        </w:rPr>
        <w:t xml:space="preserve">4</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2</w:t>
      </w:r>
      <w:r>
        <w:rPr>
          <w:rFonts w:hint="eastAsia" w:ascii="宋体" w:hAnsi="宋体" w:cs="宋体"/>
          <w:color w:val="000000"/>
          <w:sz w:val="24"/>
          <w:highlight w:val="none"/>
          <w:lang w:val="zh-CN"/>
        </w:rPr>
        <w:t xml:space="preserve">其它有关资格证明文件（</w:t>
      </w:r>
      <w:r>
        <w:rPr>
          <w:rFonts w:hint="eastAsia" w:ascii="宋体" w:hAnsi="宋体" w:cs="宋体"/>
          <w:color w:val="000000"/>
          <w:sz w:val="24"/>
          <w:highlight w:val="none"/>
        </w:rPr>
        <w:t xml:space="preserve">如有</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val="zh-CN"/>
        </w:rPr>
      </w:r>
      <w:r/>
    </w:p>
    <w:p>
      <w:pPr>
        <w:pStyle w:val="1060"/>
        <w:ind w:firstLine="42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1.5符合性审查文件</w:t>
      </w:r>
      <w:r>
        <w:rPr>
          <w:rFonts w:hint="eastAsia" w:ascii="宋体" w:hAnsi="宋体" w:cs="宋体"/>
          <w:b/>
          <w:color w:val="000000"/>
          <w:sz w:val="24"/>
          <w:highlight w:val="none"/>
        </w:rPr>
      </w:r>
      <w:r/>
    </w:p>
    <w:p>
      <w:pPr>
        <w:pStyle w:val="1075"/>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1.5.1投标函；</w:t>
      </w:r>
      <w:r>
        <w:rPr>
          <w:rFonts w:hint="eastAsia" w:ascii="宋体" w:hAnsi="宋体" w:eastAsia="宋体" w:cs="宋体"/>
          <w:color w:val="000000"/>
          <w:szCs w:val="24"/>
          <w:highlight w:val="none"/>
        </w:rPr>
      </w:r>
      <w:r/>
    </w:p>
    <w:p>
      <w:pPr>
        <w:pStyle w:val="1075"/>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1.5.2关于资格文件的声明函；</w:t>
      </w:r>
      <w:r>
        <w:rPr>
          <w:rFonts w:hint="eastAsia" w:ascii="宋体" w:hAnsi="宋体" w:eastAsia="宋体" w:cs="宋体"/>
          <w:color w:val="000000"/>
          <w:szCs w:val="24"/>
          <w:highlight w:val="none"/>
        </w:rPr>
      </w:r>
      <w:r/>
    </w:p>
    <w:p>
      <w:pPr>
        <w:pStyle w:val="1075"/>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1.5.3响应单位情况表；</w:t>
      </w:r>
      <w:r>
        <w:rPr>
          <w:rFonts w:hint="eastAsia" w:ascii="宋体" w:hAnsi="宋体" w:eastAsia="宋体" w:cs="宋体"/>
          <w:color w:val="000000"/>
          <w:szCs w:val="24"/>
          <w:highlight w:val="none"/>
        </w:rPr>
      </w:r>
      <w:r/>
    </w:p>
    <w:p>
      <w:pPr>
        <w:pStyle w:val="1075"/>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1.5.4法定代表人身份证复印件；</w:t>
      </w:r>
      <w:r>
        <w:rPr>
          <w:rFonts w:hint="eastAsia" w:ascii="宋体" w:hAnsi="宋体" w:eastAsia="宋体" w:cs="宋体"/>
          <w:color w:val="000000"/>
          <w:szCs w:val="24"/>
          <w:highlight w:val="none"/>
        </w:rPr>
      </w:r>
      <w:r/>
    </w:p>
    <w:p>
      <w:pPr>
        <w:pStyle w:val="1075"/>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1.5.5法定代表人授权委托书（如有授权）；</w:t>
      </w:r>
      <w:r>
        <w:rPr>
          <w:rFonts w:hint="eastAsia" w:ascii="宋体" w:hAnsi="宋体" w:eastAsia="宋体" w:cs="宋体"/>
          <w:color w:val="000000"/>
          <w:szCs w:val="24"/>
          <w:highlight w:val="none"/>
        </w:rPr>
      </w:r>
      <w:r/>
    </w:p>
    <w:p>
      <w:pPr>
        <w:pStyle w:val="1075"/>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1.5.6授权代理人身份证复印件（如有授权）；</w:t>
      </w:r>
      <w:r>
        <w:rPr>
          <w:rFonts w:hint="eastAsia" w:ascii="宋体" w:hAnsi="宋体" w:eastAsia="宋体" w:cs="宋体"/>
          <w:color w:val="000000"/>
          <w:szCs w:val="24"/>
          <w:highlight w:val="none"/>
        </w:rPr>
      </w:r>
      <w:r/>
    </w:p>
    <w:p>
      <w:pPr>
        <w:pStyle w:val="1075"/>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1.5.7投标（响应）保证承诺书；</w:t>
      </w:r>
      <w:r>
        <w:rPr>
          <w:rFonts w:hint="eastAsia" w:ascii="宋体" w:hAnsi="宋体" w:eastAsia="宋体" w:cs="宋体"/>
          <w:color w:val="000000"/>
          <w:szCs w:val="24"/>
          <w:highlight w:val="none"/>
        </w:rPr>
      </w:r>
      <w:r/>
    </w:p>
    <w:p>
      <w:pPr>
        <w:pStyle w:val="1075"/>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1.5.8《服务要求偏离表》；</w:t>
      </w:r>
      <w:r>
        <w:rPr>
          <w:rFonts w:hint="eastAsia" w:ascii="宋体" w:hAnsi="宋体" w:eastAsia="宋体" w:cs="宋体"/>
          <w:color w:val="000000"/>
          <w:szCs w:val="24"/>
          <w:highlight w:val="none"/>
        </w:rPr>
      </w:r>
      <w:r/>
    </w:p>
    <w:p>
      <w:pPr>
        <w:pStyle w:val="1075"/>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1.5.9《商务条款偏离表》；</w:t>
      </w:r>
      <w:r>
        <w:rPr>
          <w:rFonts w:hint="eastAsia" w:ascii="宋体" w:hAnsi="宋体" w:eastAsia="宋体" w:cs="宋体"/>
          <w:color w:val="000000"/>
          <w:szCs w:val="24"/>
          <w:highlight w:val="none"/>
        </w:rPr>
      </w:r>
      <w:r/>
    </w:p>
    <w:p>
      <w:pPr>
        <w:pStyle w:val="1075"/>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1.5.10其他有关符合性证明的文件（如有）；</w:t>
      </w:r>
      <w:r>
        <w:rPr>
          <w:rFonts w:hint="eastAsia" w:ascii="宋体" w:hAnsi="宋体" w:eastAsia="宋体" w:cs="宋体"/>
          <w:color w:val="000000"/>
          <w:szCs w:val="24"/>
          <w:highlight w:val="none"/>
        </w:rPr>
      </w:r>
      <w:r/>
    </w:p>
    <w:p>
      <w:pPr>
        <w:pStyle w:val="1060"/>
        <w:ind w:firstLine="408"/>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1.6综合评审文件（具体模块以系统生成为准） </w:t>
      </w:r>
      <w:r>
        <w:rPr>
          <w:rFonts w:hint="eastAsia" w:ascii="宋体" w:hAnsi="宋体" w:cs="宋体"/>
          <w:b/>
          <w:color w:val="000000"/>
          <w:sz w:val="24"/>
          <w:highlight w:val="none"/>
        </w:rPr>
      </w:r>
      <w:r/>
    </w:p>
    <w:p>
      <w:pPr>
        <w:pStyle w:val="1060"/>
        <w:ind w:firstLine="408"/>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1.</w:t>
      </w:r>
      <w:r>
        <w:rPr>
          <w:rFonts w:hint="eastAsia" w:ascii="宋体" w:hAnsi="宋体" w:cs="宋体"/>
          <w:color w:val="000000"/>
          <w:sz w:val="24"/>
          <w:highlight w:val="none"/>
        </w:rPr>
        <w:t xml:space="preserve">6</w:t>
      </w:r>
      <w:r>
        <w:rPr>
          <w:rFonts w:hint="eastAsia" w:ascii="宋体" w:hAnsi="宋体" w:cs="宋体"/>
          <w:color w:val="000000"/>
          <w:sz w:val="24"/>
          <w:highlight w:val="none"/>
          <w:lang w:val="zh-CN"/>
        </w:rPr>
        <w:t xml:space="preserve">.1</w:t>
      </w:r>
      <w:r>
        <w:rPr>
          <w:rFonts w:hint="eastAsia" w:ascii="宋体" w:hAnsi="宋体" w:cs="宋体"/>
          <w:color w:val="000000"/>
          <w:sz w:val="24"/>
          <w:highlight w:val="none"/>
        </w:rPr>
        <w:t xml:space="preserve">响应单位专业人员介绍：名单、证书及社保缴纳证明复印件；</w:t>
      </w:r>
      <w:r>
        <w:rPr>
          <w:rFonts w:hint="eastAsia" w:ascii="宋体" w:hAnsi="宋体" w:cs="宋体"/>
          <w:color w:val="000000"/>
          <w:sz w:val="24"/>
          <w:highlight w:val="none"/>
          <w:lang w:val="zh-CN"/>
        </w:rPr>
      </w:r>
      <w:r/>
    </w:p>
    <w:p>
      <w:pPr>
        <w:pStyle w:val="1060"/>
        <w:ind w:firstLine="408"/>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zh-CN"/>
        </w:rPr>
        <w:t xml:space="preserve">1.</w:t>
      </w:r>
      <w:r>
        <w:rPr>
          <w:rFonts w:hint="eastAsia" w:ascii="宋体" w:hAnsi="宋体" w:cs="宋体"/>
          <w:color w:val="000000"/>
          <w:sz w:val="24"/>
          <w:highlight w:val="none"/>
        </w:rPr>
        <w:t xml:space="preserve">6</w:t>
      </w:r>
      <w:r>
        <w:rPr>
          <w:rFonts w:hint="eastAsia" w:ascii="宋体" w:hAnsi="宋体" w:cs="宋体"/>
          <w:color w:val="000000"/>
          <w:sz w:val="24"/>
          <w:highlight w:val="none"/>
          <w:lang w:val="zh-CN"/>
        </w:rPr>
        <w:t xml:space="preserve">.2</w:t>
      </w:r>
      <w:r>
        <w:rPr>
          <w:rFonts w:hint="eastAsia" w:ascii="宋体" w:hAnsi="宋体" w:cs="宋体"/>
          <w:color w:val="000000"/>
          <w:sz w:val="24"/>
          <w:highlight w:val="none"/>
        </w:rPr>
        <w:t xml:space="preserve">服务方案；</w:t>
      </w:r>
      <w:r>
        <w:rPr>
          <w:rFonts w:hint="eastAsia" w:ascii="宋体" w:hAnsi="宋体" w:cs="宋体"/>
          <w:color w:val="000000"/>
          <w:sz w:val="24"/>
          <w:highlight w:val="none"/>
        </w:rPr>
      </w:r>
      <w:r/>
    </w:p>
    <w:p>
      <w:pPr>
        <w:pStyle w:val="1060"/>
        <w:ind w:firstLine="408"/>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zh-CN"/>
        </w:rPr>
        <w:t xml:space="preserve">1.</w:t>
      </w:r>
      <w:r>
        <w:rPr>
          <w:rFonts w:hint="eastAsia" w:ascii="宋体" w:hAnsi="宋体" w:cs="宋体"/>
          <w:color w:val="000000"/>
          <w:sz w:val="24"/>
          <w:highlight w:val="none"/>
        </w:rPr>
        <w:t xml:space="preserve">6</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3售后服务方案；</w:t>
      </w:r>
      <w:r>
        <w:rPr>
          <w:rFonts w:hint="eastAsia" w:ascii="宋体" w:hAnsi="宋体" w:cs="宋体"/>
          <w:color w:val="000000"/>
          <w:sz w:val="24"/>
          <w:highlight w:val="none"/>
        </w:rPr>
      </w:r>
      <w:r/>
    </w:p>
    <w:p>
      <w:pPr>
        <w:pStyle w:val="1060"/>
        <w:ind w:firstLine="408"/>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1.</w:t>
      </w:r>
      <w:r>
        <w:rPr>
          <w:rFonts w:hint="eastAsia" w:ascii="宋体" w:hAnsi="宋体" w:cs="宋体"/>
          <w:color w:val="000000"/>
          <w:sz w:val="24"/>
          <w:highlight w:val="none"/>
        </w:rPr>
        <w:t xml:space="preserve">6</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4</w:t>
      </w:r>
      <w:r>
        <w:rPr>
          <w:rFonts w:hint="eastAsia" w:ascii="宋体" w:hAnsi="宋体" w:cs="宋体"/>
          <w:color w:val="000000"/>
          <w:sz w:val="24"/>
          <w:highlight w:val="none"/>
          <w:lang w:val="zh-CN"/>
        </w:rPr>
        <w:t xml:space="preserve">企业内部管理制度及管理状况，包括：人力资源管理（含岗位职责）、财务管理制度（含固定资产管理制度）、业务管理制度、突发事件应急预案（含安全、消防等）、信息管理（含信息安全、舆情处置等）、服务项目档案管理制度等；</w:t>
      </w:r>
      <w:r>
        <w:rPr>
          <w:rFonts w:hint="eastAsia" w:ascii="宋体" w:hAnsi="宋体" w:cs="宋体"/>
          <w:color w:val="000000"/>
          <w:sz w:val="24"/>
          <w:highlight w:val="none"/>
          <w:lang w:val="zh-CN"/>
        </w:rPr>
      </w:r>
      <w:r/>
    </w:p>
    <w:p>
      <w:pPr>
        <w:pStyle w:val="1060"/>
        <w:ind w:firstLine="408"/>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zh-CN"/>
        </w:rPr>
        <w:t xml:space="preserve">1.</w:t>
      </w:r>
      <w:r>
        <w:rPr>
          <w:rFonts w:hint="eastAsia" w:ascii="宋体" w:hAnsi="宋体" w:cs="宋体"/>
          <w:color w:val="000000"/>
          <w:sz w:val="24"/>
          <w:highlight w:val="none"/>
        </w:rPr>
        <w:t xml:space="preserve">6</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5采购需求及评分标准中所涉及到的其他材料等；</w:t>
      </w:r>
      <w:r>
        <w:rPr>
          <w:rFonts w:hint="eastAsia" w:ascii="宋体" w:hAnsi="宋体" w:cs="宋体"/>
          <w:color w:val="000000"/>
          <w:sz w:val="24"/>
          <w:highlight w:val="none"/>
        </w:rPr>
      </w:r>
      <w:r/>
    </w:p>
    <w:p>
      <w:pPr>
        <w:pStyle w:val="1060"/>
        <w:ind w:firstLine="408"/>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1.</w:t>
      </w:r>
      <w:r>
        <w:rPr>
          <w:rFonts w:hint="eastAsia" w:ascii="宋体" w:hAnsi="宋体" w:cs="宋体"/>
          <w:color w:val="000000"/>
          <w:sz w:val="24"/>
          <w:highlight w:val="none"/>
        </w:rPr>
        <w:t xml:space="preserve">6</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6</w:t>
      </w:r>
      <w:r>
        <w:rPr>
          <w:rFonts w:hint="eastAsia" w:ascii="宋体" w:hAnsi="宋体" w:cs="宋体"/>
          <w:color w:val="000000"/>
          <w:sz w:val="24"/>
          <w:highlight w:val="none"/>
          <w:lang w:val="zh-CN"/>
        </w:rPr>
        <w:t xml:space="preserve">中小企业声明函/残疾人福利性单位声明函/监狱企业</w:t>
      </w:r>
      <w:r>
        <w:rPr>
          <w:rFonts w:hint="eastAsia" w:ascii="宋体" w:hAnsi="宋体" w:cs="宋体"/>
          <w:color w:val="000000"/>
          <w:sz w:val="24"/>
          <w:highlight w:val="none"/>
        </w:rPr>
        <w:t xml:space="preserve">/关于符合本国产品标准的声明函（如有）</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val="zh-CN"/>
        </w:rPr>
      </w:r>
      <w:r/>
    </w:p>
    <w:p>
      <w:pPr>
        <w:pStyle w:val="1060"/>
        <w:ind w:firstLine="408"/>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1.</w:t>
      </w:r>
      <w:r>
        <w:rPr>
          <w:rFonts w:hint="eastAsia" w:ascii="宋体" w:hAnsi="宋体" w:cs="宋体"/>
          <w:color w:val="000000"/>
          <w:sz w:val="24"/>
          <w:highlight w:val="none"/>
        </w:rPr>
        <w:t xml:space="preserve">6</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7</w:t>
      </w:r>
      <w:r>
        <w:rPr>
          <w:rFonts w:hint="eastAsia" w:ascii="宋体" w:hAnsi="宋体" w:cs="宋体"/>
          <w:color w:val="000000"/>
          <w:sz w:val="24"/>
          <w:highlight w:val="none"/>
          <w:lang w:val="zh-CN"/>
        </w:rPr>
        <w:t xml:space="preserve">其他可以证明投标人资质、服务质量的证书、文件等相关资料（如有）。</w:t>
      </w:r>
      <w:r>
        <w:rPr>
          <w:rFonts w:hint="eastAsia" w:ascii="宋体" w:hAnsi="宋体" w:cs="宋体"/>
          <w:color w:val="000000"/>
          <w:sz w:val="24"/>
          <w:highlight w:val="none"/>
          <w:lang w:val="zh-CN"/>
        </w:rPr>
      </w:r>
      <w:r/>
    </w:p>
    <w:p>
      <w:pPr>
        <w:pStyle w:val="1263"/>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注：（1）以上1.</w:t>
      </w:r>
      <w:r>
        <w:rPr>
          <w:rFonts w:hint="eastAsia" w:ascii="宋体" w:hAnsi="宋体" w:cs="宋体"/>
          <w:b/>
          <w:bCs/>
          <w:color w:val="000000"/>
          <w:sz w:val="24"/>
          <w:highlight w:val="none"/>
          <w:lang w:val="en-US"/>
        </w:rPr>
        <w:t xml:space="preserve">4</w:t>
      </w:r>
      <w:r>
        <w:rPr>
          <w:rFonts w:hint="eastAsia" w:ascii="宋体" w:hAnsi="宋体" w:cs="宋体"/>
          <w:b/>
          <w:bCs/>
          <w:color w:val="000000"/>
          <w:sz w:val="24"/>
          <w:highlight w:val="none"/>
        </w:rPr>
        <w:t xml:space="preserve">.1-1.</w:t>
      </w:r>
      <w:r>
        <w:rPr>
          <w:rFonts w:hint="eastAsia" w:ascii="宋体" w:hAnsi="宋体" w:cs="宋体"/>
          <w:b/>
          <w:bCs/>
          <w:color w:val="000000"/>
          <w:sz w:val="24"/>
          <w:highlight w:val="none"/>
          <w:lang w:val="en-US"/>
        </w:rPr>
        <w:t xml:space="preserve">4</w:t>
      </w:r>
      <w:r>
        <w:rPr>
          <w:rFonts w:hint="eastAsia" w:ascii="宋体" w:hAnsi="宋体" w:cs="宋体"/>
          <w:b/>
          <w:bCs/>
          <w:color w:val="000000"/>
          <w:sz w:val="24"/>
          <w:highlight w:val="none"/>
        </w:rPr>
        <w:t xml:space="preserve">.</w:t>
      </w:r>
      <w:r>
        <w:rPr>
          <w:rFonts w:hint="eastAsia" w:ascii="宋体" w:hAnsi="宋体" w:cs="宋体"/>
          <w:b/>
          <w:bCs/>
          <w:color w:val="000000"/>
          <w:sz w:val="24"/>
          <w:highlight w:val="none"/>
          <w:lang w:val="en-US"/>
        </w:rPr>
        <w:t xml:space="preserve">2</w:t>
      </w:r>
      <w:r>
        <w:rPr>
          <w:rFonts w:hint="eastAsia" w:ascii="宋体" w:hAnsi="宋体" w:cs="宋体"/>
          <w:b/>
          <w:bCs/>
          <w:color w:val="000000"/>
          <w:sz w:val="24"/>
          <w:highlight w:val="none"/>
        </w:rPr>
        <w:t xml:space="preserve">为资格审查要求提供的材料，是作为对供应商资格审查、质疑身份认定的依据，投标人必须提供并加盖电子公章。否则，投标文件将被认定为不符合资格审查要求。</w:t>
      </w:r>
      <w:r>
        <w:rPr>
          <w:rFonts w:hint="eastAsia" w:ascii="宋体" w:hAnsi="宋体" w:cs="宋体"/>
          <w:b/>
          <w:bCs/>
          <w:color w:val="000000"/>
          <w:sz w:val="24"/>
          <w:highlight w:val="none"/>
        </w:rPr>
      </w:r>
      <w:r/>
    </w:p>
    <w:p>
      <w:pPr>
        <w:pStyle w:val="1263"/>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（2）以上1.</w:t>
      </w:r>
      <w:r>
        <w:rPr>
          <w:rFonts w:hint="eastAsia" w:ascii="宋体" w:hAnsi="宋体" w:cs="宋体"/>
          <w:b/>
          <w:bCs/>
          <w:color w:val="000000"/>
          <w:sz w:val="24"/>
          <w:highlight w:val="none"/>
          <w:lang w:val="en-US"/>
        </w:rPr>
        <w:t xml:space="preserve">5</w:t>
      </w:r>
      <w:r>
        <w:rPr>
          <w:rFonts w:hint="eastAsia" w:ascii="宋体" w:hAnsi="宋体" w:cs="宋体"/>
          <w:b/>
          <w:bCs/>
          <w:color w:val="000000"/>
          <w:sz w:val="24"/>
          <w:highlight w:val="none"/>
        </w:rPr>
        <w:t xml:space="preserve">.1-1.</w:t>
      </w:r>
      <w:r>
        <w:rPr>
          <w:rFonts w:hint="eastAsia" w:ascii="宋体" w:hAnsi="宋体" w:cs="宋体"/>
          <w:b/>
          <w:bCs/>
          <w:color w:val="000000"/>
          <w:sz w:val="24"/>
          <w:highlight w:val="none"/>
          <w:lang w:val="en-US"/>
        </w:rPr>
        <w:t xml:space="preserve">5</w:t>
      </w:r>
      <w:r>
        <w:rPr>
          <w:rFonts w:hint="eastAsia" w:ascii="宋体" w:hAnsi="宋体" w:cs="宋体"/>
          <w:b/>
          <w:bCs/>
          <w:color w:val="000000"/>
          <w:sz w:val="24"/>
          <w:highlight w:val="none"/>
        </w:rPr>
        <w:t xml:space="preserve">.</w:t>
      </w:r>
      <w:r>
        <w:rPr>
          <w:rFonts w:hint="eastAsia" w:ascii="宋体" w:hAnsi="宋体" w:cs="宋体"/>
          <w:b/>
          <w:bCs/>
          <w:color w:val="000000"/>
          <w:sz w:val="24"/>
          <w:highlight w:val="none"/>
          <w:lang w:val="en-US"/>
        </w:rPr>
        <w:t xml:space="preserve">10</w:t>
      </w:r>
      <w:r>
        <w:rPr>
          <w:rFonts w:hint="eastAsia" w:ascii="宋体" w:hAnsi="宋体" w:cs="宋体"/>
          <w:b/>
          <w:bCs/>
          <w:color w:val="000000"/>
          <w:sz w:val="24"/>
          <w:highlight w:val="none"/>
        </w:rPr>
        <w:t xml:space="preserve">为符合性审查须提供的资料，投标人必须提供并加盖电子公章。否则，投标文件将被认定为未实质性响应。</w:t>
      </w:r>
      <w:r>
        <w:rPr>
          <w:rFonts w:hint="eastAsia" w:ascii="宋体" w:hAnsi="宋体" w:cs="宋体"/>
          <w:b/>
          <w:bCs/>
          <w:color w:val="000000"/>
          <w:sz w:val="24"/>
          <w:highlight w:val="none"/>
        </w:rPr>
      </w:r>
      <w:r/>
    </w:p>
    <w:p>
      <w:pPr>
        <w:pStyle w:val="1263"/>
        <w:ind w:firstLine="482"/>
        <w:spacing w:line="360" w:lineRule="auto"/>
        <w:rPr>
          <w:rFonts w:hint="eastAsia" w:ascii="宋体" w:hAnsi="宋体" w:cs="宋体"/>
          <w:b/>
          <w:bCs/>
          <w:color w:val="000000"/>
          <w:sz w:val="24"/>
          <w:highlight w:val="none"/>
        </w:rPr>
      </w:pPr>
      <w:r>
        <w:rPr>
          <w:rFonts w:hint="eastAsia" w:ascii="宋体" w:hAnsi="宋体" w:cs="宋体"/>
          <w:b/>
          <w:color w:val="000000"/>
          <w:sz w:val="24"/>
          <w:highlight w:val="none"/>
        </w:rPr>
        <w:t xml:space="preserve">（</w:t>
      </w:r>
      <w:r>
        <w:rPr>
          <w:rFonts w:hint="eastAsia" w:ascii="宋体" w:hAnsi="宋体" w:cs="宋体"/>
          <w:b/>
          <w:color w:val="000000"/>
          <w:sz w:val="24"/>
          <w:highlight w:val="none"/>
          <w:lang w:val="en-US"/>
        </w:rPr>
        <w:t xml:space="preserve">3</w:t>
      </w:r>
      <w:r>
        <w:rPr>
          <w:rFonts w:hint="eastAsia" w:ascii="宋体" w:hAnsi="宋体" w:cs="宋体"/>
          <w:b/>
          <w:color w:val="000000"/>
          <w:sz w:val="24"/>
          <w:highlight w:val="none"/>
        </w:rPr>
        <w:t xml:space="preserve">）制作电子投标文件时必须与投标文件制作软件目录一一对应，将相关资料上传至相应模块。</w:t>
      </w:r>
      <w:r>
        <w:rPr>
          <w:rFonts w:hint="eastAsia" w:ascii="宋体" w:hAnsi="宋体" w:cs="宋体"/>
          <w:b/>
          <w:bCs/>
          <w:color w:val="000000"/>
          <w:sz w:val="24"/>
          <w:highlight w:val="none"/>
        </w:rPr>
      </w:r>
      <w:r/>
    </w:p>
    <w:p>
      <w:pPr>
        <w:pStyle w:val="1263"/>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w:t>
      </w:r>
      <w:r>
        <w:rPr>
          <w:rFonts w:hint="eastAsia" w:ascii="宋体" w:hAnsi="宋体" w:cs="宋体"/>
          <w:b/>
          <w:color w:val="000000"/>
          <w:sz w:val="24"/>
          <w:highlight w:val="none"/>
          <w:lang w:val="en-US"/>
        </w:rPr>
        <w:t xml:space="preserve">4</w:t>
      </w:r>
      <w:r>
        <w:rPr>
          <w:rFonts w:hint="eastAsia" w:ascii="宋体" w:hAnsi="宋体" w:cs="宋体"/>
          <w:b/>
          <w:color w:val="000000"/>
          <w:sz w:val="24"/>
          <w:highlight w:val="none"/>
        </w:rPr>
        <w:t xml:space="preserve">）开评标过程中如有问题采购代理机构工作人员会及时通过《投标供应商确认函》留存的手机号与供应商联系。请供应商确保该手机号通讯畅通，否则导致的不利后果由供应商自行承担。</w:t>
      </w:r>
      <w:r>
        <w:rPr>
          <w:rFonts w:hint="eastAsia" w:ascii="宋体" w:hAnsi="宋体" w:cs="宋体"/>
          <w:b/>
          <w:color w:val="000000"/>
          <w:sz w:val="24"/>
          <w:highlight w:val="none"/>
        </w:rPr>
      </w:r>
      <w:r/>
    </w:p>
    <w:p>
      <w:pPr>
        <w:pStyle w:val="1060"/>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2、投标文件的提交及编制</w:t>
      </w:r>
      <w:r>
        <w:rPr>
          <w:rFonts w:hint="eastAsia" w:ascii="宋体" w:hAnsi="宋体" w:cs="宋体"/>
          <w:b/>
          <w:color w:val="000000"/>
          <w:sz w:val="24"/>
          <w:highlight w:val="none"/>
        </w:rPr>
      </w:r>
      <w:r/>
    </w:p>
    <w:p>
      <w:pPr>
        <w:pStyle w:val="1060"/>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2.1本项目采用电子招投标方式，请供应商在“苏采云”系统中操作成功参与项目后，必须在“已参与项目”界面中下载电子征集文件（后缀名为“.kedt”）并导入政府采购客户端工具后方可进行响应文件</w:t>
      </w:r>
      <w:r>
        <w:rPr>
          <w:rFonts w:hint="eastAsia" w:ascii="宋体" w:hAnsi="宋体" w:cs="宋体"/>
          <w:b/>
          <w:color w:val="000000"/>
          <w:sz w:val="24"/>
          <w:highlight w:val="none"/>
        </w:rPr>
        <w:t xml:space="preserve">制作和提交（具体详见《苏采云系统供应商操作手册》，网址链接https://czju.suzhou.gov.cn/zfcg/html/content/20231220161910031.shtml）。请供应商按照《苏采云系统供应商操作手册》、征集文件要求进行制作、上传电子响应文件，响应单位无需提供纸质响应文件。电子响应文件制作完成后请在截止时间前完成提交（上传），否则视为放弃参加该采购项目。供应商应充分考虑到网络环境、网络带宽等风险因素，如因供应商自身原因造成的电子响应文件上传不成功由供应商自行承担全部责任。</w:t>
      </w:r>
      <w:r>
        <w:rPr>
          <w:rFonts w:hint="eastAsia" w:ascii="宋体" w:hAnsi="宋体" w:cs="宋体"/>
          <w:b/>
          <w:color w:val="000000"/>
          <w:sz w:val="24"/>
          <w:highlight w:val="none"/>
        </w:rPr>
      </w:r>
      <w:r/>
    </w:p>
    <w:p>
      <w:pPr>
        <w:pStyle w:val="1060"/>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2.2电子响应文件材料中要求加盖公章的必须加盖响应单位电子公章。</w:t>
      </w:r>
      <w:r>
        <w:rPr>
          <w:rFonts w:hint="eastAsia" w:ascii="宋体" w:hAnsi="宋体" w:cs="宋体"/>
          <w:b/>
          <w:color w:val="000000"/>
          <w:sz w:val="24"/>
          <w:highlight w:val="none"/>
        </w:rPr>
      </w:r>
      <w:r/>
    </w:p>
    <w:p>
      <w:pPr>
        <w:pStyle w:val="1060"/>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2.3供应商应当在征集文件要求的截止时间前，将响应文件上传苏釆云系统，否则视为放弃参加该采购项目。供应商在提交响应文件截止时间前，可以对所提交的响应文件进行补充、修改或者撤回，并书面通知采购代理机构。补充、修改的内容作为响应文件的组成部分，必须与电子响应文件保持一致。</w:t>
      </w:r>
      <w:r>
        <w:rPr>
          <w:rFonts w:hint="eastAsia" w:ascii="宋体" w:hAnsi="宋体" w:cs="宋体"/>
          <w:b/>
          <w:color w:val="000000"/>
          <w:sz w:val="24"/>
          <w:highlight w:val="none"/>
        </w:rPr>
      </w:r>
      <w:r/>
    </w:p>
    <w:p>
      <w:pPr>
        <w:pStyle w:val="1060"/>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2.4供应商应当按照征集文件的要求编制响应文件，并对其提交的响应文件的真实性、合法性承担法律责任。</w:t>
      </w:r>
      <w:r>
        <w:rPr>
          <w:rFonts w:hint="eastAsia" w:ascii="宋体" w:hAnsi="宋体" w:cs="宋体"/>
          <w:b/>
          <w:color w:val="000000"/>
          <w:sz w:val="24"/>
          <w:highlight w:val="none"/>
        </w:rPr>
      </w:r>
      <w:r/>
    </w:p>
    <w:p>
      <w:pPr>
        <w:pStyle w:val="1060"/>
        <w:ind w:firstLine="482"/>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2.5 投标报价（编制）要求的说明</w:t>
      </w:r>
      <w:r>
        <w:rPr>
          <w:rFonts w:hint="eastAsia" w:ascii="宋体" w:hAnsi="宋体" w:cs="宋体"/>
          <w:b/>
          <w:bCs/>
          <w:color w:val="000000"/>
          <w:sz w:val="24"/>
          <w:highlight w:val="none"/>
        </w:rPr>
      </w:r>
      <w:r/>
    </w:p>
    <w:p>
      <w:pPr>
        <w:pStyle w:val="106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2.5.1投标报价按照开标一览表要求进行填写。</w:t>
      </w:r>
      <w:r>
        <w:rPr>
          <w:rFonts w:hint="eastAsia" w:ascii="宋体" w:hAnsi="宋体" w:cs="宋体"/>
          <w:color w:val="000000"/>
          <w:sz w:val="24"/>
          <w:highlight w:val="none"/>
        </w:rPr>
      </w:r>
      <w:r/>
    </w:p>
    <w:p>
      <w:pPr>
        <w:pStyle w:val="1060"/>
        <w:ind w:firstLine="482"/>
        <w:jc w:val="left"/>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3、响应文件的份数</w:t>
      </w:r>
      <w:r>
        <w:rPr>
          <w:rFonts w:hint="eastAsia" w:ascii="宋体" w:hAnsi="宋体" w:cs="宋体"/>
          <w:color w:val="000000"/>
          <w:sz w:val="24"/>
          <w:highlight w:val="none"/>
        </w:rPr>
      </w:r>
      <w:r/>
    </w:p>
    <w:p>
      <w:pPr>
        <w:pStyle w:val="106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3.1 网上响应文件壹份。</w:t>
      </w:r>
      <w:r>
        <w:rPr>
          <w:rFonts w:hint="eastAsia" w:ascii="宋体" w:hAnsi="宋体" w:cs="宋体"/>
          <w:color w:val="000000"/>
          <w:sz w:val="24"/>
          <w:highlight w:val="none"/>
        </w:rPr>
      </w:r>
      <w:r/>
    </w:p>
    <w:p>
      <w:pPr>
        <w:pStyle w:val="1235"/>
        <w:ind w:firstLine="482"/>
        <w:jc w:val="left"/>
        <w:spacing w:line="360" w:lineRule="auto"/>
        <w:rPr>
          <w:rFonts w:hint="eastAsia" w:hAnsi="宋体" w:eastAsia="宋体" w:cs="宋体"/>
          <w:b/>
          <w:color w:val="000000"/>
          <w:sz w:val="24"/>
          <w:szCs w:val="24"/>
          <w:highlight w:val="none"/>
        </w:rPr>
      </w:pPr>
      <w:r/>
      <w:bookmarkStart w:id="122" w:name="_Toc315875318"/>
      <w:r/>
      <w:bookmarkStart w:id="123" w:name="_Toc315868055"/>
      <w:r/>
      <w:bookmarkStart w:id="124" w:name="_Toc158691771"/>
      <w:r/>
      <w:bookmarkStart w:id="125" w:name="_Toc136507755"/>
      <w:r>
        <w:rPr>
          <w:rFonts w:hint="eastAsia" w:hAnsi="宋体" w:eastAsia="宋体" w:cs="宋体"/>
          <w:b/>
          <w:color w:val="000000"/>
          <w:sz w:val="24"/>
          <w:szCs w:val="24"/>
          <w:highlight w:val="none"/>
        </w:rPr>
        <w:t xml:space="preserve">4、投标保证金</w:t>
      </w:r>
      <w:r>
        <w:rPr>
          <w:rFonts w:hint="eastAsia" w:hAnsi="宋体" w:eastAsia="宋体" w:cs="宋体"/>
          <w:b/>
          <w:color w:val="000000"/>
          <w:sz w:val="24"/>
          <w:szCs w:val="24"/>
          <w:highlight w:val="none"/>
        </w:rPr>
      </w:r>
      <w:r/>
    </w:p>
    <w:p>
      <w:pPr>
        <w:pStyle w:val="1060"/>
        <w:ind w:firstLine="480"/>
        <w:jc w:val="left"/>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根据苏州市财政局《关于进一步优化市级政府采购营商环境的通知》（苏财购〔2020〕32号），本项目取消投标保证金。</w:t>
      </w:r>
      <w:r>
        <w:rPr>
          <w:rFonts w:hint="eastAsia" w:ascii="宋体" w:hAnsi="宋体" w:cs="宋体"/>
          <w:color w:val="000000"/>
          <w:sz w:val="24"/>
          <w:highlight w:val="none"/>
          <w:lang w:val="zh-CN"/>
        </w:rPr>
      </w:r>
      <w:r/>
    </w:p>
    <w:p>
      <w:pPr>
        <w:pStyle w:val="1062"/>
        <w:ind w:firstLine="482"/>
        <w:spacing w:line="360" w:lineRule="auto"/>
        <w:rPr>
          <w:rFonts w:hint="eastAsia" w:eastAsia="宋体" w:cs="宋体"/>
          <w:color w:val="000000"/>
          <w:sz w:val="24"/>
          <w:szCs w:val="24"/>
          <w:highlight w:val="none"/>
          <w:lang w:val="zh-CN"/>
        </w:rPr>
      </w:pPr>
      <w:r/>
      <w:bookmarkEnd w:id="122"/>
      <w:r/>
      <w:bookmarkEnd w:id="123"/>
      <w:r/>
      <w:bookmarkEnd w:id="124"/>
      <w:r/>
      <w:bookmarkEnd w:id="125"/>
      <w:r>
        <w:rPr>
          <w:rFonts w:hint="eastAsia" w:eastAsia="宋体" w:cs="宋体"/>
          <w:color w:val="000000"/>
          <w:sz w:val="24"/>
          <w:szCs w:val="24"/>
          <w:highlight w:val="none"/>
          <w:lang w:val="zh-CN"/>
        </w:rPr>
        <w:t xml:space="preserve">四、响应文件的开启与评审</w:t>
      </w:r>
      <w:r>
        <w:rPr>
          <w:rFonts w:hint="eastAsia" w:eastAsia="宋体" w:cs="宋体"/>
          <w:color w:val="000000"/>
          <w:sz w:val="24"/>
          <w:szCs w:val="24"/>
          <w:highlight w:val="none"/>
          <w:lang w:val="zh-CN"/>
        </w:rPr>
      </w:r>
      <w:r/>
    </w:p>
    <w:p>
      <w:pPr>
        <w:pStyle w:val="1060"/>
        <w:ind w:firstLine="482"/>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rPr>
        <w:t xml:space="preserve">1、</w:t>
      </w:r>
      <w:r>
        <w:rPr>
          <w:rFonts w:hint="eastAsia" w:ascii="宋体" w:hAnsi="宋体" w:cs="宋体"/>
          <w:b/>
          <w:bCs/>
          <w:color w:val="000000"/>
          <w:sz w:val="24"/>
          <w:highlight w:val="none"/>
          <w:lang w:val="zh-CN"/>
        </w:rPr>
        <w:t xml:space="preserve">响应文件的开启</w:t>
      </w:r>
      <w:r>
        <w:rPr>
          <w:rFonts w:hint="eastAsia" w:ascii="宋体" w:hAnsi="宋体" w:cs="宋体"/>
          <w:b/>
          <w:bCs/>
          <w:color w:val="000000"/>
          <w:sz w:val="24"/>
          <w:highlight w:val="none"/>
          <w:lang w:val="zh-CN"/>
        </w:rPr>
      </w:r>
      <w:r/>
    </w:p>
    <w:p>
      <w:pPr>
        <w:pStyle w:val="106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1.1 代理机构工作人员将在征集公告中规定的时间和地点组织开标。投标人应当按照《操作手册》规定，参加开标活动和在苏采云系统规定的时间内对投标文件进行解密。</w:t>
      </w:r>
      <w:r>
        <w:rPr>
          <w:rFonts w:hint="eastAsia" w:ascii="宋体" w:hAnsi="宋体" w:cs="宋体"/>
          <w:color w:val="000000"/>
          <w:sz w:val="24"/>
          <w:highlight w:val="none"/>
        </w:rPr>
      </w:r>
      <w:r/>
    </w:p>
    <w:p>
      <w:pPr>
        <w:pStyle w:val="106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1.2开标仪式由代理机构组织。苏采云系统将自动对项目进行开标，并宣布各投标人名称和投标价格。</w:t>
      </w:r>
      <w:r>
        <w:rPr>
          <w:rFonts w:hint="eastAsia" w:ascii="宋体" w:hAnsi="宋体" w:cs="宋体"/>
          <w:color w:val="000000"/>
          <w:sz w:val="24"/>
          <w:highlight w:val="none"/>
        </w:rPr>
      </w:r>
      <w:r/>
    </w:p>
    <w:p>
      <w:pPr>
        <w:pStyle w:val="106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1.3投标人在开标过程中涉及到的投标文件解密、开标结果确认等工作，应按照《操作手册》规定执行。</w:t>
      </w:r>
      <w:r>
        <w:rPr>
          <w:rFonts w:hint="eastAsia" w:ascii="宋体" w:hAnsi="宋体" w:cs="宋体"/>
          <w:color w:val="000000"/>
          <w:sz w:val="24"/>
          <w:highlight w:val="none"/>
        </w:rPr>
      </w:r>
      <w:r/>
    </w:p>
    <w:p>
      <w:pPr>
        <w:pStyle w:val="1060"/>
        <w:ind w:firstLine="480"/>
        <w:jc w:val="left"/>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1.4投标人如果对开标过程和开标记录有疑义，应当根据《操作手册》规定提出，如苏采云系统中《开标记录表》宣布后5分钟内未提出的，视同认可开标结果。</w:t>
      </w:r>
      <w:r>
        <w:rPr>
          <w:rFonts w:hint="eastAsia" w:ascii="宋体" w:hAnsi="宋体" w:cs="宋体"/>
          <w:color w:val="000000"/>
          <w:sz w:val="24"/>
          <w:highlight w:val="none"/>
          <w:lang w:val="zh-CN"/>
        </w:rPr>
      </w:r>
      <w:r/>
    </w:p>
    <w:p>
      <w:pPr>
        <w:pStyle w:val="1060"/>
        <w:ind w:firstLine="482"/>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t xml:space="preserve">2、响应文件的评审</w:t>
      </w:r>
      <w:r>
        <w:rPr>
          <w:rFonts w:hint="eastAsia" w:ascii="宋体" w:hAnsi="宋体" w:cs="宋体"/>
          <w:b/>
          <w:bCs/>
          <w:color w:val="000000"/>
          <w:sz w:val="24"/>
          <w:highlight w:val="none"/>
          <w:lang w:val="zh-CN"/>
        </w:rPr>
      </w:r>
      <w:r/>
    </w:p>
    <w:p>
      <w:pPr>
        <w:pStyle w:val="1060"/>
        <w:ind w:firstLine="480"/>
        <w:jc w:val="left"/>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2.1响应文件开启后，采购代理机构将立即组织评审小组进行项目评审。</w:t>
      </w:r>
      <w:r>
        <w:rPr>
          <w:rFonts w:hint="eastAsia" w:ascii="宋体" w:hAnsi="宋体" w:cs="宋体"/>
          <w:color w:val="000000"/>
          <w:sz w:val="24"/>
          <w:highlight w:val="none"/>
          <w:lang w:val="zh-CN"/>
        </w:rPr>
      </w:r>
      <w:r/>
    </w:p>
    <w:p>
      <w:pPr>
        <w:pStyle w:val="106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2.2根据政府采购法及相关法规，以及苏州市财政局《关于印发苏州市市级政府采购信用记录查询和使用工作试行办法的通知》（苏财购（2017）11号）文件的规定，招标代理人将对供应商进行信用查询。对列入失信被执行人、重大税收违法案件当事人名单、政府采购严重违法失信行为记录名单的供应商，拒绝其参与政府采购活动。</w:t>
      </w:r>
      <w:r>
        <w:rPr>
          <w:rFonts w:hint="eastAsia" w:ascii="宋体" w:hAnsi="宋体" w:cs="宋体"/>
          <w:color w:val="000000"/>
          <w:sz w:val="24"/>
          <w:highlight w:val="none"/>
        </w:rPr>
      </w:r>
      <w:r/>
    </w:p>
    <w:p>
      <w:pPr>
        <w:pStyle w:val="106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2.2.1查询时间：进入评审环节前。</w:t>
      </w:r>
      <w:r>
        <w:rPr>
          <w:rFonts w:hint="eastAsia" w:ascii="宋体" w:hAnsi="宋体" w:cs="宋体"/>
          <w:color w:val="000000"/>
          <w:sz w:val="24"/>
          <w:highlight w:val="none"/>
        </w:rPr>
      </w:r>
      <w:r/>
    </w:p>
    <w:p>
      <w:pPr>
        <w:pStyle w:val="1060"/>
        <w:ind w:firstLine="480"/>
        <w:jc w:val="left"/>
        <w:spacing w:line="360" w:lineRule="auto"/>
        <w:rPr>
          <w:rFonts w:hint="eastAsia" w:ascii="宋体" w:hAnsi="宋体" w:cs="宋体"/>
          <w:color w:val="000000"/>
          <w:sz w:val="24"/>
          <w:highlight w:val="none"/>
        </w:rPr>
      </w:pPr>
      <w:r/>
      <w:bookmarkStart w:id="126" w:name="_Hlk139976706"/>
      <w:r>
        <w:rPr>
          <w:rFonts w:hint="eastAsia" w:ascii="宋体" w:hAnsi="宋体" w:cs="宋体"/>
          <w:color w:val="000000"/>
          <w:sz w:val="24"/>
          <w:highlight w:val="none"/>
        </w:rPr>
        <w:t xml:space="preserve">2.2.2查询证据留存方式：对存在失信信息的供应商，招标代理人应登陆到来源网站页面进行复核并打印，作为证据留存。</w:t>
      </w:r>
      <w:bookmarkEnd w:id="126"/>
      <w:r>
        <w:rPr>
          <w:rFonts w:hint="eastAsia" w:ascii="宋体" w:hAnsi="宋体" w:cs="宋体"/>
          <w:color w:val="000000"/>
          <w:sz w:val="24"/>
          <w:highlight w:val="none"/>
        </w:rPr>
      </w:r>
      <w:r/>
    </w:p>
    <w:p>
      <w:pPr>
        <w:pStyle w:val="1060"/>
        <w:ind w:firstLine="480"/>
        <w:jc w:val="left"/>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2.3</w:t>
      </w:r>
      <w:r>
        <w:rPr>
          <w:rFonts w:hint="eastAsia" w:ascii="宋体" w:hAnsi="宋体" w:cs="宋体"/>
          <w:color w:val="000000"/>
          <w:sz w:val="24"/>
          <w:highlight w:val="none"/>
          <w:lang w:val="zh-CN"/>
        </w:rPr>
        <w:t xml:space="preserve">经查实供应商在采购活动（开标截止前）存在串通投标、弄虚作假、行贿等违法违规行为的，评标委员会应当认定其响应无效，不进入后续评审。</w:t>
      </w:r>
      <w:r>
        <w:rPr>
          <w:rFonts w:hint="eastAsia" w:ascii="宋体" w:hAnsi="宋体" w:cs="宋体"/>
          <w:color w:val="000000"/>
          <w:sz w:val="24"/>
          <w:highlight w:val="none"/>
          <w:lang w:val="zh-CN"/>
        </w:rPr>
      </w:r>
      <w:r/>
    </w:p>
    <w:p>
      <w:pPr>
        <w:pStyle w:val="1060"/>
        <w:ind w:firstLine="480"/>
        <w:jc w:val="left"/>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2.</w:t>
      </w:r>
      <w:r>
        <w:rPr>
          <w:rFonts w:hint="eastAsia" w:ascii="宋体" w:hAnsi="宋体" w:cs="宋体"/>
          <w:color w:val="000000"/>
          <w:sz w:val="24"/>
          <w:highlight w:val="none"/>
        </w:rPr>
        <w:t xml:space="preserve">4</w:t>
      </w:r>
      <w:r>
        <w:rPr>
          <w:rFonts w:hint="eastAsia" w:ascii="宋体" w:hAnsi="宋体" w:cs="宋体"/>
          <w:color w:val="000000"/>
          <w:sz w:val="24"/>
          <w:highlight w:val="none"/>
          <w:lang w:val="zh-CN"/>
        </w:rPr>
        <w:t xml:space="preserve">由评审小组对供应商递交的响应文件进行资格审查和符合性审查。</w:t>
      </w:r>
      <w:r>
        <w:rPr>
          <w:rFonts w:hint="eastAsia" w:ascii="宋体" w:hAnsi="宋体" w:cs="宋体"/>
          <w:color w:val="000000"/>
          <w:sz w:val="24"/>
          <w:highlight w:val="none"/>
          <w:lang w:val="zh-CN"/>
        </w:rPr>
      </w:r>
      <w:r/>
    </w:p>
    <w:p>
      <w:pPr>
        <w:pStyle w:val="106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2.5评审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rPr>
          <w:rFonts w:hint="eastAsia" w:ascii="宋体" w:hAnsi="宋体" w:cs="宋体"/>
          <w:color w:val="000000"/>
          <w:sz w:val="24"/>
          <w:highlight w:val="none"/>
        </w:rPr>
      </w:r>
      <w:r/>
    </w:p>
    <w:p>
      <w:pPr>
        <w:pStyle w:val="106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2.6评审小组要求供应商澄清、说明或者更正响应文件应当以书面形式做出。供应商的澄清、说明或者更正应当由法定代表人或其授权代表签字或者加盖公章。</w:t>
      </w:r>
      <w:r>
        <w:rPr>
          <w:rFonts w:hint="eastAsia" w:ascii="宋体" w:hAnsi="宋体" w:cs="宋体"/>
          <w:color w:val="000000"/>
          <w:sz w:val="24"/>
          <w:highlight w:val="none"/>
        </w:rPr>
      </w:r>
      <w:r/>
    </w:p>
    <w:p>
      <w:pPr>
        <w:pStyle w:val="106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2.7响应文件报价出现前后不一致的，除征集文件另有规定外，按照下列规定修正：</w:t>
      </w:r>
      <w:r>
        <w:rPr>
          <w:rFonts w:hint="eastAsia" w:ascii="宋体" w:hAnsi="宋体" w:cs="宋体"/>
          <w:color w:val="000000"/>
          <w:sz w:val="24"/>
          <w:highlight w:val="none"/>
        </w:rPr>
      </w:r>
      <w:r/>
    </w:p>
    <w:p>
      <w:pPr>
        <w:pStyle w:val="106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2.7.1响应文件中开标一览表内容与响应文件中相应内容不一致的，以开标一览表为准；</w:t>
      </w:r>
      <w:r>
        <w:rPr>
          <w:rFonts w:hint="eastAsia" w:ascii="宋体" w:hAnsi="宋体" w:cs="宋体"/>
          <w:color w:val="000000"/>
          <w:sz w:val="24"/>
          <w:highlight w:val="none"/>
        </w:rPr>
      </w:r>
      <w:r/>
    </w:p>
    <w:p>
      <w:pPr>
        <w:pStyle w:val="106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2.7.2大写金额和小写金额不一致的，以大写金额为准；</w:t>
      </w:r>
      <w:r>
        <w:rPr>
          <w:rFonts w:hint="eastAsia" w:ascii="宋体" w:hAnsi="宋体" w:cs="宋体"/>
          <w:color w:val="000000"/>
          <w:sz w:val="24"/>
          <w:highlight w:val="none"/>
        </w:rPr>
      </w:r>
      <w:r/>
    </w:p>
    <w:p>
      <w:pPr>
        <w:pStyle w:val="106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2.7.3单价金额小数点或者百分比有明显错位的，以开标一览表的总价为准，并修改单价；</w:t>
      </w:r>
      <w:r>
        <w:rPr>
          <w:rFonts w:hint="eastAsia" w:ascii="宋体" w:hAnsi="宋体" w:cs="宋体"/>
          <w:color w:val="000000"/>
          <w:sz w:val="24"/>
          <w:highlight w:val="none"/>
        </w:rPr>
      </w:r>
      <w:r/>
    </w:p>
    <w:p>
      <w:pPr>
        <w:pStyle w:val="106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2.7.4总价金额与按单价汇总金额不一致的，以单价金额计算结果为准。</w:t>
      </w:r>
      <w:r>
        <w:rPr>
          <w:rFonts w:hint="eastAsia" w:ascii="宋体" w:hAnsi="宋体" w:cs="宋体"/>
          <w:color w:val="000000"/>
          <w:sz w:val="24"/>
          <w:highlight w:val="none"/>
        </w:rPr>
      </w:r>
      <w:r/>
    </w:p>
    <w:p>
      <w:pPr>
        <w:pStyle w:val="106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同时出现两种以上不一致的，按照前款规定的顺序修正。修正后的报价按照征集文件规定经供应商确认后产生约束力，供应商不确认的，其响应无效。</w:t>
      </w:r>
      <w:r>
        <w:rPr>
          <w:rFonts w:hint="eastAsia" w:ascii="宋体" w:hAnsi="宋体" w:cs="宋体"/>
          <w:color w:val="000000"/>
          <w:sz w:val="24"/>
          <w:highlight w:val="none"/>
        </w:rPr>
      </w:r>
      <w:r/>
    </w:p>
    <w:p>
      <w:pPr>
        <w:pStyle w:val="106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2.8评审小组认为供应商的报价明显低于其他通过符合性审查供应商的报价，有可能影响产品质量或者不能诚信履约的，应当要求其在评审现场合理的时间内提供书面说明，必要时提交相关证明材料；供应商不能证明其报价合理性的，评审小组应当将其作为无效响应处理。</w:t>
      </w:r>
      <w:r>
        <w:rPr>
          <w:rFonts w:hint="eastAsia" w:ascii="宋体" w:hAnsi="宋体" w:cs="宋体"/>
          <w:color w:val="000000"/>
          <w:sz w:val="24"/>
          <w:highlight w:val="none"/>
        </w:rPr>
      </w:r>
      <w:r/>
    </w:p>
    <w:p>
      <w:pPr>
        <w:pStyle w:val="1060"/>
        <w:ind w:firstLine="480"/>
        <w:jc w:val="left"/>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2.9 评审小组根据成交原则确定入围供应商，并将结果通知所有参加采购活动未入围的供应商。</w:t>
      </w:r>
      <w:r>
        <w:rPr>
          <w:rFonts w:hint="eastAsia" w:ascii="宋体" w:hAnsi="宋体" w:cs="宋体"/>
          <w:color w:val="000000"/>
          <w:sz w:val="24"/>
          <w:highlight w:val="none"/>
          <w:lang w:val="zh-CN"/>
        </w:rPr>
      </w:r>
      <w:r/>
    </w:p>
    <w:p>
      <w:pPr>
        <w:pStyle w:val="1060"/>
        <w:ind w:firstLine="480"/>
        <w:jc w:val="left"/>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2.10 </w:t>
      </w:r>
      <w:r>
        <w:rPr>
          <w:rFonts w:hint="eastAsia" w:ascii="宋体" w:hAnsi="宋体" w:cs="宋体"/>
          <w:color w:val="000000"/>
          <w:sz w:val="24"/>
          <w:highlight w:val="none"/>
          <w:lang w:val="zh-CN"/>
        </w:rPr>
        <w:t xml:space="preserve">如评审过程中出现本征集文件未尽事宜，由评审小组根据有关法律、法规讨论决定。</w:t>
      </w:r>
      <w:r>
        <w:rPr>
          <w:rFonts w:hint="eastAsia" w:ascii="宋体" w:hAnsi="宋体" w:cs="宋体"/>
          <w:color w:val="000000"/>
          <w:sz w:val="24"/>
          <w:highlight w:val="none"/>
          <w:lang w:val="zh-CN"/>
        </w:rPr>
      </w:r>
      <w:r/>
    </w:p>
    <w:p>
      <w:pPr>
        <w:pStyle w:val="1062"/>
        <w:ind w:firstLine="482"/>
        <w:spacing w:line="360" w:lineRule="auto"/>
        <w:rPr>
          <w:rFonts w:hint="eastAsia" w:eastAsia="宋体" w:cs="宋体"/>
          <w:color w:val="000000"/>
          <w:sz w:val="24"/>
          <w:szCs w:val="24"/>
          <w:highlight w:val="none"/>
          <w:lang w:val="zh-CN"/>
        </w:rPr>
      </w:pPr>
      <w:r>
        <w:rPr>
          <w:rFonts w:hint="eastAsia" w:eastAsia="宋体" w:cs="宋体"/>
          <w:color w:val="000000"/>
          <w:sz w:val="24"/>
          <w:szCs w:val="24"/>
          <w:highlight w:val="none"/>
          <w:lang w:val="zh-CN"/>
        </w:rPr>
        <w:t xml:space="preserve">五、质疑</w:t>
      </w:r>
      <w:r>
        <w:rPr>
          <w:rFonts w:hint="eastAsia" w:eastAsia="宋体" w:cs="宋体"/>
          <w:color w:val="000000"/>
          <w:sz w:val="24"/>
          <w:szCs w:val="24"/>
          <w:highlight w:val="none"/>
          <w:lang w:val="zh-CN"/>
        </w:rPr>
      </w:r>
      <w:r/>
    </w:p>
    <w:p>
      <w:pPr>
        <w:pStyle w:val="106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供应商认为征集文件、采购过程或成交结果使自己的权益受到损害的，可以在知道或者应知其权益受到损害之日起7个工作日内，以书面形式向采购代理机构提出质疑。采购代理机构应当在收到投标人书面质疑后7个工作日内作出答复。</w:t>
      </w:r>
      <w:r>
        <w:rPr>
          <w:rFonts w:hint="eastAsia" w:ascii="宋体" w:hAnsi="宋体" w:cs="宋体"/>
          <w:color w:val="000000"/>
          <w:sz w:val="24"/>
          <w:highlight w:val="none"/>
        </w:rPr>
      </w:r>
      <w:r/>
    </w:p>
    <w:p>
      <w:pPr>
        <w:pStyle w:val="106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2、本次征集文件要求供应商在法定质疑期内一次性提出针对同一采购程序环节的质疑。</w:t>
      </w:r>
      <w:r>
        <w:rPr>
          <w:rFonts w:hint="eastAsia" w:ascii="宋体" w:hAnsi="宋体" w:cs="宋体"/>
          <w:color w:val="000000"/>
          <w:sz w:val="24"/>
          <w:highlight w:val="none"/>
        </w:rPr>
      </w:r>
      <w:r/>
    </w:p>
    <w:p>
      <w:pPr>
        <w:pStyle w:val="106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3、供应商提出质疑应当提交质疑函和必要的证明材料，质疑函应当包括下列内容：</w:t>
      </w:r>
      <w:r>
        <w:rPr>
          <w:rFonts w:hint="eastAsia" w:ascii="宋体" w:hAnsi="宋体" w:cs="宋体"/>
          <w:color w:val="000000"/>
          <w:sz w:val="24"/>
          <w:highlight w:val="none"/>
        </w:rPr>
      </w:r>
      <w:r/>
    </w:p>
    <w:p>
      <w:pPr>
        <w:pStyle w:val="106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（1）供应商的姓名或者名称（以提供的营业执照副本复印件为准）、地址、邮编、联系人及联系电话；</w:t>
      </w:r>
      <w:r>
        <w:rPr>
          <w:rFonts w:hint="eastAsia" w:ascii="宋体" w:hAnsi="宋体" w:cs="宋体"/>
          <w:color w:val="000000"/>
          <w:sz w:val="24"/>
          <w:highlight w:val="none"/>
        </w:rPr>
      </w:r>
      <w:r/>
    </w:p>
    <w:p>
      <w:pPr>
        <w:pStyle w:val="106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（2）质疑项目的名称、编号；</w:t>
      </w:r>
      <w:r>
        <w:rPr>
          <w:rFonts w:hint="eastAsia" w:ascii="宋体" w:hAnsi="宋体" w:cs="宋体"/>
          <w:color w:val="000000"/>
          <w:sz w:val="24"/>
          <w:highlight w:val="none"/>
        </w:rPr>
      </w:r>
      <w:r/>
    </w:p>
    <w:p>
      <w:pPr>
        <w:pStyle w:val="106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（3）具体、明确的质疑事项和与质疑事项相关的请求；</w:t>
      </w:r>
      <w:r>
        <w:rPr>
          <w:rFonts w:hint="eastAsia" w:ascii="宋体" w:hAnsi="宋体" w:cs="宋体"/>
          <w:color w:val="000000"/>
          <w:sz w:val="24"/>
          <w:highlight w:val="none"/>
        </w:rPr>
      </w:r>
      <w:r/>
    </w:p>
    <w:p>
      <w:pPr>
        <w:pStyle w:val="106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（4）事实依据；</w:t>
      </w:r>
      <w:r>
        <w:rPr>
          <w:rFonts w:hint="eastAsia" w:ascii="宋体" w:hAnsi="宋体" w:cs="宋体"/>
          <w:color w:val="000000"/>
          <w:sz w:val="24"/>
          <w:highlight w:val="none"/>
        </w:rPr>
      </w:r>
      <w:r/>
    </w:p>
    <w:p>
      <w:pPr>
        <w:pStyle w:val="106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（5）必要的法律依据；</w:t>
      </w:r>
      <w:r>
        <w:rPr>
          <w:rFonts w:hint="eastAsia" w:ascii="宋体" w:hAnsi="宋体" w:cs="宋体"/>
          <w:color w:val="000000"/>
          <w:sz w:val="24"/>
          <w:highlight w:val="none"/>
        </w:rPr>
      </w:r>
      <w:r/>
    </w:p>
    <w:p>
      <w:pPr>
        <w:pStyle w:val="106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（6）提出质疑的日期。</w:t>
      </w:r>
      <w:r>
        <w:rPr>
          <w:rFonts w:hint="eastAsia" w:ascii="宋体" w:hAnsi="宋体" w:cs="宋体"/>
          <w:color w:val="000000"/>
          <w:sz w:val="24"/>
          <w:highlight w:val="none"/>
        </w:rPr>
      </w:r>
      <w:r/>
    </w:p>
    <w:p>
      <w:pPr>
        <w:pStyle w:val="1075"/>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rPr>
          <w:rFonts w:hint="eastAsia" w:ascii="宋体" w:hAnsi="宋体" w:eastAsia="宋体" w:cs="宋体"/>
          <w:color w:val="000000"/>
          <w:szCs w:val="24"/>
          <w:highlight w:val="none"/>
        </w:rPr>
      </w:r>
      <w:r/>
    </w:p>
    <w:p>
      <w:pPr>
        <w:pStyle w:val="1075"/>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4、根据《政府采购质疑和投诉办法》（财政部第94号令）第十一条规定，提出质疑的供应商应当是参与所质疑项目采购活动的供应商。因此凡是对征集文件提出质疑的供应商，必须是依法获取征集文件，请将合法获取征集文件的证明材料</w:t>
      </w:r>
      <w:r>
        <w:rPr>
          <w:rFonts w:hint="eastAsia" w:ascii="宋体" w:hAnsi="宋体" w:eastAsia="宋体" w:cs="宋体"/>
          <w:b/>
          <w:color w:val="000000"/>
          <w:szCs w:val="24"/>
          <w:highlight w:val="none"/>
        </w:rPr>
        <w:t xml:space="preserve">（即《供应商参加投标确认函》）</w:t>
      </w:r>
      <w:r>
        <w:rPr>
          <w:rFonts w:hint="eastAsia" w:ascii="宋体" w:hAnsi="宋体" w:eastAsia="宋体" w:cs="宋体"/>
          <w:color w:val="000000"/>
          <w:szCs w:val="24"/>
          <w:highlight w:val="none"/>
        </w:rPr>
        <w:t xml:space="preserve">与质疑函一起递交，否则不予受理。</w:t>
      </w:r>
      <w:r>
        <w:rPr>
          <w:rFonts w:hint="eastAsia" w:ascii="宋体" w:hAnsi="宋体" w:eastAsia="宋体" w:cs="宋体"/>
          <w:color w:val="000000"/>
          <w:szCs w:val="24"/>
          <w:highlight w:val="none"/>
        </w:rPr>
      </w:r>
      <w:r/>
    </w:p>
    <w:p>
      <w:pPr>
        <w:pStyle w:val="1075"/>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5、接收质疑函的方式：书面形式（当场送达或邮寄方式）。</w:t>
      </w:r>
      <w:r>
        <w:rPr>
          <w:rFonts w:hint="eastAsia" w:ascii="宋体" w:hAnsi="宋体" w:eastAsia="宋体" w:cs="宋体"/>
          <w:color w:val="000000"/>
          <w:szCs w:val="24"/>
          <w:highlight w:val="none"/>
        </w:rPr>
      </w:r>
      <w:r/>
    </w:p>
    <w:p>
      <w:pPr>
        <w:pStyle w:val="1075"/>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质疑联系人：樊亚男</w:t>
      </w:r>
      <w:r>
        <w:rPr>
          <w:rFonts w:hint="eastAsia" w:ascii="宋体" w:hAnsi="宋体" w:eastAsia="宋体" w:cs="宋体"/>
          <w:color w:val="000000"/>
          <w:szCs w:val="24"/>
          <w:highlight w:val="none"/>
        </w:rPr>
      </w:r>
      <w:r/>
    </w:p>
    <w:p>
      <w:pPr>
        <w:pStyle w:val="1075"/>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联系电话：0512-62728826</w:t>
      </w:r>
      <w:r>
        <w:rPr>
          <w:rFonts w:hint="eastAsia" w:ascii="宋体" w:hAnsi="宋体" w:eastAsia="宋体" w:cs="宋体"/>
          <w:color w:val="000000"/>
          <w:szCs w:val="24"/>
          <w:highlight w:val="none"/>
        </w:rPr>
      </w:r>
      <w:r/>
    </w:p>
    <w:p>
      <w:pPr>
        <w:pStyle w:val="1075"/>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通讯地址：苏州市阳澄湖东路168号241-202室。</w:t>
      </w:r>
      <w:r>
        <w:rPr>
          <w:rFonts w:hint="eastAsia" w:ascii="宋体" w:hAnsi="宋体" w:eastAsia="宋体" w:cs="宋体"/>
          <w:color w:val="000000"/>
          <w:szCs w:val="24"/>
          <w:highlight w:val="none"/>
        </w:rPr>
      </w:r>
      <w:r/>
    </w:p>
    <w:p>
      <w:pPr>
        <w:pStyle w:val="1075"/>
        <w:ind w:firstLine="482"/>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t xml:space="preserve">六、响应文件无效的情形</w:t>
      </w:r>
      <w:r>
        <w:rPr>
          <w:rFonts w:hint="eastAsia" w:ascii="宋体" w:hAnsi="宋体" w:eastAsia="宋体" w:cs="宋体"/>
          <w:b/>
          <w:color w:val="000000"/>
          <w:szCs w:val="24"/>
          <w:highlight w:val="none"/>
        </w:rPr>
      </w:r>
      <w:r/>
    </w:p>
    <w:p>
      <w:pPr>
        <w:pStyle w:val="1075"/>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出现下列情形之一的，供应商的响应文件无效：</w:t>
      </w:r>
      <w:r>
        <w:rPr>
          <w:rFonts w:hint="eastAsia" w:ascii="宋体" w:hAnsi="宋体" w:eastAsia="宋体" w:cs="宋体"/>
          <w:color w:val="000000"/>
          <w:szCs w:val="24"/>
          <w:highlight w:val="none"/>
        </w:rPr>
      </w:r>
      <w:r/>
    </w:p>
    <w:p>
      <w:pPr>
        <w:pStyle w:val="1075"/>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1、响应文件未按征集文件要求签署、盖章的；</w:t>
      </w:r>
      <w:r>
        <w:rPr>
          <w:rFonts w:hint="eastAsia" w:ascii="宋体" w:hAnsi="宋体" w:eastAsia="宋体" w:cs="宋体"/>
          <w:color w:val="000000"/>
          <w:szCs w:val="24"/>
          <w:highlight w:val="none"/>
        </w:rPr>
      </w:r>
      <w:r/>
    </w:p>
    <w:p>
      <w:pPr>
        <w:pStyle w:val="1075"/>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2、不具备征集文件中规定的资格要求的；</w:t>
      </w:r>
      <w:r>
        <w:rPr>
          <w:rFonts w:hint="eastAsia" w:ascii="宋体" w:hAnsi="宋体" w:eastAsia="宋体" w:cs="宋体"/>
          <w:color w:val="000000"/>
          <w:szCs w:val="24"/>
          <w:highlight w:val="none"/>
        </w:rPr>
      </w:r>
      <w:r/>
    </w:p>
    <w:p>
      <w:pPr>
        <w:pStyle w:val="1075"/>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3、报价超过征集文件中规定的预算金额或者最高限价的；</w:t>
      </w:r>
      <w:r>
        <w:rPr>
          <w:rFonts w:hint="eastAsia" w:ascii="宋体" w:hAnsi="宋体" w:eastAsia="宋体" w:cs="宋体"/>
          <w:color w:val="000000"/>
          <w:szCs w:val="24"/>
          <w:highlight w:val="none"/>
        </w:rPr>
      </w:r>
      <w:r/>
    </w:p>
    <w:p>
      <w:pPr>
        <w:pStyle w:val="1075"/>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4、响应文件含有征集人不能接受的附加条件的；</w:t>
      </w:r>
      <w:r>
        <w:rPr>
          <w:rFonts w:hint="eastAsia" w:ascii="宋体" w:hAnsi="宋体" w:eastAsia="宋体" w:cs="宋体"/>
          <w:color w:val="000000"/>
          <w:szCs w:val="24"/>
          <w:highlight w:val="none"/>
        </w:rPr>
      </w:r>
      <w:r/>
    </w:p>
    <w:p>
      <w:pPr>
        <w:pStyle w:val="1075"/>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5、不符合国家法律法规及征集文件中规定的其他实质性要求的；</w:t>
      </w:r>
      <w:r>
        <w:rPr>
          <w:rFonts w:hint="eastAsia" w:ascii="宋体" w:hAnsi="宋体" w:eastAsia="宋体" w:cs="宋体"/>
          <w:color w:val="000000"/>
          <w:szCs w:val="24"/>
          <w:highlight w:val="none"/>
        </w:rPr>
      </w:r>
      <w:r/>
    </w:p>
    <w:p>
      <w:pPr>
        <w:pStyle w:val="1075"/>
        <w:ind w:firstLine="482"/>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t xml:space="preserve">七、项目的终止</w:t>
      </w:r>
      <w:r>
        <w:rPr>
          <w:rFonts w:hint="eastAsia" w:ascii="宋体" w:hAnsi="宋体" w:eastAsia="宋体" w:cs="宋体"/>
          <w:b/>
          <w:color w:val="000000"/>
          <w:szCs w:val="24"/>
          <w:highlight w:val="none"/>
        </w:rPr>
      </w:r>
      <w:r/>
    </w:p>
    <w:p>
      <w:pPr>
        <w:pStyle w:val="1075"/>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lang w:val="zh-CN"/>
        </w:rPr>
        <w:t xml:space="preserve">出现下列情形之一的，征集人将发布项目终止公告并说明原因，重新开展采购活动：</w:t>
      </w:r>
      <w:r>
        <w:rPr>
          <w:rFonts w:hint="eastAsia" w:ascii="宋体" w:hAnsi="宋体" w:eastAsia="宋体" w:cs="宋体"/>
          <w:color w:val="000000"/>
          <w:szCs w:val="24"/>
          <w:highlight w:val="none"/>
        </w:rPr>
      </w:r>
      <w:r/>
    </w:p>
    <w:p>
      <w:pPr>
        <w:pStyle w:val="1075"/>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1、出现影响采购公正的违法、违规行为的；</w:t>
      </w:r>
      <w:r>
        <w:rPr>
          <w:rFonts w:hint="eastAsia" w:ascii="宋体" w:hAnsi="宋体" w:eastAsia="宋体" w:cs="宋体"/>
          <w:color w:val="000000"/>
          <w:szCs w:val="24"/>
          <w:highlight w:val="none"/>
        </w:rPr>
      </w:r>
      <w:r/>
    </w:p>
    <w:p>
      <w:pPr>
        <w:pStyle w:val="1075"/>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2、因重大变故，采购任务取消的；</w:t>
      </w:r>
      <w:r>
        <w:rPr>
          <w:rFonts w:hint="eastAsia" w:ascii="宋体" w:hAnsi="宋体" w:eastAsia="宋体" w:cs="宋体"/>
          <w:color w:val="000000"/>
          <w:szCs w:val="24"/>
          <w:highlight w:val="none"/>
        </w:rPr>
      </w:r>
      <w:r/>
    </w:p>
    <w:p>
      <w:pPr>
        <w:pStyle w:val="1075"/>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3、提交响应文件和通过资格审查、符合性审查的供应商数量少于2家。</w:t>
      </w:r>
      <w:r>
        <w:rPr>
          <w:rFonts w:hint="eastAsia" w:ascii="宋体" w:hAnsi="宋体" w:eastAsia="宋体" w:cs="宋体"/>
          <w:color w:val="000000"/>
          <w:szCs w:val="24"/>
          <w:highlight w:val="none"/>
        </w:rPr>
      </w:r>
      <w:r/>
    </w:p>
    <w:p>
      <w:pPr>
        <w:pStyle w:val="1075"/>
        <w:ind w:firstLine="482"/>
        <w:spacing w:line="360" w:lineRule="auto"/>
        <w:rPr>
          <w:rFonts w:hint="eastAsia" w:ascii="宋体" w:hAnsi="宋体" w:eastAsia="宋体" w:cs="宋体"/>
          <w:b/>
          <w:color w:val="000000"/>
          <w:szCs w:val="24"/>
          <w:highlight w:val="none"/>
        </w:rPr>
      </w:pPr>
      <w:r/>
      <w:bookmarkStart w:id="127" w:name="_Toc436599782"/>
      <w:r/>
      <w:bookmarkStart w:id="128" w:name="_Toc453509220"/>
      <w:r>
        <w:rPr>
          <w:rFonts w:hint="eastAsia" w:ascii="宋体" w:hAnsi="宋体" w:eastAsia="宋体" w:cs="宋体"/>
          <w:b/>
          <w:color w:val="000000"/>
          <w:szCs w:val="24"/>
          <w:highlight w:val="none"/>
        </w:rPr>
        <w:t xml:space="preserve">八、确定</w:t>
      </w:r>
      <w:bookmarkEnd w:id="127"/>
      <w:r/>
      <w:bookmarkEnd w:id="128"/>
      <w:r>
        <w:rPr>
          <w:rFonts w:hint="eastAsia" w:ascii="宋体" w:hAnsi="宋体" w:eastAsia="宋体" w:cs="宋体"/>
          <w:b/>
          <w:color w:val="000000"/>
          <w:szCs w:val="24"/>
          <w:highlight w:val="none"/>
        </w:rPr>
        <w:t xml:space="preserve">第一阶段入围供应商</w:t>
      </w:r>
      <w:r>
        <w:rPr>
          <w:rFonts w:hint="eastAsia" w:ascii="宋体" w:hAnsi="宋体" w:eastAsia="宋体" w:cs="宋体"/>
          <w:b/>
          <w:color w:val="000000"/>
          <w:szCs w:val="24"/>
          <w:highlight w:val="none"/>
        </w:rPr>
      </w:r>
      <w:r/>
    </w:p>
    <w:p>
      <w:pPr>
        <w:pStyle w:val="1075"/>
        <w:ind w:firstLine="482"/>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t xml:space="preserve">1、确定第一阶段入围供应商</w:t>
      </w:r>
      <w:r>
        <w:rPr>
          <w:rFonts w:hint="eastAsia" w:ascii="宋体" w:hAnsi="宋体" w:eastAsia="宋体" w:cs="宋体"/>
          <w:b/>
          <w:color w:val="000000"/>
          <w:szCs w:val="24"/>
          <w:highlight w:val="none"/>
        </w:rPr>
      </w:r>
      <w:r/>
    </w:p>
    <w:p>
      <w:pPr>
        <w:pStyle w:val="1075"/>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确定第一阶段入围供应商选取原则及标准，详见第六章。</w:t>
      </w:r>
      <w:r>
        <w:rPr>
          <w:rFonts w:hint="eastAsia" w:ascii="宋体" w:hAnsi="宋体" w:eastAsia="宋体" w:cs="宋体"/>
          <w:color w:val="000000"/>
          <w:szCs w:val="24"/>
          <w:highlight w:val="none"/>
        </w:rPr>
      </w:r>
      <w:r/>
    </w:p>
    <w:p>
      <w:pPr>
        <w:pStyle w:val="1075"/>
        <w:ind w:firstLine="482"/>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t xml:space="preserve">2、第一阶段入围结果公告</w:t>
      </w:r>
      <w:r>
        <w:rPr>
          <w:rFonts w:hint="eastAsia" w:ascii="宋体" w:hAnsi="宋体" w:eastAsia="宋体" w:cs="宋体"/>
          <w:b/>
          <w:color w:val="000000"/>
          <w:szCs w:val="24"/>
          <w:highlight w:val="none"/>
        </w:rPr>
      </w:r>
      <w:r/>
    </w:p>
    <w:p>
      <w:pPr>
        <w:pStyle w:val="1075"/>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征集人应当自入围供应商确定之日起2个工作日内，在相关媒体上公告入围结果，入围通知书将同时发出，入围结果公告期限为1个工作日。</w:t>
      </w:r>
      <w:r>
        <w:rPr>
          <w:rFonts w:hint="eastAsia" w:ascii="宋体" w:hAnsi="宋体" w:eastAsia="宋体" w:cs="宋体"/>
          <w:color w:val="000000"/>
          <w:szCs w:val="24"/>
          <w:highlight w:val="none"/>
        </w:rPr>
      </w:r>
      <w:r/>
    </w:p>
    <w:p>
      <w:pPr>
        <w:pStyle w:val="1075"/>
        <w:ind w:firstLine="482"/>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t xml:space="preserve">3、入围通知书</w:t>
      </w:r>
      <w:r>
        <w:rPr>
          <w:rFonts w:hint="eastAsia" w:ascii="宋体" w:hAnsi="宋体" w:eastAsia="宋体" w:cs="宋体"/>
          <w:b/>
          <w:color w:val="000000"/>
          <w:szCs w:val="24"/>
          <w:highlight w:val="none"/>
        </w:rPr>
      </w:r>
      <w:r/>
    </w:p>
    <w:p>
      <w:pPr>
        <w:pStyle w:val="1075"/>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在公告入围结果的同时发出入围通知书。入围通知书将是框架协议的一个组成部分。对征集人和入围供应商均具有法律效力。入围通知书发出后，入围供应商无正当理由，不得主动放弃入围资格或者退出框架协议，否则应当依法承担法律责任。</w:t>
      </w:r>
      <w:r>
        <w:rPr>
          <w:rFonts w:hint="eastAsia" w:ascii="宋体" w:hAnsi="宋体" w:eastAsia="宋体" w:cs="宋体"/>
          <w:color w:val="000000"/>
          <w:szCs w:val="24"/>
          <w:highlight w:val="none"/>
        </w:rPr>
      </w:r>
      <w:r/>
    </w:p>
    <w:p>
      <w:pPr>
        <w:pStyle w:val="1075"/>
        <w:ind w:firstLine="482"/>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t xml:space="preserve">4、框架协议的签订</w:t>
      </w:r>
      <w:r>
        <w:rPr>
          <w:rFonts w:hint="eastAsia" w:ascii="宋体" w:hAnsi="宋体" w:eastAsia="宋体" w:cs="宋体"/>
          <w:b/>
          <w:color w:val="000000"/>
          <w:szCs w:val="24"/>
          <w:highlight w:val="none"/>
        </w:rPr>
      </w:r>
      <w:r/>
    </w:p>
    <w:p>
      <w:pPr>
        <w:pStyle w:val="1075"/>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4.1按照《关于做好政府采购支持企业发展有关事项的通知》（苏财购〔2020〕52号）及《关于印发&lt;苏州市政府采购促进中小企业发展实施意见&gt;的通知》（苏财购〔2022〕16号）文件精神，征集人与入围供应商原则上应当在入围通知书发出之日起三十日内，按照征集文件及响应文件确定的事项签订框架协议。</w:t>
      </w:r>
      <w:r>
        <w:rPr>
          <w:rFonts w:hint="eastAsia" w:ascii="宋体" w:hAnsi="宋体" w:eastAsia="宋体" w:cs="宋体"/>
          <w:color w:val="000000"/>
          <w:szCs w:val="24"/>
          <w:highlight w:val="none"/>
        </w:rPr>
      </w:r>
      <w:r/>
    </w:p>
    <w:p>
      <w:pPr>
        <w:pStyle w:val="1075"/>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4.2框架协议不得对征集文件确定的事项以及入围供应商的响应文件作实质性修改。</w:t>
      </w:r>
      <w:r>
        <w:rPr>
          <w:rFonts w:hint="eastAsia" w:ascii="宋体" w:hAnsi="宋体" w:eastAsia="宋体" w:cs="宋体"/>
          <w:color w:val="000000"/>
          <w:szCs w:val="24"/>
          <w:highlight w:val="none"/>
        </w:rPr>
      </w:r>
      <w:r/>
    </w:p>
    <w:p>
      <w:pPr>
        <w:pStyle w:val="1075"/>
        <w:ind w:firstLine="482"/>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t xml:space="preserve">九、用户反馈和评价机制</w:t>
      </w:r>
      <w:r>
        <w:rPr>
          <w:rFonts w:hint="eastAsia" w:ascii="宋体" w:hAnsi="宋体" w:eastAsia="宋体" w:cs="宋体"/>
          <w:b/>
          <w:color w:val="000000"/>
          <w:szCs w:val="24"/>
          <w:highlight w:val="none"/>
        </w:rPr>
      </w:r>
      <w:r/>
    </w:p>
    <w:p>
      <w:pPr>
        <w:pStyle w:val="1075"/>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征集人将建立用户反馈和评价机制，接受采购人和服务对象对入围供应商履行框架协议和采购合同情况的反馈与评价，并将用户反馈和评价情况定时向采购人和服务对象公开，作为第二阶段直接选定成交供应商的参考。</w:t>
      </w:r>
      <w:r>
        <w:rPr>
          <w:rFonts w:hint="eastAsia" w:ascii="宋体" w:hAnsi="宋体" w:eastAsia="宋体" w:cs="宋体"/>
          <w:color w:val="000000"/>
          <w:szCs w:val="24"/>
          <w:highlight w:val="none"/>
        </w:rPr>
      </w:r>
      <w:r/>
    </w:p>
    <w:p>
      <w:pPr>
        <w:pStyle w:val="1075"/>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2、入围供应商按照框架协议约定接受征集人合同授予，并履行采购合同。</w:t>
      </w:r>
      <w:r>
        <w:rPr>
          <w:rFonts w:hint="eastAsia" w:ascii="宋体" w:hAnsi="宋体" w:eastAsia="宋体" w:cs="宋体"/>
          <w:color w:val="000000"/>
          <w:szCs w:val="24"/>
          <w:highlight w:val="none"/>
        </w:rPr>
      </w:r>
      <w:r/>
    </w:p>
    <w:p>
      <w:pPr>
        <w:pStyle w:val="1075"/>
        <w:ind w:firstLine="482"/>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t xml:space="preserve">十、入围供应商的清退和补充规则</w:t>
      </w:r>
      <w:r>
        <w:rPr>
          <w:rFonts w:hint="eastAsia" w:ascii="宋体" w:hAnsi="宋体" w:eastAsia="宋体" w:cs="宋体"/>
          <w:b/>
          <w:color w:val="000000"/>
          <w:szCs w:val="24"/>
          <w:highlight w:val="none"/>
        </w:rPr>
      </w:r>
      <w:r/>
    </w:p>
    <w:p>
      <w:pPr>
        <w:pStyle w:val="1075"/>
        <w:ind w:firstLine="482"/>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t xml:space="preserve">1、清退规则</w:t>
      </w:r>
      <w:r>
        <w:rPr>
          <w:rFonts w:hint="eastAsia" w:ascii="宋体" w:hAnsi="宋体" w:eastAsia="宋体" w:cs="宋体"/>
          <w:b/>
          <w:color w:val="000000"/>
          <w:szCs w:val="24"/>
          <w:highlight w:val="none"/>
        </w:rPr>
      </w:r>
      <w:r/>
    </w:p>
    <w:p>
      <w:pPr>
        <w:pStyle w:val="1075"/>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入围供应商有下列情形之一，尚未签订框架协议的，取消其入围资格；已经签订框架协议的，解除与其签订的框架协议：</w:t>
      </w:r>
      <w:r>
        <w:rPr>
          <w:rFonts w:hint="eastAsia" w:ascii="宋体" w:hAnsi="宋体" w:eastAsia="宋体" w:cs="宋体"/>
          <w:color w:val="000000"/>
          <w:szCs w:val="24"/>
          <w:highlight w:val="none"/>
        </w:rPr>
      </w:r>
      <w:r/>
    </w:p>
    <w:p>
      <w:pPr>
        <w:pStyle w:val="1075"/>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（1）恶意串通谋取入围或者合同成交的； </w:t>
      </w:r>
      <w:r>
        <w:rPr>
          <w:rFonts w:hint="eastAsia" w:ascii="宋体" w:hAnsi="宋体" w:eastAsia="宋体" w:cs="宋体"/>
          <w:color w:val="000000"/>
          <w:szCs w:val="24"/>
          <w:highlight w:val="none"/>
        </w:rPr>
      </w:r>
      <w:r/>
    </w:p>
    <w:p>
      <w:pPr>
        <w:pStyle w:val="1075"/>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（2）提供虚假材料谋取入围或者合同成交的； </w:t>
      </w:r>
      <w:r>
        <w:rPr>
          <w:rFonts w:hint="eastAsia" w:ascii="宋体" w:hAnsi="宋体" w:eastAsia="宋体" w:cs="宋体"/>
          <w:color w:val="000000"/>
          <w:szCs w:val="24"/>
          <w:highlight w:val="none"/>
        </w:rPr>
      </w:r>
      <w:r/>
    </w:p>
    <w:p>
      <w:pPr>
        <w:pStyle w:val="1075"/>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（3）无正当理由拒不接受合同授予的； </w:t>
      </w:r>
      <w:r>
        <w:rPr>
          <w:rFonts w:hint="eastAsia" w:ascii="宋体" w:hAnsi="宋体" w:eastAsia="宋体" w:cs="宋体"/>
          <w:color w:val="000000"/>
          <w:szCs w:val="24"/>
          <w:highlight w:val="none"/>
        </w:rPr>
      </w:r>
      <w:r/>
    </w:p>
    <w:p>
      <w:pPr>
        <w:pStyle w:val="1075"/>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（4）不履行合同义务或者履行合同义务不符合约定，经采购人请求履行后仍不履行或者仍未按约定履行的； </w:t>
      </w:r>
      <w:r>
        <w:rPr>
          <w:rFonts w:hint="eastAsia" w:ascii="宋体" w:hAnsi="宋体" w:eastAsia="宋体" w:cs="宋体"/>
          <w:color w:val="000000"/>
          <w:szCs w:val="24"/>
          <w:highlight w:val="none"/>
        </w:rPr>
      </w:r>
      <w:r/>
    </w:p>
    <w:p>
      <w:pPr>
        <w:pStyle w:val="1075"/>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（5）框架协议有效期内，因违法行为被禁止或限制参加政府采购活动的； </w:t>
      </w:r>
      <w:r>
        <w:rPr>
          <w:rFonts w:hint="eastAsia" w:ascii="宋体" w:hAnsi="宋体" w:eastAsia="宋体" w:cs="宋体"/>
          <w:color w:val="000000"/>
          <w:szCs w:val="24"/>
          <w:highlight w:val="none"/>
        </w:rPr>
      </w:r>
      <w:r/>
    </w:p>
    <w:p>
      <w:pPr>
        <w:pStyle w:val="1075"/>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（6）框架协议约定的其他情形。</w:t>
      </w:r>
      <w:r>
        <w:rPr>
          <w:rFonts w:hint="eastAsia" w:ascii="宋体" w:hAnsi="宋体" w:eastAsia="宋体" w:cs="宋体"/>
          <w:color w:val="000000"/>
          <w:szCs w:val="24"/>
          <w:highlight w:val="none"/>
        </w:rPr>
      </w:r>
      <w:r/>
    </w:p>
    <w:p>
      <w:pPr>
        <w:pStyle w:val="1075"/>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被取消入围资格或者被解除框架协议的供应商不得参加同一封闭式框架协议补充征集，或者重新申请加入同一开放式框架协议。 </w:t>
      </w:r>
      <w:r>
        <w:rPr>
          <w:rFonts w:hint="eastAsia" w:ascii="宋体" w:hAnsi="宋体" w:eastAsia="宋体" w:cs="宋体"/>
          <w:color w:val="000000"/>
          <w:szCs w:val="24"/>
          <w:highlight w:val="none"/>
        </w:rPr>
      </w:r>
      <w:r/>
    </w:p>
    <w:p>
      <w:pPr>
        <w:pStyle w:val="1075"/>
        <w:ind w:firstLine="482"/>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t xml:space="preserve">2、补充规则</w:t>
      </w:r>
      <w:r>
        <w:rPr>
          <w:rFonts w:hint="eastAsia" w:ascii="宋体" w:hAnsi="宋体" w:eastAsia="宋体" w:cs="宋体"/>
          <w:b/>
          <w:color w:val="000000"/>
          <w:szCs w:val="24"/>
          <w:highlight w:val="none"/>
        </w:rPr>
      </w:r>
      <w:r/>
    </w:p>
    <w:p>
      <w:pPr>
        <w:pStyle w:val="1075"/>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如出现剩余入围供应商不足入围供应商总数70%且影响框架协议执行的情形时，征集人报财政部门同意后，将进行补充征集供应商。补充征集的条件、程序、评审方法和淘汰比例与初次征集相同。补充征集遵守原框架协议的有效期。补充征集期间，原框架协议继续履行。</w:t>
      </w:r>
      <w:r>
        <w:rPr>
          <w:rFonts w:hint="eastAsia" w:ascii="宋体" w:hAnsi="宋体" w:eastAsia="宋体" w:cs="宋体"/>
          <w:color w:val="000000"/>
          <w:szCs w:val="24"/>
          <w:highlight w:val="none"/>
        </w:rPr>
      </w:r>
      <w:r/>
    </w:p>
    <w:p>
      <w:pPr>
        <w:pStyle w:val="1060"/>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十一、确定第二阶段成交供应商的方式</w:t>
      </w:r>
      <w:r>
        <w:rPr>
          <w:rFonts w:hint="eastAsia" w:ascii="宋体" w:hAnsi="宋体" w:cs="宋体"/>
          <w:b/>
          <w:color w:val="000000"/>
          <w:sz w:val="24"/>
          <w:highlight w:val="none"/>
        </w:rPr>
      </w:r>
      <w:r/>
    </w:p>
    <w:p>
      <w:pPr>
        <w:pStyle w:val="106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1、采用直接选定：由采购人对适配机构就适配服务场所严格审核，并确定场所具备适配条件后，依据适配机构的服务质量以及服务便利性、用户评价等因素，从第一阶段入围供应商中直接选定。</w:t>
      </w:r>
      <w:r>
        <w:rPr>
          <w:rFonts w:hint="eastAsia" w:ascii="宋体" w:hAnsi="宋体" w:cs="宋体"/>
          <w:color w:val="000000"/>
          <w:sz w:val="24"/>
          <w:highlight w:val="none"/>
        </w:rPr>
      </w:r>
      <w:r/>
    </w:p>
    <w:p>
      <w:pPr>
        <w:pStyle w:val="106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2、采购人在确定成交供应商后，双方应当按照框架协议中规定签订采购合同，不得擅自改变框架协议约定的合同实质性条款。</w:t>
      </w:r>
      <w:r>
        <w:rPr>
          <w:rFonts w:hint="eastAsia" w:ascii="宋体" w:hAnsi="宋体" w:cs="宋体"/>
          <w:color w:val="000000"/>
          <w:sz w:val="24"/>
          <w:highlight w:val="none"/>
        </w:rPr>
      </w:r>
      <w:r/>
    </w:p>
    <w:p>
      <w:pPr>
        <w:pStyle w:val="1060"/>
        <w:ind w:firstLine="482"/>
        <w:jc w:val="left"/>
        <w:spacing w:line="360" w:lineRule="auto"/>
        <w:rPr>
          <w:rFonts w:hint="eastAsia" w:ascii="宋体" w:hAnsi="宋体" w:cs="宋体"/>
          <w:b/>
          <w:color w:val="000000"/>
          <w:sz w:val="24"/>
          <w:highlight w:val="none"/>
        </w:rPr>
      </w:pPr>
      <w:r>
        <w:rPr>
          <w:rFonts w:hint="eastAsia" w:ascii="宋体" w:hAnsi="宋体" w:cs="宋体"/>
          <w:b/>
          <w:bCs/>
          <w:color w:val="000000"/>
          <w:sz w:val="24"/>
          <w:highlight w:val="none"/>
          <w:lang w:val="zh-CN"/>
        </w:rPr>
        <w:t xml:space="preserve">十二、</w:t>
      </w:r>
      <w:r>
        <w:rPr>
          <w:rFonts w:hint="eastAsia" w:ascii="宋体" w:hAnsi="宋体" w:cs="宋体"/>
          <w:b/>
          <w:color w:val="000000"/>
          <w:sz w:val="24"/>
          <w:highlight w:val="none"/>
        </w:rPr>
        <w:t xml:space="preserve">未尽事宜</w:t>
      </w:r>
      <w:r>
        <w:rPr>
          <w:rFonts w:hint="eastAsia" w:ascii="宋体" w:hAnsi="宋体" w:cs="宋体"/>
          <w:b/>
          <w:color w:val="000000"/>
          <w:sz w:val="24"/>
          <w:highlight w:val="none"/>
        </w:rPr>
      </w:r>
      <w:r/>
    </w:p>
    <w:p>
      <w:pPr>
        <w:pStyle w:val="1075"/>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按《中华人民共和国政府采购法》及其他有关的法律法规的规定执行。</w:t>
      </w:r>
      <w:r>
        <w:rPr>
          <w:rFonts w:hint="eastAsia" w:ascii="宋体" w:hAnsi="宋体" w:eastAsia="宋体" w:cs="宋体"/>
          <w:color w:val="000000"/>
          <w:szCs w:val="24"/>
          <w:highlight w:val="none"/>
        </w:rPr>
      </w:r>
      <w:r/>
    </w:p>
    <w:p>
      <w:pPr>
        <w:pStyle w:val="1061"/>
        <w:numPr>
          <w:ilvl w:val="0"/>
          <w:numId w:val="1"/>
        </w:numPr>
        <w:jc w:val="center"/>
        <w:pageBreakBefore/>
        <w:spacing w:before="0" w:after="0" w:line="360" w:lineRule="auto"/>
        <w:rPr>
          <w:rFonts w:hint="eastAsia" w:ascii="宋体" w:hAnsi="宋体" w:cs="宋体"/>
          <w:color w:val="000000"/>
          <w:highlight w:val="none"/>
        </w:rPr>
      </w:pPr>
      <w:r>
        <w:rPr>
          <w:rFonts w:hint="eastAsia" w:ascii="宋体" w:hAnsi="宋体" w:cs="宋体"/>
          <w:color w:val="000000"/>
          <w:highlight w:val="none"/>
          <w:lang w:val="en-US" w:eastAsia="zh-CN"/>
        </w:rPr>
        <w:t xml:space="preserve"> </w:t>
      </w:r>
      <w:bookmarkStart w:id="129" w:name="_Toc9720"/>
      <w:r/>
      <w:bookmarkStart w:id="130" w:name="_Toc31497"/>
      <w:r/>
      <w:bookmarkStart w:id="131" w:name="_Toc13012"/>
      <w:r/>
      <w:bookmarkStart w:id="132" w:name="_Toc21784"/>
      <w:r/>
      <w:bookmarkStart w:id="133" w:name="_Toc14644"/>
      <w:r/>
      <w:bookmarkStart w:id="134" w:name="_Toc1517"/>
      <w:r/>
      <w:bookmarkStart w:id="135" w:name="_Toc28601"/>
      <w:r/>
      <w:bookmarkStart w:id="136" w:name="_Toc3665"/>
      <w:r/>
      <w:bookmarkStart w:id="137" w:name="_Toc19196"/>
      <w:r/>
      <w:bookmarkStart w:id="138" w:name="_Toc12734"/>
      <w:r/>
      <w:bookmarkStart w:id="139" w:name="_Toc27784"/>
      <w:r/>
      <w:bookmarkStart w:id="140" w:name="_Toc23661"/>
      <w:r/>
      <w:bookmarkStart w:id="141" w:name="_Toc16620"/>
      <w:r/>
      <w:bookmarkStart w:id="142" w:name="_Toc8886"/>
      <w:r/>
      <w:bookmarkStart w:id="143" w:name="_Toc17208"/>
      <w:r>
        <w:rPr>
          <w:rFonts w:hint="eastAsia" w:ascii="宋体" w:hAnsi="宋体" w:cs="宋体"/>
          <w:color w:val="000000"/>
          <w:highlight w:val="none"/>
          <w:lang w:eastAsia="zh-CN"/>
        </w:rPr>
        <w:t xml:space="preserve">响应文件</w:t>
      </w:r>
      <w:r>
        <w:rPr>
          <w:rFonts w:hint="eastAsia" w:ascii="宋体" w:hAnsi="宋体" w:cs="宋体"/>
          <w:color w:val="000000"/>
          <w:highlight w:val="none"/>
        </w:rPr>
        <w:t xml:space="preserve">格式</w:t>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rFonts w:hint="eastAsia" w:ascii="宋体" w:hAnsi="宋体" w:cs="宋体"/>
          <w:color w:val="000000"/>
          <w:highlight w:val="none"/>
        </w:rPr>
      </w:r>
      <w:r/>
    </w:p>
    <w:p>
      <w:pPr>
        <w:pStyle w:val="1060"/>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说明：</w:t>
      </w:r>
      <w:r>
        <w:rPr>
          <w:rFonts w:hint="eastAsia" w:ascii="宋体" w:hAnsi="宋体" w:cs="宋体"/>
          <w:b/>
          <w:color w:val="000000"/>
          <w:sz w:val="24"/>
          <w:highlight w:val="none"/>
        </w:rPr>
      </w:r>
      <w:r/>
    </w:p>
    <w:p>
      <w:pPr>
        <w:pStyle w:val="1060"/>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对本章所有的响应文件格式 ，响应单位可根据自身情况进行补充和修改，但补充和修改不得造成与本格式内容有实质性的违背。</w:t>
      </w:r>
      <w:r>
        <w:rPr>
          <w:rFonts w:hint="eastAsia" w:ascii="宋体" w:hAnsi="宋体" w:cs="宋体"/>
          <w:b/>
          <w:color w:val="000000"/>
          <w:sz w:val="24"/>
          <w:highlight w:val="none"/>
        </w:rPr>
      </w:r>
      <w:r/>
    </w:p>
    <w:p>
      <w:pPr>
        <w:pStyle w:val="1075"/>
        <w:ind w:firstLine="0"/>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1075"/>
        <w:ind w:firstLine="0"/>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t xml:space="preserve">附件1、（响应单位）法定代表人授权委托书</w:t>
      </w:r>
      <w:r>
        <w:rPr>
          <w:rFonts w:hint="eastAsia" w:ascii="宋体" w:hAnsi="宋体" w:eastAsia="宋体" w:cs="宋体"/>
          <w:b/>
          <w:color w:val="000000"/>
          <w:szCs w:val="24"/>
          <w:highlight w:val="none"/>
        </w:rPr>
      </w:r>
      <w:r/>
    </w:p>
    <w:p>
      <w:pPr>
        <w:pStyle w:val="1075"/>
        <w:jc w:val="center"/>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075"/>
        <w:jc w:val="center"/>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授权委托书</w:t>
      </w:r>
      <w:r>
        <w:rPr>
          <w:rFonts w:hint="eastAsia" w:ascii="宋体" w:hAnsi="宋体" w:eastAsia="宋体" w:cs="宋体"/>
          <w:color w:val="000000"/>
          <w:szCs w:val="24"/>
          <w:highlight w:val="none"/>
        </w:rPr>
      </w:r>
      <w:r/>
    </w:p>
    <w:p>
      <w:pPr>
        <w:pStyle w:val="1075"/>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075"/>
        <w:ind w:firstLine="480"/>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本授权委托书声明：  我 </w:t>
      </w:r>
      <w:r>
        <w:rPr>
          <w:rFonts w:hint="eastAsia" w:ascii="宋体" w:hAnsi="宋体" w:eastAsia="宋体" w:cs="宋体"/>
          <w:color w:val="000000"/>
          <w:szCs w:val="24"/>
          <w:highlight w:val="none"/>
          <w:u w:val="single"/>
        </w:rPr>
        <w:t xml:space="preserve">          </w:t>
      </w:r>
      <w:r>
        <w:rPr>
          <w:rFonts w:hint="eastAsia" w:ascii="宋体" w:hAnsi="宋体" w:eastAsia="宋体" w:cs="宋体"/>
          <w:color w:val="000000"/>
          <w:szCs w:val="24"/>
          <w:highlight w:val="none"/>
        </w:rPr>
        <w:t xml:space="preserve">（姓名）系</w:t>
      </w:r>
      <w:r>
        <w:rPr>
          <w:rFonts w:hint="eastAsia" w:ascii="宋体" w:hAnsi="宋体" w:eastAsia="宋体" w:cs="宋体"/>
          <w:color w:val="000000"/>
          <w:szCs w:val="24"/>
          <w:highlight w:val="none"/>
          <w:u w:val="single"/>
        </w:rPr>
        <w:t xml:space="preserve">             </w:t>
      </w:r>
      <w:r>
        <w:rPr>
          <w:rFonts w:hint="eastAsia" w:ascii="宋体" w:hAnsi="宋体" w:eastAsia="宋体" w:cs="宋体"/>
          <w:color w:val="000000"/>
          <w:szCs w:val="24"/>
          <w:highlight w:val="none"/>
        </w:rPr>
        <w:t xml:space="preserve">（响应单位名称）的法定代表人，现授权委托</w:t>
      </w:r>
      <w:r>
        <w:rPr>
          <w:rFonts w:hint="eastAsia" w:ascii="宋体" w:hAnsi="宋体" w:eastAsia="宋体" w:cs="宋体"/>
          <w:color w:val="000000"/>
          <w:szCs w:val="24"/>
          <w:highlight w:val="none"/>
          <w:u w:val="single"/>
        </w:rPr>
        <w:t xml:space="preserve">              （</w:t>
      </w:r>
      <w:r>
        <w:rPr>
          <w:rFonts w:hint="eastAsia" w:ascii="宋体" w:hAnsi="宋体" w:eastAsia="宋体" w:cs="宋体"/>
          <w:color w:val="000000"/>
          <w:szCs w:val="24"/>
          <w:highlight w:val="none"/>
        </w:rPr>
        <w:t xml:space="preserve">单位名称）的</w:t>
      </w:r>
      <w:r>
        <w:rPr>
          <w:rFonts w:hint="eastAsia" w:ascii="宋体" w:hAnsi="宋体" w:eastAsia="宋体" w:cs="宋体"/>
          <w:color w:val="000000"/>
          <w:szCs w:val="24"/>
          <w:highlight w:val="none"/>
          <w:u w:val="single"/>
        </w:rPr>
        <w:t xml:space="preserve">         </w:t>
      </w:r>
      <w:r>
        <w:rPr>
          <w:rFonts w:hint="eastAsia" w:ascii="宋体" w:hAnsi="宋体" w:eastAsia="宋体" w:cs="宋体"/>
          <w:color w:val="000000"/>
          <w:szCs w:val="24"/>
          <w:highlight w:val="none"/>
        </w:rPr>
        <w:t xml:space="preserve">（姓名）为我公司委托代理人，以本公司的名义参加苏州恒泰招投标咨询服务有限公司组织实施的项目编号</w:t>
      </w:r>
      <w:r>
        <w:rPr>
          <w:rFonts w:hint="eastAsia" w:ascii="宋体" w:hAnsi="宋体" w:eastAsia="宋体" w:cs="宋体"/>
          <w:color w:val="000000"/>
          <w:szCs w:val="24"/>
          <w:highlight w:val="none"/>
          <w:u w:val="single"/>
        </w:rPr>
        <w:t xml:space="preserve">             </w:t>
      </w:r>
      <w:r>
        <w:rPr>
          <w:rFonts w:hint="eastAsia" w:ascii="宋体" w:hAnsi="宋体" w:eastAsia="宋体" w:cs="宋体"/>
          <w:color w:val="000000"/>
          <w:szCs w:val="24"/>
          <w:highlight w:val="none"/>
        </w:rPr>
        <w:t xml:space="preserve">分包号</w:t>
      </w:r>
      <w:r>
        <w:rPr>
          <w:rFonts w:hint="eastAsia" w:ascii="宋体" w:hAnsi="宋体" w:eastAsia="宋体" w:cs="宋体"/>
          <w:color w:val="000000"/>
          <w:szCs w:val="24"/>
          <w:highlight w:val="none"/>
          <w:u w:val="single"/>
        </w:rPr>
        <w:t xml:space="preserve">       </w:t>
      </w:r>
      <w:r>
        <w:rPr>
          <w:rFonts w:hint="eastAsia" w:ascii="宋体" w:hAnsi="宋体" w:eastAsia="宋体" w:cs="宋体"/>
          <w:color w:val="000000"/>
          <w:szCs w:val="24"/>
          <w:highlight w:val="none"/>
        </w:rPr>
        <w:t xml:space="preserve">的采购活动。委托代理人在制作响应文件、开标、评标、合同招标过程中所签署的一切文件和处理与这有关的一切事务，我均予以承认。</w:t>
      </w:r>
      <w:r>
        <w:rPr>
          <w:rFonts w:hint="eastAsia" w:ascii="宋体" w:hAnsi="宋体" w:eastAsia="宋体" w:cs="宋体"/>
          <w:color w:val="000000"/>
          <w:szCs w:val="24"/>
          <w:highlight w:val="none"/>
        </w:rPr>
      </w:r>
      <w:r/>
    </w:p>
    <w:p>
      <w:pPr>
        <w:pStyle w:val="1075"/>
        <w:ind w:firstLine="480"/>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委托代理人在授权委托书有效期内签署的所有文件不因授权委托的撤销而失效，除非有撤销授权委托的书面通知，本授权委托书自签署之日起生效至合同履行完毕止均有效。</w:t>
      </w:r>
      <w:r>
        <w:rPr>
          <w:rFonts w:hint="eastAsia" w:ascii="宋体" w:hAnsi="宋体" w:eastAsia="宋体" w:cs="宋体"/>
          <w:color w:val="000000"/>
          <w:szCs w:val="24"/>
          <w:highlight w:val="none"/>
        </w:rPr>
      </w:r>
      <w:r/>
    </w:p>
    <w:p>
      <w:pPr>
        <w:pStyle w:val="1075"/>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委托代理人无转委托权。特此委托。</w:t>
      </w:r>
      <w:r>
        <w:rPr>
          <w:rFonts w:hint="eastAsia" w:ascii="宋体" w:hAnsi="宋体" w:eastAsia="宋体" w:cs="宋体"/>
          <w:color w:val="000000"/>
          <w:szCs w:val="24"/>
          <w:highlight w:val="none"/>
        </w:rPr>
      </w:r>
      <w:r/>
    </w:p>
    <w:p>
      <w:pPr>
        <w:pStyle w:val="1075"/>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    </w:t>
      </w:r>
      <w:r>
        <w:rPr>
          <w:rFonts w:hint="eastAsia" w:ascii="宋体" w:hAnsi="宋体" w:eastAsia="宋体" w:cs="宋体"/>
          <w:color w:val="000000"/>
          <w:szCs w:val="24"/>
          <w:highlight w:val="none"/>
        </w:rPr>
      </w:r>
      <w:r/>
    </w:p>
    <w:p>
      <w:pPr>
        <w:pStyle w:val="1075"/>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响应单位：（公章）</w:t>
      </w:r>
      <w:r>
        <w:rPr>
          <w:rFonts w:hint="eastAsia" w:ascii="宋体" w:hAnsi="宋体" w:eastAsia="宋体" w:cs="宋体"/>
          <w:color w:val="000000"/>
          <w:szCs w:val="24"/>
          <w:highlight w:val="none"/>
        </w:rPr>
      </w:r>
      <w:r/>
    </w:p>
    <w:p>
      <w:pPr>
        <w:pStyle w:val="1075"/>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法定代表人：（签字或盖章）</w:t>
      </w:r>
      <w:r>
        <w:rPr>
          <w:rFonts w:hint="eastAsia" w:ascii="宋体" w:hAnsi="宋体" w:eastAsia="宋体" w:cs="宋体"/>
          <w:color w:val="000000"/>
          <w:szCs w:val="24"/>
          <w:highlight w:val="none"/>
        </w:rPr>
      </w:r>
      <w:r/>
    </w:p>
    <w:p>
      <w:pPr>
        <w:pStyle w:val="1075"/>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委托代理人：（签字或盖章）</w:t>
      </w:r>
      <w:r>
        <w:rPr>
          <w:rFonts w:hint="eastAsia" w:ascii="宋体" w:hAnsi="宋体" w:eastAsia="宋体" w:cs="宋体"/>
          <w:color w:val="000000"/>
          <w:szCs w:val="24"/>
          <w:highlight w:val="none"/>
        </w:rPr>
      </w:r>
      <w:r/>
    </w:p>
    <w:p>
      <w:pPr>
        <w:pStyle w:val="1075"/>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日期：       年   月  日</w:t>
      </w:r>
      <w:r>
        <w:rPr>
          <w:rFonts w:hint="eastAsia" w:ascii="宋体" w:hAnsi="宋体" w:eastAsia="宋体" w:cs="宋体"/>
          <w:color w:val="000000"/>
          <w:szCs w:val="24"/>
          <w:highlight w:val="none"/>
        </w:rPr>
      </w:r>
      <w:r/>
    </w:p>
    <w:p>
      <w:pPr>
        <w:pStyle w:val="1199"/>
        <w:spacing w:line="360" w:lineRule="auto"/>
        <w:rPr>
          <w:rFonts w:hint="eastAsia" w:hAnsi="宋体" w:eastAsia="宋体" w:cs="宋体"/>
          <w:b/>
          <w:color w:val="000000"/>
          <w:sz w:val="24"/>
          <w:szCs w:val="24"/>
          <w:highlight w:val="none"/>
        </w:rPr>
      </w:pPr>
      <w:r>
        <w:rPr>
          <w:rFonts w:hint="eastAsia" w:hAnsi="宋体" w:eastAsia="宋体" w:cs="宋体"/>
          <w:b/>
          <w:color w:val="000000"/>
          <w:sz w:val="24"/>
          <w:szCs w:val="24"/>
          <w:highlight w:val="none"/>
        </w:rPr>
      </w:r>
      <w:r/>
    </w:p>
    <w:p>
      <w:pPr>
        <w:pStyle w:val="1075"/>
        <w:ind w:firstLine="482"/>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t xml:space="preserve">注：本授权委托书仅限于法人性质供应商投标，响应文件中必须提供法定代表人和代理人身份证复印件。非法人性质供应商投标，授权委托书格式自拟，但必须同时提供受托双方身份证复印件。</w:t>
      </w:r>
      <w:r>
        <w:rPr>
          <w:rFonts w:hint="eastAsia" w:ascii="宋体" w:hAnsi="宋体" w:eastAsia="宋体" w:cs="宋体"/>
          <w:b/>
          <w:color w:val="000000"/>
          <w:szCs w:val="24"/>
          <w:highlight w:val="none"/>
        </w:rPr>
      </w:r>
      <w:r/>
    </w:p>
    <w:p>
      <w:pPr>
        <w:pStyle w:val="1199"/>
        <w:jc w:val="center"/>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r>
      <w:r/>
    </w:p>
    <w:p>
      <w:pPr>
        <w:pStyle w:val="1199"/>
        <w:jc w:val="center"/>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r>
      <w:r/>
    </w:p>
    <w:p>
      <w:pPr>
        <w:pStyle w:val="1199"/>
        <w:jc w:val="center"/>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r>
      <w:r/>
    </w:p>
    <w:p>
      <w:pPr>
        <w:pStyle w:val="1199"/>
        <w:jc w:val="center"/>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r>
      <w:r/>
    </w:p>
    <w:p>
      <w:pPr>
        <w:pStyle w:val="1199"/>
        <w:jc w:val="center"/>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r>
      <w:r/>
    </w:p>
    <w:p>
      <w:pPr>
        <w:pStyle w:val="1199"/>
        <w:jc w:val="left"/>
        <w:spacing w:line="360" w:lineRule="auto"/>
        <w:rPr>
          <w:rFonts w:hint="eastAsia" w:hAnsi="宋体" w:eastAsia="宋体" w:cs="宋体"/>
          <w:color w:val="000000"/>
          <w:sz w:val="24"/>
          <w:szCs w:val="24"/>
          <w:highlight w:val="none"/>
        </w:rPr>
      </w:pPr>
      <w:r>
        <w:rPr>
          <w:rFonts w:hint="eastAsia" w:hAnsi="宋体" w:eastAsia="宋体" w:cs="宋体"/>
          <w:b/>
          <w:bCs/>
          <w:color w:val="000000"/>
          <w:sz w:val="24"/>
          <w:szCs w:val="24"/>
          <w:highlight w:val="none"/>
          <w:lang w:eastAsia="zh-CN"/>
        </w:rPr>
        <w:t xml:space="preserve">附件</w:t>
      </w:r>
      <w:r>
        <w:rPr>
          <w:rFonts w:hint="eastAsia" w:hAnsi="宋体" w:eastAsia="宋体" w:cs="宋体"/>
          <w:b/>
          <w:bCs/>
          <w:color w:val="000000"/>
          <w:sz w:val="24"/>
          <w:szCs w:val="24"/>
          <w:highlight w:val="none"/>
          <w:lang w:val="en-US" w:eastAsia="zh-CN"/>
        </w:rPr>
        <w:t xml:space="preserve">2、</w:t>
      </w:r>
      <w:r>
        <w:rPr>
          <w:rFonts w:hint="eastAsia" w:hAnsi="宋体" w:eastAsia="宋体" w:cs="宋体"/>
          <w:b/>
          <w:bCs/>
          <w:color w:val="000000"/>
          <w:sz w:val="24"/>
          <w:szCs w:val="24"/>
          <w:highlight w:val="none"/>
          <w:lang w:eastAsia="zh-CN"/>
        </w:rPr>
        <w:t xml:space="preserve">投标</w:t>
      </w:r>
      <w:r>
        <w:rPr>
          <w:rFonts w:hint="eastAsia" w:hAnsi="宋体" w:eastAsia="宋体" w:cs="宋体"/>
          <w:b/>
          <w:bCs/>
          <w:color w:val="000000"/>
          <w:sz w:val="24"/>
          <w:szCs w:val="24"/>
          <w:highlight w:val="none"/>
        </w:rPr>
        <w:t xml:space="preserve">函</w:t>
      </w:r>
      <w:r>
        <w:rPr>
          <w:rFonts w:hint="eastAsia" w:hAnsi="宋体" w:eastAsia="宋体" w:cs="宋体"/>
          <w:color w:val="000000"/>
          <w:sz w:val="24"/>
          <w:szCs w:val="24"/>
          <w:highlight w:val="none"/>
        </w:rPr>
      </w:r>
      <w:r/>
    </w:p>
    <w:p>
      <w:pPr>
        <w:pStyle w:val="1199"/>
        <w:jc w:val="center"/>
        <w:spacing w:line="360" w:lineRule="auto"/>
        <w:rPr>
          <w:rFonts w:hint="eastAsia" w:hAnsi="宋体" w:eastAsia="宋体" w:cs="宋体"/>
          <w:color w:val="000000"/>
          <w:sz w:val="24"/>
          <w:szCs w:val="24"/>
          <w:highlight w:val="none"/>
          <w:lang w:eastAsia="zh-CN"/>
        </w:rPr>
      </w:pPr>
      <w:r>
        <w:rPr>
          <w:rFonts w:hint="eastAsia" w:hAnsi="宋体" w:eastAsia="宋体" w:cs="宋体"/>
          <w:color w:val="000000"/>
          <w:sz w:val="24"/>
          <w:szCs w:val="24"/>
          <w:highlight w:val="none"/>
          <w:lang w:eastAsia="zh-CN"/>
        </w:rPr>
        <w:t xml:space="preserve">投标函</w:t>
      </w:r>
      <w:r>
        <w:rPr>
          <w:rFonts w:hint="eastAsia" w:hAnsi="宋体" w:eastAsia="宋体" w:cs="宋体"/>
          <w:color w:val="000000"/>
          <w:sz w:val="24"/>
          <w:szCs w:val="24"/>
          <w:highlight w:val="none"/>
          <w:lang w:eastAsia="zh-CN"/>
        </w:rPr>
      </w:r>
      <w:r/>
    </w:p>
    <w:p>
      <w:pPr>
        <w:pStyle w:val="1199"/>
        <w:jc w:val="center"/>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r>
      <w:r/>
    </w:p>
    <w:p>
      <w:pPr>
        <w:pStyle w:val="1199"/>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u w:val="single"/>
        </w:rPr>
        <w:t xml:space="preserve">苏州恒泰招投标咨询服务有限公司</w:t>
      </w:r>
      <w:r>
        <w:rPr>
          <w:rFonts w:hint="eastAsia" w:hAnsi="宋体" w:eastAsia="宋体" w:cs="宋体"/>
          <w:color w:val="000000"/>
          <w:sz w:val="24"/>
          <w:szCs w:val="24"/>
          <w:highlight w:val="none"/>
        </w:rPr>
        <w:t xml:space="preserve">：</w:t>
      </w:r>
      <w:r>
        <w:rPr>
          <w:rFonts w:hint="eastAsia" w:hAnsi="宋体" w:eastAsia="宋体" w:cs="宋体"/>
          <w:color w:val="000000"/>
          <w:sz w:val="24"/>
          <w:szCs w:val="24"/>
          <w:highlight w:val="none"/>
        </w:rPr>
      </w:r>
      <w:r/>
    </w:p>
    <w:p>
      <w:pPr>
        <w:pStyle w:val="1199"/>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    我们收到贵公司</w:t>
      </w:r>
      <w:r>
        <w:rPr>
          <w:rFonts w:hint="eastAsia" w:hAnsi="宋体" w:eastAsia="宋体" w:cs="宋体"/>
          <w:color w:val="000000"/>
          <w:sz w:val="24"/>
          <w:szCs w:val="24"/>
          <w:highlight w:val="none"/>
          <w:lang w:eastAsia="zh-CN"/>
        </w:rPr>
        <w:t xml:space="preserve">项目编号</w:t>
      </w:r>
      <w:r>
        <w:rPr>
          <w:rFonts w:hint="eastAsia" w:hAnsi="宋体" w:eastAsia="宋体" w:cs="宋体"/>
          <w:color w:val="000000"/>
          <w:sz w:val="24"/>
          <w:szCs w:val="24"/>
          <w:highlight w:val="none"/>
        </w:rPr>
        <w:t xml:space="preserve"> </w:t>
      </w:r>
      <w:r>
        <w:rPr>
          <w:rFonts w:hint="eastAsia" w:hAnsi="宋体" w:eastAsia="宋体" w:cs="宋体"/>
          <w:color w:val="000000"/>
          <w:sz w:val="24"/>
          <w:szCs w:val="24"/>
          <w:highlight w:val="none"/>
          <w:u w:val="single"/>
        </w:rPr>
        <w:t xml:space="preserve">                 </w:t>
      </w:r>
      <w:r>
        <w:rPr>
          <w:rFonts w:hint="eastAsia" w:hAnsi="宋体" w:eastAsia="宋体" w:cs="宋体"/>
          <w:color w:val="000000"/>
          <w:sz w:val="24"/>
          <w:szCs w:val="24"/>
          <w:highlight w:val="none"/>
        </w:rPr>
        <w:t xml:space="preserve">分包号</w:t>
      </w:r>
      <w:r>
        <w:rPr>
          <w:rFonts w:hint="eastAsia" w:hAnsi="宋体" w:eastAsia="宋体" w:cs="宋体"/>
          <w:color w:val="000000"/>
          <w:sz w:val="24"/>
          <w:szCs w:val="24"/>
          <w:highlight w:val="none"/>
          <w:u w:val="single"/>
        </w:rPr>
        <w:t xml:space="preserve">        </w:t>
      </w:r>
      <w:r>
        <w:rPr>
          <w:rFonts w:hint="eastAsia" w:hAnsi="宋体" w:eastAsia="宋体" w:cs="宋体"/>
          <w:color w:val="000000"/>
          <w:sz w:val="24"/>
          <w:szCs w:val="24"/>
          <w:highlight w:val="none"/>
          <w:lang w:eastAsia="zh-CN"/>
        </w:rPr>
        <w:t xml:space="preserve">征集文件</w:t>
      </w:r>
      <w:r>
        <w:rPr>
          <w:rFonts w:hint="eastAsia" w:hAnsi="宋体" w:eastAsia="宋体" w:cs="宋体"/>
          <w:color w:val="000000"/>
          <w:sz w:val="24"/>
          <w:szCs w:val="24"/>
          <w:highlight w:val="none"/>
        </w:rPr>
        <w:t xml:space="preserve">，经仔细阅读和研究，我们决定参加投标。</w:t>
      </w:r>
      <w:r>
        <w:rPr>
          <w:rFonts w:hint="eastAsia" w:hAnsi="宋体" w:eastAsia="宋体" w:cs="宋体"/>
          <w:color w:val="000000"/>
          <w:sz w:val="24"/>
          <w:szCs w:val="24"/>
          <w:highlight w:val="none"/>
        </w:rPr>
      </w:r>
      <w:r/>
    </w:p>
    <w:p>
      <w:pPr>
        <w:pStyle w:val="106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1、已详细审查并确认全部征集文件（包括修改文件）以及全部参考资料和有关附件。</w:t>
      </w:r>
      <w:r>
        <w:rPr>
          <w:rFonts w:hint="eastAsia" w:ascii="宋体" w:hAnsi="宋体" w:cs="宋体"/>
          <w:color w:val="000000"/>
          <w:sz w:val="24"/>
          <w:highlight w:val="none"/>
        </w:rPr>
      </w:r>
      <w:r/>
    </w:p>
    <w:p>
      <w:pPr>
        <w:pStyle w:val="1199"/>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    2、同意提供与投标有关的一切数据或资料，并保证所提供的</w:t>
      </w:r>
      <w:r>
        <w:rPr>
          <w:rFonts w:hint="eastAsia" w:hAnsi="宋体" w:eastAsia="宋体" w:cs="宋体"/>
          <w:color w:val="000000"/>
          <w:sz w:val="24"/>
          <w:szCs w:val="24"/>
          <w:highlight w:val="none"/>
          <w:lang w:eastAsia="zh-CN"/>
        </w:rPr>
        <w:t xml:space="preserve">响应文件</w:t>
      </w:r>
      <w:r>
        <w:rPr>
          <w:rFonts w:hint="eastAsia" w:hAnsi="宋体" w:eastAsia="宋体" w:cs="宋体"/>
          <w:color w:val="000000"/>
          <w:sz w:val="24"/>
          <w:szCs w:val="24"/>
          <w:highlight w:val="none"/>
        </w:rPr>
        <w:t xml:space="preserve">及相关资料均真实有效；若有虚假，我方承担一切责任。</w:t>
      </w:r>
      <w:r>
        <w:rPr>
          <w:rFonts w:hint="eastAsia" w:hAnsi="宋体" w:eastAsia="宋体" w:cs="宋体"/>
          <w:color w:val="000000"/>
          <w:sz w:val="24"/>
          <w:szCs w:val="24"/>
          <w:highlight w:val="none"/>
        </w:rPr>
      </w:r>
      <w:r/>
    </w:p>
    <w:p>
      <w:pPr>
        <w:pStyle w:val="1199"/>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    3、我们同意按</w:t>
      </w:r>
      <w:r>
        <w:rPr>
          <w:rFonts w:hint="eastAsia" w:hAnsi="宋体" w:eastAsia="宋体" w:cs="宋体"/>
          <w:color w:val="000000"/>
          <w:sz w:val="24"/>
          <w:szCs w:val="24"/>
          <w:highlight w:val="none"/>
          <w:lang w:eastAsia="zh-CN"/>
        </w:rPr>
        <w:t xml:space="preserve">征集文件</w:t>
      </w:r>
      <w:r>
        <w:rPr>
          <w:rFonts w:hint="eastAsia" w:hAnsi="宋体" w:eastAsia="宋体" w:cs="宋体"/>
          <w:color w:val="000000"/>
          <w:sz w:val="24"/>
          <w:szCs w:val="24"/>
          <w:highlight w:val="none"/>
        </w:rPr>
        <w:t xml:space="preserve">中的规定，本</w:t>
      </w:r>
      <w:r>
        <w:rPr>
          <w:rFonts w:hint="eastAsia" w:hAnsi="宋体" w:eastAsia="宋体" w:cs="宋体"/>
          <w:color w:val="000000"/>
          <w:sz w:val="24"/>
          <w:szCs w:val="24"/>
          <w:highlight w:val="none"/>
          <w:lang w:eastAsia="zh-CN"/>
        </w:rPr>
        <w:t xml:space="preserve">响应文件</w:t>
      </w:r>
      <w:r>
        <w:rPr>
          <w:rFonts w:hint="eastAsia" w:hAnsi="宋体" w:eastAsia="宋体" w:cs="宋体"/>
          <w:color w:val="000000"/>
          <w:sz w:val="24"/>
          <w:szCs w:val="24"/>
          <w:highlight w:val="none"/>
        </w:rPr>
        <w:t xml:space="preserve">的有效期限为开标后</w:t>
      </w:r>
      <w:r>
        <w:rPr>
          <w:rFonts w:hint="eastAsia" w:hAnsi="宋体" w:eastAsia="宋体" w:cs="宋体"/>
          <w:color w:val="000000"/>
          <w:sz w:val="24"/>
          <w:szCs w:val="24"/>
          <w:highlight w:val="none"/>
          <w:u w:val="single"/>
          <w:lang w:val="en-US" w:eastAsia="zh-CN"/>
        </w:rPr>
        <w:t xml:space="preserve">90</w:t>
      </w:r>
      <w:r>
        <w:rPr>
          <w:rFonts w:hint="eastAsia" w:hAnsi="宋体" w:eastAsia="宋体" w:cs="宋体"/>
          <w:color w:val="000000"/>
          <w:sz w:val="24"/>
          <w:szCs w:val="24"/>
          <w:highlight w:val="none"/>
        </w:rPr>
        <w:t xml:space="preserve">天。</w:t>
      </w:r>
      <w:r>
        <w:rPr>
          <w:rFonts w:hint="eastAsia" w:hAnsi="宋体" w:eastAsia="宋体" w:cs="宋体"/>
          <w:color w:val="000000"/>
          <w:sz w:val="24"/>
          <w:szCs w:val="24"/>
          <w:highlight w:val="none"/>
        </w:rPr>
      </w:r>
      <w:r/>
    </w:p>
    <w:p>
      <w:pPr>
        <w:pStyle w:val="1199"/>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    4、我们愿意提供招标方在</w:t>
      </w:r>
      <w:r>
        <w:rPr>
          <w:rFonts w:hint="eastAsia" w:hAnsi="宋体" w:eastAsia="宋体" w:cs="宋体"/>
          <w:color w:val="000000"/>
          <w:sz w:val="24"/>
          <w:szCs w:val="24"/>
          <w:highlight w:val="none"/>
          <w:lang w:eastAsia="zh-CN"/>
        </w:rPr>
        <w:t xml:space="preserve">征集文件</w:t>
      </w:r>
      <w:r>
        <w:rPr>
          <w:rFonts w:hint="eastAsia" w:hAnsi="宋体" w:eastAsia="宋体" w:cs="宋体"/>
          <w:color w:val="000000"/>
          <w:sz w:val="24"/>
          <w:szCs w:val="24"/>
          <w:highlight w:val="none"/>
        </w:rPr>
        <w:t xml:space="preserve">中要求的所有资料。</w:t>
      </w:r>
      <w:r>
        <w:rPr>
          <w:rFonts w:hint="eastAsia" w:hAnsi="宋体" w:eastAsia="宋体" w:cs="宋体"/>
          <w:color w:val="000000"/>
          <w:sz w:val="24"/>
          <w:szCs w:val="24"/>
          <w:highlight w:val="none"/>
        </w:rPr>
      </w:r>
      <w:r/>
    </w:p>
    <w:p>
      <w:pPr>
        <w:pStyle w:val="1199"/>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    5、我们愿意遵守</w:t>
      </w:r>
      <w:r>
        <w:rPr>
          <w:rFonts w:hint="eastAsia" w:hAnsi="宋体" w:eastAsia="宋体" w:cs="宋体"/>
          <w:color w:val="000000"/>
          <w:sz w:val="24"/>
          <w:szCs w:val="24"/>
          <w:highlight w:val="none"/>
          <w:lang w:eastAsia="zh-CN"/>
        </w:rPr>
        <w:t xml:space="preserve">征集公告</w:t>
      </w:r>
      <w:r>
        <w:rPr>
          <w:rFonts w:hint="eastAsia" w:hAnsi="宋体" w:eastAsia="宋体" w:cs="宋体"/>
          <w:color w:val="000000"/>
          <w:sz w:val="24"/>
          <w:szCs w:val="24"/>
          <w:highlight w:val="none"/>
        </w:rPr>
        <w:t xml:space="preserve">及</w:t>
      </w:r>
      <w:r>
        <w:rPr>
          <w:rFonts w:hint="eastAsia" w:hAnsi="宋体" w:eastAsia="宋体" w:cs="宋体"/>
          <w:color w:val="000000"/>
          <w:sz w:val="24"/>
          <w:szCs w:val="24"/>
          <w:highlight w:val="none"/>
          <w:lang w:eastAsia="zh-CN"/>
        </w:rPr>
        <w:t xml:space="preserve">征集文件</w:t>
      </w:r>
      <w:r>
        <w:rPr>
          <w:rFonts w:hint="eastAsia" w:hAnsi="宋体" w:eastAsia="宋体" w:cs="宋体"/>
          <w:color w:val="000000"/>
          <w:sz w:val="24"/>
          <w:szCs w:val="24"/>
          <w:highlight w:val="none"/>
        </w:rPr>
        <w:t xml:space="preserve">中所列的收费标准。</w:t>
      </w:r>
      <w:r>
        <w:rPr>
          <w:rFonts w:hint="eastAsia" w:hAnsi="宋体" w:eastAsia="宋体" w:cs="宋体"/>
          <w:color w:val="000000"/>
          <w:sz w:val="24"/>
          <w:szCs w:val="24"/>
          <w:highlight w:val="none"/>
        </w:rPr>
      </w:r>
      <w:r/>
    </w:p>
    <w:p>
      <w:pPr>
        <w:pStyle w:val="1199"/>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    6、我们承诺该项投标在开标后的全过程中保持有效，不作任何更改和变动。</w:t>
      </w:r>
      <w:r>
        <w:rPr>
          <w:rFonts w:hint="eastAsia" w:hAnsi="宋体" w:eastAsia="宋体" w:cs="宋体"/>
          <w:color w:val="000000"/>
          <w:sz w:val="24"/>
          <w:szCs w:val="24"/>
          <w:highlight w:val="none"/>
        </w:rPr>
      </w:r>
      <w:r/>
    </w:p>
    <w:p>
      <w:pPr>
        <w:pStyle w:val="1199"/>
        <w:ind w:firstLine="480"/>
        <w:spacing w:line="360" w:lineRule="auto"/>
        <w:rPr>
          <w:rFonts w:hint="eastAsia" w:hAnsi="宋体" w:eastAsia="宋体" w:cs="宋体"/>
          <w:color w:val="000000"/>
          <w:sz w:val="24"/>
          <w:szCs w:val="24"/>
          <w:highlight w:val="none"/>
          <w:lang w:val="en-US" w:eastAsia="zh-CN"/>
        </w:rPr>
      </w:pPr>
      <w:r>
        <w:rPr>
          <w:rFonts w:hint="eastAsia" w:hAnsi="宋体" w:eastAsia="宋体" w:cs="宋体"/>
          <w:color w:val="000000"/>
          <w:sz w:val="24"/>
          <w:szCs w:val="24"/>
          <w:highlight w:val="none"/>
          <w:lang w:val="en-US" w:eastAsia="zh-CN"/>
        </w:rPr>
        <w:t xml:space="preserve">7、我们愿意按征集文件的规定提交《投标（响应）保证承诺书》。</w:t>
      </w:r>
      <w:r>
        <w:rPr>
          <w:rFonts w:hint="eastAsia" w:hAnsi="宋体" w:eastAsia="宋体" w:cs="宋体"/>
          <w:color w:val="000000"/>
          <w:sz w:val="24"/>
          <w:szCs w:val="24"/>
          <w:highlight w:val="none"/>
          <w:lang w:val="en-US" w:eastAsia="zh-CN"/>
        </w:rPr>
      </w:r>
      <w:r/>
    </w:p>
    <w:p>
      <w:pPr>
        <w:pStyle w:val="1199"/>
        <w:ind w:firstLine="480"/>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lang w:val="en-US" w:eastAsia="zh-CN"/>
        </w:rPr>
        <w:t xml:space="preserve">8</w:t>
      </w:r>
      <w:r>
        <w:rPr>
          <w:rFonts w:hint="eastAsia" w:hAnsi="宋体" w:eastAsia="宋体" w:cs="宋体"/>
          <w:color w:val="000000"/>
          <w:sz w:val="24"/>
          <w:szCs w:val="24"/>
          <w:highlight w:val="none"/>
        </w:rPr>
        <w:t xml:space="preserve">、我们愿意按照贵公司</w:t>
      </w:r>
      <w:r>
        <w:rPr>
          <w:rFonts w:hint="eastAsia" w:hAnsi="宋体" w:eastAsia="宋体" w:cs="宋体"/>
          <w:color w:val="000000"/>
          <w:sz w:val="24"/>
          <w:szCs w:val="24"/>
          <w:highlight w:val="none"/>
          <w:lang w:eastAsia="zh-CN"/>
        </w:rPr>
        <w:t xml:space="preserve">征集文件</w:t>
      </w:r>
      <w:r>
        <w:rPr>
          <w:rFonts w:hint="eastAsia" w:hAnsi="宋体" w:eastAsia="宋体" w:cs="宋体"/>
          <w:color w:val="000000"/>
          <w:sz w:val="24"/>
          <w:szCs w:val="24"/>
          <w:highlight w:val="none"/>
        </w:rPr>
        <w:t xml:space="preserve">的要求提供</w:t>
      </w:r>
      <w:r>
        <w:rPr>
          <w:rFonts w:hint="eastAsia" w:hAnsi="宋体" w:eastAsia="宋体" w:cs="宋体"/>
          <w:color w:val="000000"/>
          <w:sz w:val="24"/>
          <w:szCs w:val="24"/>
          <w:highlight w:val="none"/>
          <w:lang w:eastAsia="zh-CN"/>
        </w:rPr>
        <w:t xml:space="preserve">响应文件</w:t>
      </w:r>
      <w:r>
        <w:rPr>
          <w:rFonts w:hint="eastAsia" w:hAnsi="宋体" w:eastAsia="宋体" w:cs="宋体"/>
          <w:color w:val="000000"/>
          <w:sz w:val="24"/>
          <w:szCs w:val="24"/>
          <w:highlight w:val="none"/>
        </w:rPr>
        <w:t xml:space="preserve">，并保证全部</w:t>
      </w:r>
      <w:r>
        <w:rPr>
          <w:rFonts w:hint="eastAsia" w:hAnsi="宋体" w:eastAsia="宋体" w:cs="宋体"/>
          <w:color w:val="000000"/>
          <w:sz w:val="24"/>
          <w:szCs w:val="24"/>
          <w:highlight w:val="none"/>
          <w:lang w:eastAsia="zh-CN"/>
        </w:rPr>
        <w:t xml:space="preserve">响应文件</w:t>
      </w:r>
      <w:r>
        <w:rPr>
          <w:rFonts w:hint="eastAsia" w:hAnsi="宋体" w:eastAsia="宋体" w:cs="宋体"/>
          <w:color w:val="000000"/>
          <w:sz w:val="24"/>
          <w:szCs w:val="24"/>
          <w:highlight w:val="none"/>
        </w:rPr>
        <w:t xml:space="preserve">内容真实有效，若有虚假，我公司愿意承担与此相关的一切责任；</w:t>
      </w:r>
      <w:r>
        <w:rPr>
          <w:rFonts w:hint="eastAsia" w:hAnsi="宋体" w:eastAsia="宋体" w:cs="宋体"/>
          <w:color w:val="000000"/>
          <w:sz w:val="24"/>
          <w:szCs w:val="24"/>
          <w:highlight w:val="none"/>
        </w:rPr>
      </w:r>
      <w:r/>
    </w:p>
    <w:p>
      <w:pPr>
        <w:pStyle w:val="1199"/>
        <w:ind w:firstLine="480"/>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lang w:val="en-US" w:eastAsia="zh-CN"/>
        </w:rPr>
        <w:t xml:space="preserve">9</w:t>
      </w:r>
      <w:r>
        <w:rPr>
          <w:rFonts w:hint="eastAsia" w:hAnsi="宋体" w:eastAsia="宋体" w:cs="宋体"/>
          <w:color w:val="000000"/>
          <w:sz w:val="24"/>
          <w:szCs w:val="24"/>
          <w:highlight w:val="none"/>
        </w:rPr>
        <w:t xml:space="preserve">、我们愿意按照《中华人民共和国</w:t>
      </w:r>
      <w:r>
        <w:rPr>
          <w:rFonts w:hint="eastAsia" w:hAnsi="宋体" w:eastAsia="宋体" w:cs="宋体"/>
          <w:color w:val="000000"/>
          <w:sz w:val="24"/>
          <w:szCs w:val="24"/>
          <w:highlight w:val="none"/>
          <w:lang w:eastAsia="zh-CN"/>
        </w:rPr>
        <w:t xml:space="preserve">民法典</w:t>
      </w:r>
      <w:r>
        <w:rPr>
          <w:rFonts w:hint="eastAsia" w:hAnsi="宋体" w:eastAsia="宋体" w:cs="宋体"/>
          <w:color w:val="000000"/>
          <w:sz w:val="24"/>
          <w:szCs w:val="24"/>
          <w:highlight w:val="none"/>
        </w:rPr>
        <w:t xml:space="preserve">》履行自己应该承担的全部责任。</w:t>
      </w:r>
      <w:r>
        <w:rPr>
          <w:rFonts w:hint="eastAsia" w:hAnsi="宋体" w:eastAsia="宋体" w:cs="宋体"/>
          <w:color w:val="000000"/>
          <w:sz w:val="24"/>
          <w:szCs w:val="24"/>
          <w:highlight w:val="none"/>
        </w:rPr>
      </w:r>
      <w:r/>
    </w:p>
    <w:p>
      <w:pPr>
        <w:pStyle w:val="1199"/>
        <w:ind w:firstLine="480"/>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lang w:val="en-US" w:eastAsia="zh-CN"/>
        </w:rPr>
        <w:t xml:space="preserve">10</w:t>
      </w:r>
      <w:r>
        <w:rPr>
          <w:rFonts w:hint="eastAsia" w:hAnsi="宋体" w:eastAsia="宋体" w:cs="宋体"/>
          <w:color w:val="000000"/>
          <w:sz w:val="24"/>
          <w:szCs w:val="24"/>
          <w:highlight w:val="none"/>
        </w:rPr>
        <w:t xml:space="preserve">、综合说明：</w:t>
      </w:r>
      <w:r>
        <w:rPr>
          <w:rFonts w:hint="eastAsia" w:hAnsi="宋体" w:eastAsia="宋体" w:cs="宋体"/>
          <w:color w:val="000000"/>
          <w:sz w:val="24"/>
          <w:szCs w:val="24"/>
          <w:highlight w:val="none"/>
        </w:rPr>
      </w:r>
      <w:r/>
    </w:p>
    <w:p>
      <w:pPr>
        <w:pStyle w:val="1199"/>
        <w:ind w:firstLine="420"/>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（1）伴随服务及配合措施；</w:t>
      </w:r>
      <w:r>
        <w:rPr>
          <w:rFonts w:hint="eastAsia" w:hAnsi="宋体" w:eastAsia="宋体" w:cs="宋体"/>
          <w:color w:val="000000"/>
          <w:sz w:val="24"/>
          <w:szCs w:val="24"/>
          <w:highlight w:val="none"/>
        </w:rPr>
      </w:r>
      <w:r/>
    </w:p>
    <w:p>
      <w:pPr>
        <w:pStyle w:val="1199"/>
        <w:ind w:firstLine="420"/>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（2）要求甲方提供的配合；</w:t>
      </w:r>
      <w:r>
        <w:rPr>
          <w:rFonts w:hint="eastAsia" w:hAnsi="宋体" w:eastAsia="宋体" w:cs="宋体"/>
          <w:color w:val="000000"/>
          <w:sz w:val="24"/>
          <w:szCs w:val="24"/>
          <w:highlight w:val="none"/>
        </w:rPr>
      </w:r>
      <w:r/>
    </w:p>
    <w:p>
      <w:pPr>
        <w:pStyle w:val="1199"/>
        <w:ind w:firstLine="420"/>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（3）对</w:t>
      </w:r>
      <w:r>
        <w:rPr>
          <w:rFonts w:hint="eastAsia" w:hAnsi="宋体" w:eastAsia="宋体" w:cs="宋体"/>
          <w:color w:val="000000"/>
          <w:sz w:val="24"/>
          <w:szCs w:val="24"/>
          <w:highlight w:val="none"/>
          <w:lang w:eastAsia="zh-CN"/>
        </w:rPr>
        <w:t xml:space="preserve">征集文件</w:t>
      </w:r>
      <w:r>
        <w:rPr>
          <w:rFonts w:hint="eastAsia" w:hAnsi="宋体" w:eastAsia="宋体" w:cs="宋体"/>
          <w:color w:val="000000"/>
          <w:sz w:val="24"/>
          <w:szCs w:val="24"/>
          <w:highlight w:val="none"/>
        </w:rPr>
        <w:t xml:space="preserve">有不同意见的偏离说明；</w:t>
      </w:r>
      <w:r>
        <w:rPr>
          <w:rFonts w:hint="eastAsia" w:hAnsi="宋体" w:eastAsia="宋体" w:cs="宋体"/>
          <w:color w:val="000000"/>
          <w:sz w:val="24"/>
          <w:szCs w:val="24"/>
          <w:highlight w:val="none"/>
        </w:rPr>
      </w:r>
      <w:r/>
    </w:p>
    <w:p>
      <w:pPr>
        <w:pStyle w:val="1199"/>
        <w:ind w:firstLine="420"/>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（4）其它说明。</w:t>
      </w:r>
      <w:r>
        <w:rPr>
          <w:rFonts w:hint="eastAsia" w:hAnsi="宋体" w:eastAsia="宋体" w:cs="宋体"/>
          <w:color w:val="000000"/>
          <w:sz w:val="24"/>
          <w:szCs w:val="24"/>
          <w:highlight w:val="none"/>
        </w:rPr>
      </w:r>
      <w:r/>
    </w:p>
    <w:p>
      <w:pPr>
        <w:pStyle w:val="1199"/>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    所有有关</w:t>
      </w:r>
      <w:r>
        <w:rPr>
          <w:rFonts w:hint="eastAsia" w:hAnsi="宋体" w:eastAsia="宋体" w:cs="宋体"/>
          <w:color w:val="000000"/>
          <w:sz w:val="24"/>
          <w:szCs w:val="24"/>
          <w:highlight w:val="none"/>
          <w:lang w:eastAsia="zh-CN"/>
        </w:rPr>
        <w:t xml:space="preserve">响应文件</w:t>
      </w:r>
      <w:r>
        <w:rPr>
          <w:rFonts w:hint="eastAsia" w:hAnsi="宋体" w:eastAsia="宋体" w:cs="宋体"/>
          <w:color w:val="000000"/>
          <w:sz w:val="24"/>
          <w:szCs w:val="24"/>
          <w:highlight w:val="none"/>
        </w:rPr>
        <w:t xml:space="preserve">的函电，请按下列地址联系：</w:t>
      </w:r>
      <w:r>
        <w:rPr>
          <w:rFonts w:hint="eastAsia" w:hAnsi="宋体" w:eastAsia="宋体" w:cs="宋体"/>
          <w:color w:val="000000"/>
          <w:sz w:val="24"/>
          <w:szCs w:val="24"/>
          <w:highlight w:val="none"/>
        </w:rPr>
      </w:r>
      <w:r/>
    </w:p>
    <w:p>
      <w:pPr>
        <w:pStyle w:val="1199"/>
        <w:ind w:firstLine="480"/>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单位：</w:t>
      </w:r>
      <w:r>
        <w:rPr>
          <w:rFonts w:hint="eastAsia" w:hAnsi="宋体" w:eastAsia="宋体" w:cs="宋体"/>
          <w:color w:val="000000"/>
          <w:sz w:val="24"/>
          <w:szCs w:val="24"/>
          <w:highlight w:val="none"/>
        </w:rPr>
      </w:r>
      <w:r/>
    </w:p>
    <w:p>
      <w:pPr>
        <w:pStyle w:val="1199"/>
        <w:ind w:firstLine="480"/>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联系人：</w:t>
      </w:r>
      <w:r>
        <w:rPr>
          <w:rFonts w:hint="eastAsia" w:hAnsi="宋体" w:eastAsia="宋体" w:cs="宋体"/>
          <w:color w:val="000000"/>
          <w:sz w:val="24"/>
          <w:szCs w:val="24"/>
          <w:highlight w:val="none"/>
        </w:rPr>
      </w:r>
      <w:r/>
    </w:p>
    <w:p>
      <w:pPr>
        <w:pStyle w:val="1199"/>
        <w:ind w:firstLine="480"/>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地址：</w:t>
      </w:r>
      <w:r>
        <w:rPr>
          <w:rFonts w:hint="eastAsia" w:hAnsi="宋体" w:eastAsia="宋体" w:cs="宋体"/>
          <w:color w:val="000000"/>
          <w:sz w:val="24"/>
          <w:szCs w:val="24"/>
          <w:highlight w:val="none"/>
        </w:rPr>
      </w:r>
      <w:r/>
    </w:p>
    <w:p>
      <w:pPr>
        <w:pStyle w:val="1199"/>
        <w:ind w:firstLine="480"/>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邮政编码：</w:t>
      </w:r>
      <w:r>
        <w:rPr>
          <w:rFonts w:hint="eastAsia" w:hAnsi="宋体" w:eastAsia="宋体" w:cs="宋体"/>
          <w:color w:val="000000"/>
          <w:sz w:val="24"/>
          <w:szCs w:val="24"/>
          <w:highlight w:val="none"/>
        </w:rPr>
      </w:r>
      <w:r/>
    </w:p>
    <w:p>
      <w:pPr>
        <w:pStyle w:val="1199"/>
        <w:ind w:firstLine="480"/>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联系电话：</w:t>
      </w:r>
      <w:r>
        <w:rPr>
          <w:rFonts w:hint="eastAsia" w:hAnsi="宋体" w:eastAsia="宋体" w:cs="宋体"/>
          <w:color w:val="000000"/>
          <w:sz w:val="24"/>
          <w:szCs w:val="24"/>
          <w:highlight w:val="none"/>
        </w:rPr>
      </w:r>
      <w:r/>
    </w:p>
    <w:p>
      <w:pPr>
        <w:pStyle w:val="1199"/>
        <w:ind w:firstLine="480"/>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传真：                              </w:t>
      </w:r>
      <w:r>
        <w:rPr>
          <w:rFonts w:hint="eastAsia" w:hAnsi="宋体" w:eastAsia="宋体" w:cs="宋体"/>
          <w:color w:val="000000"/>
          <w:sz w:val="24"/>
          <w:szCs w:val="24"/>
          <w:highlight w:val="none"/>
        </w:rPr>
      </w:r>
      <w:r/>
    </w:p>
    <w:p>
      <w:pPr>
        <w:pStyle w:val="1199"/>
        <w:ind w:firstLine="480"/>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r>
      <w:r/>
    </w:p>
    <w:p>
      <w:pPr>
        <w:pStyle w:val="1199"/>
        <w:ind w:firstLine="480"/>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lang w:eastAsia="zh-CN"/>
        </w:rPr>
        <w:t xml:space="preserve">响应单位</w:t>
      </w:r>
      <w:r>
        <w:rPr>
          <w:rFonts w:hint="eastAsia" w:hAnsi="宋体" w:eastAsia="宋体" w:cs="宋体"/>
          <w:color w:val="000000"/>
          <w:sz w:val="24"/>
          <w:szCs w:val="24"/>
          <w:highlight w:val="none"/>
        </w:rPr>
        <w:t xml:space="preserve">：（公章）</w:t>
      </w:r>
      <w:r>
        <w:rPr>
          <w:rFonts w:hint="eastAsia" w:hAnsi="宋体" w:eastAsia="宋体" w:cs="宋体"/>
          <w:color w:val="000000"/>
          <w:sz w:val="24"/>
          <w:szCs w:val="24"/>
          <w:highlight w:val="none"/>
        </w:rPr>
      </w:r>
      <w:r/>
    </w:p>
    <w:p>
      <w:pPr>
        <w:pStyle w:val="1199"/>
        <w:ind w:firstLine="480"/>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法定代表人或委托代理人：（签字或盖章）</w:t>
      </w:r>
      <w:r>
        <w:rPr>
          <w:rFonts w:hint="eastAsia" w:hAnsi="宋体" w:eastAsia="宋体" w:cs="宋体"/>
          <w:color w:val="000000"/>
          <w:sz w:val="24"/>
          <w:szCs w:val="24"/>
          <w:highlight w:val="none"/>
        </w:rPr>
      </w:r>
      <w:r/>
    </w:p>
    <w:p>
      <w:pPr>
        <w:pStyle w:val="1199"/>
        <w:ind w:firstLine="480"/>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日期：       年     月     日</w:t>
      </w:r>
      <w:r>
        <w:rPr>
          <w:rFonts w:hint="eastAsia" w:hAnsi="宋体" w:eastAsia="宋体" w:cs="宋体"/>
          <w:color w:val="000000"/>
          <w:sz w:val="24"/>
          <w:szCs w:val="24"/>
          <w:highlight w:val="none"/>
        </w:rPr>
      </w:r>
      <w:r/>
    </w:p>
    <w:p>
      <w:pPr>
        <w:pStyle w:val="1062"/>
        <w:rPr>
          <w:rFonts w:hint="eastAsia" w:eastAsia="宋体" w:cs="宋体"/>
          <w:color w:val="000000"/>
          <w:sz w:val="24"/>
          <w:szCs w:val="24"/>
          <w:highlight w:val="none"/>
        </w:rPr>
      </w:pPr>
      <w:r>
        <w:rPr>
          <w:rFonts w:hint="eastAsia" w:eastAsia="宋体" w:cs="宋体"/>
          <w:color w:val="000000"/>
          <w:sz w:val="24"/>
          <w:szCs w:val="24"/>
          <w:highlight w:val="none"/>
        </w:rPr>
        <w:br w:type="page" w:clear="all"/>
      </w:r>
      <w:bookmarkStart w:id="144" w:name="_Toc511680881"/>
      <w:r/>
      <w:bookmarkStart w:id="145" w:name="_Toc472326799"/>
      <w:r/>
      <w:bookmarkStart w:id="146" w:name="_Toc136507764"/>
      <w:r>
        <w:rPr>
          <w:rFonts w:hint="eastAsia" w:eastAsia="宋体" w:cs="宋体"/>
          <w:color w:val="000000"/>
          <w:sz w:val="24"/>
          <w:szCs w:val="24"/>
          <w:highlight w:val="none"/>
        </w:rPr>
        <w:t xml:space="preserve">附件</w:t>
      </w:r>
      <w:r>
        <w:rPr>
          <w:rFonts w:hint="eastAsia" w:eastAsia="宋体" w:cs="宋体"/>
          <w:color w:val="000000"/>
          <w:sz w:val="24"/>
          <w:szCs w:val="24"/>
          <w:highlight w:val="none"/>
          <w:lang w:val="en-US" w:eastAsia="zh-CN"/>
        </w:rPr>
        <w:t xml:space="preserve">3</w:t>
      </w:r>
      <w:r>
        <w:rPr>
          <w:rFonts w:hint="eastAsia" w:eastAsia="宋体" w:cs="宋体"/>
          <w:color w:val="000000"/>
          <w:sz w:val="24"/>
          <w:szCs w:val="24"/>
          <w:highlight w:val="none"/>
        </w:rPr>
        <w:t xml:space="preserve">、开标一览表</w:t>
      </w:r>
      <w:bookmarkEnd w:id="144"/>
      <w:r/>
      <w:bookmarkEnd w:id="145"/>
      <w:r/>
      <w:bookmarkEnd w:id="146"/>
      <w:r>
        <w:rPr>
          <w:rFonts w:hint="eastAsia" w:eastAsia="宋体" w:cs="宋体"/>
          <w:color w:val="000000"/>
          <w:sz w:val="24"/>
          <w:szCs w:val="24"/>
          <w:highlight w:val="none"/>
        </w:rPr>
      </w:r>
      <w:r/>
    </w:p>
    <w:p>
      <w:pPr>
        <w:pStyle w:val="1164"/>
        <w:jc w:val="center"/>
        <w:spacing w:line="480" w:lineRule="auto"/>
        <w:rPr>
          <w:rFonts w:hint="eastAsia" w:hAnsi="宋体" w:cs="宋体"/>
          <w:color w:val="000000"/>
          <w:highlight w:val="none"/>
        </w:rPr>
      </w:pPr>
      <w:r>
        <w:rPr>
          <w:rFonts w:hint="eastAsia" w:hAnsi="宋体" w:cs="宋体"/>
          <w:color w:val="000000"/>
          <w:highlight w:val="none"/>
        </w:rPr>
      </w:r>
      <w:r/>
    </w:p>
    <w:p>
      <w:pPr>
        <w:pStyle w:val="1164"/>
        <w:jc w:val="center"/>
        <w:rPr>
          <w:rFonts w:hint="eastAsia" w:hAnsi="宋体" w:cs="宋体"/>
          <w:b/>
          <w:color w:val="000000"/>
          <w:highlight w:val="none"/>
        </w:rPr>
      </w:pPr>
      <w:r>
        <w:rPr>
          <w:rFonts w:hint="eastAsia" w:hAnsi="宋体" w:cs="宋体"/>
          <w:b/>
          <w:color w:val="000000"/>
          <w:highlight w:val="none"/>
        </w:rPr>
        <w:t xml:space="preserve">开标一览表</w:t>
      </w:r>
      <w:r>
        <w:rPr>
          <w:rFonts w:hint="eastAsia" w:hAnsi="宋体" w:cs="宋体"/>
          <w:b/>
          <w:color w:val="000000"/>
          <w:highlight w:val="none"/>
        </w:rPr>
      </w:r>
      <w:r/>
    </w:p>
    <w:p>
      <w:pPr>
        <w:pStyle w:val="1164"/>
        <w:jc w:val="center"/>
        <w:spacing w:line="480" w:lineRule="auto"/>
        <w:rPr>
          <w:rFonts w:hint="eastAsia" w:hAnsi="宋体" w:cs="宋体"/>
          <w:b/>
          <w:bCs/>
          <w:color w:val="000000"/>
          <w:highlight w:val="none"/>
        </w:rPr>
      </w:pPr>
      <w:r>
        <w:rPr>
          <w:rFonts w:hint="eastAsia" w:hAnsi="宋体" w:cs="宋体"/>
          <w:b/>
          <w:bCs/>
          <w:color w:val="000000"/>
          <w:highlight w:val="none"/>
        </w:rPr>
        <w:t xml:space="preserve">（按系统统一格式编制，本项目固定报价，系统中默认每分包的开标一览表中投标报价必需填1元。否则视为非实质性响应征集文件要求）</w:t>
      </w:r>
      <w:r>
        <w:rPr>
          <w:rFonts w:hint="eastAsia" w:hAnsi="宋体" w:cs="宋体"/>
          <w:b/>
          <w:bCs/>
          <w:color w:val="000000"/>
          <w:highlight w:val="none"/>
        </w:rPr>
      </w:r>
      <w:r/>
    </w:p>
    <w:p>
      <w:pPr>
        <w:pStyle w:val="1164"/>
        <w:jc w:val="center"/>
        <w:rPr>
          <w:rFonts w:hint="eastAsia" w:hAnsi="宋体" w:cs="宋体"/>
          <w:color w:val="000000"/>
          <w:highlight w:val="none"/>
        </w:rPr>
      </w:pPr>
      <w:r>
        <w:rPr>
          <w:rFonts w:hint="eastAsia" w:hAnsi="宋体" w:cs="宋体"/>
          <w:b/>
          <w:color w:val="000000"/>
          <w:highlight w:val="none"/>
        </w:rPr>
        <w:t xml:space="preserve">服务价格承诺</w:t>
      </w:r>
      <w:r>
        <w:rPr>
          <w:rFonts w:hint="eastAsia" w:hAnsi="宋体" w:cs="宋体"/>
          <w:color w:val="000000"/>
          <w:highlight w:val="none"/>
        </w:rPr>
      </w:r>
      <w:r/>
    </w:p>
    <w:tbl>
      <w:tblPr>
        <w:tblW w:w="966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28"/>
        <w:gridCol w:w="6632"/>
      </w:tblGrid>
      <w:tr>
        <w:trPr>
          <w:trHeight w:val="737"/>
        </w:trPr>
        <w:tc>
          <w:tcPr>
            <w:tcW w:w="3028" w:type="dxa"/>
            <w:vAlign w:val="center"/>
            <w:textDirection w:val="lrTb"/>
            <w:noWrap w:val="false"/>
          </w:tcPr>
          <w:p>
            <w:pPr>
              <w:pStyle w:val="1060"/>
              <w:jc w:val="center"/>
              <w:rPr>
                <w:rFonts w:hint="eastAsia" w:ascii="宋体" w:hAnsi="宋体" w:cs="宋体"/>
                <w:b/>
                <w:color w:val="000000"/>
                <w:sz w:val="24"/>
                <w:highlight w:val="none"/>
              </w:rPr>
            </w:pPr>
            <w:r>
              <w:rPr>
                <w:rFonts w:hint="eastAsia" w:ascii="宋体" w:hAnsi="宋体" w:cs="宋体"/>
                <w:b/>
                <w:color w:val="000000"/>
                <w:sz w:val="24"/>
                <w:highlight w:val="none"/>
              </w:rPr>
              <w:t xml:space="preserve">项目编号</w:t>
            </w:r>
            <w:r>
              <w:rPr>
                <w:rFonts w:hint="eastAsia" w:ascii="宋体" w:hAnsi="宋体" w:cs="宋体"/>
                <w:b/>
                <w:color w:val="000000"/>
                <w:sz w:val="24"/>
                <w:highlight w:val="none"/>
              </w:rPr>
            </w:r>
            <w:r/>
          </w:p>
        </w:tc>
        <w:tc>
          <w:tcPr>
            <w:tcW w:w="6632" w:type="dxa"/>
            <w:vAlign w:val="center"/>
            <w:textDirection w:val="lrTb"/>
            <w:noWrap w:val="false"/>
          </w:tcPr>
          <w:p>
            <w:pPr>
              <w:pStyle w:val="1060"/>
              <w:jc w:val="center"/>
              <w:rPr>
                <w:rFonts w:hint="eastAsia" w:ascii="宋体" w:hAnsi="宋体" w:eastAsia="宋体" w:cs="宋体"/>
                <w:bCs/>
                <w:color w:val="000000"/>
                <w:sz w:val="24"/>
                <w:highlight w:val="none"/>
                <w:lang w:eastAsia="zh-CN"/>
              </w:rPr>
            </w:pPr>
            <w:r>
              <w:rPr>
                <w:rFonts w:hint="eastAsia" w:ascii="宋体" w:hAnsi="宋体" w:cs="宋体"/>
                <w:color w:val="000000"/>
                <w:sz w:val="24"/>
                <w:highlight w:val="none"/>
              </w:rPr>
              <w:t xml:space="preserve">  </w:t>
            </w:r>
            <w:r>
              <w:rPr>
                <w:rFonts w:hint="eastAsia" w:ascii="宋体" w:hAnsi="宋体" w:cs="宋体"/>
                <w:color w:val="000000"/>
                <w:sz w:val="24"/>
                <w:highlight w:val="none"/>
                <w:lang w:eastAsia="zh-CN"/>
              </w:rPr>
              <w:t xml:space="preserve">JSZC-320508-SZHT-K2026-0005</w:t>
            </w:r>
            <w:r>
              <w:rPr>
                <w:rFonts w:hint="eastAsia" w:ascii="宋体" w:hAnsi="宋体" w:eastAsia="宋体" w:cs="宋体"/>
                <w:bCs/>
                <w:color w:val="000000"/>
                <w:sz w:val="24"/>
                <w:highlight w:val="none"/>
                <w:lang w:eastAsia="zh-CN"/>
              </w:rPr>
            </w:r>
            <w:r/>
          </w:p>
        </w:tc>
      </w:tr>
      <w:tr>
        <w:trPr>
          <w:trHeight w:val="737"/>
        </w:trPr>
        <w:tc>
          <w:tcPr>
            <w:tcW w:w="3028" w:type="dxa"/>
            <w:vAlign w:val="center"/>
            <w:textDirection w:val="lrTb"/>
            <w:noWrap w:val="false"/>
          </w:tcPr>
          <w:p>
            <w:pPr>
              <w:pStyle w:val="1060"/>
              <w:jc w:val="center"/>
              <w:rPr>
                <w:rFonts w:hint="eastAsia" w:ascii="宋体" w:hAnsi="宋体" w:cs="宋体"/>
                <w:b/>
                <w:color w:val="000000"/>
                <w:sz w:val="24"/>
                <w:highlight w:val="none"/>
              </w:rPr>
            </w:pPr>
            <w:r>
              <w:rPr>
                <w:rFonts w:hint="eastAsia" w:ascii="宋体" w:hAnsi="宋体" w:cs="宋体"/>
                <w:b/>
                <w:color w:val="000000"/>
                <w:sz w:val="24"/>
                <w:highlight w:val="none"/>
              </w:rPr>
              <w:t xml:space="preserve">项目名称</w:t>
            </w:r>
            <w:r>
              <w:rPr>
                <w:rFonts w:hint="eastAsia" w:ascii="宋体" w:hAnsi="宋体" w:cs="宋体"/>
                <w:b/>
                <w:color w:val="000000"/>
                <w:sz w:val="24"/>
                <w:highlight w:val="none"/>
              </w:rPr>
            </w:r>
            <w:r/>
          </w:p>
        </w:tc>
        <w:tc>
          <w:tcPr>
            <w:tcW w:w="6632" w:type="dxa"/>
            <w:vAlign w:val="center"/>
            <w:textDirection w:val="lrTb"/>
            <w:noWrap w:val="false"/>
          </w:tcPr>
          <w:p>
            <w:pPr>
              <w:pStyle w:val="1060"/>
              <w:jc w:val="center"/>
              <w:rPr>
                <w:rFonts w:hint="eastAsia" w:ascii="宋体" w:hAnsi="宋体" w:cs="宋体"/>
                <w:bCs/>
                <w:color w:val="000000"/>
                <w:sz w:val="24"/>
                <w:highlight w:val="none"/>
              </w:rPr>
            </w:pPr>
            <w:r>
              <w:rPr>
                <w:rFonts w:hint="eastAsia" w:ascii="宋体" w:hAnsi="宋体" w:cs="宋体"/>
                <w:color w:val="000000"/>
                <w:sz w:val="24"/>
                <w:highlight w:val="none"/>
              </w:rPr>
              <w:t xml:space="preserve"> 苏州市姑苏区残疾人辅助器具适配服务</w:t>
            </w:r>
            <w:r>
              <w:rPr>
                <w:rFonts w:hint="eastAsia" w:ascii="宋体" w:hAnsi="宋体" w:cs="宋体"/>
                <w:bCs/>
                <w:color w:val="000000"/>
                <w:sz w:val="24"/>
                <w:highlight w:val="none"/>
              </w:rPr>
            </w:r>
            <w:r/>
          </w:p>
        </w:tc>
      </w:tr>
      <w:tr>
        <w:trPr>
          <w:trHeight w:val="737"/>
        </w:trPr>
        <w:tc>
          <w:tcPr>
            <w:tcW w:w="3028" w:type="dxa"/>
            <w:vAlign w:val="center"/>
            <w:textDirection w:val="lrTb"/>
            <w:noWrap w:val="false"/>
          </w:tcPr>
          <w:p>
            <w:pPr>
              <w:pStyle w:val="1060"/>
              <w:jc w:val="center"/>
              <w:rPr>
                <w:rFonts w:hint="eastAsia" w:ascii="宋体" w:hAnsi="宋体" w:cs="宋体"/>
                <w:b/>
                <w:color w:val="000000"/>
                <w:sz w:val="24"/>
                <w:highlight w:val="none"/>
              </w:rPr>
            </w:pPr>
            <w:r>
              <w:rPr>
                <w:rFonts w:hint="eastAsia" w:ascii="宋体" w:hAnsi="宋体" w:cs="宋体"/>
                <w:b/>
                <w:color w:val="000000"/>
                <w:sz w:val="24"/>
                <w:highlight w:val="none"/>
              </w:rPr>
              <w:t xml:space="preserve">分包号及名称</w:t>
            </w:r>
            <w:r>
              <w:rPr>
                <w:rFonts w:hint="eastAsia" w:ascii="宋体" w:hAnsi="宋体" w:cs="宋体"/>
                <w:b/>
                <w:color w:val="000000"/>
                <w:sz w:val="24"/>
                <w:highlight w:val="none"/>
              </w:rPr>
            </w:r>
            <w:r/>
          </w:p>
        </w:tc>
        <w:tc>
          <w:tcPr>
            <w:tcW w:w="6632" w:type="dxa"/>
            <w:vAlign w:val="center"/>
            <w:textDirection w:val="lrTb"/>
            <w:noWrap w:val="false"/>
          </w:tcPr>
          <w:p>
            <w:pPr>
              <w:pStyle w:val="1060"/>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737"/>
        </w:trPr>
        <w:tc>
          <w:tcPr>
            <w:tcW w:w="3028" w:type="dxa"/>
            <w:vAlign w:val="center"/>
            <w:textDirection w:val="lrTb"/>
            <w:noWrap w:val="false"/>
          </w:tcPr>
          <w:p>
            <w:pPr>
              <w:pStyle w:val="1060"/>
              <w:jc w:val="center"/>
              <w:rPr>
                <w:rFonts w:hint="eastAsia" w:ascii="宋体" w:hAnsi="宋体" w:cs="宋体"/>
                <w:b/>
                <w:color w:val="000000"/>
                <w:sz w:val="24"/>
                <w:highlight w:val="none"/>
              </w:rPr>
            </w:pPr>
            <w:r>
              <w:rPr>
                <w:rFonts w:hint="eastAsia" w:ascii="宋体" w:hAnsi="宋体" w:cs="宋体"/>
                <w:b/>
                <w:color w:val="000000"/>
                <w:sz w:val="24"/>
                <w:highlight w:val="none"/>
              </w:rPr>
              <w:t xml:space="preserve">报价</w:t>
            </w:r>
            <w:r>
              <w:rPr>
                <w:rFonts w:hint="eastAsia" w:ascii="宋体" w:hAnsi="宋体" w:cs="宋体"/>
                <w:b/>
                <w:color w:val="000000"/>
                <w:sz w:val="24"/>
                <w:highlight w:val="none"/>
              </w:rPr>
            </w:r>
            <w:r/>
          </w:p>
        </w:tc>
        <w:tc>
          <w:tcPr>
            <w:tcW w:w="6632" w:type="dxa"/>
            <w:vAlign w:val="center"/>
            <w:textDirection w:val="lrTb"/>
            <w:noWrap w:val="false"/>
          </w:tcPr>
          <w:p>
            <w:pPr>
              <w:pStyle w:val="1060"/>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人民币壹元整（￥1.00）</w:t>
            </w:r>
            <w:r>
              <w:rPr>
                <w:rFonts w:hint="eastAsia" w:ascii="宋体" w:hAnsi="宋体" w:cs="宋体"/>
                <w:bCs/>
                <w:color w:val="000000"/>
                <w:sz w:val="24"/>
                <w:highlight w:val="none"/>
              </w:rPr>
            </w:r>
            <w:r/>
          </w:p>
        </w:tc>
      </w:tr>
      <w:tr>
        <w:trPr>
          <w:trHeight w:val="2892"/>
        </w:trPr>
        <w:tc>
          <w:tcPr>
            <w:tcW w:w="3028" w:type="dxa"/>
            <w:vAlign w:val="center"/>
            <w:textDirection w:val="lrTb"/>
            <w:noWrap w:val="false"/>
          </w:tcPr>
          <w:p>
            <w:pPr>
              <w:pStyle w:val="1060"/>
              <w:jc w:val="center"/>
              <w:rPr>
                <w:rFonts w:hint="eastAsia" w:ascii="宋体" w:hAnsi="宋体" w:cs="宋体"/>
                <w:b/>
                <w:bCs/>
                <w:color w:val="000000"/>
                <w:sz w:val="24"/>
                <w:highlight w:val="none"/>
              </w:rPr>
            </w:pPr>
            <w:r>
              <w:rPr>
                <w:rFonts w:hint="eastAsia" w:ascii="宋体" w:hAnsi="宋体" w:cs="宋体"/>
                <w:b/>
                <w:color w:val="000000"/>
                <w:sz w:val="24"/>
                <w:highlight w:val="none"/>
              </w:rPr>
              <w:t xml:space="preserve">服务价格承诺</w:t>
            </w:r>
            <w:r>
              <w:rPr>
                <w:rFonts w:hint="eastAsia" w:ascii="宋体" w:hAnsi="宋体" w:cs="宋体"/>
                <w:b/>
                <w:bCs/>
                <w:color w:val="000000"/>
                <w:sz w:val="24"/>
                <w:highlight w:val="none"/>
              </w:rPr>
            </w:r>
            <w:r/>
          </w:p>
        </w:tc>
        <w:tc>
          <w:tcPr>
            <w:tcW w:w="6632" w:type="dxa"/>
            <w:vAlign w:val="center"/>
            <w:textDirection w:val="lrTb"/>
            <w:noWrap w:val="false"/>
          </w:tcPr>
          <w:p>
            <w:pPr>
              <w:pStyle w:val="1060"/>
              <w:jc w:val="left"/>
              <w:rPr>
                <w:rFonts w:hint="eastAsia" w:ascii="宋体" w:hAnsi="宋体" w:cs="宋体"/>
                <w:color w:val="000000"/>
                <w:sz w:val="24"/>
                <w:highlight w:val="none"/>
              </w:rPr>
            </w:pPr>
            <w:r>
              <w:rPr>
                <w:rFonts w:hint="eastAsia" w:ascii="宋体" w:hAnsi="宋体" w:cs="宋体"/>
                <w:color w:val="000000"/>
                <w:sz w:val="24"/>
                <w:highlight w:val="none"/>
              </w:rPr>
              <w:t xml:space="preserve">在服务期限内，我方同意提供《关于印发〈2023年苏州市残疾人辅助器具适配产品目录〉的通知》（苏残字〔2023〕38号）（后续如上述目录出现调整，则以调整后的目录定价执行）的相应采购包产品目录的所有产品，与相应</w:t>
            </w:r>
            <w:bookmarkStart w:id="147" w:name="OLE_LINK107"/>
            <w:r/>
            <w:bookmarkStart w:id="148" w:name="OLE_LINK106"/>
            <w:r>
              <w:rPr>
                <w:rFonts w:hint="eastAsia" w:ascii="宋体" w:hAnsi="宋体" w:cs="宋体"/>
                <w:color w:val="000000"/>
                <w:sz w:val="24"/>
                <w:highlight w:val="none"/>
              </w:rPr>
              <w:t xml:space="preserve">采购包</w:t>
            </w:r>
            <w:bookmarkEnd w:id="147"/>
            <w:r/>
            <w:bookmarkEnd w:id="148"/>
            <w:r>
              <w:rPr>
                <w:rFonts w:hint="eastAsia" w:ascii="宋体" w:hAnsi="宋体" w:cs="宋体"/>
                <w:color w:val="000000"/>
                <w:sz w:val="24"/>
                <w:highlight w:val="none"/>
              </w:rPr>
              <w:t xml:space="preserve">产品生产企业结付的进货价格严格按照生产企业向苏州市残联提供的备案目录中的供应商报价执行。目录外辅助器具产品实行前置审核机制，供应商应事先向姑苏区残疾人联合会报送所能提供的全部目录外辅助器具产品清单，批准通过后方可提供相应产品。目录外产品适配价（含服务费）不得高于同期其他任何渠道售价，并结合本项目公益属性给予公益价格折扣。</w:t>
            </w:r>
            <w:r>
              <w:rPr>
                <w:rFonts w:hint="eastAsia"/>
                <w:color w:val="000000"/>
                <w:sz w:val="24"/>
                <w:szCs w:val="21"/>
                <w:highlight w:val="none"/>
              </w:rPr>
              <w:t xml:space="preserve">同品牌同型号的目录外产品适配价须与向姑苏区残联的报送价一致。</w:t>
            </w:r>
            <w:r>
              <w:rPr>
                <w:rFonts w:hint="eastAsia" w:ascii="宋体" w:hAnsi="宋体" w:cs="宋体"/>
                <w:color w:val="000000"/>
                <w:sz w:val="24"/>
                <w:highlight w:val="none"/>
              </w:rPr>
              <w:t xml:space="preserve">辅助器具补贴标准按照《关于优化〈苏州市残疾人辅助器具适配补贴实施办法〉的通知》（苏残字〔2024〕50号）(后续如对应文件有调整，以最新版文件为准)相关规定执行。</w:t>
            </w:r>
            <w:r>
              <w:rPr>
                <w:rFonts w:hint="eastAsia" w:ascii="宋体" w:hAnsi="宋体" w:cs="宋体"/>
                <w:color w:val="000000"/>
                <w:sz w:val="24"/>
                <w:highlight w:val="none"/>
              </w:rPr>
            </w:r>
            <w:r/>
          </w:p>
        </w:tc>
      </w:tr>
      <w:tr>
        <w:trPr>
          <w:trHeight w:val="737"/>
        </w:trPr>
        <w:tc>
          <w:tcPr>
            <w:tcW w:w="3028" w:type="dxa"/>
            <w:vAlign w:val="center"/>
            <w:textDirection w:val="lrTb"/>
            <w:noWrap w:val="false"/>
          </w:tcPr>
          <w:p>
            <w:pPr>
              <w:pStyle w:val="1060"/>
              <w:jc w:val="center"/>
              <w:rPr>
                <w:rFonts w:hint="eastAsia" w:ascii="宋体" w:hAnsi="宋体" w:cs="宋体"/>
                <w:b/>
                <w:color w:val="000000"/>
                <w:sz w:val="24"/>
                <w:highlight w:val="none"/>
              </w:rPr>
            </w:pPr>
            <w:r>
              <w:rPr>
                <w:rFonts w:hint="eastAsia" w:ascii="宋体" w:hAnsi="宋体" w:cs="宋体"/>
                <w:b/>
                <w:color w:val="000000"/>
                <w:sz w:val="24"/>
                <w:highlight w:val="none"/>
              </w:rPr>
              <w:t xml:space="preserve">是否响应承诺内容</w:t>
            </w:r>
            <w:r>
              <w:rPr>
                <w:rFonts w:hint="eastAsia" w:ascii="宋体" w:hAnsi="宋体" w:cs="宋体"/>
                <w:b/>
                <w:color w:val="000000"/>
                <w:sz w:val="24"/>
                <w:highlight w:val="none"/>
              </w:rPr>
            </w:r>
            <w:r/>
          </w:p>
        </w:tc>
        <w:tc>
          <w:tcPr>
            <w:tcW w:w="6632" w:type="dxa"/>
            <w:vAlign w:val="center"/>
            <w:textDirection w:val="lrTb"/>
            <w:noWrap w:val="false"/>
          </w:tcPr>
          <w:p>
            <w:pPr>
              <w:pStyle w:val="1060"/>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r>
    </w:tbl>
    <w:p>
      <w:pPr>
        <w:pStyle w:val="1060"/>
        <w:ind w:firstLine="480"/>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注：</w:t>
      </w:r>
      <w:r>
        <w:rPr>
          <w:rFonts w:hint="eastAsia" w:ascii="宋体" w:hAnsi="宋体" w:cs="宋体"/>
          <w:bCs/>
          <w:color w:val="000000"/>
          <w:sz w:val="24"/>
          <w:highlight w:val="none"/>
        </w:rPr>
      </w:r>
      <w:r/>
    </w:p>
    <w:p>
      <w:pPr>
        <w:pStyle w:val="1060"/>
        <w:ind w:firstLine="480"/>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1、如对表中承诺内容完全响应的，在“是否响应承诺内容”栏中填写“是”；如无法响应的，在“是否响应承诺内容”栏中填写“否”。</w:t>
      </w:r>
      <w:r>
        <w:rPr>
          <w:rFonts w:hint="eastAsia" w:ascii="宋体" w:hAnsi="宋体" w:cs="宋体"/>
          <w:bCs/>
          <w:color w:val="000000"/>
          <w:sz w:val="24"/>
          <w:highlight w:val="none"/>
        </w:rPr>
      </w:r>
      <w:r/>
    </w:p>
    <w:p>
      <w:pPr>
        <w:pStyle w:val="1060"/>
        <w:ind w:firstLine="480"/>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响应单位：（公章）</w:t>
      </w:r>
      <w:r>
        <w:rPr>
          <w:rFonts w:hint="eastAsia" w:ascii="宋体" w:hAnsi="宋体" w:cs="宋体"/>
          <w:bCs/>
          <w:color w:val="000000"/>
          <w:sz w:val="24"/>
          <w:highlight w:val="none"/>
        </w:rPr>
      </w:r>
      <w:r/>
    </w:p>
    <w:p>
      <w:pPr>
        <w:pStyle w:val="1060"/>
        <w:ind w:firstLine="480"/>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法定代表人或委托代理人：（签字或盖章）</w:t>
      </w:r>
      <w:r>
        <w:rPr>
          <w:rFonts w:hint="eastAsia" w:ascii="宋体" w:hAnsi="宋体" w:cs="宋体"/>
          <w:bCs/>
          <w:color w:val="000000"/>
          <w:sz w:val="24"/>
          <w:highlight w:val="none"/>
        </w:rPr>
      </w:r>
      <w:r/>
    </w:p>
    <w:p>
      <w:pPr>
        <w:pStyle w:val="1060"/>
        <w:ind w:firstLine="480"/>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日期：     年     月     日</w:t>
      </w:r>
      <w:r>
        <w:rPr>
          <w:rFonts w:hint="eastAsia" w:ascii="宋体" w:hAnsi="宋体" w:cs="宋体"/>
          <w:bCs/>
          <w:color w:val="000000"/>
          <w:sz w:val="24"/>
          <w:highlight w:val="none"/>
        </w:rPr>
      </w:r>
      <w:r/>
    </w:p>
    <w:p>
      <w:pPr>
        <w:pStyle w:val="1164"/>
        <w:jc w:val="center"/>
        <w:rPr>
          <w:rFonts w:hint="eastAsia" w:hAnsi="宋体" w:cs="宋体"/>
          <w:b/>
          <w:color w:val="000000"/>
          <w:highlight w:val="none"/>
        </w:rPr>
      </w:pPr>
      <w:r>
        <w:rPr>
          <w:rFonts w:hint="eastAsia" w:hAnsi="宋体" w:cs="宋体"/>
          <w:b/>
          <w:color w:val="000000"/>
          <w:highlight w:val="none"/>
        </w:rPr>
      </w:r>
      <w:r/>
    </w:p>
    <w:p>
      <w:pPr>
        <w:pStyle w:val="1060"/>
        <w:spacing w:line="400" w:lineRule="exact"/>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060"/>
        <w:ind w:firstLine="241"/>
        <w:spacing w:line="40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附件4、设施设备说明</w:t>
      </w:r>
      <w:r>
        <w:rPr>
          <w:rFonts w:hint="eastAsia" w:ascii="宋体" w:hAnsi="宋体" w:cs="宋体"/>
          <w:b/>
          <w:bCs/>
          <w:color w:val="000000"/>
          <w:sz w:val="24"/>
          <w:highlight w:val="none"/>
        </w:rPr>
      </w:r>
      <w:r/>
    </w:p>
    <w:p>
      <w:pPr>
        <w:pStyle w:val="1060"/>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（1）场地设置一览表</w:t>
      </w:r>
      <w:r>
        <w:rPr>
          <w:rFonts w:hint="eastAsia" w:ascii="宋体" w:hAnsi="宋体" w:cs="宋体"/>
          <w:bCs/>
          <w:color w:val="000000"/>
          <w:sz w:val="24"/>
          <w:highlight w:val="none"/>
        </w:rPr>
      </w:r>
      <w:r/>
    </w:p>
    <w:tbl>
      <w:tblPr>
        <w:tblW w:w="906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6"/>
        <w:gridCol w:w="2355"/>
        <w:gridCol w:w="1125"/>
        <w:gridCol w:w="1965"/>
        <w:gridCol w:w="2839"/>
      </w:tblGrid>
      <w:tr>
        <w:trPr>
          <w:trHeight w:val="534"/>
        </w:trPr>
        <w:tc>
          <w:tcPr>
            <w:tcW w:w="776" w:type="dxa"/>
            <w:vAlign w:val="center"/>
            <w:textDirection w:val="lrTb"/>
            <w:noWrap w:val="false"/>
          </w:tcPr>
          <w:p>
            <w:pPr>
              <w:pStyle w:val="1060"/>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序号</w:t>
            </w:r>
            <w:r>
              <w:rPr>
                <w:rFonts w:hint="eastAsia" w:ascii="宋体" w:hAnsi="宋体" w:cs="宋体"/>
                <w:bCs/>
                <w:color w:val="000000"/>
                <w:sz w:val="24"/>
                <w:highlight w:val="none"/>
              </w:rPr>
            </w:r>
            <w:r/>
          </w:p>
        </w:tc>
        <w:tc>
          <w:tcPr>
            <w:tcW w:w="2355" w:type="dxa"/>
            <w:vAlign w:val="center"/>
            <w:textDirection w:val="lrTb"/>
            <w:noWrap w:val="false"/>
          </w:tcPr>
          <w:p>
            <w:pPr>
              <w:pStyle w:val="1060"/>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场地名称</w:t>
            </w:r>
            <w:r>
              <w:rPr>
                <w:rFonts w:hint="eastAsia" w:ascii="宋体" w:hAnsi="宋体" w:cs="宋体"/>
                <w:bCs/>
                <w:color w:val="000000"/>
                <w:sz w:val="24"/>
                <w:highlight w:val="none"/>
              </w:rPr>
            </w:r>
            <w:r/>
          </w:p>
        </w:tc>
        <w:tc>
          <w:tcPr>
            <w:tcW w:w="1125" w:type="dxa"/>
            <w:vAlign w:val="center"/>
            <w:textDirection w:val="lrTb"/>
            <w:noWrap w:val="false"/>
          </w:tcPr>
          <w:p>
            <w:pPr>
              <w:pStyle w:val="1060"/>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数量</w:t>
            </w:r>
            <w:r>
              <w:rPr>
                <w:rFonts w:hint="eastAsia" w:ascii="宋体" w:hAnsi="宋体" w:cs="宋体"/>
                <w:bCs/>
                <w:color w:val="000000"/>
                <w:sz w:val="24"/>
                <w:highlight w:val="none"/>
              </w:rPr>
            </w:r>
            <w:r/>
          </w:p>
        </w:tc>
        <w:tc>
          <w:tcPr>
            <w:tcW w:w="1965" w:type="dxa"/>
            <w:vAlign w:val="center"/>
            <w:textDirection w:val="lrTb"/>
            <w:noWrap w:val="false"/>
          </w:tcPr>
          <w:p>
            <w:pPr>
              <w:pStyle w:val="1060"/>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面积（平方米）</w:t>
            </w:r>
            <w:r>
              <w:rPr>
                <w:rFonts w:hint="eastAsia" w:ascii="宋体" w:hAnsi="宋体" w:cs="宋体"/>
                <w:bCs/>
                <w:color w:val="000000"/>
                <w:sz w:val="24"/>
                <w:highlight w:val="none"/>
              </w:rPr>
            </w:r>
            <w:r/>
          </w:p>
        </w:tc>
        <w:tc>
          <w:tcPr>
            <w:tcW w:w="2839" w:type="dxa"/>
            <w:vAlign w:val="center"/>
            <w:textDirection w:val="lrTb"/>
            <w:noWrap w:val="false"/>
          </w:tcPr>
          <w:p>
            <w:pPr>
              <w:pStyle w:val="1060"/>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照片（或其他材料）</w:t>
            </w:r>
            <w:r>
              <w:rPr>
                <w:rFonts w:hint="eastAsia" w:ascii="宋体" w:hAnsi="宋体" w:cs="宋体"/>
                <w:bCs/>
                <w:color w:val="000000"/>
                <w:sz w:val="24"/>
                <w:highlight w:val="none"/>
              </w:rPr>
            </w:r>
            <w:r/>
          </w:p>
        </w:tc>
      </w:tr>
      <w:tr>
        <w:trPr>
          <w:trHeight w:val="550"/>
        </w:trPr>
        <w:tc>
          <w:tcPr>
            <w:tcW w:w="776" w:type="dxa"/>
            <w:vAlign w:val="center"/>
            <w:textDirection w:val="lrTb"/>
            <w:noWrap w:val="false"/>
          </w:tcPr>
          <w:p>
            <w:pPr>
              <w:pStyle w:val="1060"/>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2355" w:type="dxa"/>
            <w:vAlign w:val="center"/>
            <w:textDirection w:val="lrTb"/>
            <w:noWrap w:val="false"/>
          </w:tcPr>
          <w:p>
            <w:pPr>
              <w:pStyle w:val="1060"/>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125" w:type="dxa"/>
            <w:vAlign w:val="center"/>
            <w:textDirection w:val="lrTb"/>
            <w:noWrap w:val="false"/>
          </w:tcPr>
          <w:p>
            <w:pPr>
              <w:pStyle w:val="1060"/>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965" w:type="dxa"/>
            <w:vAlign w:val="center"/>
            <w:textDirection w:val="lrTb"/>
            <w:noWrap w:val="false"/>
          </w:tcPr>
          <w:p>
            <w:pPr>
              <w:pStyle w:val="1060"/>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2839" w:type="dxa"/>
            <w:vAlign w:val="center"/>
            <w:textDirection w:val="lrTb"/>
            <w:noWrap w:val="false"/>
          </w:tcPr>
          <w:p>
            <w:pPr>
              <w:pStyle w:val="1060"/>
              <w:rPr>
                <w:rFonts w:hint="eastAsia" w:ascii="宋体" w:hAnsi="宋体" w:cs="宋体"/>
                <w:bCs/>
                <w:color w:val="000000"/>
                <w:sz w:val="24"/>
                <w:highlight w:val="none"/>
              </w:rPr>
            </w:pPr>
            <w:r>
              <w:rPr>
                <w:rFonts w:hint="eastAsia" w:ascii="宋体" w:hAnsi="宋体" w:cs="宋体"/>
                <w:bCs/>
                <w:color w:val="000000"/>
                <w:sz w:val="24"/>
                <w:highlight w:val="none"/>
              </w:rPr>
            </w:r>
            <w:r/>
          </w:p>
        </w:tc>
      </w:tr>
      <w:tr>
        <w:trPr>
          <w:trHeight w:val="720"/>
        </w:trPr>
        <w:tc>
          <w:tcPr>
            <w:tcW w:w="776" w:type="dxa"/>
            <w:vAlign w:val="center"/>
            <w:textDirection w:val="lrTb"/>
            <w:noWrap w:val="false"/>
          </w:tcPr>
          <w:p>
            <w:pPr>
              <w:pStyle w:val="1060"/>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2355" w:type="dxa"/>
            <w:vAlign w:val="center"/>
            <w:textDirection w:val="lrTb"/>
            <w:noWrap w:val="false"/>
          </w:tcPr>
          <w:p>
            <w:pPr>
              <w:pStyle w:val="1060"/>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125" w:type="dxa"/>
            <w:vAlign w:val="center"/>
            <w:textDirection w:val="lrTb"/>
            <w:noWrap w:val="false"/>
          </w:tcPr>
          <w:p>
            <w:pPr>
              <w:pStyle w:val="1060"/>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965" w:type="dxa"/>
            <w:vAlign w:val="center"/>
            <w:textDirection w:val="lrTb"/>
            <w:noWrap w:val="false"/>
          </w:tcPr>
          <w:p>
            <w:pPr>
              <w:pStyle w:val="1060"/>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2839" w:type="dxa"/>
            <w:vAlign w:val="center"/>
            <w:textDirection w:val="lrTb"/>
            <w:noWrap w:val="false"/>
          </w:tcPr>
          <w:p>
            <w:pPr>
              <w:pStyle w:val="1060"/>
              <w:rPr>
                <w:rFonts w:hint="eastAsia" w:ascii="宋体" w:hAnsi="宋体" w:cs="宋体"/>
                <w:bCs/>
                <w:color w:val="000000"/>
                <w:sz w:val="24"/>
                <w:highlight w:val="none"/>
              </w:rPr>
            </w:pPr>
            <w:r>
              <w:rPr>
                <w:rFonts w:hint="eastAsia" w:ascii="宋体" w:hAnsi="宋体" w:cs="宋体"/>
                <w:bCs/>
                <w:color w:val="000000"/>
                <w:sz w:val="24"/>
                <w:highlight w:val="none"/>
              </w:rPr>
            </w:r>
            <w:r/>
          </w:p>
        </w:tc>
      </w:tr>
      <w:tr>
        <w:trPr>
          <w:trHeight w:val="784"/>
        </w:trPr>
        <w:tc>
          <w:tcPr>
            <w:tcW w:w="776" w:type="dxa"/>
            <w:vAlign w:val="center"/>
            <w:textDirection w:val="lrTb"/>
            <w:noWrap w:val="false"/>
          </w:tcPr>
          <w:p>
            <w:pPr>
              <w:pStyle w:val="1060"/>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2355" w:type="dxa"/>
            <w:vAlign w:val="center"/>
            <w:textDirection w:val="lrTb"/>
            <w:noWrap w:val="false"/>
          </w:tcPr>
          <w:p>
            <w:pPr>
              <w:pStyle w:val="1060"/>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125" w:type="dxa"/>
            <w:vAlign w:val="center"/>
            <w:textDirection w:val="lrTb"/>
            <w:noWrap w:val="false"/>
          </w:tcPr>
          <w:p>
            <w:pPr>
              <w:pStyle w:val="1060"/>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965" w:type="dxa"/>
            <w:vAlign w:val="center"/>
            <w:textDirection w:val="lrTb"/>
            <w:noWrap w:val="false"/>
          </w:tcPr>
          <w:p>
            <w:pPr>
              <w:pStyle w:val="1060"/>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2839" w:type="dxa"/>
            <w:vAlign w:val="center"/>
            <w:textDirection w:val="lrTb"/>
            <w:noWrap w:val="false"/>
          </w:tcPr>
          <w:p>
            <w:pPr>
              <w:pStyle w:val="1060"/>
              <w:rPr>
                <w:rFonts w:hint="eastAsia" w:ascii="宋体" w:hAnsi="宋体" w:cs="宋体"/>
                <w:bCs/>
                <w:color w:val="000000"/>
                <w:sz w:val="24"/>
                <w:highlight w:val="none"/>
              </w:rPr>
            </w:pPr>
            <w:r>
              <w:rPr>
                <w:rFonts w:hint="eastAsia" w:ascii="宋体" w:hAnsi="宋体" w:cs="宋体"/>
                <w:bCs/>
                <w:color w:val="000000"/>
                <w:sz w:val="24"/>
                <w:highlight w:val="none"/>
              </w:rPr>
            </w:r>
            <w:r/>
          </w:p>
        </w:tc>
      </w:tr>
      <w:tr>
        <w:trPr>
          <w:trHeight w:val="760"/>
        </w:trPr>
        <w:tc>
          <w:tcPr>
            <w:tcW w:w="776" w:type="dxa"/>
            <w:vAlign w:val="center"/>
            <w:textDirection w:val="lrTb"/>
            <w:noWrap w:val="false"/>
          </w:tcPr>
          <w:p>
            <w:pPr>
              <w:pStyle w:val="1060"/>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2355" w:type="dxa"/>
            <w:vAlign w:val="center"/>
            <w:textDirection w:val="lrTb"/>
            <w:noWrap w:val="false"/>
          </w:tcPr>
          <w:p>
            <w:pPr>
              <w:pStyle w:val="1060"/>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125" w:type="dxa"/>
            <w:vAlign w:val="center"/>
            <w:textDirection w:val="lrTb"/>
            <w:noWrap w:val="false"/>
          </w:tcPr>
          <w:p>
            <w:pPr>
              <w:pStyle w:val="1060"/>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965" w:type="dxa"/>
            <w:vAlign w:val="center"/>
            <w:textDirection w:val="lrTb"/>
            <w:noWrap w:val="false"/>
          </w:tcPr>
          <w:p>
            <w:pPr>
              <w:pStyle w:val="1060"/>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2839" w:type="dxa"/>
            <w:vAlign w:val="center"/>
            <w:textDirection w:val="lrTb"/>
            <w:noWrap w:val="false"/>
          </w:tcPr>
          <w:p>
            <w:pPr>
              <w:pStyle w:val="1060"/>
              <w:rPr>
                <w:rFonts w:hint="eastAsia" w:ascii="宋体" w:hAnsi="宋体" w:cs="宋体"/>
                <w:bCs/>
                <w:color w:val="000000"/>
                <w:sz w:val="24"/>
                <w:highlight w:val="none"/>
              </w:rPr>
            </w:pPr>
            <w:r>
              <w:rPr>
                <w:rFonts w:hint="eastAsia" w:ascii="宋体" w:hAnsi="宋体" w:cs="宋体"/>
                <w:bCs/>
                <w:color w:val="000000"/>
                <w:sz w:val="24"/>
                <w:highlight w:val="none"/>
              </w:rPr>
            </w:r>
            <w:r/>
          </w:p>
        </w:tc>
      </w:tr>
      <w:tr>
        <w:trPr>
          <w:trHeight w:val="916"/>
        </w:trPr>
        <w:tc>
          <w:tcPr>
            <w:tcW w:w="776" w:type="dxa"/>
            <w:vAlign w:val="center"/>
            <w:textDirection w:val="lrTb"/>
            <w:noWrap w:val="false"/>
          </w:tcPr>
          <w:p>
            <w:pPr>
              <w:pStyle w:val="1060"/>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2355" w:type="dxa"/>
            <w:vAlign w:val="center"/>
            <w:textDirection w:val="lrTb"/>
            <w:noWrap w:val="false"/>
          </w:tcPr>
          <w:p>
            <w:pPr>
              <w:pStyle w:val="1060"/>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125" w:type="dxa"/>
            <w:vAlign w:val="center"/>
            <w:textDirection w:val="lrTb"/>
            <w:noWrap w:val="false"/>
          </w:tcPr>
          <w:p>
            <w:pPr>
              <w:pStyle w:val="1060"/>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965" w:type="dxa"/>
            <w:vAlign w:val="center"/>
            <w:textDirection w:val="lrTb"/>
            <w:noWrap w:val="false"/>
          </w:tcPr>
          <w:p>
            <w:pPr>
              <w:pStyle w:val="1060"/>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2839" w:type="dxa"/>
            <w:vAlign w:val="center"/>
            <w:textDirection w:val="lrTb"/>
            <w:noWrap w:val="false"/>
          </w:tcPr>
          <w:p>
            <w:pPr>
              <w:pStyle w:val="1060"/>
              <w:rPr>
                <w:rFonts w:hint="eastAsia" w:ascii="宋体" w:hAnsi="宋体" w:cs="宋体"/>
                <w:bCs/>
                <w:color w:val="000000"/>
                <w:sz w:val="24"/>
                <w:highlight w:val="none"/>
              </w:rPr>
            </w:pPr>
            <w:r>
              <w:rPr>
                <w:rFonts w:hint="eastAsia" w:ascii="宋体" w:hAnsi="宋体" w:cs="宋体"/>
                <w:bCs/>
                <w:color w:val="000000"/>
                <w:sz w:val="24"/>
                <w:highlight w:val="none"/>
              </w:rPr>
            </w:r>
            <w:r/>
          </w:p>
        </w:tc>
      </w:tr>
    </w:tbl>
    <w:p>
      <w:pPr>
        <w:pStyle w:val="1060"/>
        <w:jc w:val="center"/>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1060"/>
        <w:ind w:firstLine="24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响应单位：（公章）</w:t>
      </w:r>
      <w:r>
        <w:rPr>
          <w:rFonts w:hint="eastAsia" w:ascii="宋体" w:hAnsi="宋体" w:cs="宋体"/>
          <w:color w:val="000000"/>
          <w:sz w:val="24"/>
          <w:highlight w:val="none"/>
        </w:rPr>
      </w:r>
      <w:r/>
    </w:p>
    <w:p>
      <w:pPr>
        <w:pStyle w:val="1060"/>
        <w:ind w:firstLine="24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法定代表人或委托代理人：（签字或盖章）</w:t>
      </w:r>
      <w:r>
        <w:rPr>
          <w:rFonts w:hint="eastAsia" w:ascii="宋体" w:hAnsi="宋体" w:cs="宋体"/>
          <w:color w:val="000000"/>
          <w:sz w:val="24"/>
          <w:highlight w:val="none"/>
        </w:rPr>
      </w:r>
      <w:r/>
    </w:p>
    <w:p>
      <w:pPr>
        <w:pStyle w:val="1060"/>
        <w:ind w:firstLine="24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日期：       年     月     日</w:t>
      </w:r>
      <w:r>
        <w:rPr>
          <w:rFonts w:hint="eastAsia" w:ascii="宋体" w:hAnsi="宋体" w:cs="宋体"/>
          <w:color w:val="000000"/>
          <w:sz w:val="24"/>
          <w:highlight w:val="none"/>
        </w:rPr>
      </w:r>
      <w:r/>
    </w:p>
    <w:p>
      <w:pPr>
        <w:pStyle w:val="1060"/>
        <w:jc w:val="center"/>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1060"/>
        <w:jc w:val="center"/>
        <w:rPr>
          <w:rFonts w:hint="eastAsia" w:ascii="宋体" w:hAnsi="宋体" w:cs="宋体"/>
          <w:bCs/>
          <w:color w:val="000000"/>
          <w:sz w:val="24"/>
          <w:highlight w:val="none"/>
        </w:rPr>
      </w:pPr>
      <w:r>
        <w:rPr>
          <w:rFonts w:hint="eastAsia" w:ascii="宋体" w:hAnsi="宋体" w:cs="宋体"/>
          <w:bCs/>
          <w:color w:val="000000"/>
          <w:sz w:val="24"/>
          <w:highlight w:val="none"/>
        </w:rPr>
        <w:br w:type="page" w:clear="all"/>
      </w:r>
      <w:r>
        <w:rPr>
          <w:rFonts w:hint="eastAsia" w:ascii="宋体" w:hAnsi="宋体" w:cs="宋体"/>
          <w:bCs/>
          <w:color w:val="000000"/>
          <w:sz w:val="24"/>
          <w:highlight w:val="none"/>
        </w:rPr>
      </w:r>
      <w:r/>
    </w:p>
    <w:p>
      <w:pPr>
        <w:pStyle w:val="1060"/>
        <w:jc w:val="center"/>
        <w:rPr>
          <w:rFonts w:hint="eastAsia" w:ascii="宋体" w:hAnsi="宋体" w:cs="宋体"/>
          <w:color w:val="000000"/>
          <w:highlight w:val="none"/>
        </w:rPr>
      </w:pPr>
      <w:r>
        <w:rPr>
          <w:rFonts w:hint="eastAsia" w:ascii="宋体" w:hAnsi="宋体" w:cs="宋体"/>
          <w:bCs/>
          <w:color w:val="000000"/>
          <w:sz w:val="24"/>
          <w:highlight w:val="none"/>
        </w:rPr>
        <w:t xml:space="preserve">（2）设备一览表</w:t>
      </w:r>
      <w:r>
        <w:rPr>
          <w:rFonts w:hint="eastAsia" w:ascii="宋体" w:hAnsi="宋体" w:cs="宋体"/>
          <w:color w:val="000000"/>
          <w:highlight w:val="none"/>
        </w:rPr>
      </w:r>
      <w:r/>
    </w:p>
    <w:tbl>
      <w:tblPr>
        <w:tblW w:w="906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6"/>
        <w:gridCol w:w="1680"/>
        <w:gridCol w:w="1140"/>
        <w:gridCol w:w="2625"/>
        <w:gridCol w:w="2839"/>
      </w:tblGrid>
      <w:tr>
        <w:trPr>
          <w:trHeight w:val="534"/>
        </w:trPr>
        <w:tc>
          <w:tcPr>
            <w:tcW w:w="776" w:type="dxa"/>
            <w:vAlign w:val="center"/>
            <w:textDirection w:val="lrTb"/>
            <w:noWrap w:val="false"/>
          </w:tcPr>
          <w:p>
            <w:pPr>
              <w:pStyle w:val="1060"/>
              <w:jc w:val="center"/>
              <w:rPr>
                <w:rFonts w:hint="eastAsia" w:ascii="宋体" w:hAnsi="宋体" w:cs="宋体"/>
                <w:color w:val="000000"/>
                <w:sz w:val="24"/>
                <w:highlight w:val="none"/>
              </w:rPr>
            </w:pPr>
            <w:r>
              <w:rPr>
                <w:rFonts w:hint="eastAsia" w:ascii="宋体" w:hAnsi="宋体" w:cs="宋体"/>
                <w:color w:val="000000"/>
                <w:sz w:val="24"/>
                <w:highlight w:val="none"/>
              </w:rPr>
              <w:t xml:space="preserve">序号</w:t>
            </w:r>
            <w:r>
              <w:rPr>
                <w:rFonts w:hint="eastAsia" w:ascii="宋体" w:hAnsi="宋体" w:cs="宋体"/>
                <w:color w:val="000000"/>
                <w:sz w:val="24"/>
                <w:highlight w:val="none"/>
              </w:rPr>
            </w:r>
            <w:r/>
          </w:p>
        </w:tc>
        <w:tc>
          <w:tcPr>
            <w:tcW w:w="1680" w:type="dxa"/>
            <w:vAlign w:val="center"/>
            <w:textDirection w:val="lrTb"/>
            <w:noWrap w:val="false"/>
          </w:tcPr>
          <w:p>
            <w:pPr>
              <w:pStyle w:val="1060"/>
              <w:jc w:val="center"/>
              <w:rPr>
                <w:rFonts w:hint="eastAsia" w:ascii="宋体" w:hAnsi="宋体" w:cs="宋体"/>
                <w:color w:val="000000"/>
                <w:sz w:val="24"/>
                <w:highlight w:val="none"/>
              </w:rPr>
            </w:pPr>
            <w:r>
              <w:rPr>
                <w:rFonts w:hint="eastAsia" w:ascii="宋体" w:hAnsi="宋体" w:cs="宋体"/>
                <w:color w:val="000000"/>
                <w:sz w:val="24"/>
                <w:highlight w:val="none"/>
              </w:rPr>
              <w:t xml:space="preserve">设备名称</w:t>
            </w:r>
            <w:r>
              <w:rPr>
                <w:rFonts w:hint="eastAsia" w:ascii="宋体" w:hAnsi="宋体" w:cs="宋体"/>
                <w:color w:val="000000"/>
                <w:sz w:val="24"/>
                <w:highlight w:val="none"/>
              </w:rPr>
            </w:r>
            <w:r/>
          </w:p>
        </w:tc>
        <w:tc>
          <w:tcPr>
            <w:tcW w:w="1140" w:type="dxa"/>
            <w:vAlign w:val="center"/>
            <w:textDirection w:val="lrTb"/>
            <w:noWrap w:val="false"/>
          </w:tcPr>
          <w:p>
            <w:pPr>
              <w:pStyle w:val="1060"/>
              <w:jc w:val="center"/>
              <w:rPr>
                <w:rFonts w:hint="eastAsia" w:ascii="宋体" w:hAnsi="宋体" w:cs="宋体"/>
                <w:color w:val="000000"/>
                <w:sz w:val="24"/>
                <w:highlight w:val="none"/>
              </w:rPr>
            </w:pPr>
            <w:r>
              <w:rPr>
                <w:rFonts w:hint="eastAsia" w:ascii="宋体" w:hAnsi="宋体" w:cs="宋体"/>
                <w:color w:val="000000"/>
                <w:sz w:val="24"/>
                <w:highlight w:val="none"/>
              </w:rPr>
              <w:t xml:space="preserve">数量</w:t>
            </w:r>
            <w:r>
              <w:rPr>
                <w:rFonts w:hint="eastAsia" w:ascii="宋体" w:hAnsi="宋体" w:cs="宋体"/>
                <w:color w:val="000000"/>
                <w:sz w:val="24"/>
                <w:highlight w:val="none"/>
              </w:rPr>
            </w:r>
            <w:r/>
          </w:p>
        </w:tc>
        <w:tc>
          <w:tcPr>
            <w:tcW w:w="2625" w:type="dxa"/>
            <w:vAlign w:val="center"/>
            <w:textDirection w:val="lrTb"/>
            <w:noWrap w:val="false"/>
          </w:tcPr>
          <w:p>
            <w:pPr>
              <w:pStyle w:val="1060"/>
              <w:jc w:val="center"/>
              <w:rPr>
                <w:rFonts w:hint="eastAsia" w:ascii="宋体" w:hAnsi="宋体" w:cs="宋体"/>
                <w:color w:val="000000"/>
                <w:sz w:val="24"/>
                <w:highlight w:val="none"/>
              </w:rPr>
            </w:pPr>
            <w:r>
              <w:rPr>
                <w:rFonts w:hint="eastAsia" w:ascii="宋体" w:hAnsi="宋体" w:cs="宋体"/>
                <w:color w:val="000000"/>
                <w:sz w:val="24"/>
                <w:highlight w:val="none"/>
              </w:rPr>
              <w:t xml:space="preserve">用途</w:t>
            </w:r>
            <w:r>
              <w:rPr>
                <w:rFonts w:hint="eastAsia" w:ascii="宋体" w:hAnsi="宋体" w:cs="宋体"/>
                <w:color w:val="000000"/>
                <w:sz w:val="24"/>
                <w:highlight w:val="none"/>
              </w:rPr>
            </w:r>
            <w:r/>
          </w:p>
        </w:tc>
        <w:tc>
          <w:tcPr>
            <w:tcW w:w="2839" w:type="dxa"/>
            <w:vAlign w:val="center"/>
            <w:textDirection w:val="lrTb"/>
            <w:noWrap w:val="false"/>
          </w:tcPr>
          <w:p>
            <w:pPr>
              <w:pStyle w:val="1060"/>
              <w:jc w:val="center"/>
              <w:rPr>
                <w:rFonts w:hint="eastAsia" w:ascii="宋体" w:hAnsi="宋体" w:cs="宋体"/>
                <w:color w:val="000000"/>
                <w:sz w:val="24"/>
                <w:highlight w:val="none"/>
              </w:rPr>
            </w:pPr>
            <w:r>
              <w:rPr>
                <w:rFonts w:hint="eastAsia" w:ascii="宋体" w:hAnsi="宋体" w:cs="宋体"/>
                <w:color w:val="000000"/>
                <w:sz w:val="24"/>
                <w:highlight w:val="none"/>
              </w:rPr>
              <w:t xml:space="preserve">照片</w:t>
            </w:r>
            <w:r>
              <w:rPr>
                <w:rFonts w:hint="eastAsia" w:ascii="宋体" w:hAnsi="宋体" w:cs="宋体"/>
                <w:color w:val="000000"/>
                <w:sz w:val="24"/>
                <w:highlight w:val="none"/>
              </w:rPr>
            </w:r>
            <w:r/>
          </w:p>
        </w:tc>
      </w:tr>
      <w:tr>
        <w:trPr>
          <w:trHeight w:val="735"/>
        </w:trPr>
        <w:tc>
          <w:tcPr>
            <w:tcW w:w="776" w:type="dxa"/>
            <w:vAlign w:val="center"/>
            <w:textDirection w:val="lrTb"/>
            <w:noWrap w:val="false"/>
          </w:tcPr>
          <w:p>
            <w:pPr>
              <w:pStyle w:val="1060"/>
              <w:rPr>
                <w:rFonts w:hint="eastAsia" w:ascii="宋体" w:hAnsi="宋体" w:cs="宋体"/>
                <w:color w:val="000000"/>
                <w:sz w:val="24"/>
                <w:highlight w:val="none"/>
              </w:rPr>
            </w:pPr>
            <w:r>
              <w:rPr>
                <w:rFonts w:hint="eastAsia" w:ascii="宋体" w:hAnsi="宋体" w:cs="宋体"/>
                <w:color w:val="000000"/>
                <w:sz w:val="24"/>
                <w:highlight w:val="none"/>
              </w:rPr>
            </w:r>
            <w:r/>
          </w:p>
        </w:tc>
        <w:tc>
          <w:tcPr>
            <w:tcW w:w="1680" w:type="dxa"/>
            <w:vAlign w:val="center"/>
            <w:textDirection w:val="lrTb"/>
            <w:noWrap w:val="false"/>
          </w:tcPr>
          <w:p>
            <w:pPr>
              <w:pStyle w:val="1060"/>
              <w:rPr>
                <w:rFonts w:hint="eastAsia" w:ascii="宋体" w:hAnsi="宋体" w:cs="宋体"/>
                <w:color w:val="000000"/>
                <w:sz w:val="24"/>
                <w:highlight w:val="none"/>
              </w:rPr>
            </w:pPr>
            <w:r>
              <w:rPr>
                <w:rFonts w:hint="eastAsia" w:ascii="宋体" w:hAnsi="宋体" w:cs="宋体"/>
                <w:color w:val="000000"/>
                <w:sz w:val="24"/>
                <w:highlight w:val="none"/>
              </w:rPr>
            </w:r>
            <w:r/>
          </w:p>
        </w:tc>
        <w:tc>
          <w:tcPr>
            <w:tcW w:w="1140" w:type="dxa"/>
            <w:vAlign w:val="center"/>
            <w:textDirection w:val="lrTb"/>
            <w:noWrap w:val="false"/>
          </w:tcPr>
          <w:p>
            <w:pPr>
              <w:pStyle w:val="1060"/>
              <w:rPr>
                <w:rFonts w:hint="eastAsia" w:ascii="宋体" w:hAnsi="宋体" w:cs="宋体"/>
                <w:color w:val="000000"/>
                <w:sz w:val="24"/>
                <w:highlight w:val="none"/>
              </w:rPr>
            </w:pPr>
            <w:r>
              <w:rPr>
                <w:rFonts w:hint="eastAsia" w:ascii="宋体" w:hAnsi="宋体" w:cs="宋体"/>
                <w:color w:val="000000"/>
                <w:sz w:val="24"/>
                <w:highlight w:val="none"/>
              </w:rPr>
            </w:r>
            <w:r/>
          </w:p>
        </w:tc>
        <w:tc>
          <w:tcPr>
            <w:tcW w:w="2625" w:type="dxa"/>
            <w:vAlign w:val="center"/>
            <w:textDirection w:val="lrTb"/>
            <w:noWrap w:val="false"/>
          </w:tcPr>
          <w:p>
            <w:pPr>
              <w:pStyle w:val="1060"/>
              <w:rPr>
                <w:rFonts w:hint="eastAsia" w:ascii="宋体" w:hAnsi="宋体" w:cs="宋体"/>
                <w:color w:val="000000"/>
                <w:sz w:val="24"/>
                <w:highlight w:val="none"/>
              </w:rPr>
            </w:pPr>
            <w:r>
              <w:rPr>
                <w:rFonts w:hint="eastAsia" w:ascii="宋体" w:hAnsi="宋体" w:cs="宋体"/>
                <w:color w:val="000000"/>
                <w:sz w:val="24"/>
                <w:highlight w:val="none"/>
              </w:rPr>
            </w:r>
            <w:r/>
          </w:p>
        </w:tc>
        <w:tc>
          <w:tcPr>
            <w:tcW w:w="2839" w:type="dxa"/>
            <w:vAlign w:val="center"/>
            <w:textDirection w:val="lrTb"/>
            <w:noWrap w:val="false"/>
          </w:tcPr>
          <w:p>
            <w:pPr>
              <w:pStyle w:val="1060"/>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772"/>
        </w:trPr>
        <w:tc>
          <w:tcPr>
            <w:tcW w:w="776" w:type="dxa"/>
            <w:vAlign w:val="center"/>
            <w:textDirection w:val="lrTb"/>
            <w:noWrap w:val="false"/>
          </w:tcPr>
          <w:p>
            <w:pPr>
              <w:pStyle w:val="1060"/>
              <w:rPr>
                <w:rFonts w:hint="eastAsia" w:ascii="宋体" w:hAnsi="宋体" w:cs="宋体"/>
                <w:color w:val="000000"/>
                <w:sz w:val="24"/>
                <w:highlight w:val="none"/>
              </w:rPr>
            </w:pPr>
            <w:r>
              <w:rPr>
                <w:rFonts w:hint="eastAsia" w:ascii="宋体" w:hAnsi="宋体" w:cs="宋体"/>
                <w:color w:val="000000"/>
                <w:sz w:val="24"/>
                <w:highlight w:val="none"/>
              </w:rPr>
            </w:r>
            <w:r/>
          </w:p>
        </w:tc>
        <w:tc>
          <w:tcPr>
            <w:tcW w:w="1680" w:type="dxa"/>
            <w:vAlign w:val="center"/>
            <w:textDirection w:val="lrTb"/>
            <w:noWrap w:val="false"/>
          </w:tcPr>
          <w:p>
            <w:pPr>
              <w:pStyle w:val="1060"/>
              <w:rPr>
                <w:rFonts w:hint="eastAsia" w:ascii="宋体" w:hAnsi="宋体" w:cs="宋体"/>
                <w:color w:val="000000"/>
                <w:sz w:val="24"/>
                <w:highlight w:val="none"/>
              </w:rPr>
            </w:pPr>
            <w:r>
              <w:rPr>
                <w:rFonts w:hint="eastAsia" w:ascii="宋体" w:hAnsi="宋体" w:cs="宋体"/>
                <w:color w:val="000000"/>
                <w:sz w:val="24"/>
                <w:highlight w:val="none"/>
              </w:rPr>
            </w:r>
            <w:r/>
          </w:p>
        </w:tc>
        <w:tc>
          <w:tcPr>
            <w:tcW w:w="1140" w:type="dxa"/>
            <w:vAlign w:val="center"/>
            <w:textDirection w:val="lrTb"/>
            <w:noWrap w:val="false"/>
          </w:tcPr>
          <w:p>
            <w:pPr>
              <w:pStyle w:val="1060"/>
              <w:rPr>
                <w:rFonts w:hint="eastAsia" w:ascii="宋体" w:hAnsi="宋体" w:cs="宋体"/>
                <w:color w:val="000000"/>
                <w:sz w:val="24"/>
                <w:highlight w:val="none"/>
              </w:rPr>
            </w:pPr>
            <w:r>
              <w:rPr>
                <w:rFonts w:hint="eastAsia" w:ascii="宋体" w:hAnsi="宋体" w:cs="宋体"/>
                <w:color w:val="000000"/>
                <w:sz w:val="24"/>
                <w:highlight w:val="none"/>
              </w:rPr>
            </w:r>
            <w:r/>
          </w:p>
        </w:tc>
        <w:tc>
          <w:tcPr>
            <w:tcW w:w="2625" w:type="dxa"/>
            <w:vAlign w:val="center"/>
            <w:textDirection w:val="lrTb"/>
            <w:noWrap w:val="false"/>
          </w:tcPr>
          <w:p>
            <w:pPr>
              <w:pStyle w:val="1060"/>
              <w:rPr>
                <w:rFonts w:hint="eastAsia" w:ascii="宋体" w:hAnsi="宋体" w:cs="宋体"/>
                <w:color w:val="000000"/>
                <w:sz w:val="24"/>
                <w:highlight w:val="none"/>
              </w:rPr>
            </w:pPr>
            <w:r>
              <w:rPr>
                <w:rFonts w:hint="eastAsia" w:ascii="宋体" w:hAnsi="宋体" w:cs="宋体"/>
                <w:color w:val="000000"/>
                <w:sz w:val="24"/>
                <w:highlight w:val="none"/>
              </w:rPr>
            </w:r>
            <w:r/>
          </w:p>
        </w:tc>
        <w:tc>
          <w:tcPr>
            <w:tcW w:w="2839" w:type="dxa"/>
            <w:vAlign w:val="center"/>
            <w:textDirection w:val="lrTb"/>
            <w:noWrap w:val="false"/>
          </w:tcPr>
          <w:p>
            <w:pPr>
              <w:pStyle w:val="1060"/>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726"/>
        </w:trPr>
        <w:tc>
          <w:tcPr>
            <w:tcW w:w="776" w:type="dxa"/>
            <w:vAlign w:val="center"/>
            <w:textDirection w:val="lrTb"/>
            <w:noWrap w:val="false"/>
          </w:tcPr>
          <w:p>
            <w:pPr>
              <w:pStyle w:val="1060"/>
              <w:rPr>
                <w:rFonts w:hint="eastAsia" w:ascii="宋体" w:hAnsi="宋体" w:cs="宋体"/>
                <w:color w:val="000000"/>
                <w:sz w:val="24"/>
                <w:highlight w:val="none"/>
              </w:rPr>
            </w:pPr>
            <w:r>
              <w:rPr>
                <w:rFonts w:hint="eastAsia" w:ascii="宋体" w:hAnsi="宋体" w:cs="宋体"/>
                <w:color w:val="000000"/>
                <w:sz w:val="24"/>
                <w:highlight w:val="none"/>
              </w:rPr>
            </w:r>
            <w:r/>
          </w:p>
        </w:tc>
        <w:tc>
          <w:tcPr>
            <w:tcW w:w="1680" w:type="dxa"/>
            <w:vAlign w:val="center"/>
            <w:textDirection w:val="lrTb"/>
            <w:noWrap w:val="false"/>
          </w:tcPr>
          <w:p>
            <w:pPr>
              <w:pStyle w:val="1060"/>
              <w:rPr>
                <w:rFonts w:hint="eastAsia" w:ascii="宋体" w:hAnsi="宋体" w:cs="宋体"/>
                <w:color w:val="000000"/>
                <w:sz w:val="24"/>
                <w:highlight w:val="none"/>
              </w:rPr>
            </w:pPr>
            <w:r>
              <w:rPr>
                <w:rFonts w:hint="eastAsia" w:ascii="宋体" w:hAnsi="宋体" w:cs="宋体"/>
                <w:color w:val="000000"/>
                <w:sz w:val="24"/>
                <w:highlight w:val="none"/>
              </w:rPr>
            </w:r>
            <w:r/>
          </w:p>
        </w:tc>
        <w:tc>
          <w:tcPr>
            <w:tcW w:w="1140" w:type="dxa"/>
            <w:vAlign w:val="center"/>
            <w:textDirection w:val="lrTb"/>
            <w:noWrap w:val="false"/>
          </w:tcPr>
          <w:p>
            <w:pPr>
              <w:pStyle w:val="1060"/>
              <w:rPr>
                <w:rFonts w:hint="eastAsia" w:ascii="宋体" w:hAnsi="宋体" w:cs="宋体"/>
                <w:color w:val="000000"/>
                <w:sz w:val="24"/>
                <w:highlight w:val="none"/>
              </w:rPr>
            </w:pPr>
            <w:r>
              <w:rPr>
                <w:rFonts w:hint="eastAsia" w:ascii="宋体" w:hAnsi="宋体" w:cs="宋体"/>
                <w:color w:val="000000"/>
                <w:sz w:val="24"/>
                <w:highlight w:val="none"/>
              </w:rPr>
            </w:r>
            <w:r/>
          </w:p>
        </w:tc>
        <w:tc>
          <w:tcPr>
            <w:tcW w:w="2625" w:type="dxa"/>
            <w:vAlign w:val="center"/>
            <w:textDirection w:val="lrTb"/>
            <w:noWrap w:val="false"/>
          </w:tcPr>
          <w:p>
            <w:pPr>
              <w:pStyle w:val="1060"/>
              <w:rPr>
                <w:rFonts w:hint="eastAsia" w:ascii="宋体" w:hAnsi="宋体" w:cs="宋体"/>
                <w:color w:val="000000"/>
                <w:sz w:val="24"/>
                <w:highlight w:val="none"/>
              </w:rPr>
            </w:pPr>
            <w:r>
              <w:rPr>
                <w:rFonts w:hint="eastAsia" w:ascii="宋体" w:hAnsi="宋体" w:cs="宋体"/>
                <w:color w:val="000000"/>
                <w:sz w:val="24"/>
                <w:highlight w:val="none"/>
              </w:rPr>
            </w:r>
            <w:r/>
          </w:p>
        </w:tc>
        <w:tc>
          <w:tcPr>
            <w:tcW w:w="2839" w:type="dxa"/>
            <w:vAlign w:val="center"/>
            <w:textDirection w:val="lrTb"/>
            <w:noWrap w:val="false"/>
          </w:tcPr>
          <w:p>
            <w:pPr>
              <w:pStyle w:val="1060"/>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834"/>
        </w:trPr>
        <w:tc>
          <w:tcPr>
            <w:tcW w:w="776" w:type="dxa"/>
            <w:vAlign w:val="center"/>
            <w:textDirection w:val="lrTb"/>
            <w:noWrap w:val="false"/>
          </w:tcPr>
          <w:p>
            <w:pPr>
              <w:pStyle w:val="1060"/>
              <w:rPr>
                <w:rFonts w:hint="eastAsia" w:ascii="宋体" w:hAnsi="宋体" w:cs="宋体"/>
                <w:color w:val="000000"/>
                <w:sz w:val="24"/>
                <w:highlight w:val="none"/>
              </w:rPr>
            </w:pPr>
            <w:r>
              <w:rPr>
                <w:rFonts w:hint="eastAsia" w:ascii="宋体" w:hAnsi="宋体" w:cs="宋体"/>
                <w:color w:val="000000"/>
                <w:sz w:val="24"/>
                <w:highlight w:val="none"/>
              </w:rPr>
            </w:r>
            <w:r/>
          </w:p>
        </w:tc>
        <w:tc>
          <w:tcPr>
            <w:tcW w:w="1680" w:type="dxa"/>
            <w:vAlign w:val="center"/>
            <w:textDirection w:val="lrTb"/>
            <w:noWrap w:val="false"/>
          </w:tcPr>
          <w:p>
            <w:pPr>
              <w:pStyle w:val="1060"/>
              <w:rPr>
                <w:rFonts w:hint="eastAsia" w:ascii="宋体" w:hAnsi="宋体" w:cs="宋体"/>
                <w:color w:val="000000"/>
                <w:sz w:val="24"/>
                <w:highlight w:val="none"/>
              </w:rPr>
            </w:pPr>
            <w:r>
              <w:rPr>
                <w:rFonts w:hint="eastAsia" w:ascii="宋体" w:hAnsi="宋体" w:cs="宋体"/>
                <w:color w:val="000000"/>
                <w:sz w:val="24"/>
                <w:highlight w:val="none"/>
              </w:rPr>
            </w:r>
            <w:r/>
          </w:p>
        </w:tc>
        <w:tc>
          <w:tcPr>
            <w:tcW w:w="1140" w:type="dxa"/>
            <w:vAlign w:val="center"/>
            <w:textDirection w:val="lrTb"/>
            <w:noWrap w:val="false"/>
          </w:tcPr>
          <w:p>
            <w:pPr>
              <w:pStyle w:val="1060"/>
              <w:rPr>
                <w:rFonts w:hint="eastAsia" w:ascii="宋体" w:hAnsi="宋体" w:cs="宋体"/>
                <w:color w:val="000000"/>
                <w:sz w:val="24"/>
                <w:highlight w:val="none"/>
              </w:rPr>
            </w:pPr>
            <w:r>
              <w:rPr>
                <w:rFonts w:hint="eastAsia" w:ascii="宋体" w:hAnsi="宋体" w:cs="宋体"/>
                <w:color w:val="000000"/>
                <w:sz w:val="24"/>
                <w:highlight w:val="none"/>
              </w:rPr>
            </w:r>
            <w:r/>
          </w:p>
        </w:tc>
        <w:tc>
          <w:tcPr>
            <w:tcW w:w="2625" w:type="dxa"/>
            <w:vAlign w:val="center"/>
            <w:textDirection w:val="lrTb"/>
            <w:noWrap w:val="false"/>
          </w:tcPr>
          <w:p>
            <w:pPr>
              <w:pStyle w:val="1060"/>
              <w:rPr>
                <w:rFonts w:hint="eastAsia" w:ascii="宋体" w:hAnsi="宋体" w:cs="宋体"/>
                <w:color w:val="000000"/>
                <w:sz w:val="24"/>
                <w:highlight w:val="none"/>
              </w:rPr>
            </w:pPr>
            <w:r>
              <w:rPr>
                <w:rFonts w:hint="eastAsia" w:ascii="宋体" w:hAnsi="宋体" w:cs="宋体"/>
                <w:color w:val="000000"/>
                <w:sz w:val="24"/>
                <w:highlight w:val="none"/>
              </w:rPr>
            </w:r>
            <w:r/>
          </w:p>
        </w:tc>
        <w:tc>
          <w:tcPr>
            <w:tcW w:w="2839" w:type="dxa"/>
            <w:vAlign w:val="center"/>
            <w:textDirection w:val="lrTb"/>
            <w:noWrap w:val="false"/>
          </w:tcPr>
          <w:p>
            <w:pPr>
              <w:pStyle w:val="1060"/>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822"/>
        </w:trPr>
        <w:tc>
          <w:tcPr>
            <w:tcW w:w="776" w:type="dxa"/>
            <w:vAlign w:val="center"/>
            <w:textDirection w:val="lrTb"/>
            <w:noWrap w:val="false"/>
          </w:tcPr>
          <w:p>
            <w:pPr>
              <w:pStyle w:val="1060"/>
              <w:rPr>
                <w:rFonts w:hint="eastAsia" w:ascii="宋体" w:hAnsi="宋体" w:cs="宋体"/>
                <w:color w:val="000000"/>
                <w:sz w:val="24"/>
                <w:highlight w:val="none"/>
              </w:rPr>
            </w:pPr>
            <w:r>
              <w:rPr>
                <w:rFonts w:hint="eastAsia" w:ascii="宋体" w:hAnsi="宋体" w:cs="宋体"/>
                <w:color w:val="000000"/>
                <w:sz w:val="24"/>
                <w:highlight w:val="none"/>
              </w:rPr>
            </w:r>
            <w:r/>
          </w:p>
        </w:tc>
        <w:tc>
          <w:tcPr>
            <w:tcW w:w="1680" w:type="dxa"/>
            <w:vAlign w:val="center"/>
            <w:textDirection w:val="lrTb"/>
            <w:noWrap w:val="false"/>
          </w:tcPr>
          <w:p>
            <w:pPr>
              <w:pStyle w:val="1060"/>
              <w:rPr>
                <w:rFonts w:hint="eastAsia" w:ascii="宋体" w:hAnsi="宋体" w:cs="宋体"/>
                <w:color w:val="000000"/>
                <w:sz w:val="24"/>
                <w:highlight w:val="none"/>
              </w:rPr>
            </w:pPr>
            <w:r>
              <w:rPr>
                <w:rFonts w:hint="eastAsia" w:ascii="宋体" w:hAnsi="宋体" w:cs="宋体"/>
                <w:color w:val="000000"/>
                <w:sz w:val="24"/>
                <w:highlight w:val="none"/>
              </w:rPr>
            </w:r>
            <w:r/>
          </w:p>
        </w:tc>
        <w:tc>
          <w:tcPr>
            <w:tcW w:w="1140" w:type="dxa"/>
            <w:vAlign w:val="center"/>
            <w:textDirection w:val="lrTb"/>
            <w:noWrap w:val="false"/>
          </w:tcPr>
          <w:p>
            <w:pPr>
              <w:pStyle w:val="1060"/>
              <w:rPr>
                <w:rFonts w:hint="eastAsia" w:ascii="宋体" w:hAnsi="宋体" w:cs="宋体"/>
                <w:color w:val="000000"/>
                <w:sz w:val="24"/>
                <w:highlight w:val="none"/>
              </w:rPr>
            </w:pPr>
            <w:r>
              <w:rPr>
                <w:rFonts w:hint="eastAsia" w:ascii="宋体" w:hAnsi="宋体" w:cs="宋体"/>
                <w:color w:val="000000"/>
                <w:sz w:val="24"/>
                <w:highlight w:val="none"/>
              </w:rPr>
            </w:r>
            <w:r/>
          </w:p>
        </w:tc>
        <w:tc>
          <w:tcPr>
            <w:tcW w:w="2625" w:type="dxa"/>
            <w:vAlign w:val="center"/>
            <w:textDirection w:val="lrTb"/>
            <w:noWrap w:val="false"/>
          </w:tcPr>
          <w:p>
            <w:pPr>
              <w:pStyle w:val="1060"/>
              <w:rPr>
                <w:rFonts w:hint="eastAsia" w:ascii="宋体" w:hAnsi="宋体" w:cs="宋体"/>
                <w:color w:val="000000"/>
                <w:sz w:val="24"/>
                <w:highlight w:val="none"/>
              </w:rPr>
            </w:pPr>
            <w:r>
              <w:rPr>
                <w:rFonts w:hint="eastAsia" w:ascii="宋体" w:hAnsi="宋体" w:cs="宋体"/>
                <w:color w:val="000000"/>
                <w:sz w:val="24"/>
                <w:highlight w:val="none"/>
              </w:rPr>
            </w:r>
            <w:r/>
          </w:p>
        </w:tc>
        <w:tc>
          <w:tcPr>
            <w:tcW w:w="2839" w:type="dxa"/>
            <w:vAlign w:val="center"/>
            <w:textDirection w:val="lrTb"/>
            <w:noWrap w:val="false"/>
          </w:tcPr>
          <w:p>
            <w:pPr>
              <w:pStyle w:val="1060"/>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762"/>
        </w:trPr>
        <w:tc>
          <w:tcPr>
            <w:tcW w:w="776" w:type="dxa"/>
            <w:vAlign w:val="center"/>
            <w:textDirection w:val="lrTb"/>
            <w:noWrap w:val="false"/>
          </w:tcPr>
          <w:p>
            <w:pPr>
              <w:pStyle w:val="1060"/>
              <w:rPr>
                <w:rFonts w:hint="eastAsia" w:ascii="宋体" w:hAnsi="宋体" w:cs="宋体"/>
                <w:color w:val="000000"/>
                <w:sz w:val="24"/>
                <w:highlight w:val="none"/>
              </w:rPr>
            </w:pPr>
            <w:r>
              <w:rPr>
                <w:rFonts w:hint="eastAsia" w:ascii="宋体" w:hAnsi="宋体" w:cs="宋体"/>
                <w:color w:val="000000"/>
                <w:sz w:val="24"/>
                <w:highlight w:val="none"/>
              </w:rPr>
            </w:r>
            <w:r/>
          </w:p>
        </w:tc>
        <w:tc>
          <w:tcPr>
            <w:tcW w:w="1680" w:type="dxa"/>
            <w:vAlign w:val="center"/>
            <w:textDirection w:val="lrTb"/>
            <w:noWrap w:val="false"/>
          </w:tcPr>
          <w:p>
            <w:pPr>
              <w:pStyle w:val="1060"/>
              <w:rPr>
                <w:rFonts w:hint="eastAsia" w:ascii="宋体" w:hAnsi="宋体" w:cs="宋体"/>
                <w:color w:val="000000"/>
                <w:sz w:val="24"/>
                <w:highlight w:val="none"/>
              </w:rPr>
            </w:pPr>
            <w:r>
              <w:rPr>
                <w:rFonts w:hint="eastAsia" w:ascii="宋体" w:hAnsi="宋体" w:cs="宋体"/>
                <w:color w:val="000000"/>
                <w:sz w:val="24"/>
                <w:highlight w:val="none"/>
              </w:rPr>
            </w:r>
            <w:r/>
          </w:p>
        </w:tc>
        <w:tc>
          <w:tcPr>
            <w:tcW w:w="1140" w:type="dxa"/>
            <w:vAlign w:val="center"/>
            <w:textDirection w:val="lrTb"/>
            <w:noWrap w:val="false"/>
          </w:tcPr>
          <w:p>
            <w:pPr>
              <w:pStyle w:val="1060"/>
              <w:rPr>
                <w:rFonts w:hint="eastAsia" w:ascii="宋体" w:hAnsi="宋体" w:cs="宋体"/>
                <w:color w:val="000000"/>
                <w:sz w:val="24"/>
                <w:highlight w:val="none"/>
              </w:rPr>
            </w:pPr>
            <w:r>
              <w:rPr>
                <w:rFonts w:hint="eastAsia" w:ascii="宋体" w:hAnsi="宋体" w:cs="宋体"/>
                <w:color w:val="000000"/>
                <w:sz w:val="24"/>
                <w:highlight w:val="none"/>
              </w:rPr>
            </w:r>
            <w:r/>
          </w:p>
        </w:tc>
        <w:tc>
          <w:tcPr>
            <w:tcW w:w="2625" w:type="dxa"/>
            <w:vAlign w:val="center"/>
            <w:textDirection w:val="lrTb"/>
            <w:noWrap w:val="false"/>
          </w:tcPr>
          <w:p>
            <w:pPr>
              <w:pStyle w:val="1060"/>
              <w:rPr>
                <w:rFonts w:hint="eastAsia" w:ascii="宋体" w:hAnsi="宋体" w:cs="宋体"/>
                <w:color w:val="000000"/>
                <w:sz w:val="24"/>
                <w:highlight w:val="none"/>
              </w:rPr>
            </w:pPr>
            <w:r>
              <w:rPr>
                <w:rFonts w:hint="eastAsia" w:ascii="宋体" w:hAnsi="宋体" w:cs="宋体"/>
                <w:color w:val="000000"/>
                <w:sz w:val="24"/>
                <w:highlight w:val="none"/>
              </w:rPr>
            </w:r>
            <w:r/>
          </w:p>
        </w:tc>
        <w:tc>
          <w:tcPr>
            <w:tcW w:w="2839" w:type="dxa"/>
            <w:vAlign w:val="center"/>
            <w:textDirection w:val="lrTb"/>
            <w:noWrap w:val="false"/>
          </w:tcPr>
          <w:p>
            <w:pPr>
              <w:pStyle w:val="1060"/>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804"/>
        </w:trPr>
        <w:tc>
          <w:tcPr>
            <w:tcW w:w="776" w:type="dxa"/>
            <w:vAlign w:val="center"/>
            <w:textDirection w:val="lrTb"/>
            <w:noWrap w:val="false"/>
          </w:tcPr>
          <w:p>
            <w:pPr>
              <w:pStyle w:val="1060"/>
              <w:rPr>
                <w:rFonts w:hint="eastAsia" w:ascii="宋体" w:hAnsi="宋体" w:cs="宋体"/>
                <w:color w:val="000000"/>
                <w:sz w:val="24"/>
                <w:highlight w:val="none"/>
              </w:rPr>
            </w:pPr>
            <w:r>
              <w:rPr>
                <w:rFonts w:hint="eastAsia" w:ascii="宋体" w:hAnsi="宋体" w:cs="宋体"/>
                <w:color w:val="000000"/>
                <w:sz w:val="24"/>
                <w:highlight w:val="none"/>
              </w:rPr>
            </w:r>
            <w:r/>
          </w:p>
        </w:tc>
        <w:tc>
          <w:tcPr>
            <w:tcW w:w="1680" w:type="dxa"/>
            <w:vAlign w:val="center"/>
            <w:textDirection w:val="lrTb"/>
            <w:noWrap w:val="false"/>
          </w:tcPr>
          <w:p>
            <w:pPr>
              <w:pStyle w:val="1060"/>
              <w:rPr>
                <w:rFonts w:hint="eastAsia" w:ascii="宋体" w:hAnsi="宋体" w:cs="宋体"/>
                <w:color w:val="000000"/>
                <w:sz w:val="24"/>
                <w:highlight w:val="none"/>
              </w:rPr>
            </w:pPr>
            <w:r>
              <w:rPr>
                <w:rFonts w:hint="eastAsia" w:ascii="宋体" w:hAnsi="宋体" w:cs="宋体"/>
                <w:color w:val="000000"/>
                <w:sz w:val="24"/>
                <w:highlight w:val="none"/>
              </w:rPr>
            </w:r>
            <w:r/>
          </w:p>
        </w:tc>
        <w:tc>
          <w:tcPr>
            <w:tcW w:w="1140" w:type="dxa"/>
            <w:vAlign w:val="center"/>
            <w:textDirection w:val="lrTb"/>
            <w:noWrap w:val="false"/>
          </w:tcPr>
          <w:p>
            <w:pPr>
              <w:pStyle w:val="1060"/>
              <w:rPr>
                <w:rFonts w:hint="eastAsia" w:ascii="宋体" w:hAnsi="宋体" w:cs="宋体"/>
                <w:color w:val="000000"/>
                <w:sz w:val="24"/>
                <w:highlight w:val="none"/>
              </w:rPr>
            </w:pPr>
            <w:r>
              <w:rPr>
                <w:rFonts w:hint="eastAsia" w:ascii="宋体" w:hAnsi="宋体" w:cs="宋体"/>
                <w:color w:val="000000"/>
                <w:sz w:val="24"/>
                <w:highlight w:val="none"/>
              </w:rPr>
            </w:r>
            <w:r/>
          </w:p>
        </w:tc>
        <w:tc>
          <w:tcPr>
            <w:tcW w:w="2625" w:type="dxa"/>
            <w:vAlign w:val="center"/>
            <w:textDirection w:val="lrTb"/>
            <w:noWrap w:val="false"/>
          </w:tcPr>
          <w:p>
            <w:pPr>
              <w:pStyle w:val="1060"/>
              <w:rPr>
                <w:rFonts w:hint="eastAsia" w:ascii="宋体" w:hAnsi="宋体" w:cs="宋体"/>
                <w:color w:val="000000"/>
                <w:sz w:val="24"/>
                <w:highlight w:val="none"/>
              </w:rPr>
            </w:pPr>
            <w:r>
              <w:rPr>
                <w:rFonts w:hint="eastAsia" w:ascii="宋体" w:hAnsi="宋体" w:cs="宋体"/>
                <w:color w:val="000000"/>
                <w:sz w:val="24"/>
                <w:highlight w:val="none"/>
              </w:rPr>
            </w:r>
            <w:r/>
          </w:p>
        </w:tc>
        <w:tc>
          <w:tcPr>
            <w:tcW w:w="2839" w:type="dxa"/>
            <w:vAlign w:val="center"/>
            <w:textDirection w:val="lrTb"/>
            <w:noWrap w:val="false"/>
          </w:tcPr>
          <w:p>
            <w:pPr>
              <w:pStyle w:val="1060"/>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1060"/>
        <w:jc w:val="center"/>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060"/>
        <w:ind w:firstLine="24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响应单位：（公章）</w:t>
      </w:r>
      <w:r>
        <w:rPr>
          <w:rFonts w:hint="eastAsia" w:ascii="宋体" w:hAnsi="宋体" w:cs="宋体"/>
          <w:color w:val="000000"/>
          <w:sz w:val="24"/>
          <w:highlight w:val="none"/>
        </w:rPr>
      </w:r>
      <w:r/>
    </w:p>
    <w:p>
      <w:pPr>
        <w:pStyle w:val="1060"/>
        <w:ind w:firstLine="24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法定代表人或委托代理人：（签字或盖章）</w:t>
      </w:r>
      <w:r>
        <w:rPr>
          <w:rFonts w:hint="eastAsia" w:ascii="宋体" w:hAnsi="宋体" w:cs="宋体"/>
          <w:color w:val="000000"/>
          <w:sz w:val="24"/>
          <w:highlight w:val="none"/>
        </w:rPr>
      </w:r>
      <w:r/>
    </w:p>
    <w:p>
      <w:pPr>
        <w:pStyle w:val="1060"/>
        <w:ind w:firstLine="24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日期：       年     月     日</w:t>
      </w:r>
      <w:r>
        <w:rPr>
          <w:rFonts w:hint="eastAsia" w:ascii="宋体" w:hAnsi="宋体" w:cs="宋体"/>
          <w:color w:val="000000"/>
          <w:sz w:val="24"/>
          <w:highlight w:val="none"/>
        </w:rPr>
      </w:r>
      <w:r/>
    </w:p>
    <w:p>
      <w:pPr>
        <w:pStyle w:val="1060"/>
        <w:rPr>
          <w:rFonts w:hint="eastAsia" w:ascii="宋体" w:hAnsi="宋体" w:cs="宋体"/>
          <w:color w:val="000000"/>
          <w:sz w:val="24"/>
          <w:highlight w:val="none"/>
        </w:rPr>
      </w:pPr>
      <w:r>
        <w:rPr>
          <w:rFonts w:hint="eastAsia" w:ascii="宋体" w:hAnsi="宋体" w:cs="宋体"/>
          <w:color w:val="000000"/>
          <w:sz w:val="24"/>
          <w:highlight w:val="none"/>
        </w:rPr>
      </w:r>
      <w:r/>
    </w:p>
    <w:p>
      <w:pPr>
        <w:pStyle w:val="1263"/>
        <w:ind w:firstLine="420"/>
        <w:rPr>
          <w:rFonts w:hint="eastAsia" w:ascii="宋体" w:hAnsi="宋体" w:cs="宋体"/>
          <w:color w:val="000000"/>
          <w:highlight w:val="none"/>
        </w:rPr>
      </w:pPr>
      <w:r>
        <w:rPr>
          <w:rFonts w:hint="eastAsia" w:ascii="宋体" w:hAnsi="宋体" w:cs="宋体"/>
          <w:color w:val="000000"/>
          <w:highlight w:val="none"/>
        </w:rPr>
      </w:r>
      <w:r/>
    </w:p>
    <w:p>
      <w:pPr>
        <w:pStyle w:val="1207"/>
        <w:ind w:firstLine="420"/>
        <w:rPr>
          <w:rFonts w:hint="eastAsia" w:hAnsi="宋体" w:cs="宋体"/>
          <w:color w:val="000000"/>
          <w:highlight w:val="none"/>
        </w:rPr>
      </w:pPr>
      <w:r>
        <w:rPr>
          <w:rFonts w:hint="eastAsia" w:hAnsi="宋体" w:cs="宋体"/>
          <w:color w:val="000000"/>
          <w:highlight w:val="none"/>
        </w:rPr>
        <w:br w:type="page" w:clear="all"/>
      </w:r>
      <w:r>
        <w:rPr>
          <w:rFonts w:hint="eastAsia" w:hAnsi="宋体" w:cs="宋体"/>
          <w:color w:val="000000"/>
          <w:highlight w:val="none"/>
        </w:rPr>
      </w:r>
      <w:r/>
    </w:p>
    <w:p>
      <w:pPr>
        <w:pStyle w:val="1060"/>
        <w:ind w:firstLine="630"/>
        <w:rPr>
          <w:rFonts w:hint="eastAsia" w:ascii="宋体" w:hAnsi="宋体" w:cs="宋体"/>
          <w:b/>
          <w:bCs/>
          <w:color w:val="000000"/>
          <w:sz w:val="24"/>
          <w:highlight w:val="none"/>
        </w:rPr>
      </w:pPr>
      <w:r>
        <w:rPr>
          <w:rFonts w:hint="eastAsia" w:ascii="宋体" w:hAnsi="宋体" w:cs="宋体"/>
          <w:b/>
          <w:bCs/>
          <w:color w:val="000000"/>
          <w:sz w:val="24"/>
          <w:highlight w:val="none"/>
        </w:rPr>
        <w:t xml:space="preserve">附件5、机构管理说明</w:t>
      </w:r>
      <w:r>
        <w:rPr>
          <w:rFonts w:hint="eastAsia" w:ascii="宋体" w:hAnsi="宋体" w:cs="宋体"/>
          <w:b/>
          <w:bCs/>
          <w:color w:val="000000"/>
          <w:sz w:val="24"/>
          <w:highlight w:val="none"/>
        </w:rPr>
      </w:r>
      <w:r/>
    </w:p>
    <w:p>
      <w:pPr>
        <w:pStyle w:val="1060"/>
        <w:ind w:left="720"/>
        <w:rPr>
          <w:rFonts w:hint="eastAsia" w:ascii="宋体" w:hAnsi="宋体" w:cs="宋体"/>
          <w:bCs/>
          <w:color w:val="000000"/>
          <w:sz w:val="22"/>
          <w:highlight w:val="none"/>
        </w:rPr>
      </w:pPr>
      <w:r>
        <w:rPr>
          <w:rFonts w:hint="eastAsia" w:ascii="宋体" w:hAnsi="宋体" w:cs="宋体"/>
          <w:bCs/>
          <w:color w:val="000000"/>
          <w:sz w:val="22"/>
          <w:highlight w:val="none"/>
        </w:rPr>
      </w:r>
      <w:r/>
    </w:p>
    <w:p>
      <w:pPr>
        <w:pStyle w:val="1060"/>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专业技术人员情况表</w:t>
      </w:r>
      <w:r>
        <w:rPr>
          <w:rFonts w:hint="eastAsia" w:ascii="宋体" w:hAnsi="宋体" w:cs="宋体"/>
          <w:bCs/>
          <w:color w:val="000000"/>
          <w:sz w:val="24"/>
          <w:highlight w:val="none"/>
        </w:rPr>
      </w:r>
      <w:r/>
    </w:p>
    <w:tbl>
      <w:tblPr>
        <w:tblW w:w="8423"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7"/>
        <w:gridCol w:w="849"/>
        <w:gridCol w:w="849"/>
        <w:gridCol w:w="1224"/>
        <w:gridCol w:w="828"/>
        <w:gridCol w:w="705"/>
        <w:gridCol w:w="772"/>
        <w:gridCol w:w="1176"/>
        <w:gridCol w:w="1233"/>
      </w:tblGrid>
      <w:tr>
        <w:trPr>
          <w:trHeight w:val="182"/>
        </w:trPr>
        <w:tc>
          <w:tcPr>
            <w:tcW w:w="787" w:type="dxa"/>
            <w:vAlign w:val="center"/>
            <w:textDirection w:val="lrTb"/>
            <w:noWrap w:val="false"/>
          </w:tcPr>
          <w:p>
            <w:pPr>
              <w:pStyle w:val="1060"/>
              <w:jc w:val="center"/>
              <w:rPr>
                <w:rFonts w:hint="eastAsia" w:ascii="宋体" w:hAnsi="宋体" w:cs="宋体"/>
                <w:color w:val="000000"/>
                <w:sz w:val="24"/>
                <w:highlight w:val="none"/>
              </w:rPr>
            </w:pPr>
            <w:r>
              <w:rPr>
                <w:rFonts w:hint="eastAsia" w:ascii="宋体" w:hAnsi="宋体" w:cs="宋体"/>
                <w:color w:val="000000"/>
                <w:sz w:val="24"/>
                <w:highlight w:val="none"/>
              </w:rPr>
              <w:t xml:space="preserve">序号</w:t>
            </w:r>
            <w:r>
              <w:rPr>
                <w:rFonts w:hint="eastAsia" w:ascii="宋体" w:hAnsi="宋体" w:cs="宋体"/>
                <w:color w:val="000000"/>
                <w:sz w:val="24"/>
                <w:highlight w:val="none"/>
              </w:rPr>
            </w:r>
            <w:r/>
          </w:p>
        </w:tc>
        <w:tc>
          <w:tcPr>
            <w:tcW w:w="849" w:type="dxa"/>
            <w:vAlign w:val="center"/>
            <w:textDirection w:val="lrTb"/>
            <w:noWrap w:val="false"/>
          </w:tcPr>
          <w:p>
            <w:pPr>
              <w:pStyle w:val="1060"/>
              <w:jc w:val="center"/>
              <w:rPr>
                <w:rFonts w:hint="eastAsia" w:ascii="宋体" w:hAnsi="宋体" w:cs="宋体"/>
                <w:color w:val="000000"/>
                <w:sz w:val="24"/>
                <w:highlight w:val="none"/>
              </w:rPr>
            </w:pPr>
            <w:r>
              <w:rPr>
                <w:rFonts w:hint="eastAsia" w:ascii="宋体" w:hAnsi="宋体" w:cs="宋体"/>
                <w:color w:val="000000"/>
                <w:sz w:val="24"/>
                <w:highlight w:val="none"/>
              </w:rPr>
              <w:t xml:space="preserve">姓名</w:t>
            </w:r>
            <w:r>
              <w:rPr>
                <w:rFonts w:hint="eastAsia" w:ascii="宋体" w:hAnsi="宋体" w:cs="宋体"/>
                <w:color w:val="000000"/>
                <w:sz w:val="24"/>
                <w:highlight w:val="none"/>
              </w:rPr>
            </w:r>
            <w:r/>
          </w:p>
        </w:tc>
        <w:tc>
          <w:tcPr>
            <w:tcW w:w="849" w:type="dxa"/>
            <w:vAlign w:val="center"/>
            <w:textDirection w:val="lrTb"/>
            <w:noWrap w:val="false"/>
          </w:tcPr>
          <w:p>
            <w:pPr>
              <w:pStyle w:val="1060"/>
              <w:jc w:val="center"/>
              <w:rPr>
                <w:rFonts w:hint="eastAsia" w:ascii="宋体" w:hAnsi="宋体" w:cs="宋体"/>
                <w:color w:val="000000"/>
                <w:sz w:val="24"/>
                <w:highlight w:val="none"/>
              </w:rPr>
            </w:pPr>
            <w:r>
              <w:rPr>
                <w:rFonts w:hint="eastAsia" w:ascii="宋体" w:hAnsi="宋体" w:cs="宋体"/>
                <w:color w:val="000000"/>
                <w:sz w:val="24"/>
                <w:highlight w:val="none"/>
              </w:rPr>
              <w:t xml:space="preserve">职务</w:t>
            </w:r>
            <w:r>
              <w:rPr>
                <w:rFonts w:hint="eastAsia" w:ascii="宋体" w:hAnsi="宋体" w:cs="宋体"/>
                <w:color w:val="000000"/>
                <w:sz w:val="24"/>
                <w:highlight w:val="none"/>
              </w:rPr>
            </w:r>
            <w:r/>
          </w:p>
        </w:tc>
        <w:tc>
          <w:tcPr>
            <w:tcW w:w="1224" w:type="dxa"/>
            <w:vAlign w:val="center"/>
            <w:textDirection w:val="lrTb"/>
            <w:noWrap w:val="false"/>
          </w:tcPr>
          <w:p>
            <w:pPr>
              <w:pStyle w:val="1060"/>
              <w:jc w:val="center"/>
              <w:rPr>
                <w:rFonts w:hint="eastAsia" w:ascii="宋体" w:hAnsi="宋体" w:cs="宋体"/>
                <w:color w:val="000000"/>
                <w:sz w:val="24"/>
                <w:highlight w:val="none"/>
              </w:rPr>
            </w:pPr>
            <w:r>
              <w:rPr>
                <w:rFonts w:hint="eastAsia" w:ascii="宋体" w:hAnsi="宋体" w:cs="宋体"/>
                <w:color w:val="000000"/>
                <w:sz w:val="24"/>
                <w:highlight w:val="none"/>
              </w:rPr>
              <w:t xml:space="preserve">执业资格</w:t>
            </w:r>
            <w:r>
              <w:rPr>
                <w:rFonts w:hint="eastAsia" w:ascii="宋体" w:hAnsi="宋体" w:cs="宋体"/>
                <w:color w:val="000000"/>
                <w:sz w:val="24"/>
                <w:highlight w:val="none"/>
              </w:rPr>
            </w:r>
            <w:r/>
          </w:p>
        </w:tc>
        <w:tc>
          <w:tcPr>
            <w:tcW w:w="828" w:type="dxa"/>
            <w:vAlign w:val="center"/>
            <w:textDirection w:val="lrTb"/>
            <w:noWrap w:val="false"/>
          </w:tcPr>
          <w:p>
            <w:pPr>
              <w:pStyle w:val="1060"/>
              <w:jc w:val="center"/>
              <w:rPr>
                <w:rFonts w:hint="eastAsia" w:ascii="宋体" w:hAnsi="宋体" w:cs="宋体"/>
                <w:color w:val="000000"/>
                <w:sz w:val="24"/>
                <w:highlight w:val="none"/>
              </w:rPr>
            </w:pPr>
            <w:r>
              <w:rPr>
                <w:rFonts w:hint="eastAsia" w:ascii="宋体" w:hAnsi="宋体" w:cs="宋体"/>
                <w:color w:val="000000"/>
                <w:sz w:val="24"/>
                <w:highlight w:val="none"/>
              </w:rPr>
              <w:t xml:space="preserve">职称</w:t>
            </w:r>
            <w:r>
              <w:rPr>
                <w:rFonts w:hint="eastAsia" w:ascii="宋体" w:hAnsi="宋体" w:cs="宋体"/>
                <w:color w:val="000000"/>
                <w:sz w:val="24"/>
                <w:highlight w:val="none"/>
              </w:rPr>
            </w:r>
            <w:r/>
          </w:p>
        </w:tc>
        <w:tc>
          <w:tcPr>
            <w:tcW w:w="705" w:type="dxa"/>
            <w:vAlign w:val="center"/>
            <w:textDirection w:val="lrTb"/>
            <w:noWrap w:val="false"/>
          </w:tcPr>
          <w:p>
            <w:pPr>
              <w:pStyle w:val="1060"/>
              <w:jc w:val="center"/>
              <w:rPr>
                <w:rFonts w:hint="eastAsia" w:ascii="宋体" w:hAnsi="宋体" w:cs="宋体"/>
                <w:color w:val="000000"/>
                <w:sz w:val="24"/>
                <w:highlight w:val="none"/>
              </w:rPr>
            </w:pPr>
            <w:r>
              <w:rPr>
                <w:rFonts w:hint="eastAsia" w:ascii="宋体" w:hAnsi="宋体" w:cs="宋体"/>
                <w:color w:val="000000"/>
                <w:sz w:val="24"/>
                <w:highlight w:val="none"/>
              </w:rPr>
              <w:t xml:space="preserve">学历</w:t>
            </w:r>
            <w:r>
              <w:rPr>
                <w:rFonts w:hint="eastAsia" w:ascii="宋体" w:hAnsi="宋体" w:cs="宋体"/>
                <w:color w:val="000000"/>
                <w:sz w:val="24"/>
                <w:highlight w:val="none"/>
              </w:rPr>
            </w:r>
            <w:r/>
          </w:p>
        </w:tc>
        <w:tc>
          <w:tcPr>
            <w:tcW w:w="772" w:type="dxa"/>
            <w:vAlign w:val="center"/>
            <w:textDirection w:val="lrTb"/>
            <w:noWrap w:val="false"/>
          </w:tcPr>
          <w:p>
            <w:pPr>
              <w:pStyle w:val="1060"/>
              <w:jc w:val="center"/>
              <w:rPr>
                <w:rFonts w:hint="eastAsia" w:ascii="宋体" w:hAnsi="宋体" w:cs="宋体"/>
                <w:color w:val="000000"/>
                <w:sz w:val="24"/>
                <w:highlight w:val="none"/>
              </w:rPr>
            </w:pPr>
            <w:r>
              <w:rPr>
                <w:rFonts w:hint="eastAsia" w:ascii="宋体" w:hAnsi="宋体" w:cs="宋体"/>
                <w:color w:val="000000"/>
                <w:sz w:val="24"/>
                <w:highlight w:val="none"/>
              </w:rPr>
              <w:t xml:space="preserve">专业</w:t>
            </w:r>
            <w:r>
              <w:rPr>
                <w:rFonts w:hint="eastAsia" w:ascii="宋体" w:hAnsi="宋体" w:cs="宋体"/>
                <w:color w:val="000000"/>
                <w:sz w:val="24"/>
                <w:highlight w:val="none"/>
              </w:rPr>
            </w:r>
            <w:r/>
          </w:p>
        </w:tc>
        <w:tc>
          <w:tcPr>
            <w:tcW w:w="1176" w:type="dxa"/>
            <w:vAlign w:val="center"/>
            <w:textDirection w:val="lrTb"/>
            <w:noWrap w:val="false"/>
          </w:tcPr>
          <w:p>
            <w:pPr>
              <w:pStyle w:val="1060"/>
              <w:jc w:val="center"/>
              <w:rPr>
                <w:rFonts w:hint="eastAsia" w:ascii="宋体" w:hAnsi="宋体" w:cs="宋体"/>
                <w:color w:val="000000"/>
                <w:sz w:val="24"/>
                <w:highlight w:val="none"/>
              </w:rPr>
            </w:pPr>
            <w:r>
              <w:rPr>
                <w:rFonts w:hint="eastAsia" w:ascii="宋体" w:hAnsi="宋体" w:cs="宋体"/>
                <w:color w:val="000000"/>
                <w:sz w:val="24"/>
                <w:highlight w:val="none"/>
              </w:rPr>
              <w:t xml:space="preserve">本领域工作年限</w:t>
            </w:r>
            <w:r>
              <w:rPr>
                <w:rFonts w:hint="eastAsia" w:ascii="宋体" w:hAnsi="宋体" w:cs="宋体"/>
                <w:color w:val="000000"/>
                <w:sz w:val="24"/>
                <w:highlight w:val="none"/>
              </w:rPr>
            </w:r>
            <w:r/>
          </w:p>
        </w:tc>
        <w:tc>
          <w:tcPr>
            <w:tcW w:w="1233" w:type="dxa"/>
            <w:vAlign w:val="center"/>
            <w:textDirection w:val="lrTb"/>
            <w:noWrap w:val="false"/>
          </w:tcPr>
          <w:p>
            <w:pPr>
              <w:pStyle w:val="1060"/>
              <w:jc w:val="center"/>
              <w:rPr>
                <w:rFonts w:hint="eastAsia" w:ascii="宋体" w:hAnsi="宋体" w:cs="宋体"/>
                <w:color w:val="000000"/>
                <w:sz w:val="24"/>
                <w:highlight w:val="none"/>
              </w:rPr>
            </w:pPr>
            <w:r>
              <w:rPr>
                <w:rFonts w:hint="eastAsia" w:ascii="宋体" w:hAnsi="宋体" w:cs="宋体"/>
                <w:color w:val="000000"/>
                <w:sz w:val="24"/>
                <w:highlight w:val="none"/>
              </w:rPr>
              <w:t xml:space="preserve">是否缴纳社保</w:t>
            </w:r>
            <w:r>
              <w:rPr>
                <w:rFonts w:hint="eastAsia" w:ascii="宋体" w:hAnsi="宋体" w:cs="宋体"/>
                <w:color w:val="000000"/>
                <w:sz w:val="24"/>
                <w:highlight w:val="none"/>
              </w:rPr>
            </w:r>
            <w:r/>
          </w:p>
        </w:tc>
      </w:tr>
      <w:tr>
        <w:trPr>
          <w:trHeight w:val="452"/>
        </w:trPr>
        <w:tc>
          <w:tcPr>
            <w:tcW w:w="787" w:type="dxa"/>
            <w:vAlign w:val="top"/>
            <w:textDirection w:val="lrTb"/>
            <w:noWrap w:val="false"/>
          </w:tcPr>
          <w:p>
            <w:pPr>
              <w:pStyle w:val="1060"/>
              <w:rPr>
                <w:rFonts w:hint="eastAsia" w:ascii="宋体" w:hAnsi="宋体" w:cs="宋体"/>
                <w:color w:val="000000"/>
                <w:sz w:val="24"/>
                <w:highlight w:val="none"/>
              </w:rPr>
            </w:pPr>
            <w:r>
              <w:rPr>
                <w:rFonts w:hint="eastAsia" w:ascii="宋体" w:hAnsi="宋体" w:cs="宋体"/>
                <w:color w:val="000000"/>
                <w:sz w:val="24"/>
                <w:highlight w:val="none"/>
              </w:rPr>
            </w:r>
            <w:r/>
          </w:p>
        </w:tc>
        <w:tc>
          <w:tcPr>
            <w:tcW w:w="849" w:type="dxa"/>
            <w:vAlign w:val="top"/>
            <w:textDirection w:val="lrTb"/>
            <w:noWrap w:val="false"/>
          </w:tcPr>
          <w:p>
            <w:pPr>
              <w:pStyle w:val="1060"/>
              <w:rPr>
                <w:rFonts w:hint="eastAsia" w:ascii="宋体" w:hAnsi="宋体" w:cs="宋体"/>
                <w:color w:val="000000"/>
                <w:sz w:val="24"/>
                <w:highlight w:val="none"/>
              </w:rPr>
            </w:pPr>
            <w:r>
              <w:rPr>
                <w:rFonts w:hint="eastAsia" w:ascii="宋体" w:hAnsi="宋体" w:cs="宋体"/>
                <w:color w:val="000000"/>
                <w:sz w:val="24"/>
                <w:highlight w:val="none"/>
              </w:rPr>
            </w:r>
            <w:r/>
          </w:p>
        </w:tc>
        <w:tc>
          <w:tcPr>
            <w:tcW w:w="849" w:type="dxa"/>
            <w:vAlign w:val="top"/>
            <w:textDirection w:val="lrTb"/>
            <w:noWrap w:val="false"/>
          </w:tcPr>
          <w:p>
            <w:pPr>
              <w:pStyle w:val="1060"/>
              <w:rPr>
                <w:rFonts w:hint="eastAsia" w:ascii="宋体" w:hAnsi="宋体" w:cs="宋体"/>
                <w:color w:val="000000"/>
                <w:sz w:val="24"/>
                <w:highlight w:val="none"/>
              </w:rPr>
            </w:pPr>
            <w:r>
              <w:rPr>
                <w:rFonts w:hint="eastAsia" w:ascii="宋体" w:hAnsi="宋体" w:cs="宋体"/>
                <w:color w:val="000000"/>
                <w:sz w:val="24"/>
                <w:highlight w:val="none"/>
              </w:rPr>
            </w:r>
            <w:r/>
          </w:p>
        </w:tc>
        <w:tc>
          <w:tcPr>
            <w:tcW w:w="1224" w:type="dxa"/>
            <w:vAlign w:val="top"/>
            <w:textDirection w:val="lrTb"/>
            <w:noWrap w:val="false"/>
          </w:tcPr>
          <w:p>
            <w:pPr>
              <w:pStyle w:val="1060"/>
              <w:rPr>
                <w:rFonts w:hint="eastAsia" w:ascii="宋体" w:hAnsi="宋体" w:cs="宋体"/>
                <w:color w:val="000000"/>
                <w:sz w:val="24"/>
                <w:highlight w:val="none"/>
              </w:rPr>
            </w:pPr>
            <w:r>
              <w:rPr>
                <w:rFonts w:hint="eastAsia" w:ascii="宋体" w:hAnsi="宋体" w:cs="宋体"/>
                <w:color w:val="000000"/>
                <w:sz w:val="24"/>
                <w:highlight w:val="none"/>
              </w:rPr>
            </w:r>
            <w:r/>
          </w:p>
        </w:tc>
        <w:tc>
          <w:tcPr>
            <w:tcW w:w="828" w:type="dxa"/>
            <w:vAlign w:val="top"/>
            <w:textDirection w:val="lrTb"/>
            <w:noWrap w:val="false"/>
          </w:tcPr>
          <w:p>
            <w:pPr>
              <w:pStyle w:val="1060"/>
              <w:rPr>
                <w:rFonts w:hint="eastAsia" w:ascii="宋体" w:hAnsi="宋体" w:cs="宋体"/>
                <w:color w:val="000000"/>
                <w:sz w:val="24"/>
                <w:highlight w:val="none"/>
              </w:rPr>
            </w:pPr>
            <w:r>
              <w:rPr>
                <w:rFonts w:hint="eastAsia" w:ascii="宋体" w:hAnsi="宋体" w:cs="宋体"/>
                <w:color w:val="000000"/>
                <w:sz w:val="24"/>
                <w:highlight w:val="none"/>
              </w:rPr>
            </w:r>
            <w:r/>
          </w:p>
        </w:tc>
        <w:tc>
          <w:tcPr>
            <w:tcW w:w="705" w:type="dxa"/>
            <w:vAlign w:val="top"/>
            <w:textDirection w:val="lrTb"/>
            <w:noWrap w:val="false"/>
          </w:tcPr>
          <w:p>
            <w:pPr>
              <w:pStyle w:val="1060"/>
              <w:rPr>
                <w:rFonts w:hint="eastAsia" w:ascii="宋体" w:hAnsi="宋体" w:cs="宋体"/>
                <w:color w:val="000000"/>
                <w:sz w:val="24"/>
                <w:highlight w:val="none"/>
              </w:rPr>
            </w:pPr>
            <w:r>
              <w:rPr>
                <w:rFonts w:hint="eastAsia" w:ascii="宋体" w:hAnsi="宋体" w:cs="宋体"/>
                <w:color w:val="000000"/>
                <w:sz w:val="24"/>
                <w:highlight w:val="none"/>
              </w:rPr>
            </w:r>
            <w:r/>
          </w:p>
        </w:tc>
        <w:tc>
          <w:tcPr>
            <w:tcW w:w="772" w:type="dxa"/>
            <w:vAlign w:val="top"/>
            <w:textDirection w:val="lrTb"/>
            <w:noWrap w:val="false"/>
          </w:tcPr>
          <w:p>
            <w:pPr>
              <w:pStyle w:val="1060"/>
              <w:rPr>
                <w:rFonts w:hint="eastAsia" w:ascii="宋体" w:hAnsi="宋体" w:cs="宋体"/>
                <w:color w:val="000000"/>
                <w:sz w:val="24"/>
                <w:highlight w:val="none"/>
              </w:rPr>
            </w:pPr>
            <w:r>
              <w:rPr>
                <w:rFonts w:hint="eastAsia" w:ascii="宋体" w:hAnsi="宋体" w:cs="宋体"/>
                <w:color w:val="000000"/>
                <w:sz w:val="24"/>
                <w:highlight w:val="none"/>
              </w:rPr>
            </w:r>
            <w:r/>
          </w:p>
        </w:tc>
        <w:tc>
          <w:tcPr>
            <w:tcW w:w="1176" w:type="dxa"/>
            <w:vAlign w:val="top"/>
            <w:textDirection w:val="lrTb"/>
            <w:noWrap w:val="false"/>
          </w:tcPr>
          <w:p>
            <w:pPr>
              <w:pStyle w:val="1060"/>
              <w:rPr>
                <w:rFonts w:hint="eastAsia" w:ascii="宋体" w:hAnsi="宋体" w:cs="宋体"/>
                <w:color w:val="000000"/>
                <w:sz w:val="24"/>
                <w:highlight w:val="none"/>
              </w:rPr>
            </w:pPr>
            <w:r>
              <w:rPr>
                <w:rFonts w:hint="eastAsia" w:ascii="宋体" w:hAnsi="宋体" w:cs="宋体"/>
                <w:color w:val="000000"/>
                <w:sz w:val="24"/>
                <w:highlight w:val="none"/>
              </w:rPr>
            </w:r>
            <w:r/>
          </w:p>
        </w:tc>
        <w:tc>
          <w:tcPr>
            <w:tcW w:w="1233" w:type="dxa"/>
            <w:vAlign w:val="top"/>
            <w:textDirection w:val="lrTb"/>
            <w:noWrap w:val="false"/>
          </w:tcPr>
          <w:p>
            <w:pPr>
              <w:pStyle w:val="1060"/>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432"/>
        </w:trPr>
        <w:tc>
          <w:tcPr>
            <w:tcW w:w="787" w:type="dxa"/>
            <w:vAlign w:val="top"/>
            <w:textDirection w:val="lrTb"/>
            <w:noWrap w:val="false"/>
          </w:tcPr>
          <w:p>
            <w:pPr>
              <w:pStyle w:val="1060"/>
              <w:rPr>
                <w:rFonts w:hint="eastAsia" w:ascii="宋体" w:hAnsi="宋体" w:cs="宋体"/>
                <w:color w:val="000000"/>
                <w:sz w:val="24"/>
                <w:highlight w:val="none"/>
              </w:rPr>
            </w:pPr>
            <w:r>
              <w:rPr>
                <w:rFonts w:hint="eastAsia" w:ascii="宋体" w:hAnsi="宋体" w:cs="宋体"/>
                <w:color w:val="000000"/>
                <w:sz w:val="24"/>
                <w:highlight w:val="none"/>
              </w:rPr>
            </w:r>
            <w:r/>
          </w:p>
        </w:tc>
        <w:tc>
          <w:tcPr>
            <w:tcW w:w="849" w:type="dxa"/>
            <w:vAlign w:val="top"/>
            <w:textDirection w:val="lrTb"/>
            <w:noWrap w:val="false"/>
          </w:tcPr>
          <w:p>
            <w:pPr>
              <w:pStyle w:val="1060"/>
              <w:rPr>
                <w:rFonts w:hint="eastAsia" w:ascii="宋体" w:hAnsi="宋体" w:cs="宋体"/>
                <w:color w:val="000000"/>
                <w:sz w:val="24"/>
                <w:highlight w:val="none"/>
              </w:rPr>
            </w:pPr>
            <w:r>
              <w:rPr>
                <w:rFonts w:hint="eastAsia" w:ascii="宋体" w:hAnsi="宋体" w:cs="宋体"/>
                <w:color w:val="000000"/>
                <w:sz w:val="24"/>
                <w:highlight w:val="none"/>
              </w:rPr>
            </w:r>
            <w:r/>
          </w:p>
        </w:tc>
        <w:tc>
          <w:tcPr>
            <w:tcW w:w="849" w:type="dxa"/>
            <w:vAlign w:val="top"/>
            <w:textDirection w:val="lrTb"/>
            <w:noWrap w:val="false"/>
          </w:tcPr>
          <w:p>
            <w:pPr>
              <w:pStyle w:val="1060"/>
              <w:rPr>
                <w:rFonts w:hint="eastAsia" w:ascii="宋体" w:hAnsi="宋体" w:cs="宋体"/>
                <w:color w:val="000000"/>
                <w:sz w:val="24"/>
                <w:highlight w:val="none"/>
              </w:rPr>
            </w:pPr>
            <w:r>
              <w:rPr>
                <w:rFonts w:hint="eastAsia" w:ascii="宋体" w:hAnsi="宋体" w:cs="宋体"/>
                <w:color w:val="000000"/>
                <w:sz w:val="24"/>
                <w:highlight w:val="none"/>
              </w:rPr>
            </w:r>
            <w:r/>
          </w:p>
        </w:tc>
        <w:tc>
          <w:tcPr>
            <w:tcW w:w="1224" w:type="dxa"/>
            <w:vAlign w:val="top"/>
            <w:textDirection w:val="lrTb"/>
            <w:noWrap w:val="false"/>
          </w:tcPr>
          <w:p>
            <w:pPr>
              <w:pStyle w:val="1060"/>
              <w:rPr>
                <w:rFonts w:hint="eastAsia" w:ascii="宋体" w:hAnsi="宋体" w:cs="宋体"/>
                <w:color w:val="000000"/>
                <w:sz w:val="24"/>
                <w:highlight w:val="none"/>
              </w:rPr>
            </w:pPr>
            <w:r>
              <w:rPr>
                <w:rFonts w:hint="eastAsia" w:ascii="宋体" w:hAnsi="宋体" w:cs="宋体"/>
                <w:color w:val="000000"/>
                <w:sz w:val="24"/>
                <w:highlight w:val="none"/>
              </w:rPr>
            </w:r>
            <w:r/>
          </w:p>
        </w:tc>
        <w:tc>
          <w:tcPr>
            <w:tcW w:w="828" w:type="dxa"/>
            <w:vAlign w:val="top"/>
            <w:textDirection w:val="lrTb"/>
            <w:noWrap w:val="false"/>
          </w:tcPr>
          <w:p>
            <w:pPr>
              <w:pStyle w:val="1060"/>
              <w:rPr>
                <w:rFonts w:hint="eastAsia" w:ascii="宋体" w:hAnsi="宋体" w:cs="宋体"/>
                <w:color w:val="000000"/>
                <w:sz w:val="24"/>
                <w:highlight w:val="none"/>
              </w:rPr>
            </w:pPr>
            <w:r>
              <w:rPr>
                <w:rFonts w:hint="eastAsia" w:ascii="宋体" w:hAnsi="宋体" w:cs="宋体"/>
                <w:color w:val="000000"/>
                <w:sz w:val="24"/>
                <w:highlight w:val="none"/>
              </w:rPr>
            </w:r>
            <w:r/>
          </w:p>
        </w:tc>
        <w:tc>
          <w:tcPr>
            <w:tcW w:w="705" w:type="dxa"/>
            <w:vAlign w:val="top"/>
            <w:textDirection w:val="lrTb"/>
            <w:noWrap w:val="false"/>
          </w:tcPr>
          <w:p>
            <w:pPr>
              <w:pStyle w:val="1060"/>
              <w:rPr>
                <w:rFonts w:hint="eastAsia" w:ascii="宋体" w:hAnsi="宋体" w:cs="宋体"/>
                <w:color w:val="000000"/>
                <w:sz w:val="24"/>
                <w:highlight w:val="none"/>
              </w:rPr>
            </w:pPr>
            <w:r>
              <w:rPr>
                <w:rFonts w:hint="eastAsia" w:ascii="宋体" w:hAnsi="宋体" w:cs="宋体"/>
                <w:color w:val="000000"/>
                <w:sz w:val="24"/>
                <w:highlight w:val="none"/>
              </w:rPr>
            </w:r>
            <w:r/>
          </w:p>
        </w:tc>
        <w:tc>
          <w:tcPr>
            <w:tcW w:w="772" w:type="dxa"/>
            <w:vAlign w:val="top"/>
            <w:textDirection w:val="lrTb"/>
            <w:noWrap w:val="false"/>
          </w:tcPr>
          <w:p>
            <w:pPr>
              <w:pStyle w:val="1060"/>
              <w:rPr>
                <w:rFonts w:hint="eastAsia" w:ascii="宋体" w:hAnsi="宋体" w:cs="宋体"/>
                <w:color w:val="000000"/>
                <w:sz w:val="24"/>
                <w:highlight w:val="none"/>
              </w:rPr>
            </w:pPr>
            <w:r>
              <w:rPr>
                <w:rFonts w:hint="eastAsia" w:ascii="宋体" w:hAnsi="宋体" w:cs="宋体"/>
                <w:color w:val="000000"/>
                <w:sz w:val="24"/>
                <w:highlight w:val="none"/>
              </w:rPr>
            </w:r>
            <w:r/>
          </w:p>
        </w:tc>
        <w:tc>
          <w:tcPr>
            <w:tcW w:w="1176" w:type="dxa"/>
            <w:vAlign w:val="top"/>
            <w:textDirection w:val="lrTb"/>
            <w:noWrap w:val="false"/>
          </w:tcPr>
          <w:p>
            <w:pPr>
              <w:pStyle w:val="1060"/>
              <w:rPr>
                <w:rFonts w:hint="eastAsia" w:ascii="宋体" w:hAnsi="宋体" w:cs="宋体"/>
                <w:color w:val="000000"/>
                <w:sz w:val="24"/>
                <w:highlight w:val="none"/>
              </w:rPr>
            </w:pPr>
            <w:r>
              <w:rPr>
                <w:rFonts w:hint="eastAsia" w:ascii="宋体" w:hAnsi="宋体" w:cs="宋体"/>
                <w:color w:val="000000"/>
                <w:sz w:val="24"/>
                <w:highlight w:val="none"/>
              </w:rPr>
            </w:r>
            <w:r/>
          </w:p>
        </w:tc>
        <w:tc>
          <w:tcPr>
            <w:tcW w:w="1233" w:type="dxa"/>
            <w:vAlign w:val="top"/>
            <w:textDirection w:val="lrTb"/>
            <w:noWrap w:val="false"/>
          </w:tcPr>
          <w:p>
            <w:pPr>
              <w:pStyle w:val="1060"/>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432"/>
        </w:trPr>
        <w:tc>
          <w:tcPr>
            <w:tcW w:w="787" w:type="dxa"/>
            <w:vAlign w:val="top"/>
            <w:textDirection w:val="lrTb"/>
            <w:noWrap w:val="false"/>
          </w:tcPr>
          <w:p>
            <w:pPr>
              <w:pStyle w:val="1060"/>
              <w:rPr>
                <w:rFonts w:hint="eastAsia" w:ascii="宋体" w:hAnsi="宋体" w:cs="宋体"/>
                <w:color w:val="000000"/>
                <w:sz w:val="24"/>
                <w:highlight w:val="none"/>
              </w:rPr>
            </w:pPr>
            <w:r>
              <w:rPr>
                <w:rFonts w:hint="eastAsia" w:ascii="宋体" w:hAnsi="宋体" w:cs="宋体"/>
                <w:color w:val="000000"/>
                <w:sz w:val="24"/>
                <w:highlight w:val="none"/>
              </w:rPr>
            </w:r>
            <w:r/>
          </w:p>
        </w:tc>
        <w:tc>
          <w:tcPr>
            <w:tcW w:w="849" w:type="dxa"/>
            <w:vAlign w:val="top"/>
            <w:textDirection w:val="lrTb"/>
            <w:noWrap w:val="false"/>
          </w:tcPr>
          <w:p>
            <w:pPr>
              <w:pStyle w:val="1060"/>
              <w:rPr>
                <w:rFonts w:hint="eastAsia" w:ascii="宋体" w:hAnsi="宋体" w:cs="宋体"/>
                <w:color w:val="000000"/>
                <w:sz w:val="24"/>
                <w:highlight w:val="none"/>
              </w:rPr>
            </w:pPr>
            <w:r>
              <w:rPr>
                <w:rFonts w:hint="eastAsia" w:ascii="宋体" w:hAnsi="宋体" w:cs="宋体"/>
                <w:color w:val="000000"/>
                <w:sz w:val="24"/>
                <w:highlight w:val="none"/>
              </w:rPr>
            </w:r>
            <w:r/>
          </w:p>
        </w:tc>
        <w:tc>
          <w:tcPr>
            <w:tcW w:w="849" w:type="dxa"/>
            <w:vAlign w:val="top"/>
            <w:textDirection w:val="lrTb"/>
            <w:noWrap w:val="false"/>
          </w:tcPr>
          <w:p>
            <w:pPr>
              <w:pStyle w:val="1060"/>
              <w:rPr>
                <w:rFonts w:hint="eastAsia" w:ascii="宋体" w:hAnsi="宋体" w:cs="宋体"/>
                <w:color w:val="000000"/>
                <w:sz w:val="24"/>
                <w:highlight w:val="none"/>
              </w:rPr>
            </w:pPr>
            <w:r>
              <w:rPr>
                <w:rFonts w:hint="eastAsia" w:ascii="宋体" w:hAnsi="宋体" w:cs="宋体"/>
                <w:color w:val="000000"/>
                <w:sz w:val="24"/>
                <w:highlight w:val="none"/>
              </w:rPr>
            </w:r>
            <w:r/>
          </w:p>
        </w:tc>
        <w:tc>
          <w:tcPr>
            <w:tcW w:w="1224" w:type="dxa"/>
            <w:vAlign w:val="top"/>
            <w:textDirection w:val="lrTb"/>
            <w:noWrap w:val="false"/>
          </w:tcPr>
          <w:p>
            <w:pPr>
              <w:pStyle w:val="1060"/>
              <w:rPr>
                <w:rFonts w:hint="eastAsia" w:ascii="宋体" w:hAnsi="宋体" w:cs="宋体"/>
                <w:color w:val="000000"/>
                <w:sz w:val="24"/>
                <w:highlight w:val="none"/>
              </w:rPr>
            </w:pPr>
            <w:r>
              <w:rPr>
                <w:rFonts w:hint="eastAsia" w:ascii="宋体" w:hAnsi="宋体" w:cs="宋体"/>
                <w:color w:val="000000"/>
                <w:sz w:val="24"/>
                <w:highlight w:val="none"/>
              </w:rPr>
            </w:r>
            <w:r/>
          </w:p>
        </w:tc>
        <w:tc>
          <w:tcPr>
            <w:tcW w:w="828" w:type="dxa"/>
            <w:vAlign w:val="top"/>
            <w:textDirection w:val="lrTb"/>
            <w:noWrap w:val="false"/>
          </w:tcPr>
          <w:p>
            <w:pPr>
              <w:pStyle w:val="1060"/>
              <w:rPr>
                <w:rFonts w:hint="eastAsia" w:ascii="宋体" w:hAnsi="宋体" w:cs="宋体"/>
                <w:color w:val="000000"/>
                <w:sz w:val="24"/>
                <w:highlight w:val="none"/>
              </w:rPr>
            </w:pPr>
            <w:r>
              <w:rPr>
                <w:rFonts w:hint="eastAsia" w:ascii="宋体" w:hAnsi="宋体" w:cs="宋体"/>
                <w:color w:val="000000"/>
                <w:sz w:val="24"/>
                <w:highlight w:val="none"/>
              </w:rPr>
            </w:r>
            <w:r/>
          </w:p>
        </w:tc>
        <w:tc>
          <w:tcPr>
            <w:tcW w:w="705" w:type="dxa"/>
            <w:vAlign w:val="top"/>
            <w:textDirection w:val="lrTb"/>
            <w:noWrap w:val="false"/>
          </w:tcPr>
          <w:p>
            <w:pPr>
              <w:pStyle w:val="1060"/>
              <w:rPr>
                <w:rFonts w:hint="eastAsia" w:ascii="宋体" w:hAnsi="宋体" w:cs="宋体"/>
                <w:color w:val="000000"/>
                <w:sz w:val="24"/>
                <w:highlight w:val="none"/>
              </w:rPr>
            </w:pPr>
            <w:r>
              <w:rPr>
                <w:rFonts w:hint="eastAsia" w:ascii="宋体" w:hAnsi="宋体" w:cs="宋体"/>
                <w:color w:val="000000"/>
                <w:sz w:val="24"/>
                <w:highlight w:val="none"/>
              </w:rPr>
            </w:r>
            <w:r/>
          </w:p>
        </w:tc>
        <w:tc>
          <w:tcPr>
            <w:tcW w:w="772" w:type="dxa"/>
            <w:vAlign w:val="top"/>
            <w:textDirection w:val="lrTb"/>
            <w:noWrap w:val="false"/>
          </w:tcPr>
          <w:p>
            <w:pPr>
              <w:pStyle w:val="1060"/>
              <w:rPr>
                <w:rFonts w:hint="eastAsia" w:ascii="宋体" w:hAnsi="宋体" w:cs="宋体"/>
                <w:color w:val="000000"/>
                <w:sz w:val="24"/>
                <w:highlight w:val="none"/>
              </w:rPr>
            </w:pPr>
            <w:r>
              <w:rPr>
                <w:rFonts w:hint="eastAsia" w:ascii="宋体" w:hAnsi="宋体" w:cs="宋体"/>
                <w:color w:val="000000"/>
                <w:sz w:val="24"/>
                <w:highlight w:val="none"/>
              </w:rPr>
            </w:r>
            <w:r/>
          </w:p>
        </w:tc>
        <w:tc>
          <w:tcPr>
            <w:tcW w:w="1176" w:type="dxa"/>
            <w:vAlign w:val="top"/>
            <w:textDirection w:val="lrTb"/>
            <w:noWrap w:val="false"/>
          </w:tcPr>
          <w:p>
            <w:pPr>
              <w:pStyle w:val="1060"/>
              <w:rPr>
                <w:rFonts w:hint="eastAsia" w:ascii="宋体" w:hAnsi="宋体" w:cs="宋体"/>
                <w:color w:val="000000"/>
                <w:sz w:val="24"/>
                <w:highlight w:val="none"/>
              </w:rPr>
            </w:pPr>
            <w:r>
              <w:rPr>
                <w:rFonts w:hint="eastAsia" w:ascii="宋体" w:hAnsi="宋体" w:cs="宋体"/>
                <w:color w:val="000000"/>
                <w:sz w:val="24"/>
                <w:highlight w:val="none"/>
              </w:rPr>
            </w:r>
            <w:r/>
          </w:p>
        </w:tc>
        <w:tc>
          <w:tcPr>
            <w:tcW w:w="1233" w:type="dxa"/>
            <w:vAlign w:val="top"/>
            <w:textDirection w:val="lrTb"/>
            <w:noWrap w:val="false"/>
          </w:tcPr>
          <w:p>
            <w:pPr>
              <w:pStyle w:val="1060"/>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432"/>
        </w:trPr>
        <w:tc>
          <w:tcPr>
            <w:tcW w:w="787" w:type="dxa"/>
            <w:vAlign w:val="top"/>
            <w:textDirection w:val="lrTb"/>
            <w:noWrap w:val="false"/>
          </w:tcPr>
          <w:p>
            <w:pPr>
              <w:pStyle w:val="1060"/>
              <w:rPr>
                <w:rFonts w:hint="eastAsia" w:ascii="宋体" w:hAnsi="宋体" w:cs="宋体"/>
                <w:color w:val="000000"/>
                <w:sz w:val="24"/>
                <w:highlight w:val="none"/>
              </w:rPr>
            </w:pPr>
            <w:r>
              <w:rPr>
                <w:rFonts w:hint="eastAsia" w:ascii="宋体" w:hAnsi="宋体" w:cs="宋体"/>
                <w:color w:val="000000"/>
                <w:sz w:val="24"/>
                <w:highlight w:val="none"/>
              </w:rPr>
            </w:r>
            <w:r/>
          </w:p>
        </w:tc>
        <w:tc>
          <w:tcPr>
            <w:tcW w:w="849" w:type="dxa"/>
            <w:vAlign w:val="top"/>
            <w:textDirection w:val="lrTb"/>
            <w:noWrap w:val="false"/>
          </w:tcPr>
          <w:p>
            <w:pPr>
              <w:pStyle w:val="1060"/>
              <w:rPr>
                <w:rFonts w:hint="eastAsia" w:ascii="宋体" w:hAnsi="宋体" w:cs="宋体"/>
                <w:color w:val="000000"/>
                <w:sz w:val="24"/>
                <w:highlight w:val="none"/>
              </w:rPr>
            </w:pPr>
            <w:r>
              <w:rPr>
                <w:rFonts w:hint="eastAsia" w:ascii="宋体" w:hAnsi="宋体" w:cs="宋体"/>
                <w:color w:val="000000"/>
                <w:sz w:val="24"/>
                <w:highlight w:val="none"/>
              </w:rPr>
            </w:r>
            <w:r/>
          </w:p>
        </w:tc>
        <w:tc>
          <w:tcPr>
            <w:tcW w:w="849" w:type="dxa"/>
            <w:vAlign w:val="top"/>
            <w:textDirection w:val="lrTb"/>
            <w:noWrap w:val="false"/>
          </w:tcPr>
          <w:p>
            <w:pPr>
              <w:pStyle w:val="1060"/>
              <w:rPr>
                <w:rFonts w:hint="eastAsia" w:ascii="宋体" w:hAnsi="宋体" w:cs="宋体"/>
                <w:color w:val="000000"/>
                <w:sz w:val="24"/>
                <w:highlight w:val="none"/>
              </w:rPr>
            </w:pPr>
            <w:r>
              <w:rPr>
                <w:rFonts w:hint="eastAsia" w:ascii="宋体" w:hAnsi="宋体" w:cs="宋体"/>
                <w:color w:val="000000"/>
                <w:sz w:val="24"/>
                <w:highlight w:val="none"/>
              </w:rPr>
            </w:r>
            <w:r/>
          </w:p>
        </w:tc>
        <w:tc>
          <w:tcPr>
            <w:tcW w:w="1224" w:type="dxa"/>
            <w:vAlign w:val="top"/>
            <w:textDirection w:val="lrTb"/>
            <w:noWrap w:val="false"/>
          </w:tcPr>
          <w:p>
            <w:pPr>
              <w:pStyle w:val="1060"/>
              <w:rPr>
                <w:rFonts w:hint="eastAsia" w:ascii="宋体" w:hAnsi="宋体" w:cs="宋体"/>
                <w:color w:val="000000"/>
                <w:sz w:val="24"/>
                <w:highlight w:val="none"/>
              </w:rPr>
            </w:pPr>
            <w:r>
              <w:rPr>
                <w:rFonts w:hint="eastAsia" w:ascii="宋体" w:hAnsi="宋体" w:cs="宋体"/>
                <w:color w:val="000000"/>
                <w:sz w:val="24"/>
                <w:highlight w:val="none"/>
              </w:rPr>
            </w:r>
            <w:r/>
          </w:p>
        </w:tc>
        <w:tc>
          <w:tcPr>
            <w:tcW w:w="828" w:type="dxa"/>
            <w:vAlign w:val="top"/>
            <w:textDirection w:val="lrTb"/>
            <w:noWrap w:val="false"/>
          </w:tcPr>
          <w:p>
            <w:pPr>
              <w:pStyle w:val="1060"/>
              <w:rPr>
                <w:rFonts w:hint="eastAsia" w:ascii="宋体" w:hAnsi="宋体" w:cs="宋体"/>
                <w:color w:val="000000"/>
                <w:sz w:val="24"/>
                <w:highlight w:val="none"/>
              </w:rPr>
            </w:pPr>
            <w:r>
              <w:rPr>
                <w:rFonts w:hint="eastAsia" w:ascii="宋体" w:hAnsi="宋体" w:cs="宋体"/>
                <w:color w:val="000000"/>
                <w:sz w:val="24"/>
                <w:highlight w:val="none"/>
              </w:rPr>
            </w:r>
            <w:r/>
          </w:p>
        </w:tc>
        <w:tc>
          <w:tcPr>
            <w:tcW w:w="705" w:type="dxa"/>
            <w:vAlign w:val="top"/>
            <w:textDirection w:val="lrTb"/>
            <w:noWrap w:val="false"/>
          </w:tcPr>
          <w:p>
            <w:pPr>
              <w:pStyle w:val="1060"/>
              <w:rPr>
                <w:rFonts w:hint="eastAsia" w:ascii="宋体" w:hAnsi="宋体" w:cs="宋体"/>
                <w:color w:val="000000"/>
                <w:sz w:val="24"/>
                <w:highlight w:val="none"/>
              </w:rPr>
            </w:pPr>
            <w:r>
              <w:rPr>
                <w:rFonts w:hint="eastAsia" w:ascii="宋体" w:hAnsi="宋体" w:cs="宋体"/>
                <w:color w:val="000000"/>
                <w:sz w:val="24"/>
                <w:highlight w:val="none"/>
              </w:rPr>
            </w:r>
            <w:r/>
          </w:p>
        </w:tc>
        <w:tc>
          <w:tcPr>
            <w:tcW w:w="772" w:type="dxa"/>
            <w:vAlign w:val="top"/>
            <w:textDirection w:val="lrTb"/>
            <w:noWrap w:val="false"/>
          </w:tcPr>
          <w:p>
            <w:pPr>
              <w:pStyle w:val="1060"/>
              <w:rPr>
                <w:rFonts w:hint="eastAsia" w:ascii="宋体" w:hAnsi="宋体" w:cs="宋体"/>
                <w:color w:val="000000"/>
                <w:sz w:val="24"/>
                <w:highlight w:val="none"/>
              </w:rPr>
            </w:pPr>
            <w:r>
              <w:rPr>
                <w:rFonts w:hint="eastAsia" w:ascii="宋体" w:hAnsi="宋体" w:cs="宋体"/>
                <w:color w:val="000000"/>
                <w:sz w:val="24"/>
                <w:highlight w:val="none"/>
              </w:rPr>
            </w:r>
            <w:r/>
          </w:p>
        </w:tc>
        <w:tc>
          <w:tcPr>
            <w:tcW w:w="1176" w:type="dxa"/>
            <w:vAlign w:val="top"/>
            <w:textDirection w:val="lrTb"/>
            <w:noWrap w:val="false"/>
          </w:tcPr>
          <w:p>
            <w:pPr>
              <w:pStyle w:val="1060"/>
              <w:rPr>
                <w:rFonts w:hint="eastAsia" w:ascii="宋体" w:hAnsi="宋体" w:cs="宋体"/>
                <w:color w:val="000000"/>
                <w:sz w:val="24"/>
                <w:highlight w:val="none"/>
              </w:rPr>
            </w:pPr>
            <w:r>
              <w:rPr>
                <w:rFonts w:hint="eastAsia" w:ascii="宋体" w:hAnsi="宋体" w:cs="宋体"/>
                <w:color w:val="000000"/>
                <w:sz w:val="24"/>
                <w:highlight w:val="none"/>
              </w:rPr>
            </w:r>
            <w:r/>
          </w:p>
        </w:tc>
        <w:tc>
          <w:tcPr>
            <w:tcW w:w="1233" w:type="dxa"/>
            <w:vAlign w:val="top"/>
            <w:textDirection w:val="lrTb"/>
            <w:noWrap w:val="false"/>
          </w:tcPr>
          <w:p>
            <w:pPr>
              <w:pStyle w:val="1060"/>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432"/>
        </w:trPr>
        <w:tc>
          <w:tcPr>
            <w:tcW w:w="787" w:type="dxa"/>
            <w:vAlign w:val="top"/>
            <w:textDirection w:val="lrTb"/>
            <w:noWrap w:val="false"/>
          </w:tcPr>
          <w:p>
            <w:pPr>
              <w:pStyle w:val="1060"/>
              <w:rPr>
                <w:rFonts w:hint="eastAsia" w:ascii="宋体" w:hAnsi="宋体" w:cs="宋体"/>
                <w:color w:val="000000"/>
                <w:sz w:val="24"/>
                <w:highlight w:val="none"/>
              </w:rPr>
            </w:pPr>
            <w:r>
              <w:rPr>
                <w:rFonts w:hint="eastAsia" w:ascii="宋体" w:hAnsi="宋体" w:cs="宋体"/>
                <w:color w:val="000000"/>
                <w:sz w:val="24"/>
                <w:highlight w:val="none"/>
              </w:rPr>
            </w:r>
            <w:r/>
          </w:p>
        </w:tc>
        <w:tc>
          <w:tcPr>
            <w:tcW w:w="849" w:type="dxa"/>
            <w:vAlign w:val="top"/>
            <w:textDirection w:val="lrTb"/>
            <w:noWrap w:val="false"/>
          </w:tcPr>
          <w:p>
            <w:pPr>
              <w:pStyle w:val="1060"/>
              <w:rPr>
                <w:rFonts w:hint="eastAsia" w:ascii="宋体" w:hAnsi="宋体" w:cs="宋体"/>
                <w:color w:val="000000"/>
                <w:sz w:val="24"/>
                <w:highlight w:val="none"/>
              </w:rPr>
            </w:pPr>
            <w:r>
              <w:rPr>
                <w:rFonts w:hint="eastAsia" w:ascii="宋体" w:hAnsi="宋体" w:cs="宋体"/>
                <w:color w:val="000000"/>
                <w:sz w:val="24"/>
                <w:highlight w:val="none"/>
              </w:rPr>
            </w:r>
            <w:r/>
          </w:p>
        </w:tc>
        <w:tc>
          <w:tcPr>
            <w:tcW w:w="849" w:type="dxa"/>
            <w:vAlign w:val="top"/>
            <w:textDirection w:val="lrTb"/>
            <w:noWrap w:val="false"/>
          </w:tcPr>
          <w:p>
            <w:pPr>
              <w:pStyle w:val="1060"/>
              <w:rPr>
                <w:rFonts w:hint="eastAsia" w:ascii="宋体" w:hAnsi="宋体" w:cs="宋体"/>
                <w:color w:val="000000"/>
                <w:sz w:val="24"/>
                <w:highlight w:val="none"/>
              </w:rPr>
            </w:pPr>
            <w:r>
              <w:rPr>
                <w:rFonts w:hint="eastAsia" w:ascii="宋体" w:hAnsi="宋体" w:cs="宋体"/>
                <w:color w:val="000000"/>
                <w:sz w:val="24"/>
                <w:highlight w:val="none"/>
              </w:rPr>
            </w:r>
            <w:r/>
          </w:p>
        </w:tc>
        <w:tc>
          <w:tcPr>
            <w:tcW w:w="1224" w:type="dxa"/>
            <w:vAlign w:val="top"/>
            <w:textDirection w:val="lrTb"/>
            <w:noWrap w:val="false"/>
          </w:tcPr>
          <w:p>
            <w:pPr>
              <w:pStyle w:val="1060"/>
              <w:rPr>
                <w:rFonts w:hint="eastAsia" w:ascii="宋体" w:hAnsi="宋体" w:cs="宋体"/>
                <w:color w:val="000000"/>
                <w:sz w:val="24"/>
                <w:highlight w:val="none"/>
              </w:rPr>
            </w:pPr>
            <w:r>
              <w:rPr>
                <w:rFonts w:hint="eastAsia" w:ascii="宋体" w:hAnsi="宋体" w:cs="宋体"/>
                <w:color w:val="000000"/>
                <w:sz w:val="24"/>
                <w:highlight w:val="none"/>
              </w:rPr>
            </w:r>
            <w:r/>
          </w:p>
        </w:tc>
        <w:tc>
          <w:tcPr>
            <w:tcW w:w="828" w:type="dxa"/>
            <w:vAlign w:val="top"/>
            <w:textDirection w:val="lrTb"/>
            <w:noWrap w:val="false"/>
          </w:tcPr>
          <w:p>
            <w:pPr>
              <w:pStyle w:val="1060"/>
              <w:rPr>
                <w:rFonts w:hint="eastAsia" w:ascii="宋体" w:hAnsi="宋体" w:cs="宋体"/>
                <w:color w:val="000000"/>
                <w:sz w:val="24"/>
                <w:highlight w:val="none"/>
              </w:rPr>
            </w:pPr>
            <w:r>
              <w:rPr>
                <w:rFonts w:hint="eastAsia" w:ascii="宋体" w:hAnsi="宋体" w:cs="宋体"/>
                <w:color w:val="000000"/>
                <w:sz w:val="24"/>
                <w:highlight w:val="none"/>
              </w:rPr>
            </w:r>
            <w:r/>
          </w:p>
        </w:tc>
        <w:tc>
          <w:tcPr>
            <w:tcW w:w="705" w:type="dxa"/>
            <w:vAlign w:val="top"/>
            <w:textDirection w:val="lrTb"/>
            <w:noWrap w:val="false"/>
          </w:tcPr>
          <w:p>
            <w:pPr>
              <w:pStyle w:val="1060"/>
              <w:rPr>
                <w:rFonts w:hint="eastAsia" w:ascii="宋体" w:hAnsi="宋体" w:cs="宋体"/>
                <w:color w:val="000000"/>
                <w:sz w:val="24"/>
                <w:highlight w:val="none"/>
              </w:rPr>
            </w:pPr>
            <w:r>
              <w:rPr>
                <w:rFonts w:hint="eastAsia" w:ascii="宋体" w:hAnsi="宋体" w:cs="宋体"/>
                <w:color w:val="000000"/>
                <w:sz w:val="24"/>
                <w:highlight w:val="none"/>
              </w:rPr>
            </w:r>
            <w:r/>
          </w:p>
        </w:tc>
        <w:tc>
          <w:tcPr>
            <w:tcW w:w="772" w:type="dxa"/>
            <w:vAlign w:val="top"/>
            <w:textDirection w:val="lrTb"/>
            <w:noWrap w:val="false"/>
          </w:tcPr>
          <w:p>
            <w:pPr>
              <w:pStyle w:val="1060"/>
              <w:rPr>
                <w:rFonts w:hint="eastAsia" w:ascii="宋体" w:hAnsi="宋体" w:cs="宋体"/>
                <w:color w:val="000000"/>
                <w:sz w:val="24"/>
                <w:highlight w:val="none"/>
              </w:rPr>
            </w:pPr>
            <w:r>
              <w:rPr>
                <w:rFonts w:hint="eastAsia" w:ascii="宋体" w:hAnsi="宋体" w:cs="宋体"/>
                <w:color w:val="000000"/>
                <w:sz w:val="24"/>
                <w:highlight w:val="none"/>
              </w:rPr>
            </w:r>
            <w:r/>
          </w:p>
        </w:tc>
        <w:tc>
          <w:tcPr>
            <w:tcW w:w="1176" w:type="dxa"/>
            <w:vAlign w:val="top"/>
            <w:textDirection w:val="lrTb"/>
            <w:noWrap w:val="false"/>
          </w:tcPr>
          <w:p>
            <w:pPr>
              <w:pStyle w:val="1060"/>
              <w:rPr>
                <w:rFonts w:hint="eastAsia" w:ascii="宋体" w:hAnsi="宋体" w:cs="宋体"/>
                <w:color w:val="000000"/>
                <w:sz w:val="24"/>
                <w:highlight w:val="none"/>
              </w:rPr>
            </w:pPr>
            <w:r>
              <w:rPr>
                <w:rFonts w:hint="eastAsia" w:ascii="宋体" w:hAnsi="宋体" w:cs="宋体"/>
                <w:color w:val="000000"/>
                <w:sz w:val="24"/>
                <w:highlight w:val="none"/>
              </w:rPr>
            </w:r>
            <w:r/>
          </w:p>
        </w:tc>
        <w:tc>
          <w:tcPr>
            <w:tcW w:w="1233" w:type="dxa"/>
            <w:vAlign w:val="top"/>
            <w:textDirection w:val="lrTb"/>
            <w:noWrap w:val="false"/>
          </w:tcPr>
          <w:p>
            <w:pPr>
              <w:pStyle w:val="1060"/>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426"/>
        </w:trPr>
        <w:tc>
          <w:tcPr>
            <w:tcW w:w="787" w:type="dxa"/>
            <w:vAlign w:val="top"/>
            <w:textDirection w:val="lrTb"/>
            <w:noWrap w:val="false"/>
          </w:tcPr>
          <w:p>
            <w:pPr>
              <w:pStyle w:val="1060"/>
              <w:rPr>
                <w:rFonts w:hint="eastAsia" w:ascii="宋体" w:hAnsi="宋体" w:cs="宋体"/>
                <w:color w:val="000000"/>
                <w:sz w:val="24"/>
                <w:highlight w:val="none"/>
              </w:rPr>
            </w:pPr>
            <w:r>
              <w:rPr>
                <w:rFonts w:hint="eastAsia" w:ascii="宋体" w:hAnsi="宋体" w:cs="宋体"/>
                <w:color w:val="000000"/>
                <w:sz w:val="24"/>
                <w:highlight w:val="none"/>
              </w:rPr>
            </w:r>
            <w:r/>
          </w:p>
        </w:tc>
        <w:tc>
          <w:tcPr>
            <w:tcW w:w="849" w:type="dxa"/>
            <w:vAlign w:val="top"/>
            <w:textDirection w:val="lrTb"/>
            <w:noWrap w:val="false"/>
          </w:tcPr>
          <w:p>
            <w:pPr>
              <w:pStyle w:val="1060"/>
              <w:rPr>
                <w:rFonts w:hint="eastAsia" w:ascii="宋体" w:hAnsi="宋体" w:cs="宋体"/>
                <w:color w:val="000000"/>
                <w:sz w:val="24"/>
                <w:highlight w:val="none"/>
              </w:rPr>
            </w:pPr>
            <w:r>
              <w:rPr>
                <w:rFonts w:hint="eastAsia" w:ascii="宋体" w:hAnsi="宋体" w:cs="宋体"/>
                <w:color w:val="000000"/>
                <w:sz w:val="24"/>
                <w:highlight w:val="none"/>
              </w:rPr>
            </w:r>
            <w:r/>
          </w:p>
        </w:tc>
        <w:tc>
          <w:tcPr>
            <w:tcW w:w="849" w:type="dxa"/>
            <w:vAlign w:val="top"/>
            <w:textDirection w:val="lrTb"/>
            <w:noWrap w:val="false"/>
          </w:tcPr>
          <w:p>
            <w:pPr>
              <w:pStyle w:val="1060"/>
              <w:rPr>
                <w:rFonts w:hint="eastAsia" w:ascii="宋体" w:hAnsi="宋体" w:cs="宋体"/>
                <w:color w:val="000000"/>
                <w:sz w:val="24"/>
                <w:highlight w:val="none"/>
              </w:rPr>
            </w:pPr>
            <w:r>
              <w:rPr>
                <w:rFonts w:hint="eastAsia" w:ascii="宋体" w:hAnsi="宋体" w:cs="宋体"/>
                <w:color w:val="000000"/>
                <w:sz w:val="24"/>
                <w:highlight w:val="none"/>
              </w:rPr>
            </w:r>
            <w:r/>
          </w:p>
        </w:tc>
        <w:tc>
          <w:tcPr>
            <w:tcW w:w="1224" w:type="dxa"/>
            <w:vAlign w:val="top"/>
            <w:textDirection w:val="lrTb"/>
            <w:noWrap w:val="false"/>
          </w:tcPr>
          <w:p>
            <w:pPr>
              <w:pStyle w:val="1060"/>
              <w:rPr>
                <w:rFonts w:hint="eastAsia" w:ascii="宋体" w:hAnsi="宋体" w:cs="宋体"/>
                <w:color w:val="000000"/>
                <w:sz w:val="24"/>
                <w:highlight w:val="none"/>
              </w:rPr>
            </w:pPr>
            <w:r>
              <w:rPr>
                <w:rFonts w:hint="eastAsia" w:ascii="宋体" w:hAnsi="宋体" w:cs="宋体"/>
                <w:color w:val="000000"/>
                <w:sz w:val="24"/>
                <w:highlight w:val="none"/>
              </w:rPr>
            </w:r>
            <w:r/>
          </w:p>
        </w:tc>
        <w:tc>
          <w:tcPr>
            <w:tcW w:w="828" w:type="dxa"/>
            <w:vAlign w:val="top"/>
            <w:textDirection w:val="lrTb"/>
            <w:noWrap w:val="false"/>
          </w:tcPr>
          <w:p>
            <w:pPr>
              <w:pStyle w:val="1060"/>
              <w:rPr>
                <w:rFonts w:hint="eastAsia" w:ascii="宋体" w:hAnsi="宋体" w:cs="宋体"/>
                <w:color w:val="000000"/>
                <w:sz w:val="24"/>
                <w:highlight w:val="none"/>
              </w:rPr>
            </w:pPr>
            <w:r>
              <w:rPr>
                <w:rFonts w:hint="eastAsia" w:ascii="宋体" w:hAnsi="宋体" w:cs="宋体"/>
                <w:color w:val="000000"/>
                <w:sz w:val="24"/>
                <w:highlight w:val="none"/>
              </w:rPr>
            </w:r>
            <w:r/>
          </w:p>
        </w:tc>
        <w:tc>
          <w:tcPr>
            <w:tcW w:w="705" w:type="dxa"/>
            <w:vAlign w:val="top"/>
            <w:textDirection w:val="lrTb"/>
            <w:noWrap w:val="false"/>
          </w:tcPr>
          <w:p>
            <w:pPr>
              <w:pStyle w:val="1060"/>
              <w:rPr>
                <w:rFonts w:hint="eastAsia" w:ascii="宋体" w:hAnsi="宋体" w:cs="宋体"/>
                <w:color w:val="000000"/>
                <w:sz w:val="24"/>
                <w:highlight w:val="none"/>
              </w:rPr>
            </w:pPr>
            <w:r>
              <w:rPr>
                <w:rFonts w:hint="eastAsia" w:ascii="宋体" w:hAnsi="宋体" w:cs="宋体"/>
                <w:color w:val="000000"/>
                <w:sz w:val="24"/>
                <w:highlight w:val="none"/>
              </w:rPr>
            </w:r>
            <w:r/>
          </w:p>
        </w:tc>
        <w:tc>
          <w:tcPr>
            <w:tcW w:w="772" w:type="dxa"/>
            <w:vAlign w:val="top"/>
            <w:textDirection w:val="lrTb"/>
            <w:noWrap w:val="false"/>
          </w:tcPr>
          <w:p>
            <w:pPr>
              <w:pStyle w:val="1060"/>
              <w:rPr>
                <w:rFonts w:hint="eastAsia" w:ascii="宋体" w:hAnsi="宋体" w:cs="宋体"/>
                <w:color w:val="000000"/>
                <w:sz w:val="24"/>
                <w:highlight w:val="none"/>
              </w:rPr>
            </w:pPr>
            <w:r>
              <w:rPr>
                <w:rFonts w:hint="eastAsia" w:ascii="宋体" w:hAnsi="宋体" w:cs="宋体"/>
                <w:color w:val="000000"/>
                <w:sz w:val="24"/>
                <w:highlight w:val="none"/>
              </w:rPr>
            </w:r>
            <w:r/>
          </w:p>
        </w:tc>
        <w:tc>
          <w:tcPr>
            <w:tcW w:w="1176" w:type="dxa"/>
            <w:vAlign w:val="top"/>
            <w:textDirection w:val="lrTb"/>
            <w:noWrap w:val="false"/>
          </w:tcPr>
          <w:p>
            <w:pPr>
              <w:pStyle w:val="1060"/>
              <w:rPr>
                <w:rFonts w:hint="eastAsia" w:ascii="宋体" w:hAnsi="宋体" w:cs="宋体"/>
                <w:color w:val="000000"/>
                <w:sz w:val="24"/>
                <w:highlight w:val="none"/>
              </w:rPr>
            </w:pPr>
            <w:r>
              <w:rPr>
                <w:rFonts w:hint="eastAsia" w:ascii="宋体" w:hAnsi="宋体" w:cs="宋体"/>
                <w:color w:val="000000"/>
                <w:sz w:val="24"/>
                <w:highlight w:val="none"/>
              </w:rPr>
            </w:r>
            <w:r/>
          </w:p>
        </w:tc>
        <w:tc>
          <w:tcPr>
            <w:tcW w:w="1233" w:type="dxa"/>
            <w:vAlign w:val="top"/>
            <w:textDirection w:val="lrTb"/>
            <w:noWrap w:val="false"/>
          </w:tcPr>
          <w:p>
            <w:pPr>
              <w:pStyle w:val="1060"/>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426"/>
        </w:trPr>
        <w:tc>
          <w:tcPr>
            <w:tcW w:w="787" w:type="dxa"/>
            <w:vAlign w:val="top"/>
            <w:textDirection w:val="lrTb"/>
            <w:noWrap w:val="false"/>
          </w:tcPr>
          <w:p>
            <w:pPr>
              <w:pStyle w:val="1060"/>
              <w:rPr>
                <w:rFonts w:hint="eastAsia" w:ascii="宋体" w:hAnsi="宋体" w:cs="宋体"/>
                <w:color w:val="000000"/>
                <w:sz w:val="24"/>
                <w:highlight w:val="none"/>
              </w:rPr>
            </w:pPr>
            <w:r>
              <w:rPr>
                <w:rFonts w:hint="eastAsia" w:ascii="宋体" w:hAnsi="宋体" w:cs="宋体"/>
                <w:color w:val="000000"/>
                <w:sz w:val="24"/>
                <w:highlight w:val="none"/>
              </w:rPr>
            </w:r>
            <w:r/>
          </w:p>
        </w:tc>
        <w:tc>
          <w:tcPr>
            <w:tcW w:w="849" w:type="dxa"/>
            <w:vAlign w:val="top"/>
            <w:textDirection w:val="lrTb"/>
            <w:noWrap w:val="false"/>
          </w:tcPr>
          <w:p>
            <w:pPr>
              <w:pStyle w:val="1060"/>
              <w:rPr>
                <w:rFonts w:hint="eastAsia" w:ascii="宋体" w:hAnsi="宋体" w:cs="宋体"/>
                <w:color w:val="000000"/>
                <w:sz w:val="24"/>
                <w:highlight w:val="none"/>
              </w:rPr>
            </w:pPr>
            <w:r>
              <w:rPr>
                <w:rFonts w:hint="eastAsia" w:ascii="宋体" w:hAnsi="宋体" w:cs="宋体"/>
                <w:color w:val="000000"/>
                <w:sz w:val="24"/>
                <w:highlight w:val="none"/>
              </w:rPr>
            </w:r>
            <w:r/>
          </w:p>
        </w:tc>
        <w:tc>
          <w:tcPr>
            <w:tcW w:w="849" w:type="dxa"/>
            <w:vAlign w:val="top"/>
            <w:textDirection w:val="lrTb"/>
            <w:noWrap w:val="false"/>
          </w:tcPr>
          <w:p>
            <w:pPr>
              <w:pStyle w:val="1060"/>
              <w:rPr>
                <w:rFonts w:hint="eastAsia" w:ascii="宋体" w:hAnsi="宋体" w:cs="宋体"/>
                <w:color w:val="000000"/>
                <w:sz w:val="24"/>
                <w:highlight w:val="none"/>
              </w:rPr>
            </w:pPr>
            <w:r>
              <w:rPr>
                <w:rFonts w:hint="eastAsia" w:ascii="宋体" w:hAnsi="宋体" w:cs="宋体"/>
                <w:color w:val="000000"/>
                <w:sz w:val="24"/>
                <w:highlight w:val="none"/>
              </w:rPr>
            </w:r>
            <w:r/>
          </w:p>
        </w:tc>
        <w:tc>
          <w:tcPr>
            <w:tcW w:w="1224" w:type="dxa"/>
            <w:vAlign w:val="top"/>
            <w:textDirection w:val="lrTb"/>
            <w:noWrap w:val="false"/>
          </w:tcPr>
          <w:p>
            <w:pPr>
              <w:pStyle w:val="1060"/>
              <w:rPr>
                <w:rFonts w:hint="eastAsia" w:ascii="宋体" w:hAnsi="宋体" w:cs="宋体"/>
                <w:color w:val="000000"/>
                <w:sz w:val="24"/>
                <w:highlight w:val="none"/>
              </w:rPr>
            </w:pPr>
            <w:r>
              <w:rPr>
                <w:rFonts w:hint="eastAsia" w:ascii="宋体" w:hAnsi="宋体" w:cs="宋体"/>
                <w:color w:val="000000"/>
                <w:sz w:val="24"/>
                <w:highlight w:val="none"/>
              </w:rPr>
            </w:r>
            <w:r/>
          </w:p>
        </w:tc>
        <w:tc>
          <w:tcPr>
            <w:tcW w:w="828" w:type="dxa"/>
            <w:vAlign w:val="top"/>
            <w:textDirection w:val="lrTb"/>
            <w:noWrap w:val="false"/>
          </w:tcPr>
          <w:p>
            <w:pPr>
              <w:pStyle w:val="1060"/>
              <w:rPr>
                <w:rFonts w:hint="eastAsia" w:ascii="宋体" w:hAnsi="宋体" w:cs="宋体"/>
                <w:color w:val="000000"/>
                <w:sz w:val="24"/>
                <w:highlight w:val="none"/>
              </w:rPr>
            </w:pPr>
            <w:r>
              <w:rPr>
                <w:rFonts w:hint="eastAsia" w:ascii="宋体" w:hAnsi="宋体" w:cs="宋体"/>
                <w:color w:val="000000"/>
                <w:sz w:val="24"/>
                <w:highlight w:val="none"/>
              </w:rPr>
            </w:r>
            <w:r/>
          </w:p>
        </w:tc>
        <w:tc>
          <w:tcPr>
            <w:tcW w:w="705" w:type="dxa"/>
            <w:vAlign w:val="top"/>
            <w:textDirection w:val="lrTb"/>
            <w:noWrap w:val="false"/>
          </w:tcPr>
          <w:p>
            <w:pPr>
              <w:pStyle w:val="1060"/>
              <w:rPr>
                <w:rFonts w:hint="eastAsia" w:ascii="宋体" w:hAnsi="宋体" w:cs="宋体"/>
                <w:color w:val="000000"/>
                <w:sz w:val="24"/>
                <w:highlight w:val="none"/>
              </w:rPr>
            </w:pPr>
            <w:r>
              <w:rPr>
                <w:rFonts w:hint="eastAsia" w:ascii="宋体" w:hAnsi="宋体" w:cs="宋体"/>
                <w:color w:val="000000"/>
                <w:sz w:val="24"/>
                <w:highlight w:val="none"/>
              </w:rPr>
            </w:r>
            <w:r/>
          </w:p>
        </w:tc>
        <w:tc>
          <w:tcPr>
            <w:tcW w:w="772" w:type="dxa"/>
            <w:vAlign w:val="top"/>
            <w:textDirection w:val="lrTb"/>
            <w:noWrap w:val="false"/>
          </w:tcPr>
          <w:p>
            <w:pPr>
              <w:pStyle w:val="1060"/>
              <w:rPr>
                <w:rFonts w:hint="eastAsia" w:ascii="宋体" w:hAnsi="宋体" w:cs="宋体"/>
                <w:color w:val="000000"/>
                <w:sz w:val="24"/>
                <w:highlight w:val="none"/>
              </w:rPr>
            </w:pPr>
            <w:r>
              <w:rPr>
                <w:rFonts w:hint="eastAsia" w:ascii="宋体" w:hAnsi="宋体" w:cs="宋体"/>
                <w:color w:val="000000"/>
                <w:sz w:val="24"/>
                <w:highlight w:val="none"/>
              </w:rPr>
            </w:r>
            <w:r/>
          </w:p>
        </w:tc>
        <w:tc>
          <w:tcPr>
            <w:tcW w:w="1176" w:type="dxa"/>
            <w:vAlign w:val="top"/>
            <w:textDirection w:val="lrTb"/>
            <w:noWrap w:val="false"/>
          </w:tcPr>
          <w:p>
            <w:pPr>
              <w:pStyle w:val="1060"/>
              <w:rPr>
                <w:rFonts w:hint="eastAsia" w:ascii="宋体" w:hAnsi="宋体" w:cs="宋体"/>
                <w:color w:val="000000"/>
                <w:sz w:val="24"/>
                <w:highlight w:val="none"/>
              </w:rPr>
            </w:pPr>
            <w:r>
              <w:rPr>
                <w:rFonts w:hint="eastAsia" w:ascii="宋体" w:hAnsi="宋体" w:cs="宋体"/>
                <w:color w:val="000000"/>
                <w:sz w:val="24"/>
                <w:highlight w:val="none"/>
              </w:rPr>
            </w:r>
            <w:r/>
          </w:p>
        </w:tc>
        <w:tc>
          <w:tcPr>
            <w:tcW w:w="1233" w:type="dxa"/>
            <w:vAlign w:val="top"/>
            <w:textDirection w:val="lrTb"/>
            <w:noWrap w:val="false"/>
          </w:tcPr>
          <w:p>
            <w:pPr>
              <w:pStyle w:val="1060"/>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426"/>
        </w:trPr>
        <w:tc>
          <w:tcPr>
            <w:tcW w:w="787" w:type="dxa"/>
            <w:vAlign w:val="top"/>
            <w:textDirection w:val="lrTb"/>
            <w:noWrap w:val="false"/>
          </w:tcPr>
          <w:p>
            <w:pPr>
              <w:pStyle w:val="1060"/>
              <w:rPr>
                <w:rFonts w:hint="eastAsia" w:ascii="宋体" w:hAnsi="宋体" w:cs="宋体"/>
                <w:color w:val="000000"/>
                <w:sz w:val="24"/>
                <w:highlight w:val="none"/>
              </w:rPr>
            </w:pPr>
            <w:r>
              <w:rPr>
                <w:rFonts w:hint="eastAsia" w:ascii="宋体" w:hAnsi="宋体" w:cs="宋体"/>
                <w:color w:val="000000"/>
                <w:sz w:val="24"/>
                <w:highlight w:val="none"/>
              </w:rPr>
            </w:r>
            <w:r/>
          </w:p>
        </w:tc>
        <w:tc>
          <w:tcPr>
            <w:tcW w:w="849" w:type="dxa"/>
            <w:vAlign w:val="top"/>
            <w:textDirection w:val="lrTb"/>
            <w:noWrap w:val="false"/>
          </w:tcPr>
          <w:p>
            <w:pPr>
              <w:pStyle w:val="1060"/>
              <w:rPr>
                <w:rFonts w:hint="eastAsia" w:ascii="宋体" w:hAnsi="宋体" w:cs="宋体"/>
                <w:color w:val="000000"/>
                <w:sz w:val="24"/>
                <w:highlight w:val="none"/>
              </w:rPr>
            </w:pPr>
            <w:r>
              <w:rPr>
                <w:rFonts w:hint="eastAsia" w:ascii="宋体" w:hAnsi="宋体" w:cs="宋体"/>
                <w:color w:val="000000"/>
                <w:sz w:val="24"/>
                <w:highlight w:val="none"/>
              </w:rPr>
            </w:r>
            <w:r/>
          </w:p>
        </w:tc>
        <w:tc>
          <w:tcPr>
            <w:tcW w:w="849" w:type="dxa"/>
            <w:vAlign w:val="top"/>
            <w:textDirection w:val="lrTb"/>
            <w:noWrap w:val="false"/>
          </w:tcPr>
          <w:p>
            <w:pPr>
              <w:pStyle w:val="1060"/>
              <w:rPr>
                <w:rFonts w:hint="eastAsia" w:ascii="宋体" w:hAnsi="宋体" w:cs="宋体"/>
                <w:color w:val="000000"/>
                <w:sz w:val="24"/>
                <w:highlight w:val="none"/>
              </w:rPr>
            </w:pPr>
            <w:r>
              <w:rPr>
                <w:rFonts w:hint="eastAsia" w:ascii="宋体" w:hAnsi="宋体" w:cs="宋体"/>
                <w:color w:val="000000"/>
                <w:sz w:val="24"/>
                <w:highlight w:val="none"/>
              </w:rPr>
            </w:r>
            <w:r/>
          </w:p>
        </w:tc>
        <w:tc>
          <w:tcPr>
            <w:tcW w:w="1224" w:type="dxa"/>
            <w:vAlign w:val="top"/>
            <w:textDirection w:val="lrTb"/>
            <w:noWrap w:val="false"/>
          </w:tcPr>
          <w:p>
            <w:pPr>
              <w:pStyle w:val="1060"/>
              <w:rPr>
                <w:rFonts w:hint="eastAsia" w:ascii="宋体" w:hAnsi="宋体" w:cs="宋体"/>
                <w:color w:val="000000"/>
                <w:sz w:val="24"/>
                <w:highlight w:val="none"/>
              </w:rPr>
            </w:pPr>
            <w:r>
              <w:rPr>
                <w:rFonts w:hint="eastAsia" w:ascii="宋体" w:hAnsi="宋体" w:cs="宋体"/>
                <w:color w:val="000000"/>
                <w:sz w:val="24"/>
                <w:highlight w:val="none"/>
              </w:rPr>
            </w:r>
            <w:r/>
          </w:p>
        </w:tc>
        <w:tc>
          <w:tcPr>
            <w:tcW w:w="828" w:type="dxa"/>
            <w:vAlign w:val="top"/>
            <w:textDirection w:val="lrTb"/>
            <w:noWrap w:val="false"/>
          </w:tcPr>
          <w:p>
            <w:pPr>
              <w:pStyle w:val="1060"/>
              <w:rPr>
                <w:rFonts w:hint="eastAsia" w:ascii="宋体" w:hAnsi="宋体" w:cs="宋体"/>
                <w:color w:val="000000"/>
                <w:sz w:val="24"/>
                <w:highlight w:val="none"/>
              </w:rPr>
            </w:pPr>
            <w:r>
              <w:rPr>
                <w:rFonts w:hint="eastAsia" w:ascii="宋体" w:hAnsi="宋体" w:cs="宋体"/>
                <w:color w:val="000000"/>
                <w:sz w:val="24"/>
                <w:highlight w:val="none"/>
              </w:rPr>
            </w:r>
            <w:r/>
          </w:p>
        </w:tc>
        <w:tc>
          <w:tcPr>
            <w:tcW w:w="705" w:type="dxa"/>
            <w:vAlign w:val="top"/>
            <w:textDirection w:val="lrTb"/>
            <w:noWrap w:val="false"/>
          </w:tcPr>
          <w:p>
            <w:pPr>
              <w:pStyle w:val="1060"/>
              <w:rPr>
                <w:rFonts w:hint="eastAsia" w:ascii="宋体" w:hAnsi="宋体" w:cs="宋体"/>
                <w:color w:val="000000"/>
                <w:sz w:val="24"/>
                <w:highlight w:val="none"/>
              </w:rPr>
            </w:pPr>
            <w:r>
              <w:rPr>
                <w:rFonts w:hint="eastAsia" w:ascii="宋体" w:hAnsi="宋体" w:cs="宋体"/>
                <w:color w:val="000000"/>
                <w:sz w:val="24"/>
                <w:highlight w:val="none"/>
              </w:rPr>
            </w:r>
            <w:r/>
          </w:p>
        </w:tc>
        <w:tc>
          <w:tcPr>
            <w:tcW w:w="772" w:type="dxa"/>
            <w:vAlign w:val="top"/>
            <w:textDirection w:val="lrTb"/>
            <w:noWrap w:val="false"/>
          </w:tcPr>
          <w:p>
            <w:pPr>
              <w:pStyle w:val="1060"/>
              <w:rPr>
                <w:rFonts w:hint="eastAsia" w:ascii="宋体" w:hAnsi="宋体" w:cs="宋体"/>
                <w:color w:val="000000"/>
                <w:sz w:val="24"/>
                <w:highlight w:val="none"/>
              </w:rPr>
            </w:pPr>
            <w:r>
              <w:rPr>
                <w:rFonts w:hint="eastAsia" w:ascii="宋体" w:hAnsi="宋体" w:cs="宋体"/>
                <w:color w:val="000000"/>
                <w:sz w:val="24"/>
                <w:highlight w:val="none"/>
              </w:rPr>
            </w:r>
            <w:r/>
          </w:p>
        </w:tc>
        <w:tc>
          <w:tcPr>
            <w:tcW w:w="1176" w:type="dxa"/>
            <w:vAlign w:val="top"/>
            <w:textDirection w:val="lrTb"/>
            <w:noWrap w:val="false"/>
          </w:tcPr>
          <w:p>
            <w:pPr>
              <w:pStyle w:val="1060"/>
              <w:rPr>
                <w:rFonts w:hint="eastAsia" w:ascii="宋体" w:hAnsi="宋体" w:cs="宋体"/>
                <w:color w:val="000000"/>
                <w:sz w:val="24"/>
                <w:highlight w:val="none"/>
              </w:rPr>
            </w:pPr>
            <w:r>
              <w:rPr>
                <w:rFonts w:hint="eastAsia" w:ascii="宋体" w:hAnsi="宋体" w:cs="宋体"/>
                <w:color w:val="000000"/>
                <w:sz w:val="24"/>
                <w:highlight w:val="none"/>
              </w:rPr>
            </w:r>
            <w:r/>
          </w:p>
        </w:tc>
        <w:tc>
          <w:tcPr>
            <w:tcW w:w="1233" w:type="dxa"/>
            <w:vAlign w:val="top"/>
            <w:textDirection w:val="lrTb"/>
            <w:noWrap w:val="false"/>
          </w:tcPr>
          <w:p>
            <w:pPr>
              <w:pStyle w:val="1060"/>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426"/>
        </w:trPr>
        <w:tc>
          <w:tcPr>
            <w:tcW w:w="787" w:type="dxa"/>
            <w:vAlign w:val="top"/>
            <w:textDirection w:val="lrTb"/>
            <w:noWrap w:val="false"/>
          </w:tcPr>
          <w:p>
            <w:pPr>
              <w:pStyle w:val="1060"/>
              <w:rPr>
                <w:rFonts w:hint="eastAsia" w:ascii="宋体" w:hAnsi="宋体" w:cs="宋体"/>
                <w:color w:val="000000"/>
                <w:sz w:val="24"/>
                <w:highlight w:val="none"/>
              </w:rPr>
            </w:pPr>
            <w:r>
              <w:rPr>
                <w:rFonts w:hint="eastAsia" w:ascii="宋体" w:hAnsi="宋体" w:cs="宋体"/>
                <w:color w:val="000000"/>
                <w:sz w:val="24"/>
                <w:highlight w:val="none"/>
              </w:rPr>
            </w:r>
            <w:r/>
          </w:p>
        </w:tc>
        <w:tc>
          <w:tcPr>
            <w:tcW w:w="849" w:type="dxa"/>
            <w:vAlign w:val="top"/>
            <w:textDirection w:val="lrTb"/>
            <w:noWrap w:val="false"/>
          </w:tcPr>
          <w:p>
            <w:pPr>
              <w:pStyle w:val="1060"/>
              <w:rPr>
                <w:rFonts w:hint="eastAsia" w:ascii="宋体" w:hAnsi="宋体" w:cs="宋体"/>
                <w:color w:val="000000"/>
                <w:sz w:val="24"/>
                <w:highlight w:val="none"/>
              </w:rPr>
            </w:pPr>
            <w:r>
              <w:rPr>
                <w:rFonts w:hint="eastAsia" w:ascii="宋体" w:hAnsi="宋体" w:cs="宋体"/>
                <w:color w:val="000000"/>
                <w:sz w:val="24"/>
                <w:highlight w:val="none"/>
              </w:rPr>
            </w:r>
            <w:r/>
          </w:p>
        </w:tc>
        <w:tc>
          <w:tcPr>
            <w:tcW w:w="849" w:type="dxa"/>
            <w:vAlign w:val="top"/>
            <w:textDirection w:val="lrTb"/>
            <w:noWrap w:val="false"/>
          </w:tcPr>
          <w:p>
            <w:pPr>
              <w:pStyle w:val="1060"/>
              <w:rPr>
                <w:rFonts w:hint="eastAsia" w:ascii="宋体" w:hAnsi="宋体" w:cs="宋体"/>
                <w:color w:val="000000"/>
                <w:sz w:val="24"/>
                <w:highlight w:val="none"/>
              </w:rPr>
            </w:pPr>
            <w:r>
              <w:rPr>
                <w:rFonts w:hint="eastAsia" w:ascii="宋体" w:hAnsi="宋体" w:cs="宋体"/>
                <w:color w:val="000000"/>
                <w:sz w:val="24"/>
                <w:highlight w:val="none"/>
              </w:rPr>
            </w:r>
            <w:r/>
          </w:p>
        </w:tc>
        <w:tc>
          <w:tcPr>
            <w:tcW w:w="1224" w:type="dxa"/>
            <w:vAlign w:val="top"/>
            <w:textDirection w:val="lrTb"/>
            <w:noWrap w:val="false"/>
          </w:tcPr>
          <w:p>
            <w:pPr>
              <w:pStyle w:val="1060"/>
              <w:rPr>
                <w:rFonts w:hint="eastAsia" w:ascii="宋体" w:hAnsi="宋体" w:cs="宋体"/>
                <w:color w:val="000000"/>
                <w:sz w:val="24"/>
                <w:highlight w:val="none"/>
              </w:rPr>
            </w:pPr>
            <w:r>
              <w:rPr>
                <w:rFonts w:hint="eastAsia" w:ascii="宋体" w:hAnsi="宋体" w:cs="宋体"/>
                <w:color w:val="000000"/>
                <w:sz w:val="24"/>
                <w:highlight w:val="none"/>
              </w:rPr>
            </w:r>
            <w:r/>
          </w:p>
        </w:tc>
        <w:tc>
          <w:tcPr>
            <w:tcW w:w="828" w:type="dxa"/>
            <w:vAlign w:val="top"/>
            <w:textDirection w:val="lrTb"/>
            <w:noWrap w:val="false"/>
          </w:tcPr>
          <w:p>
            <w:pPr>
              <w:pStyle w:val="1060"/>
              <w:rPr>
                <w:rFonts w:hint="eastAsia" w:ascii="宋体" w:hAnsi="宋体" w:cs="宋体"/>
                <w:color w:val="000000"/>
                <w:sz w:val="24"/>
                <w:highlight w:val="none"/>
              </w:rPr>
            </w:pPr>
            <w:r>
              <w:rPr>
                <w:rFonts w:hint="eastAsia" w:ascii="宋体" w:hAnsi="宋体" w:cs="宋体"/>
                <w:color w:val="000000"/>
                <w:sz w:val="24"/>
                <w:highlight w:val="none"/>
              </w:rPr>
            </w:r>
            <w:r/>
          </w:p>
        </w:tc>
        <w:tc>
          <w:tcPr>
            <w:tcW w:w="705" w:type="dxa"/>
            <w:vAlign w:val="top"/>
            <w:textDirection w:val="lrTb"/>
            <w:noWrap w:val="false"/>
          </w:tcPr>
          <w:p>
            <w:pPr>
              <w:pStyle w:val="1060"/>
              <w:rPr>
                <w:rFonts w:hint="eastAsia" w:ascii="宋体" w:hAnsi="宋体" w:cs="宋体"/>
                <w:color w:val="000000"/>
                <w:sz w:val="24"/>
                <w:highlight w:val="none"/>
              </w:rPr>
            </w:pPr>
            <w:r>
              <w:rPr>
                <w:rFonts w:hint="eastAsia" w:ascii="宋体" w:hAnsi="宋体" w:cs="宋体"/>
                <w:color w:val="000000"/>
                <w:sz w:val="24"/>
                <w:highlight w:val="none"/>
              </w:rPr>
            </w:r>
            <w:r/>
          </w:p>
        </w:tc>
        <w:tc>
          <w:tcPr>
            <w:tcW w:w="772" w:type="dxa"/>
            <w:vAlign w:val="top"/>
            <w:textDirection w:val="lrTb"/>
            <w:noWrap w:val="false"/>
          </w:tcPr>
          <w:p>
            <w:pPr>
              <w:pStyle w:val="1060"/>
              <w:rPr>
                <w:rFonts w:hint="eastAsia" w:ascii="宋体" w:hAnsi="宋体" w:cs="宋体"/>
                <w:color w:val="000000"/>
                <w:sz w:val="24"/>
                <w:highlight w:val="none"/>
              </w:rPr>
            </w:pPr>
            <w:r>
              <w:rPr>
                <w:rFonts w:hint="eastAsia" w:ascii="宋体" w:hAnsi="宋体" w:cs="宋体"/>
                <w:color w:val="000000"/>
                <w:sz w:val="24"/>
                <w:highlight w:val="none"/>
              </w:rPr>
            </w:r>
            <w:r/>
          </w:p>
        </w:tc>
        <w:tc>
          <w:tcPr>
            <w:tcW w:w="1176" w:type="dxa"/>
            <w:vAlign w:val="top"/>
            <w:textDirection w:val="lrTb"/>
            <w:noWrap w:val="false"/>
          </w:tcPr>
          <w:p>
            <w:pPr>
              <w:pStyle w:val="1060"/>
              <w:rPr>
                <w:rFonts w:hint="eastAsia" w:ascii="宋体" w:hAnsi="宋体" w:cs="宋体"/>
                <w:color w:val="000000"/>
                <w:sz w:val="24"/>
                <w:highlight w:val="none"/>
              </w:rPr>
            </w:pPr>
            <w:r>
              <w:rPr>
                <w:rFonts w:hint="eastAsia" w:ascii="宋体" w:hAnsi="宋体" w:cs="宋体"/>
                <w:color w:val="000000"/>
                <w:sz w:val="24"/>
                <w:highlight w:val="none"/>
              </w:rPr>
            </w:r>
            <w:r/>
          </w:p>
        </w:tc>
        <w:tc>
          <w:tcPr>
            <w:tcW w:w="1233" w:type="dxa"/>
            <w:vAlign w:val="top"/>
            <w:textDirection w:val="lrTb"/>
            <w:noWrap w:val="false"/>
          </w:tcPr>
          <w:p>
            <w:pPr>
              <w:pStyle w:val="1060"/>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426"/>
        </w:trPr>
        <w:tc>
          <w:tcPr>
            <w:tcW w:w="787" w:type="dxa"/>
            <w:vAlign w:val="top"/>
            <w:textDirection w:val="lrTb"/>
            <w:noWrap w:val="false"/>
          </w:tcPr>
          <w:p>
            <w:pPr>
              <w:pStyle w:val="1060"/>
              <w:rPr>
                <w:rFonts w:hint="eastAsia" w:ascii="宋体" w:hAnsi="宋体" w:cs="宋体"/>
                <w:color w:val="000000"/>
                <w:sz w:val="24"/>
                <w:highlight w:val="none"/>
              </w:rPr>
            </w:pPr>
            <w:r>
              <w:rPr>
                <w:rFonts w:hint="eastAsia" w:ascii="宋体" w:hAnsi="宋体" w:cs="宋体"/>
                <w:color w:val="000000"/>
                <w:sz w:val="24"/>
                <w:highlight w:val="none"/>
              </w:rPr>
            </w:r>
            <w:r/>
          </w:p>
        </w:tc>
        <w:tc>
          <w:tcPr>
            <w:tcW w:w="849" w:type="dxa"/>
            <w:vAlign w:val="top"/>
            <w:textDirection w:val="lrTb"/>
            <w:noWrap w:val="false"/>
          </w:tcPr>
          <w:p>
            <w:pPr>
              <w:pStyle w:val="1060"/>
              <w:rPr>
                <w:rFonts w:hint="eastAsia" w:ascii="宋体" w:hAnsi="宋体" w:cs="宋体"/>
                <w:color w:val="000000"/>
                <w:sz w:val="24"/>
                <w:highlight w:val="none"/>
              </w:rPr>
            </w:pPr>
            <w:r>
              <w:rPr>
                <w:rFonts w:hint="eastAsia" w:ascii="宋体" w:hAnsi="宋体" w:cs="宋体"/>
                <w:color w:val="000000"/>
                <w:sz w:val="24"/>
                <w:highlight w:val="none"/>
              </w:rPr>
            </w:r>
            <w:r/>
          </w:p>
        </w:tc>
        <w:tc>
          <w:tcPr>
            <w:tcW w:w="849" w:type="dxa"/>
            <w:vAlign w:val="top"/>
            <w:textDirection w:val="lrTb"/>
            <w:noWrap w:val="false"/>
          </w:tcPr>
          <w:p>
            <w:pPr>
              <w:pStyle w:val="1060"/>
              <w:rPr>
                <w:rFonts w:hint="eastAsia" w:ascii="宋体" w:hAnsi="宋体" w:cs="宋体"/>
                <w:color w:val="000000"/>
                <w:sz w:val="24"/>
                <w:highlight w:val="none"/>
              </w:rPr>
            </w:pPr>
            <w:r>
              <w:rPr>
                <w:rFonts w:hint="eastAsia" w:ascii="宋体" w:hAnsi="宋体" w:cs="宋体"/>
                <w:color w:val="000000"/>
                <w:sz w:val="24"/>
                <w:highlight w:val="none"/>
              </w:rPr>
            </w:r>
            <w:r/>
          </w:p>
        </w:tc>
        <w:tc>
          <w:tcPr>
            <w:tcW w:w="1224" w:type="dxa"/>
            <w:vAlign w:val="top"/>
            <w:textDirection w:val="lrTb"/>
            <w:noWrap w:val="false"/>
          </w:tcPr>
          <w:p>
            <w:pPr>
              <w:pStyle w:val="1060"/>
              <w:rPr>
                <w:rFonts w:hint="eastAsia" w:ascii="宋体" w:hAnsi="宋体" w:cs="宋体"/>
                <w:color w:val="000000"/>
                <w:sz w:val="24"/>
                <w:highlight w:val="none"/>
              </w:rPr>
            </w:pPr>
            <w:r>
              <w:rPr>
                <w:rFonts w:hint="eastAsia" w:ascii="宋体" w:hAnsi="宋体" w:cs="宋体"/>
                <w:color w:val="000000"/>
                <w:sz w:val="24"/>
                <w:highlight w:val="none"/>
              </w:rPr>
            </w:r>
            <w:r/>
          </w:p>
        </w:tc>
        <w:tc>
          <w:tcPr>
            <w:tcW w:w="828" w:type="dxa"/>
            <w:vAlign w:val="top"/>
            <w:textDirection w:val="lrTb"/>
            <w:noWrap w:val="false"/>
          </w:tcPr>
          <w:p>
            <w:pPr>
              <w:pStyle w:val="1060"/>
              <w:rPr>
                <w:rFonts w:hint="eastAsia" w:ascii="宋体" w:hAnsi="宋体" w:cs="宋体"/>
                <w:color w:val="000000"/>
                <w:sz w:val="24"/>
                <w:highlight w:val="none"/>
              </w:rPr>
            </w:pPr>
            <w:r>
              <w:rPr>
                <w:rFonts w:hint="eastAsia" w:ascii="宋体" w:hAnsi="宋体" w:cs="宋体"/>
                <w:color w:val="000000"/>
                <w:sz w:val="24"/>
                <w:highlight w:val="none"/>
              </w:rPr>
            </w:r>
            <w:r/>
          </w:p>
        </w:tc>
        <w:tc>
          <w:tcPr>
            <w:tcW w:w="705" w:type="dxa"/>
            <w:vAlign w:val="top"/>
            <w:textDirection w:val="lrTb"/>
            <w:noWrap w:val="false"/>
          </w:tcPr>
          <w:p>
            <w:pPr>
              <w:pStyle w:val="1060"/>
              <w:rPr>
                <w:rFonts w:hint="eastAsia" w:ascii="宋体" w:hAnsi="宋体" w:cs="宋体"/>
                <w:color w:val="000000"/>
                <w:sz w:val="24"/>
                <w:highlight w:val="none"/>
              </w:rPr>
            </w:pPr>
            <w:r>
              <w:rPr>
                <w:rFonts w:hint="eastAsia" w:ascii="宋体" w:hAnsi="宋体" w:cs="宋体"/>
                <w:color w:val="000000"/>
                <w:sz w:val="24"/>
                <w:highlight w:val="none"/>
              </w:rPr>
            </w:r>
            <w:r/>
          </w:p>
        </w:tc>
        <w:tc>
          <w:tcPr>
            <w:tcW w:w="772" w:type="dxa"/>
            <w:vAlign w:val="top"/>
            <w:textDirection w:val="lrTb"/>
            <w:noWrap w:val="false"/>
          </w:tcPr>
          <w:p>
            <w:pPr>
              <w:pStyle w:val="1060"/>
              <w:rPr>
                <w:rFonts w:hint="eastAsia" w:ascii="宋体" w:hAnsi="宋体" w:cs="宋体"/>
                <w:color w:val="000000"/>
                <w:sz w:val="24"/>
                <w:highlight w:val="none"/>
              </w:rPr>
            </w:pPr>
            <w:r>
              <w:rPr>
                <w:rFonts w:hint="eastAsia" w:ascii="宋体" w:hAnsi="宋体" w:cs="宋体"/>
                <w:color w:val="000000"/>
                <w:sz w:val="24"/>
                <w:highlight w:val="none"/>
              </w:rPr>
            </w:r>
            <w:r/>
          </w:p>
        </w:tc>
        <w:tc>
          <w:tcPr>
            <w:tcW w:w="1176" w:type="dxa"/>
            <w:vAlign w:val="top"/>
            <w:textDirection w:val="lrTb"/>
            <w:noWrap w:val="false"/>
          </w:tcPr>
          <w:p>
            <w:pPr>
              <w:pStyle w:val="1060"/>
              <w:rPr>
                <w:rFonts w:hint="eastAsia" w:ascii="宋体" w:hAnsi="宋体" w:cs="宋体"/>
                <w:color w:val="000000"/>
                <w:sz w:val="24"/>
                <w:highlight w:val="none"/>
              </w:rPr>
            </w:pPr>
            <w:r>
              <w:rPr>
                <w:rFonts w:hint="eastAsia" w:ascii="宋体" w:hAnsi="宋体" w:cs="宋体"/>
                <w:color w:val="000000"/>
                <w:sz w:val="24"/>
                <w:highlight w:val="none"/>
              </w:rPr>
            </w:r>
            <w:r/>
          </w:p>
        </w:tc>
        <w:tc>
          <w:tcPr>
            <w:tcW w:w="1233" w:type="dxa"/>
            <w:vAlign w:val="top"/>
            <w:textDirection w:val="lrTb"/>
            <w:noWrap w:val="false"/>
          </w:tcPr>
          <w:p>
            <w:pPr>
              <w:pStyle w:val="1060"/>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426"/>
        </w:trPr>
        <w:tc>
          <w:tcPr>
            <w:tcW w:w="787" w:type="dxa"/>
            <w:vAlign w:val="top"/>
            <w:textDirection w:val="lrTb"/>
            <w:noWrap w:val="false"/>
          </w:tcPr>
          <w:p>
            <w:pPr>
              <w:pStyle w:val="1060"/>
              <w:rPr>
                <w:rFonts w:hint="eastAsia" w:ascii="宋体" w:hAnsi="宋体" w:cs="宋体"/>
                <w:color w:val="000000"/>
                <w:sz w:val="24"/>
                <w:highlight w:val="none"/>
              </w:rPr>
            </w:pPr>
            <w:r>
              <w:rPr>
                <w:rFonts w:hint="eastAsia" w:ascii="宋体" w:hAnsi="宋体" w:cs="宋体"/>
                <w:color w:val="000000"/>
                <w:sz w:val="24"/>
                <w:highlight w:val="none"/>
              </w:rPr>
            </w:r>
            <w:r/>
          </w:p>
        </w:tc>
        <w:tc>
          <w:tcPr>
            <w:tcW w:w="849" w:type="dxa"/>
            <w:vAlign w:val="top"/>
            <w:textDirection w:val="lrTb"/>
            <w:noWrap w:val="false"/>
          </w:tcPr>
          <w:p>
            <w:pPr>
              <w:pStyle w:val="1060"/>
              <w:rPr>
                <w:rFonts w:hint="eastAsia" w:ascii="宋体" w:hAnsi="宋体" w:cs="宋体"/>
                <w:color w:val="000000"/>
                <w:sz w:val="24"/>
                <w:highlight w:val="none"/>
              </w:rPr>
            </w:pPr>
            <w:r>
              <w:rPr>
                <w:rFonts w:hint="eastAsia" w:ascii="宋体" w:hAnsi="宋体" w:cs="宋体"/>
                <w:color w:val="000000"/>
                <w:sz w:val="24"/>
                <w:highlight w:val="none"/>
              </w:rPr>
            </w:r>
            <w:r/>
          </w:p>
        </w:tc>
        <w:tc>
          <w:tcPr>
            <w:tcW w:w="849" w:type="dxa"/>
            <w:vAlign w:val="top"/>
            <w:textDirection w:val="lrTb"/>
            <w:noWrap w:val="false"/>
          </w:tcPr>
          <w:p>
            <w:pPr>
              <w:pStyle w:val="1060"/>
              <w:rPr>
                <w:rFonts w:hint="eastAsia" w:ascii="宋体" w:hAnsi="宋体" w:cs="宋体"/>
                <w:color w:val="000000"/>
                <w:sz w:val="24"/>
                <w:highlight w:val="none"/>
              </w:rPr>
            </w:pPr>
            <w:r>
              <w:rPr>
                <w:rFonts w:hint="eastAsia" w:ascii="宋体" w:hAnsi="宋体" w:cs="宋体"/>
                <w:color w:val="000000"/>
                <w:sz w:val="24"/>
                <w:highlight w:val="none"/>
              </w:rPr>
            </w:r>
            <w:r/>
          </w:p>
        </w:tc>
        <w:tc>
          <w:tcPr>
            <w:tcW w:w="1224" w:type="dxa"/>
            <w:vAlign w:val="top"/>
            <w:textDirection w:val="lrTb"/>
            <w:noWrap w:val="false"/>
          </w:tcPr>
          <w:p>
            <w:pPr>
              <w:pStyle w:val="1060"/>
              <w:rPr>
                <w:rFonts w:hint="eastAsia" w:ascii="宋体" w:hAnsi="宋体" w:cs="宋体"/>
                <w:color w:val="000000"/>
                <w:sz w:val="24"/>
                <w:highlight w:val="none"/>
              </w:rPr>
            </w:pPr>
            <w:r>
              <w:rPr>
                <w:rFonts w:hint="eastAsia" w:ascii="宋体" w:hAnsi="宋体" w:cs="宋体"/>
                <w:color w:val="000000"/>
                <w:sz w:val="24"/>
                <w:highlight w:val="none"/>
              </w:rPr>
            </w:r>
            <w:r/>
          </w:p>
        </w:tc>
        <w:tc>
          <w:tcPr>
            <w:tcW w:w="828" w:type="dxa"/>
            <w:vAlign w:val="top"/>
            <w:textDirection w:val="lrTb"/>
            <w:noWrap w:val="false"/>
          </w:tcPr>
          <w:p>
            <w:pPr>
              <w:pStyle w:val="1060"/>
              <w:rPr>
                <w:rFonts w:hint="eastAsia" w:ascii="宋体" w:hAnsi="宋体" w:cs="宋体"/>
                <w:color w:val="000000"/>
                <w:sz w:val="24"/>
                <w:highlight w:val="none"/>
              </w:rPr>
            </w:pPr>
            <w:r>
              <w:rPr>
                <w:rFonts w:hint="eastAsia" w:ascii="宋体" w:hAnsi="宋体" w:cs="宋体"/>
                <w:color w:val="000000"/>
                <w:sz w:val="24"/>
                <w:highlight w:val="none"/>
              </w:rPr>
            </w:r>
            <w:r/>
          </w:p>
        </w:tc>
        <w:tc>
          <w:tcPr>
            <w:tcW w:w="705" w:type="dxa"/>
            <w:vAlign w:val="top"/>
            <w:textDirection w:val="lrTb"/>
            <w:noWrap w:val="false"/>
          </w:tcPr>
          <w:p>
            <w:pPr>
              <w:pStyle w:val="1060"/>
              <w:rPr>
                <w:rFonts w:hint="eastAsia" w:ascii="宋体" w:hAnsi="宋体" w:cs="宋体"/>
                <w:color w:val="000000"/>
                <w:sz w:val="24"/>
                <w:highlight w:val="none"/>
              </w:rPr>
            </w:pPr>
            <w:r>
              <w:rPr>
                <w:rFonts w:hint="eastAsia" w:ascii="宋体" w:hAnsi="宋体" w:cs="宋体"/>
                <w:color w:val="000000"/>
                <w:sz w:val="24"/>
                <w:highlight w:val="none"/>
              </w:rPr>
            </w:r>
            <w:r/>
          </w:p>
        </w:tc>
        <w:tc>
          <w:tcPr>
            <w:tcW w:w="772" w:type="dxa"/>
            <w:vAlign w:val="top"/>
            <w:textDirection w:val="lrTb"/>
            <w:noWrap w:val="false"/>
          </w:tcPr>
          <w:p>
            <w:pPr>
              <w:pStyle w:val="1060"/>
              <w:rPr>
                <w:rFonts w:hint="eastAsia" w:ascii="宋体" w:hAnsi="宋体" w:cs="宋体"/>
                <w:color w:val="000000"/>
                <w:sz w:val="24"/>
                <w:highlight w:val="none"/>
              </w:rPr>
            </w:pPr>
            <w:r>
              <w:rPr>
                <w:rFonts w:hint="eastAsia" w:ascii="宋体" w:hAnsi="宋体" w:cs="宋体"/>
                <w:color w:val="000000"/>
                <w:sz w:val="24"/>
                <w:highlight w:val="none"/>
              </w:rPr>
            </w:r>
            <w:r/>
          </w:p>
        </w:tc>
        <w:tc>
          <w:tcPr>
            <w:tcW w:w="1176" w:type="dxa"/>
            <w:vAlign w:val="top"/>
            <w:textDirection w:val="lrTb"/>
            <w:noWrap w:val="false"/>
          </w:tcPr>
          <w:p>
            <w:pPr>
              <w:pStyle w:val="1060"/>
              <w:rPr>
                <w:rFonts w:hint="eastAsia" w:ascii="宋体" w:hAnsi="宋体" w:cs="宋体"/>
                <w:color w:val="000000"/>
                <w:sz w:val="24"/>
                <w:highlight w:val="none"/>
              </w:rPr>
            </w:pPr>
            <w:r>
              <w:rPr>
                <w:rFonts w:hint="eastAsia" w:ascii="宋体" w:hAnsi="宋体" w:cs="宋体"/>
                <w:color w:val="000000"/>
                <w:sz w:val="24"/>
                <w:highlight w:val="none"/>
              </w:rPr>
            </w:r>
            <w:r/>
          </w:p>
        </w:tc>
        <w:tc>
          <w:tcPr>
            <w:tcW w:w="1233" w:type="dxa"/>
            <w:vAlign w:val="top"/>
            <w:textDirection w:val="lrTb"/>
            <w:noWrap w:val="false"/>
          </w:tcPr>
          <w:p>
            <w:pPr>
              <w:pStyle w:val="1060"/>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426"/>
        </w:trPr>
        <w:tc>
          <w:tcPr>
            <w:tcW w:w="787" w:type="dxa"/>
            <w:vAlign w:val="top"/>
            <w:textDirection w:val="lrTb"/>
            <w:noWrap w:val="false"/>
          </w:tcPr>
          <w:p>
            <w:pPr>
              <w:pStyle w:val="1060"/>
              <w:rPr>
                <w:rFonts w:hint="eastAsia" w:ascii="宋体" w:hAnsi="宋体" w:cs="宋体"/>
                <w:color w:val="000000"/>
                <w:sz w:val="24"/>
                <w:highlight w:val="none"/>
              </w:rPr>
            </w:pPr>
            <w:r>
              <w:rPr>
                <w:rFonts w:hint="eastAsia" w:ascii="宋体" w:hAnsi="宋体" w:cs="宋体"/>
                <w:color w:val="000000"/>
                <w:sz w:val="24"/>
                <w:highlight w:val="none"/>
              </w:rPr>
            </w:r>
            <w:r/>
          </w:p>
        </w:tc>
        <w:tc>
          <w:tcPr>
            <w:tcW w:w="849" w:type="dxa"/>
            <w:vAlign w:val="top"/>
            <w:textDirection w:val="lrTb"/>
            <w:noWrap w:val="false"/>
          </w:tcPr>
          <w:p>
            <w:pPr>
              <w:pStyle w:val="1060"/>
              <w:rPr>
                <w:rFonts w:hint="eastAsia" w:ascii="宋体" w:hAnsi="宋体" w:cs="宋体"/>
                <w:color w:val="000000"/>
                <w:sz w:val="24"/>
                <w:highlight w:val="none"/>
              </w:rPr>
            </w:pPr>
            <w:r>
              <w:rPr>
                <w:rFonts w:hint="eastAsia" w:ascii="宋体" w:hAnsi="宋体" w:cs="宋体"/>
                <w:color w:val="000000"/>
                <w:sz w:val="24"/>
                <w:highlight w:val="none"/>
              </w:rPr>
            </w:r>
            <w:r/>
          </w:p>
        </w:tc>
        <w:tc>
          <w:tcPr>
            <w:tcW w:w="849" w:type="dxa"/>
            <w:vAlign w:val="top"/>
            <w:textDirection w:val="lrTb"/>
            <w:noWrap w:val="false"/>
          </w:tcPr>
          <w:p>
            <w:pPr>
              <w:pStyle w:val="1060"/>
              <w:rPr>
                <w:rFonts w:hint="eastAsia" w:ascii="宋体" w:hAnsi="宋体" w:cs="宋体"/>
                <w:color w:val="000000"/>
                <w:sz w:val="24"/>
                <w:highlight w:val="none"/>
              </w:rPr>
            </w:pPr>
            <w:r>
              <w:rPr>
                <w:rFonts w:hint="eastAsia" w:ascii="宋体" w:hAnsi="宋体" w:cs="宋体"/>
                <w:color w:val="000000"/>
                <w:sz w:val="24"/>
                <w:highlight w:val="none"/>
              </w:rPr>
            </w:r>
            <w:r/>
          </w:p>
        </w:tc>
        <w:tc>
          <w:tcPr>
            <w:tcW w:w="1224" w:type="dxa"/>
            <w:vAlign w:val="top"/>
            <w:textDirection w:val="lrTb"/>
            <w:noWrap w:val="false"/>
          </w:tcPr>
          <w:p>
            <w:pPr>
              <w:pStyle w:val="1060"/>
              <w:rPr>
                <w:rFonts w:hint="eastAsia" w:ascii="宋体" w:hAnsi="宋体" w:cs="宋体"/>
                <w:color w:val="000000"/>
                <w:sz w:val="24"/>
                <w:highlight w:val="none"/>
              </w:rPr>
            </w:pPr>
            <w:r>
              <w:rPr>
                <w:rFonts w:hint="eastAsia" w:ascii="宋体" w:hAnsi="宋体" w:cs="宋体"/>
                <w:color w:val="000000"/>
                <w:sz w:val="24"/>
                <w:highlight w:val="none"/>
              </w:rPr>
            </w:r>
            <w:r/>
          </w:p>
        </w:tc>
        <w:tc>
          <w:tcPr>
            <w:tcW w:w="828" w:type="dxa"/>
            <w:vAlign w:val="top"/>
            <w:textDirection w:val="lrTb"/>
            <w:noWrap w:val="false"/>
          </w:tcPr>
          <w:p>
            <w:pPr>
              <w:pStyle w:val="1060"/>
              <w:rPr>
                <w:rFonts w:hint="eastAsia" w:ascii="宋体" w:hAnsi="宋体" w:cs="宋体"/>
                <w:color w:val="000000"/>
                <w:sz w:val="24"/>
                <w:highlight w:val="none"/>
              </w:rPr>
            </w:pPr>
            <w:r>
              <w:rPr>
                <w:rFonts w:hint="eastAsia" w:ascii="宋体" w:hAnsi="宋体" w:cs="宋体"/>
                <w:color w:val="000000"/>
                <w:sz w:val="24"/>
                <w:highlight w:val="none"/>
              </w:rPr>
            </w:r>
            <w:r/>
          </w:p>
        </w:tc>
        <w:tc>
          <w:tcPr>
            <w:tcW w:w="705" w:type="dxa"/>
            <w:vAlign w:val="top"/>
            <w:textDirection w:val="lrTb"/>
            <w:noWrap w:val="false"/>
          </w:tcPr>
          <w:p>
            <w:pPr>
              <w:pStyle w:val="1060"/>
              <w:rPr>
                <w:rFonts w:hint="eastAsia" w:ascii="宋体" w:hAnsi="宋体" w:cs="宋体"/>
                <w:color w:val="000000"/>
                <w:sz w:val="24"/>
                <w:highlight w:val="none"/>
              </w:rPr>
            </w:pPr>
            <w:r>
              <w:rPr>
                <w:rFonts w:hint="eastAsia" w:ascii="宋体" w:hAnsi="宋体" w:cs="宋体"/>
                <w:color w:val="000000"/>
                <w:sz w:val="24"/>
                <w:highlight w:val="none"/>
              </w:rPr>
            </w:r>
            <w:r/>
          </w:p>
        </w:tc>
        <w:tc>
          <w:tcPr>
            <w:tcW w:w="772" w:type="dxa"/>
            <w:vAlign w:val="top"/>
            <w:textDirection w:val="lrTb"/>
            <w:noWrap w:val="false"/>
          </w:tcPr>
          <w:p>
            <w:pPr>
              <w:pStyle w:val="1060"/>
              <w:rPr>
                <w:rFonts w:hint="eastAsia" w:ascii="宋体" w:hAnsi="宋体" w:cs="宋体"/>
                <w:color w:val="000000"/>
                <w:sz w:val="24"/>
                <w:highlight w:val="none"/>
              </w:rPr>
            </w:pPr>
            <w:r>
              <w:rPr>
                <w:rFonts w:hint="eastAsia" w:ascii="宋体" w:hAnsi="宋体" w:cs="宋体"/>
                <w:color w:val="000000"/>
                <w:sz w:val="24"/>
                <w:highlight w:val="none"/>
              </w:rPr>
            </w:r>
            <w:r/>
          </w:p>
        </w:tc>
        <w:tc>
          <w:tcPr>
            <w:tcW w:w="1176" w:type="dxa"/>
            <w:vAlign w:val="top"/>
            <w:textDirection w:val="lrTb"/>
            <w:noWrap w:val="false"/>
          </w:tcPr>
          <w:p>
            <w:pPr>
              <w:pStyle w:val="1060"/>
              <w:rPr>
                <w:rFonts w:hint="eastAsia" w:ascii="宋体" w:hAnsi="宋体" w:cs="宋体"/>
                <w:color w:val="000000"/>
                <w:sz w:val="24"/>
                <w:highlight w:val="none"/>
              </w:rPr>
            </w:pPr>
            <w:r>
              <w:rPr>
                <w:rFonts w:hint="eastAsia" w:ascii="宋体" w:hAnsi="宋体" w:cs="宋体"/>
                <w:color w:val="000000"/>
                <w:sz w:val="24"/>
                <w:highlight w:val="none"/>
              </w:rPr>
            </w:r>
            <w:r/>
          </w:p>
        </w:tc>
        <w:tc>
          <w:tcPr>
            <w:tcW w:w="1233" w:type="dxa"/>
            <w:vAlign w:val="top"/>
            <w:textDirection w:val="lrTb"/>
            <w:noWrap w:val="false"/>
          </w:tcPr>
          <w:p>
            <w:pPr>
              <w:pStyle w:val="1060"/>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106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注：以缴纳社保的为准，提供上述证明材料。</w:t>
      </w:r>
      <w:r>
        <w:rPr>
          <w:rFonts w:hint="eastAsia" w:ascii="宋体" w:hAnsi="宋体" w:cs="宋体"/>
          <w:color w:val="000000"/>
          <w:sz w:val="24"/>
          <w:highlight w:val="none"/>
        </w:rPr>
      </w:r>
      <w:r/>
    </w:p>
    <w:p>
      <w:pPr>
        <w:pStyle w:val="1060"/>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060"/>
        <w:ind w:firstLine="24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响应单位：（公章）</w:t>
      </w:r>
      <w:r>
        <w:rPr>
          <w:rFonts w:hint="eastAsia" w:ascii="宋体" w:hAnsi="宋体" w:cs="宋体"/>
          <w:color w:val="000000"/>
          <w:sz w:val="24"/>
          <w:highlight w:val="none"/>
        </w:rPr>
      </w:r>
      <w:r/>
    </w:p>
    <w:p>
      <w:pPr>
        <w:pStyle w:val="1060"/>
        <w:ind w:firstLine="24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法定代表人或委托代理人：（签字或盖章）</w:t>
      </w:r>
      <w:r>
        <w:rPr>
          <w:rFonts w:hint="eastAsia" w:ascii="宋体" w:hAnsi="宋体" w:cs="宋体"/>
          <w:color w:val="000000"/>
          <w:sz w:val="24"/>
          <w:highlight w:val="none"/>
        </w:rPr>
      </w:r>
      <w:r/>
    </w:p>
    <w:p>
      <w:pPr>
        <w:pStyle w:val="1060"/>
        <w:ind w:firstLine="24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日期：       年     月     日</w:t>
      </w:r>
      <w:r>
        <w:rPr>
          <w:rFonts w:hint="eastAsia" w:ascii="宋体" w:hAnsi="宋体" w:cs="宋体"/>
          <w:color w:val="000000"/>
          <w:sz w:val="24"/>
          <w:highlight w:val="none"/>
        </w:rPr>
      </w:r>
      <w:r/>
    </w:p>
    <w:p>
      <w:pPr>
        <w:pStyle w:val="1263"/>
        <w:rPr>
          <w:rFonts w:hint="eastAsia" w:ascii="宋体" w:hAnsi="宋体" w:cs="宋体"/>
          <w:color w:val="000000"/>
          <w:sz w:val="24"/>
          <w:highlight w:val="none"/>
        </w:rPr>
      </w:pPr>
      <w:r>
        <w:rPr>
          <w:rFonts w:hint="eastAsia" w:ascii="宋体" w:hAnsi="宋体" w:cs="宋体"/>
          <w:color w:val="000000"/>
          <w:sz w:val="24"/>
          <w:highlight w:val="none"/>
        </w:rPr>
      </w:r>
      <w:r/>
    </w:p>
    <w:p>
      <w:pPr>
        <w:pStyle w:val="1263"/>
        <w:rPr>
          <w:rFonts w:hint="eastAsia" w:ascii="宋体" w:hAnsi="宋体" w:cs="宋体"/>
          <w:color w:val="000000"/>
          <w:sz w:val="24"/>
          <w:highlight w:val="none"/>
        </w:rPr>
      </w:pPr>
      <w:r>
        <w:rPr>
          <w:rFonts w:hint="eastAsia" w:ascii="宋体" w:hAnsi="宋体" w:cs="宋体"/>
          <w:color w:val="000000"/>
          <w:sz w:val="24"/>
          <w:highlight w:val="none"/>
        </w:rPr>
      </w:r>
      <w:r/>
    </w:p>
    <w:p>
      <w:pPr>
        <w:pStyle w:val="1263"/>
        <w:rPr>
          <w:rFonts w:hint="eastAsia" w:ascii="宋体" w:hAnsi="宋体" w:cs="宋体"/>
          <w:color w:val="000000"/>
          <w:sz w:val="24"/>
          <w:highlight w:val="none"/>
        </w:rPr>
      </w:pPr>
      <w:r>
        <w:rPr>
          <w:rFonts w:hint="eastAsia" w:ascii="宋体" w:hAnsi="宋体" w:cs="宋体"/>
          <w:color w:val="000000"/>
          <w:sz w:val="24"/>
          <w:highlight w:val="none"/>
        </w:rPr>
      </w:r>
      <w:r/>
    </w:p>
    <w:p>
      <w:pPr>
        <w:pStyle w:val="1263"/>
        <w:rPr>
          <w:rFonts w:hint="eastAsia" w:ascii="宋体" w:hAnsi="宋体" w:cs="宋体"/>
          <w:color w:val="000000"/>
          <w:sz w:val="24"/>
          <w:highlight w:val="none"/>
        </w:rPr>
      </w:pPr>
      <w:r>
        <w:rPr>
          <w:rFonts w:hint="eastAsia" w:ascii="宋体" w:hAnsi="宋体" w:cs="宋体"/>
          <w:color w:val="000000"/>
          <w:sz w:val="24"/>
          <w:highlight w:val="none"/>
        </w:rPr>
      </w:r>
      <w:r/>
    </w:p>
    <w:p>
      <w:pPr>
        <w:pStyle w:val="1263"/>
        <w:rPr>
          <w:rFonts w:hint="eastAsia" w:ascii="宋体" w:hAnsi="宋体" w:cs="宋体"/>
          <w:color w:val="000000"/>
          <w:sz w:val="24"/>
          <w:highlight w:val="none"/>
        </w:rPr>
      </w:pPr>
      <w:r>
        <w:rPr>
          <w:rFonts w:hint="eastAsia" w:ascii="宋体" w:hAnsi="宋体" w:cs="宋体"/>
          <w:color w:val="000000"/>
          <w:sz w:val="24"/>
          <w:highlight w:val="none"/>
        </w:rPr>
      </w:r>
      <w:r/>
    </w:p>
    <w:p>
      <w:pPr>
        <w:pStyle w:val="1060"/>
        <w:jc w:val="center"/>
        <w:spacing w:line="400" w:lineRule="exact"/>
        <w:rPr>
          <w:rFonts w:hint="eastAsia" w:ascii="宋体" w:hAnsi="宋体" w:cs="宋体"/>
          <w:b/>
          <w:bCs/>
          <w:color w:val="000000"/>
          <w:sz w:val="24"/>
          <w:highlight w:val="none"/>
        </w:rPr>
      </w:pPr>
      <w:r>
        <w:rPr>
          <w:rFonts w:hint="eastAsia" w:ascii="宋体" w:hAnsi="宋体" w:cs="宋体"/>
          <w:b/>
          <w:bCs/>
          <w:color w:val="000000"/>
          <w:sz w:val="36"/>
          <w:szCs w:val="36"/>
          <w:highlight w:val="none"/>
        </w:rPr>
        <w:br w:type="page" w:clear="all"/>
      </w:r>
      <w:r>
        <w:rPr>
          <w:rFonts w:hint="eastAsia" w:ascii="宋体" w:hAnsi="宋体" w:cs="宋体"/>
          <w:b/>
          <w:bCs/>
          <w:color w:val="000000"/>
          <w:sz w:val="24"/>
          <w:highlight w:val="none"/>
        </w:rPr>
        <w:t xml:space="preserve">服务人员安排表</w:t>
      </w:r>
      <w:r>
        <w:rPr>
          <w:rFonts w:hint="eastAsia" w:ascii="宋体" w:hAnsi="宋体" w:cs="宋体"/>
          <w:b/>
          <w:bCs/>
          <w:color w:val="000000"/>
          <w:sz w:val="24"/>
          <w:highlight w:val="none"/>
        </w:rPr>
      </w:r>
      <w:r/>
    </w:p>
    <w:tbl>
      <w:tblPr>
        <w:tblW w:w="879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8"/>
        <w:gridCol w:w="1392"/>
        <w:gridCol w:w="1080"/>
        <w:gridCol w:w="1980"/>
        <w:gridCol w:w="1115"/>
        <w:gridCol w:w="1194"/>
        <w:gridCol w:w="1291"/>
      </w:tblGrid>
      <w:tr>
        <w:trPr>
          <w:trHeight w:val="635"/>
        </w:trPr>
        <w:tc>
          <w:tcPr>
            <w:tcW w:w="738" w:type="dxa"/>
            <w:vAlign w:val="center"/>
            <w:textDirection w:val="lrTb"/>
            <w:noWrap w:val="false"/>
          </w:tcPr>
          <w:p>
            <w:pPr>
              <w:pStyle w:val="1060"/>
              <w:jc w:val="center"/>
              <w:rPr>
                <w:rFonts w:hint="eastAsia" w:ascii="宋体" w:hAnsi="宋体" w:cs="宋体"/>
                <w:color w:val="000000"/>
                <w:sz w:val="24"/>
                <w:highlight w:val="none"/>
              </w:rPr>
            </w:pPr>
            <w:r>
              <w:rPr>
                <w:rFonts w:hint="eastAsia" w:ascii="宋体" w:hAnsi="宋体" w:cs="宋体"/>
                <w:color w:val="000000"/>
                <w:sz w:val="24"/>
                <w:highlight w:val="none"/>
              </w:rPr>
              <w:t xml:space="preserve">序号</w:t>
            </w:r>
            <w:r>
              <w:rPr>
                <w:rFonts w:hint="eastAsia" w:ascii="宋体" w:hAnsi="宋体" w:cs="宋体"/>
                <w:color w:val="000000"/>
                <w:sz w:val="24"/>
                <w:highlight w:val="none"/>
              </w:rPr>
            </w:r>
            <w:r/>
          </w:p>
        </w:tc>
        <w:tc>
          <w:tcPr>
            <w:tcW w:w="1392" w:type="dxa"/>
            <w:vAlign w:val="center"/>
            <w:textDirection w:val="lrTb"/>
            <w:noWrap w:val="false"/>
          </w:tcPr>
          <w:p>
            <w:pPr>
              <w:pStyle w:val="1060"/>
              <w:jc w:val="center"/>
              <w:rPr>
                <w:rFonts w:hint="eastAsia" w:ascii="宋体" w:hAnsi="宋体" w:cs="宋体"/>
                <w:color w:val="000000"/>
                <w:sz w:val="24"/>
                <w:highlight w:val="none"/>
              </w:rPr>
            </w:pPr>
            <w:r>
              <w:rPr>
                <w:rFonts w:hint="eastAsia" w:ascii="宋体" w:hAnsi="宋体" w:cs="宋体"/>
                <w:color w:val="000000"/>
                <w:sz w:val="24"/>
                <w:highlight w:val="none"/>
              </w:rPr>
              <w:t xml:space="preserve">姓名</w:t>
            </w:r>
            <w:r>
              <w:rPr>
                <w:rFonts w:hint="eastAsia" w:ascii="宋体" w:hAnsi="宋体" w:cs="宋体"/>
                <w:color w:val="000000"/>
                <w:sz w:val="24"/>
                <w:highlight w:val="none"/>
              </w:rPr>
            </w:r>
            <w:r/>
          </w:p>
        </w:tc>
        <w:tc>
          <w:tcPr>
            <w:tcW w:w="1080" w:type="dxa"/>
            <w:vAlign w:val="center"/>
            <w:textDirection w:val="lrTb"/>
            <w:noWrap w:val="false"/>
          </w:tcPr>
          <w:p>
            <w:pPr>
              <w:pStyle w:val="1060"/>
              <w:jc w:val="center"/>
              <w:rPr>
                <w:rFonts w:hint="eastAsia" w:ascii="宋体" w:hAnsi="宋体" w:cs="宋体"/>
                <w:color w:val="000000"/>
                <w:sz w:val="24"/>
                <w:highlight w:val="none"/>
              </w:rPr>
            </w:pPr>
            <w:r>
              <w:rPr>
                <w:rFonts w:hint="eastAsia" w:ascii="宋体" w:hAnsi="宋体" w:cs="宋体"/>
                <w:color w:val="000000"/>
                <w:sz w:val="24"/>
                <w:highlight w:val="none"/>
              </w:rPr>
              <w:t xml:space="preserve">性别</w:t>
            </w:r>
            <w:r>
              <w:rPr>
                <w:rFonts w:hint="eastAsia" w:ascii="宋体" w:hAnsi="宋体" w:cs="宋体"/>
                <w:color w:val="000000"/>
                <w:sz w:val="24"/>
                <w:highlight w:val="none"/>
              </w:rPr>
            </w:r>
            <w:r/>
          </w:p>
        </w:tc>
        <w:tc>
          <w:tcPr>
            <w:tcW w:w="1980" w:type="dxa"/>
            <w:vAlign w:val="center"/>
            <w:textDirection w:val="lrTb"/>
            <w:noWrap w:val="false"/>
          </w:tcPr>
          <w:p>
            <w:pPr>
              <w:pStyle w:val="1060"/>
              <w:jc w:val="center"/>
              <w:rPr>
                <w:rFonts w:hint="eastAsia" w:ascii="宋体" w:hAnsi="宋体" w:cs="宋体"/>
                <w:color w:val="000000"/>
                <w:sz w:val="24"/>
                <w:highlight w:val="none"/>
              </w:rPr>
            </w:pPr>
            <w:r>
              <w:rPr>
                <w:rFonts w:hint="eastAsia" w:ascii="宋体" w:hAnsi="宋体" w:cs="宋体"/>
                <w:color w:val="000000"/>
                <w:sz w:val="24"/>
                <w:highlight w:val="none"/>
              </w:rPr>
              <w:t xml:space="preserve">岗位</w:t>
            </w:r>
            <w:r>
              <w:rPr>
                <w:rFonts w:hint="eastAsia" w:ascii="宋体" w:hAnsi="宋体" w:cs="宋体"/>
                <w:color w:val="000000"/>
                <w:sz w:val="24"/>
                <w:highlight w:val="none"/>
              </w:rPr>
            </w:r>
            <w:r/>
          </w:p>
        </w:tc>
        <w:tc>
          <w:tcPr>
            <w:tcW w:w="1115" w:type="dxa"/>
            <w:vAlign w:val="center"/>
            <w:textDirection w:val="lrTb"/>
            <w:noWrap w:val="false"/>
          </w:tcPr>
          <w:p>
            <w:pPr>
              <w:pStyle w:val="1060"/>
              <w:jc w:val="center"/>
              <w:rPr>
                <w:rFonts w:hint="eastAsia" w:ascii="宋体" w:hAnsi="宋体" w:cs="宋体"/>
                <w:color w:val="000000"/>
                <w:sz w:val="24"/>
                <w:highlight w:val="none"/>
              </w:rPr>
            </w:pPr>
            <w:r>
              <w:rPr>
                <w:rFonts w:hint="eastAsia" w:ascii="宋体" w:hAnsi="宋体" w:cs="宋体"/>
                <w:color w:val="000000"/>
                <w:sz w:val="24"/>
                <w:highlight w:val="none"/>
              </w:rPr>
              <w:t xml:space="preserve">年龄</w:t>
            </w:r>
            <w:r>
              <w:rPr>
                <w:rFonts w:hint="eastAsia" w:ascii="宋体" w:hAnsi="宋体" w:cs="宋体"/>
                <w:color w:val="000000"/>
                <w:sz w:val="24"/>
                <w:highlight w:val="none"/>
              </w:rPr>
            </w:r>
            <w:r/>
          </w:p>
        </w:tc>
        <w:tc>
          <w:tcPr>
            <w:tcW w:w="1194" w:type="dxa"/>
            <w:vAlign w:val="center"/>
            <w:textDirection w:val="lrTb"/>
            <w:noWrap w:val="false"/>
          </w:tcPr>
          <w:p>
            <w:pPr>
              <w:pStyle w:val="1060"/>
              <w:jc w:val="center"/>
              <w:rPr>
                <w:rFonts w:hint="eastAsia" w:ascii="宋体" w:hAnsi="宋体" w:cs="宋体"/>
                <w:color w:val="000000"/>
                <w:sz w:val="24"/>
                <w:highlight w:val="none"/>
              </w:rPr>
            </w:pPr>
            <w:r>
              <w:rPr>
                <w:rFonts w:hint="eastAsia" w:ascii="宋体" w:hAnsi="宋体" w:cs="宋体"/>
                <w:color w:val="000000"/>
                <w:sz w:val="24"/>
                <w:highlight w:val="none"/>
              </w:rPr>
              <w:t xml:space="preserve">学历</w:t>
            </w:r>
            <w:r>
              <w:rPr>
                <w:rFonts w:hint="eastAsia" w:ascii="宋体" w:hAnsi="宋体" w:cs="宋体"/>
                <w:color w:val="000000"/>
                <w:sz w:val="24"/>
                <w:highlight w:val="none"/>
              </w:rPr>
            </w:r>
            <w:r/>
          </w:p>
        </w:tc>
        <w:tc>
          <w:tcPr>
            <w:tcW w:w="1291" w:type="dxa"/>
            <w:vAlign w:val="center"/>
            <w:textDirection w:val="lrTb"/>
            <w:noWrap w:val="false"/>
          </w:tcPr>
          <w:p>
            <w:pPr>
              <w:pStyle w:val="1060"/>
              <w:jc w:val="center"/>
              <w:rPr>
                <w:rFonts w:hint="eastAsia" w:ascii="宋体" w:hAnsi="宋体" w:cs="宋体"/>
                <w:color w:val="000000"/>
                <w:sz w:val="24"/>
                <w:highlight w:val="none"/>
              </w:rPr>
            </w:pPr>
            <w:r>
              <w:rPr>
                <w:rFonts w:hint="eastAsia" w:ascii="宋体" w:hAnsi="宋体" w:cs="宋体"/>
                <w:color w:val="000000"/>
                <w:sz w:val="24"/>
                <w:highlight w:val="none"/>
              </w:rPr>
              <w:t xml:space="preserve">职称</w:t>
            </w:r>
            <w:r>
              <w:rPr>
                <w:rFonts w:hint="eastAsia" w:ascii="宋体" w:hAnsi="宋体" w:cs="宋体"/>
                <w:color w:val="000000"/>
                <w:sz w:val="24"/>
                <w:highlight w:val="none"/>
              </w:rPr>
            </w:r>
            <w:r/>
          </w:p>
        </w:tc>
      </w:tr>
      <w:tr>
        <w:trPr>
          <w:trHeight w:val="495"/>
        </w:trPr>
        <w:tc>
          <w:tcPr>
            <w:tcW w:w="738" w:type="dxa"/>
            <w:vAlign w:val="center"/>
            <w:textDirection w:val="lrTb"/>
            <w:noWrap w:val="false"/>
          </w:tcPr>
          <w:p>
            <w:pPr>
              <w:pStyle w:val="1060"/>
              <w:jc w:val="center"/>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1392" w:type="dxa"/>
            <w:vAlign w:val="center"/>
            <w:textDirection w:val="lrTb"/>
            <w:noWrap w:val="false"/>
          </w:tcPr>
          <w:p>
            <w:pPr>
              <w:pStyle w:val="1060"/>
              <w:rPr>
                <w:rFonts w:hint="eastAsia" w:ascii="宋体" w:hAnsi="宋体" w:cs="宋体"/>
                <w:color w:val="000000"/>
                <w:sz w:val="24"/>
                <w:highlight w:val="none"/>
              </w:rPr>
            </w:pPr>
            <w:r>
              <w:rPr>
                <w:rFonts w:hint="eastAsia" w:ascii="宋体" w:hAnsi="宋体" w:cs="宋体"/>
                <w:color w:val="000000"/>
                <w:sz w:val="24"/>
                <w:highlight w:val="none"/>
              </w:rPr>
            </w:r>
            <w:r/>
          </w:p>
        </w:tc>
        <w:tc>
          <w:tcPr>
            <w:tcW w:w="1080" w:type="dxa"/>
            <w:vAlign w:val="center"/>
            <w:textDirection w:val="lrTb"/>
            <w:noWrap w:val="false"/>
          </w:tcPr>
          <w:p>
            <w:pPr>
              <w:pStyle w:val="106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980" w:type="dxa"/>
            <w:vAlign w:val="center"/>
            <w:textDirection w:val="lrTb"/>
            <w:noWrap w:val="false"/>
          </w:tcPr>
          <w:p>
            <w:pPr>
              <w:pStyle w:val="106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115" w:type="dxa"/>
            <w:vAlign w:val="center"/>
            <w:textDirection w:val="lrTb"/>
            <w:noWrap w:val="false"/>
          </w:tcPr>
          <w:p>
            <w:pPr>
              <w:pStyle w:val="106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194" w:type="dxa"/>
            <w:vAlign w:val="center"/>
            <w:textDirection w:val="lrTb"/>
            <w:noWrap w:val="false"/>
          </w:tcPr>
          <w:p>
            <w:pPr>
              <w:pStyle w:val="106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291" w:type="dxa"/>
            <w:vAlign w:val="center"/>
            <w:textDirection w:val="lrTb"/>
            <w:noWrap w:val="false"/>
          </w:tcPr>
          <w:p>
            <w:pPr>
              <w:pStyle w:val="1060"/>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495"/>
        </w:trPr>
        <w:tc>
          <w:tcPr>
            <w:tcW w:w="738" w:type="dxa"/>
            <w:vAlign w:val="center"/>
            <w:textDirection w:val="lrTb"/>
            <w:noWrap w:val="false"/>
          </w:tcPr>
          <w:p>
            <w:pPr>
              <w:pStyle w:val="1060"/>
              <w:jc w:val="center"/>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1392" w:type="dxa"/>
            <w:vAlign w:val="center"/>
            <w:textDirection w:val="lrTb"/>
            <w:noWrap w:val="false"/>
          </w:tcPr>
          <w:p>
            <w:pPr>
              <w:pStyle w:val="1060"/>
              <w:rPr>
                <w:rFonts w:hint="eastAsia" w:ascii="宋体" w:hAnsi="宋体" w:cs="宋体"/>
                <w:color w:val="000000"/>
                <w:sz w:val="24"/>
                <w:highlight w:val="none"/>
              </w:rPr>
            </w:pPr>
            <w:r>
              <w:rPr>
                <w:rFonts w:hint="eastAsia" w:ascii="宋体" w:hAnsi="宋体" w:cs="宋体"/>
                <w:color w:val="000000"/>
                <w:sz w:val="24"/>
                <w:highlight w:val="none"/>
              </w:rPr>
            </w:r>
            <w:r/>
          </w:p>
        </w:tc>
        <w:tc>
          <w:tcPr>
            <w:tcW w:w="1080" w:type="dxa"/>
            <w:vAlign w:val="center"/>
            <w:textDirection w:val="lrTb"/>
            <w:noWrap w:val="false"/>
          </w:tcPr>
          <w:p>
            <w:pPr>
              <w:pStyle w:val="106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980" w:type="dxa"/>
            <w:vAlign w:val="center"/>
            <w:textDirection w:val="lrTb"/>
            <w:noWrap w:val="false"/>
          </w:tcPr>
          <w:p>
            <w:pPr>
              <w:pStyle w:val="106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115" w:type="dxa"/>
            <w:vAlign w:val="center"/>
            <w:textDirection w:val="lrTb"/>
            <w:noWrap w:val="false"/>
          </w:tcPr>
          <w:p>
            <w:pPr>
              <w:pStyle w:val="106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194" w:type="dxa"/>
            <w:vAlign w:val="center"/>
            <w:textDirection w:val="lrTb"/>
            <w:noWrap w:val="false"/>
          </w:tcPr>
          <w:p>
            <w:pPr>
              <w:pStyle w:val="106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291" w:type="dxa"/>
            <w:vAlign w:val="center"/>
            <w:textDirection w:val="lrTb"/>
            <w:noWrap w:val="false"/>
          </w:tcPr>
          <w:p>
            <w:pPr>
              <w:pStyle w:val="1060"/>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495"/>
        </w:trPr>
        <w:tc>
          <w:tcPr>
            <w:tcW w:w="738" w:type="dxa"/>
            <w:vAlign w:val="center"/>
            <w:textDirection w:val="lrTb"/>
            <w:noWrap w:val="false"/>
          </w:tcPr>
          <w:p>
            <w:pPr>
              <w:pStyle w:val="1060"/>
              <w:jc w:val="center"/>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1392" w:type="dxa"/>
            <w:vAlign w:val="center"/>
            <w:textDirection w:val="lrTb"/>
            <w:noWrap w:val="false"/>
          </w:tcPr>
          <w:p>
            <w:pPr>
              <w:pStyle w:val="1060"/>
              <w:rPr>
                <w:rFonts w:hint="eastAsia" w:ascii="宋体" w:hAnsi="宋体" w:cs="宋体"/>
                <w:color w:val="000000"/>
                <w:sz w:val="24"/>
                <w:highlight w:val="none"/>
              </w:rPr>
            </w:pPr>
            <w:r>
              <w:rPr>
                <w:rFonts w:hint="eastAsia" w:ascii="宋体" w:hAnsi="宋体" w:cs="宋体"/>
                <w:color w:val="000000"/>
                <w:sz w:val="24"/>
                <w:highlight w:val="none"/>
              </w:rPr>
            </w:r>
            <w:r/>
          </w:p>
        </w:tc>
        <w:tc>
          <w:tcPr>
            <w:tcW w:w="1080" w:type="dxa"/>
            <w:vAlign w:val="center"/>
            <w:textDirection w:val="lrTb"/>
            <w:noWrap w:val="false"/>
          </w:tcPr>
          <w:p>
            <w:pPr>
              <w:pStyle w:val="106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980" w:type="dxa"/>
            <w:vAlign w:val="center"/>
            <w:textDirection w:val="lrTb"/>
            <w:noWrap w:val="false"/>
          </w:tcPr>
          <w:p>
            <w:pPr>
              <w:pStyle w:val="106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115" w:type="dxa"/>
            <w:vAlign w:val="center"/>
            <w:textDirection w:val="lrTb"/>
            <w:noWrap w:val="false"/>
          </w:tcPr>
          <w:p>
            <w:pPr>
              <w:pStyle w:val="106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194" w:type="dxa"/>
            <w:vAlign w:val="center"/>
            <w:textDirection w:val="lrTb"/>
            <w:noWrap w:val="false"/>
          </w:tcPr>
          <w:p>
            <w:pPr>
              <w:pStyle w:val="106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291" w:type="dxa"/>
            <w:vAlign w:val="center"/>
            <w:textDirection w:val="lrTb"/>
            <w:noWrap w:val="false"/>
          </w:tcPr>
          <w:p>
            <w:pPr>
              <w:pStyle w:val="1060"/>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495"/>
        </w:trPr>
        <w:tc>
          <w:tcPr>
            <w:tcW w:w="738" w:type="dxa"/>
            <w:vAlign w:val="center"/>
            <w:textDirection w:val="lrTb"/>
            <w:noWrap w:val="false"/>
          </w:tcPr>
          <w:p>
            <w:pPr>
              <w:pStyle w:val="1060"/>
              <w:jc w:val="center"/>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1392" w:type="dxa"/>
            <w:vAlign w:val="center"/>
            <w:textDirection w:val="lrTb"/>
            <w:noWrap w:val="false"/>
          </w:tcPr>
          <w:p>
            <w:pPr>
              <w:pStyle w:val="1060"/>
              <w:rPr>
                <w:rFonts w:hint="eastAsia" w:ascii="宋体" w:hAnsi="宋体" w:cs="宋体"/>
                <w:color w:val="000000"/>
                <w:sz w:val="24"/>
                <w:highlight w:val="none"/>
              </w:rPr>
            </w:pPr>
            <w:r>
              <w:rPr>
                <w:rFonts w:hint="eastAsia" w:ascii="宋体" w:hAnsi="宋体" w:cs="宋体"/>
                <w:color w:val="000000"/>
                <w:sz w:val="24"/>
                <w:highlight w:val="none"/>
              </w:rPr>
            </w:r>
            <w:r/>
          </w:p>
        </w:tc>
        <w:tc>
          <w:tcPr>
            <w:tcW w:w="1080" w:type="dxa"/>
            <w:vAlign w:val="center"/>
            <w:textDirection w:val="lrTb"/>
            <w:noWrap w:val="false"/>
          </w:tcPr>
          <w:p>
            <w:pPr>
              <w:pStyle w:val="106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980" w:type="dxa"/>
            <w:vAlign w:val="center"/>
            <w:textDirection w:val="lrTb"/>
            <w:noWrap w:val="false"/>
          </w:tcPr>
          <w:p>
            <w:pPr>
              <w:pStyle w:val="106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115" w:type="dxa"/>
            <w:vAlign w:val="center"/>
            <w:textDirection w:val="lrTb"/>
            <w:noWrap w:val="false"/>
          </w:tcPr>
          <w:p>
            <w:pPr>
              <w:pStyle w:val="106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194" w:type="dxa"/>
            <w:vAlign w:val="center"/>
            <w:textDirection w:val="lrTb"/>
            <w:noWrap w:val="false"/>
          </w:tcPr>
          <w:p>
            <w:pPr>
              <w:pStyle w:val="106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291" w:type="dxa"/>
            <w:vAlign w:val="center"/>
            <w:textDirection w:val="lrTb"/>
            <w:noWrap w:val="false"/>
          </w:tcPr>
          <w:p>
            <w:pPr>
              <w:pStyle w:val="1060"/>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495"/>
        </w:trPr>
        <w:tc>
          <w:tcPr>
            <w:tcW w:w="738" w:type="dxa"/>
            <w:vAlign w:val="center"/>
            <w:textDirection w:val="lrTb"/>
            <w:noWrap w:val="false"/>
          </w:tcPr>
          <w:p>
            <w:pPr>
              <w:pStyle w:val="1060"/>
              <w:jc w:val="center"/>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1392" w:type="dxa"/>
            <w:vAlign w:val="center"/>
            <w:textDirection w:val="lrTb"/>
            <w:noWrap w:val="false"/>
          </w:tcPr>
          <w:p>
            <w:pPr>
              <w:pStyle w:val="1060"/>
              <w:rPr>
                <w:rFonts w:hint="eastAsia" w:ascii="宋体" w:hAnsi="宋体" w:cs="宋体"/>
                <w:color w:val="000000"/>
                <w:sz w:val="24"/>
                <w:highlight w:val="none"/>
              </w:rPr>
            </w:pPr>
            <w:r>
              <w:rPr>
                <w:rFonts w:hint="eastAsia" w:ascii="宋体" w:hAnsi="宋体" w:cs="宋体"/>
                <w:color w:val="000000"/>
                <w:sz w:val="24"/>
                <w:highlight w:val="none"/>
              </w:rPr>
            </w:r>
            <w:r/>
          </w:p>
        </w:tc>
        <w:tc>
          <w:tcPr>
            <w:tcW w:w="1080" w:type="dxa"/>
            <w:vAlign w:val="center"/>
            <w:textDirection w:val="lrTb"/>
            <w:noWrap w:val="false"/>
          </w:tcPr>
          <w:p>
            <w:pPr>
              <w:pStyle w:val="106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980" w:type="dxa"/>
            <w:vAlign w:val="center"/>
            <w:textDirection w:val="lrTb"/>
            <w:noWrap w:val="false"/>
          </w:tcPr>
          <w:p>
            <w:pPr>
              <w:pStyle w:val="106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115" w:type="dxa"/>
            <w:vAlign w:val="center"/>
            <w:textDirection w:val="lrTb"/>
            <w:noWrap w:val="false"/>
          </w:tcPr>
          <w:p>
            <w:pPr>
              <w:pStyle w:val="106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194" w:type="dxa"/>
            <w:vAlign w:val="center"/>
            <w:textDirection w:val="lrTb"/>
            <w:noWrap w:val="false"/>
          </w:tcPr>
          <w:p>
            <w:pPr>
              <w:pStyle w:val="106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291" w:type="dxa"/>
            <w:vAlign w:val="center"/>
            <w:textDirection w:val="lrTb"/>
            <w:noWrap w:val="false"/>
          </w:tcPr>
          <w:p>
            <w:pPr>
              <w:pStyle w:val="1060"/>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495"/>
        </w:trPr>
        <w:tc>
          <w:tcPr>
            <w:tcW w:w="738" w:type="dxa"/>
            <w:vAlign w:val="center"/>
            <w:textDirection w:val="lrTb"/>
            <w:noWrap w:val="false"/>
          </w:tcPr>
          <w:p>
            <w:pPr>
              <w:pStyle w:val="1060"/>
              <w:jc w:val="center"/>
              <w:rPr>
                <w:rFonts w:hint="eastAsia" w:ascii="宋体" w:hAnsi="宋体" w:cs="宋体"/>
                <w:color w:val="000000"/>
                <w:sz w:val="24"/>
                <w:highlight w:val="none"/>
              </w:rPr>
            </w:pPr>
            <w:r>
              <w:rPr>
                <w:rFonts w:hint="eastAsia" w:ascii="宋体" w:hAnsi="宋体" w:cs="宋体"/>
                <w:color w:val="000000"/>
                <w:sz w:val="24"/>
                <w:highlight w:val="none"/>
              </w:rPr>
              <w:t xml:space="preserve">6</w:t>
            </w:r>
            <w:r>
              <w:rPr>
                <w:rFonts w:hint="eastAsia" w:ascii="宋体" w:hAnsi="宋体" w:cs="宋体"/>
                <w:color w:val="000000"/>
                <w:sz w:val="24"/>
                <w:highlight w:val="none"/>
              </w:rPr>
            </w:r>
            <w:r/>
          </w:p>
        </w:tc>
        <w:tc>
          <w:tcPr>
            <w:tcW w:w="1392" w:type="dxa"/>
            <w:vAlign w:val="center"/>
            <w:textDirection w:val="lrTb"/>
            <w:noWrap w:val="false"/>
          </w:tcPr>
          <w:p>
            <w:pPr>
              <w:pStyle w:val="106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080" w:type="dxa"/>
            <w:vAlign w:val="center"/>
            <w:textDirection w:val="lrTb"/>
            <w:noWrap w:val="false"/>
          </w:tcPr>
          <w:p>
            <w:pPr>
              <w:pStyle w:val="106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980" w:type="dxa"/>
            <w:vAlign w:val="center"/>
            <w:textDirection w:val="lrTb"/>
            <w:noWrap w:val="false"/>
          </w:tcPr>
          <w:p>
            <w:pPr>
              <w:pStyle w:val="106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115" w:type="dxa"/>
            <w:vAlign w:val="center"/>
            <w:textDirection w:val="lrTb"/>
            <w:noWrap w:val="false"/>
          </w:tcPr>
          <w:p>
            <w:pPr>
              <w:pStyle w:val="106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194" w:type="dxa"/>
            <w:vAlign w:val="center"/>
            <w:textDirection w:val="lrTb"/>
            <w:noWrap w:val="false"/>
          </w:tcPr>
          <w:p>
            <w:pPr>
              <w:pStyle w:val="106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291" w:type="dxa"/>
            <w:vAlign w:val="center"/>
            <w:textDirection w:val="lrTb"/>
            <w:noWrap w:val="false"/>
          </w:tcPr>
          <w:p>
            <w:pPr>
              <w:pStyle w:val="1060"/>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495"/>
        </w:trPr>
        <w:tc>
          <w:tcPr>
            <w:tcW w:w="738" w:type="dxa"/>
            <w:vAlign w:val="center"/>
            <w:textDirection w:val="lrTb"/>
            <w:noWrap w:val="false"/>
          </w:tcPr>
          <w:p>
            <w:pPr>
              <w:pStyle w:val="1060"/>
              <w:jc w:val="center"/>
              <w:rPr>
                <w:rFonts w:hint="eastAsia" w:ascii="宋体" w:hAnsi="宋体" w:cs="宋体"/>
                <w:color w:val="000000"/>
                <w:sz w:val="24"/>
                <w:highlight w:val="none"/>
              </w:rPr>
            </w:pPr>
            <w:r>
              <w:rPr>
                <w:rFonts w:hint="eastAsia" w:ascii="宋体" w:hAnsi="宋体" w:cs="宋体"/>
                <w:color w:val="000000"/>
                <w:sz w:val="24"/>
                <w:highlight w:val="none"/>
              </w:rPr>
              <w:t xml:space="preserve">7</w:t>
            </w:r>
            <w:r>
              <w:rPr>
                <w:rFonts w:hint="eastAsia" w:ascii="宋体" w:hAnsi="宋体" w:cs="宋体"/>
                <w:color w:val="000000"/>
                <w:sz w:val="24"/>
                <w:highlight w:val="none"/>
              </w:rPr>
            </w:r>
            <w:r/>
          </w:p>
        </w:tc>
        <w:tc>
          <w:tcPr>
            <w:tcW w:w="1392" w:type="dxa"/>
            <w:vAlign w:val="center"/>
            <w:textDirection w:val="lrTb"/>
            <w:noWrap w:val="false"/>
          </w:tcPr>
          <w:p>
            <w:pPr>
              <w:pStyle w:val="106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080" w:type="dxa"/>
            <w:vAlign w:val="center"/>
            <w:textDirection w:val="lrTb"/>
            <w:noWrap w:val="false"/>
          </w:tcPr>
          <w:p>
            <w:pPr>
              <w:pStyle w:val="106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980" w:type="dxa"/>
            <w:vAlign w:val="center"/>
            <w:textDirection w:val="lrTb"/>
            <w:noWrap w:val="false"/>
          </w:tcPr>
          <w:p>
            <w:pPr>
              <w:pStyle w:val="106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115" w:type="dxa"/>
            <w:vAlign w:val="center"/>
            <w:textDirection w:val="lrTb"/>
            <w:noWrap w:val="false"/>
          </w:tcPr>
          <w:p>
            <w:pPr>
              <w:pStyle w:val="106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194" w:type="dxa"/>
            <w:vAlign w:val="center"/>
            <w:textDirection w:val="lrTb"/>
            <w:noWrap w:val="false"/>
          </w:tcPr>
          <w:p>
            <w:pPr>
              <w:pStyle w:val="106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291" w:type="dxa"/>
            <w:vAlign w:val="center"/>
            <w:textDirection w:val="lrTb"/>
            <w:noWrap w:val="false"/>
          </w:tcPr>
          <w:p>
            <w:pPr>
              <w:pStyle w:val="1060"/>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495"/>
        </w:trPr>
        <w:tc>
          <w:tcPr>
            <w:tcW w:w="738" w:type="dxa"/>
            <w:vAlign w:val="center"/>
            <w:textDirection w:val="lrTb"/>
            <w:noWrap w:val="false"/>
          </w:tcPr>
          <w:p>
            <w:pPr>
              <w:pStyle w:val="1060"/>
              <w:jc w:val="center"/>
              <w:rPr>
                <w:rFonts w:hint="eastAsia" w:ascii="宋体" w:hAnsi="宋体" w:cs="宋体"/>
                <w:color w:val="000000"/>
                <w:sz w:val="24"/>
                <w:highlight w:val="none"/>
              </w:rPr>
            </w:pPr>
            <w:r>
              <w:rPr>
                <w:rFonts w:hint="eastAsia" w:ascii="宋体" w:hAnsi="宋体" w:cs="宋体"/>
                <w:color w:val="000000"/>
                <w:sz w:val="24"/>
                <w:highlight w:val="none"/>
              </w:rPr>
              <w:t xml:space="preserve">8</w:t>
            </w:r>
            <w:r>
              <w:rPr>
                <w:rFonts w:hint="eastAsia" w:ascii="宋体" w:hAnsi="宋体" w:cs="宋体"/>
                <w:color w:val="000000"/>
                <w:sz w:val="24"/>
                <w:highlight w:val="none"/>
              </w:rPr>
            </w:r>
            <w:r/>
          </w:p>
        </w:tc>
        <w:tc>
          <w:tcPr>
            <w:tcW w:w="1392" w:type="dxa"/>
            <w:vAlign w:val="center"/>
            <w:textDirection w:val="lrTb"/>
            <w:noWrap w:val="false"/>
          </w:tcPr>
          <w:p>
            <w:pPr>
              <w:pStyle w:val="106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080" w:type="dxa"/>
            <w:vAlign w:val="center"/>
            <w:textDirection w:val="lrTb"/>
            <w:noWrap w:val="false"/>
          </w:tcPr>
          <w:p>
            <w:pPr>
              <w:pStyle w:val="106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980" w:type="dxa"/>
            <w:vAlign w:val="center"/>
            <w:textDirection w:val="lrTb"/>
            <w:noWrap w:val="false"/>
          </w:tcPr>
          <w:p>
            <w:pPr>
              <w:pStyle w:val="106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115" w:type="dxa"/>
            <w:vAlign w:val="center"/>
            <w:textDirection w:val="lrTb"/>
            <w:noWrap w:val="false"/>
          </w:tcPr>
          <w:p>
            <w:pPr>
              <w:pStyle w:val="106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194" w:type="dxa"/>
            <w:vAlign w:val="center"/>
            <w:textDirection w:val="lrTb"/>
            <w:noWrap w:val="false"/>
          </w:tcPr>
          <w:p>
            <w:pPr>
              <w:pStyle w:val="106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291" w:type="dxa"/>
            <w:vAlign w:val="center"/>
            <w:textDirection w:val="lrTb"/>
            <w:noWrap w:val="false"/>
          </w:tcPr>
          <w:p>
            <w:pPr>
              <w:pStyle w:val="1060"/>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495"/>
        </w:trPr>
        <w:tc>
          <w:tcPr>
            <w:tcW w:w="738" w:type="dxa"/>
            <w:vAlign w:val="center"/>
            <w:textDirection w:val="lrTb"/>
            <w:noWrap w:val="false"/>
          </w:tcPr>
          <w:p>
            <w:pPr>
              <w:pStyle w:val="1060"/>
              <w:jc w:val="center"/>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c>
          <w:tcPr>
            <w:tcW w:w="1392" w:type="dxa"/>
            <w:vAlign w:val="center"/>
            <w:textDirection w:val="lrTb"/>
            <w:noWrap w:val="false"/>
          </w:tcPr>
          <w:p>
            <w:pPr>
              <w:pStyle w:val="106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080" w:type="dxa"/>
            <w:vAlign w:val="center"/>
            <w:textDirection w:val="lrTb"/>
            <w:noWrap w:val="false"/>
          </w:tcPr>
          <w:p>
            <w:pPr>
              <w:pStyle w:val="106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980" w:type="dxa"/>
            <w:vAlign w:val="center"/>
            <w:textDirection w:val="lrTb"/>
            <w:noWrap w:val="false"/>
          </w:tcPr>
          <w:p>
            <w:pPr>
              <w:pStyle w:val="106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115" w:type="dxa"/>
            <w:vAlign w:val="center"/>
            <w:textDirection w:val="lrTb"/>
            <w:noWrap w:val="false"/>
          </w:tcPr>
          <w:p>
            <w:pPr>
              <w:pStyle w:val="106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194" w:type="dxa"/>
            <w:vAlign w:val="center"/>
            <w:textDirection w:val="lrTb"/>
            <w:noWrap w:val="false"/>
          </w:tcPr>
          <w:p>
            <w:pPr>
              <w:pStyle w:val="106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291" w:type="dxa"/>
            <w:vAlign w:val="center"/>
            <w:textDirection w:val="lrTb"/>
            <w:noWrap w:val="false"/>
          </w:tcPr>
          <w:p>
            <w:pPr>
              <w:pStyle w:val="1060"/>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495"/>
        </w:trPr>
        <w:tc>
          <w:tcPr>
            <w:tcW w:w="738" w:type="dxa"/>
            <w:vAlign w:val="center"/>
            <w:textDirection w:val="lrTb"/>
            <w:noWrap w:val="false"/>
          </w:tcPr>
          <w:p>
            <w:pPr>
              <w:pStyle w:val="106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392" w:type="dxa"/>
            <w:vAlign w:val="center"/>
            <w:textDirection w:val="lrTb"/>
            <w:noWrap w:val="false"/>
          </w:tcPr>
          <w:p>
            <w:pPr>
              <w:pStyle w:val="106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080" w:type="dxa"/>
            <w:vAlign w:val="center"/>
            <w:textDirection w:val="lrTb"/>
            <w:noWrap w:val="false"/>
          </w:tcPr>
          <w:p>
            <w:pPr>
              <w:pStyle w:val="106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980" w:type="dxa"/>
            <w:vAlign w:val="center"/>
            <w:textDirection w:val="lrTb"/>
            <w:noWrap w:val="false"/>
          </w:tcPr>
          <w:p>
            <w:pPr>
              <w:pStyle w:val="106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115" w:type="dxa"/>
            <w:vAlign w:val="center"/>
            <w:textDirection w:val="lrTb"/>
            <w:noWrap w:val="false"/>
          </w:tcPr>
          <w:p>
            <w:pPr>
              <w:pStyle w:val="106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194" w:type="dxa"/>
            <w:vAlign w:val="center"/>
            <w:textDirection w:val="lrTb"/>
            <w:noWrap w:val="false"/>
          </w:tcPr>
          <w:p>
            <w:pPr>
              <w:pStyle w:val="106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291" w:type="dxa"/>
            <w:vAlign w:val="center"/>
            <w:textDirection w:val="lrTb"/>
            <w:noWrap w:val="false"/>
          </w:tcPr>
          <w:p>
            <w:pPr>
              <w:pStyle w:val="1060"/>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495"/>
        </w:trPr>
        <w:tc>
          <w:tcPr>
            <w:tcW w:w="738" w:type="dxa"/>
            <w:vAlign w:val="center"/>
            <w:textDirection w:val="lrTb"/>
            <w:noWrap w:val="false"/>
          </w:tcPr>
          <w:p>
            <w:pPr>
              <w:pStyle w:val="106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392" w:type="dxa"/>
            <w:vAlign w:val="center"/>
            <w:textDirection w:val="lrTb"/>
            <w:noWrap w:val="false"/>
          </w:tcPr>
          <w:p>
            <w:pPr>
              <w:pStyle w:val="106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080" w:type="dxa"/>
            <w:vAlign w:val="center"/>
            <w:textDirection w:val="lrTb"/>
            <w:noWrap w:val="false"/>
          </w:tcPr>
          <w:p>
            <w:pPr>
              <w:pStyle w:val="106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980" w:type="dxa"/>
            <w:vAlign w:val="center"/>
            <w:textDirection w:val="lrTb"/>
            <w:noWrap w:val="false"/>
          </w:tcPr>
          <w:p>
            <w:pPr>
              <w:pStyle w:val="106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115" w:type="dxa"/>
            <w:vAlign w:val="center"/>
            <w:textDirection w:val="lrTb"/>
            <w:noWrap w:val="false"/>
          </w:tcPr>
          <w:p>
            <w:pPr>
              <w:pStyle w:val="106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194" w:type="dxa"/>
            <w:vAlign w:val="center"/>
            <w:textDirection w:val="lrTb"/>
            <w:noWrap w:val="false"/>
          </w:tcPr>
          <w:p>
            <w:pPr>
              <w:pStyle w:val="106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291" w:type="dxa"/>
            <w:vAlign w:val="center"/>
            <w:textDirection w:val="lrTb"/>
            <w:noWrap w:val="false"/>
          </w:tcPr>
          <w:p>
            <w:pPr>
              <w:pStyle w:val="1060"/>
              <w:jc w:val="center"/>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1060"/>
        <w:ind w:firstLine="482"/>
        <w:spacing w:line="40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注：请按以上格式自制表格填写后响应。</w:t>
      </w:r>
      <w:r>
        <w:rPr>
          <w:rFonts w:hint="eastAsia" w:ascii="宋体" w:hAnsi="宋体" w:cs="宋体"/>
          <w:b/>
          <w:bCs/>
          <w:color w:val="000000"/>
          <w:sz w:val="24"/>
          <w:highlight w:val="none"/>
        </w:rPr>
      </w:r>
      <w:r/>
    </w:p>
    <w:p>
      <w:pPr>
        <w:pStyle w:val="1060"/>
        <w:rPr>
          <w:rFonts w:hint="eastAsia" w:ascii="宋体" w:hAnsi="宋体" w:cs="宋体"/>
          <w:color w:val="000000"/>
          <w:sz w:val="24"/>
          <w:highlight w:val="none"/>
        </w:rPr>
      </w:pPr>
      <w:r>
        <w:rPr>
          <w:rFonts w:hint="eastAsia" w:ascii="宋体" w:hAnsi="宋体" w:cs="宋体"/>
          <w:color w:val="000000"/>
          <w:sz w:val="24"/>
          <w:highlight w:val="none"/>
        </w:rPr>
      </w:r>
      <w:r/>
    </w:p>
    <w:p>
      <w:pPr>
        <w:pStyle w:val="1060"/>
        <w:ind w:firstLine="24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响应单位：（公章）</w:t>
      </w:r>
      <w:r>
        <w:rPr>
          <w:rFonts w:hint="eastAsia" w:ascii="宋体" w:hAnsi="宋体" w:cs="宋体"/>
          <w:color w:val="000000"/>
          <w:sz w:val="24"/>
          <w:highlight w:val="none"/>
        </w:rPr>
      </w:r>
      <w:r/>
    </w:p>
    <w:p>
      <w:pPr>
        <w:pStyle w:val="1060"/>
        <w:ind w:firstLine="24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法定代表人或委托代理人：（签字或盖章）</w:t>
      </w:r>
      <w:r>
        <w:rPr>
          <w:rFonts w:hint="eastAsia" w:ascii="宋体" w:hAnsi="宋体" w:cs="宋体"/>
          <w:color w:val="000000"/>
          <w:sz w:val="24"/>
          <w:highlight w:val="none"/>
        </w:rPr>
      </w:r>
      <w:r/>
    </w:p>
    <w:p>
      <w:pPr>
        <w:pStyle w:val="1060"/>
        <w:ind w:firstLine="24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日期：       年     月     日</w:t>
      </w:r>
      <w:r>
        <w:rPr>
          <w:rFonts w:hint="eastAsia" w:ascii="宋体" w:hAnsi="宋体" w:cs="宋体"/>
          <w:color w:val="000000"/>
          <w:sz w:val="24"/>
          <w:highlight w:val="none"/>
        </w:rPr>
      </w:r>
      <w:r/>
    </w:p>
    <w:p>
      <w:pPr>
        <w:pStyle w:val="1263"/>
        <w:ind w:firstLine="482"/>
        <w:rPr>
          <w:rFonts w:hint="eastAsia" w:ascii="宋体" w:hAnsi="宋体" w:cs="宋体"/>
          <w:color w:val="000000"/>
          <w:highlight w:val="none"/>
        </w:rPr>
      </w:pPr>
      <w:r>
        <w:rPr>
          <w:rFonts w:hint="eastAsia" w:ascii="宋体" w:hAnsi="宋体" w:cs="宋体"/>
          <w:b/>
          <w:color w:val="000000"/>
          <w:sz w:val="24"/>
          <w:highlight w:val="none"/>
        </w:rPr>
        <w:br w:type="page" w:clear="all"/>
      </w:r>
      <w:r>
        <w:rPr>
          <w:rFonts w:hint="eastAsia" w:ascii="宋体" w:hAnsi="宋体" w:cs="宋体"/>
          <w:color w:val="000000"/>
          <w:highlight w:val="none"/>
        </w:rPr>
      </w:r>
      <w:r/>
    </w:p>
    <w:p>
      <w:pPr>
        <w:pStyle w:val="1060"/>
        <w:ind w:firstLine="482"/>
        <w:spacing w:line="360" w:lineRule="auto"/>
        <w:rPr>
          <w:rFonts w:hint="eastAsia" w:ascii="宋体" w:hAnsi="宋体" w:cs="宋体"/>
          <w:b/>
          <w:bCs/>
          <w:color w:val="000000"/>
          <w:sz w:val="24"/>
          <w:highlight w:val="none"/>
        </w:rPr>
      </w:pPr>
      <w:r/>
      <w:bookmarkStart w:id="149" w:name="_Toc11997"/>
      <w:r/>
      <w:bookmarkStart w:id="150" w:name="_Toc267036350"/>
      <w:r/>
      <w:bookmarkStart w:id="151" w:name="_Toc263059045"/>
      <w:r/>
      <w:bookmarkStart w:id="152" w:name="_Toc29739"/>
      <w:r/>
      <w:bookmarkStart w:id="153" w:name="_Toc12698"/>
      <w:r/>
      <w:bookmarkStart w:id="154" w:name="_Toc262737496"/>
      <w:r/>
      <w:bookmarkStart w:id="155" w:name="_Toc267406380"/>
      <w:r/>
      <w:bookmarkStart w:id="156" w:name="_Toc262749226"/>
      <w:r/>
      <w:bookmarkStart w:id="157" w:name="_Toc265829549"/>
      <w:r/>
      <w:bookmarkStart w:id="158" w:name="_Toc29129"/>
      <w:r>
        <w:rPr>
          <w:rFonts w:hint="eastAsia" w:ascii="宋体" w:hAnsi="宋体" w:cs="宋体"/>
          <w:b/>
          <w:color w:val="000000"/>
          <w:sz w:val="24"/>
          <w:highlight w:val="none"/>
        </w:rPr>
        <w:t xml:space="preserve"> </w:t>
      </w:r>
      <w:r>
        <w:rPr>
          <w:rFonts w:hint="eastAsia" w:ascii="宋体" w:hAnsi="宋体" w:cs="宋体"/>
          <w:b/>
          <w:bCs/>
          <w:color w:val="000000"/>
          <w:sz w:val="24"/>
          <w:highlight w:val="none"/>
        </w:rPr>
        <w:t xml:space="preserve">附件6、技术部分（格式为参考，响应单位可参照下述格式自制表格投标，但至少应包括下述格式中的内容，没有参考格式的则可根据情况自行编制）</w:t>
      </w:r>
      <w:r>
        <w:rPr>
          <w:rFonts w:hint="eastAsia" w:ascii="宋体" w:hAnsi="宋体" w:cs="宋体"/>
          <w:b/>
          <w:bCs/>
          <w:color w:val="000000"/>
          <w:sz w:val="24"/>
          <w:highlight w:val="none"/>
        </w:rPr>
      </w:r>
      <w:r/>
    </w:p>
    <w:p>
      <w:pPr>
        <w:pStyle w:val="1102"/>
        <w:ind w:firstLine="482"/>
        <w:spacing w:line="360" w:lineRule="auto"/>
        <w:rPr>
          <w:rFonts w:hint="eastAsia" w:hAnsi="宋体" w:eastAsia="宋体" w:cs="宋体"/>
          <w:b/>
          <w:bCs/>
          <w:color w:val="000000"/>
          <w:sz w:val="24"/>
          <w:highlight w:val="none"/>
        </w:rPr>
      </w:pPr>
      <w:r>
        <w:rPr>
          <w:rFonts w:hint="eastAsia" w:hAnsi="宋体" w:eastAsia="宋体" w:cs="宋体"/>
          <w:b/>
          <w:bCs/>
          <w:color w:val="000000"/>
          <w:sz w:val="24"/>
          <w:highlight w:val="none"/>
        </w:rPr>
        <w:t xml:space="preserve">1</w:t>
      </w:r>
      <w:r>
        <w:rPr>
          <w:rFonts w:hint="eastAsia" w:hAnsi="宋体" w:eastAsia="宋体" w:cs="宋体"/>
          <w:b/>
          <w:bCs/>
          <w:color w:val="000000"/>
          <w:sz w:val="24"/>
          <w:highlight w:val="none"/>
          <w:lang w:eastAsia="zh-CN"/>
        </w:rPr>
        <w:t xml:space="preserve">、</w:t>
      </w:r>
      <w:r>
        <w:rPr>
          <w:rFonts w:hint="eastAsia" w:hAnsi="宋体" w:eastAsia="宋体" w:cs="宋体"/>
          <w:b/>
          <w:bCs/>
          <w:color w:val="000000"/>
          <w:sz w:val="24"/>
          <w:highlight w:val="none"/>
        </w:rPr>
        <w:t xml:space="preserve">服务</w:t>
      </w:r>
      <w:r>
        <w:rPr>
          <w:rFonts w:hint="eastAsia" w:hAnsi="宋体" w:eastAsia="宋体" w:cs="宋体"/>
          <w:b/>
          <w:bCs/>
          <w:color w:val="000000"/>
          <w:sz w:val="24"/>
          <w:highlight w:val="none"/>
          <w:lang w:eastAsia="zh-CN"/>
        </w:rPr>
        <w:t xml:space="preserve">要求</w:t>
      </w:r>
      <w:r>
        <w:rPr>
          <w:rFonts w:hint="eastAsia" w:hAnsi="宋体" w:eastAsia="宋体" w:cs="宋体"/>
          <w:b/>
          <w:bCs/>
          <w:color w:val="000000"/>
          <w:sz w:val="24"/>
          <w:highlight w:val="none"/>
        </w:rPr>
        <w:t xml:space="preserve">偏离表</w:t>
      </w:r>
      <w:r>
        <w:rPr>
          <w:rFonts w:hint="eastAsia" w:hAnsi="宋体" w:eastAsia="宋体" w:cs="宋体"/>
          <w:b/>
          <w:bCs/>
          <w:color w:val="000000"/>
          <w:sz w:val="24"/>
          <w:highlight w:val="none"/>
        </w:rPr>
      </w:r>
      <w:r/>
    </w:p>
    <w:p>
      <w:pPr>
        <w:pStyle w:val="1060"/>
        <w:jc w:val="cente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060"/>
        <w:jc w:val="cente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服务要求偏离表</w:t>
      </w:r>
      <w:r>
        <w:rPr>
          <w:rFonts w:hint="eastAsia" w:ascii="宋体" w:hAnsi="宋体" w:cs="宋体"/>
          <w:b/>
          <w:bCs/>
          <w:color w:val="000000"/>
          <w:sz w:val="24"/>
          <w:highlight w:val="none"/>
        </w:rPr>
      </w:r>
      <w:r/>
    </w:p>
    <w:p>
      <w:pPr>
        <w:pStyle w:val="106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单位名称（盖章）：                              </w:t>
      </w:r>
      <w:r>
        <w:rPr>
          <w:rFonts w:hint="eastAsia" w:ascii="宋体" w:hAnsi="宋体" w:cs="宋体"/>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800"/>
        <w:gridCol w:w="1620"/>
        <w:gridCol w:w="1440"/>
        <w:gridCol w:w="1699"/>
        <w:gridCol w:w="1757"/>
      </w:tblGrid>
      <w:tr>
        <w:trPr/>
        <w:tc>
          <w:tcPr>
            <w:tcW w:w="828" w:type="dxa"/>
            <w:vAlign w:val="center"/>
            <w:textDirection w:val="lrTb"/>
            <w:noWrap w:val="false"/>
          </w:tcPr>
          <w:p>
            <w:pPr>
              <w:pStyle w:val="106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序号</w:t>
            </w:r>
            <w:r>
              <w:rPr>
                <w:rFonts w:hint="eastAsia" w:ascii="宋体" w:hAnsi="宋体" w:cs="宋体"/>
                <w:color w:val="000000"/>
                <w:sz w:val="24"/>
                <w:highlight w:val="none"/>
              </w:rPr>
            </w:r>
            <w:r/>
          </w:p>
        </w:tc>
        <w:tc>
          <w:tcPr>
            <w:tcW w:w="1800" w:type="dxa"/>
            <w:vAlign w:val="center"/>
            <w:textDirection w:val="lrTb"/>
            <w:noWrap w:val="false"/>
          </w:tcPr>
          <w:p>
            <w:pPr>
              <w:pStyle w:val="106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服务内容</w:t>
            </w:r>
            <w:r>
              <w:rPr>
                <w:rFonts w:hint="eastAsia" w:ascii="宋体" w:hAnsi="宋体" w:cs="宋体"/>
                <w:color w:val="000000"/>
                <w:sz w:val="24"/>
                <w:highlight w:val="none"/>
              </w:rPr>
            </w:r>
            <w:r/>
          </w:p>
        </w:tc>
        <w:tc>
          <w:tcPr>
            <w:tcW w:w="1620" w:type="dxa"/>
            <w:vAlign w:val="center"/>
            <w:textDirection w:val="lrTb"/>
            <w:noWrap w:val="false"/>
          </w:tcPr>
          <w:p>
            <w:pPr>
              <w:pStyle w:val="106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采购要求</w:t>
            </w:r>
            <w:r>
              <w:rPr>
                <w:rFonts w:hint="eastAsia" w:ascii="宋体" w:hAnsi="宋体" w:cs="宋体"/>
                <w:color w:val="000000"/>
                <w:sz w:val="24"/>
                <w:highlight w:val="none"/>
              </w:rPr>
            </w:r>
            <w:r/>
          </w:p>
        </w:tc>
        <w:tc>
          <w:tcPr>
            <w:tcW w:w="1440" w:type="dxa"/>
            <w:vAlign w:val="center"/>
            <w:textDirection w:val="lrTb"/>
            <w:noWrap w:val="false"/>
          </w:tcPr>
          <w:p>
            <w:pPr>
              <w:pStyle w:val="106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投标要求</w:t>
            </w:r>
            <w:r>
              <w:rPr>
                <w:rFonts w:hint="eastAsia" w:ascii="宋体" w:hAnsi="宋体" w:cs="宋体"/>
                <w:color w:val="000000"/>
                <w:sz w:val="24"/>
                <w:highlight w:val="none"/>
              </w:rPr>
            </w:r>
            <w:r/>
          </w:p>
        </w:tc>
        <w:tc>
          <w:tcPr>
            <w:tcW w:w="1699" w:type="dxa"/>
            <w:vAlign w:val="center"/>
            <w:textDirection w:val="lrTb"/>
            <w:noWrap w:val="false"/>
          </w:tcPr>
          <w:p>
            <w:pPr>
              <w:pStyle w:val="106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偏离/响应</w:t>
            </w:r>
            <w:r>
              <w:rPr>
                <w:rFonts w:hint="eastAsia" w:ascii="宋体" w:hAnsi="宋体" w:cs="宋体"/>
                <w:color w:val="000000"/>
                <w:sz w:val="24"/>
                <w:highlight w:val="none"/>
              </w:rPr>
            </w:r>
            <w:r/>
          </w:p>
        </w:tc>
        <w:tc>
          <w:tcPr>
            <w:tcW w:w="1757" w:type="dxa"/>
            <w:vAlign w:val="center"/>
            <w:textDirection w:val="lrTb"/>
            <w:noWrap w:val="false"/>
          </w:tcPr>
          <w:p>
            <w:pPr>
              <w:pStyle w:val="106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说明</w:t>
            </w:r>
            <w:r>
              <w:rPr>
                <w:rFonts w:hint="eastAsia" w:ascii="宋体" w:hAnsi="宋体" w:cs="宋体"/>
                <w:color w:val="000000"/>
                <w:sz w:val="24"/>
                <w:highlight w:val="none"/>
              </w:rPr>
            </w:r>
            <w:r/>
          </w:p>
        </w:tc>
      </w:tr>
      <w:tr>
        <w:trPr/>
        <w:tc>
          <w:tcPr>
            <w:tcW w:w="828" w:type="dxa"/>
            <w:vAlign w:val="top"/>
            <w:textDirection w:val="lrTb"/>
            <w:noWrap w:val="false"/>
          </w:tcPr>
          <w:p>
            <w:pPr>
              <w:pStyle w:val="106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top"/>
            <w:textDirection w:val="lrTb"/>
            <w:noWrap w:val="false"/>
          </w:tcPr>
          <w:p>
            <w:pPr>
              <w:pStyle w:val="106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pStyle w:val="106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40" w:type="dxa"/>
            <w:vAlign w:val="top"/>
            <w:textDirection w:val="lrTb"/>
            <w:noWrap w:val="false"/>
          </w:tcPr>
          <w:p>
            <w:pPr>
              <w:pStyle w:val="106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9" w:type="dxa"/>
            <w:vAlign w:val="top"/>
            <w:textDirection w:val="lrTb"/>
            <w:noWrap w:val="false"/>
          </w:tcPr>
          <w:p>
            <w:pPr>
              <w:pStyle w:val="106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57" w:type="dxa"/>
            <w:vAlign w:val="top"/>
            <w:textDirection w:val="lrTb"/>
            <w:noWrap w:val="false"/>
          </w:tcPr>
          <w:p>
            <w:pPr>
              <w:pStyle w:val="106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28" w:type="dxa"/>
            <w:vAlign w:val="top"/>
            <w:textDirection w:val="lrTb"/>
            <w:noWrap w:val="false"/>
          </w:tcPr>
          <w:p>
            <w:pPr>
              <w:pStyle w:val="106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top"/>
            <w:textDirection w:val="lrTb"/>
            <w:noWrap w:val="false"/>
          </w:tcPr>
          <w:p>
            <w:pPr>
              <w:pStyle w:val="106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pStyle w:val="106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40" w:type="dxa"/>
            <w:vAlign w:val="top"/>
            <w:textDirection w:val="lrTb"/>
            <w:noWrap w:val="false"/>
          </w:tcPr>
          <w:p>
            <w:pPr>
              <w:pStyle w:val="106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9" w:type="dxa"/>
            <w:vAlign w:val="top"/>
            <w:textDirection w:val="lrTb"/>
            <w:noWrap w:val="false"/>
          </w:tcPr>
          <w:p>
            <w:pPr>
              <w:pStyle w:val="106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57" w:type="dxa"/>
            <w:vAlign w:val="top"/>
            <w:textDirection w:val="lrTb"/>
            <w:noWrap w:val="false"/>
          </w:tcPr>
          <w:p>
            <w:pPr>
              <w:pStyle w:val="106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28" w:type="dxa"/>
            <w:vAlign w:val="top"/>
            <w:textDirection w:val="lrTb"/>
            <w:noWrap w:val="false"/>
          </w:tcPr>
          <w:p>
            <w:pPr>
              <w:pStyle w:val="106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top"/>
            <w:textDirection w:val="lrTb"/>
            <w:noWrap w:val="false"/>
          </w:tcPr>
          <w:p>
            <w:pPr>
              <w:pStyle w:val="106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pStyle w:val="106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40" w:type="dxa"/>
            <w:vAlign w:val="top"/>
            <w:textDirection w:val="lrTb"/>
            <w:noWrap w:val="false"/>
          </w:tcPr>
          <w:p>
            <w:pPr>
              <w:pStyle w:val="106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9" w:type="dxa"/>
            <w:vAlign w:val="top"/>
            <w:textDirection w:val="lrTb"/>
            <w:noWrap w:val="false"/>
          </w:tcPr>
          <w:p>
            <w:pPr>
              <w:pStyle w:val="106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57" w:type="dxa"/>
            <w:vAlign w:val="top"/>
            <w:textDirection w:val="lrTb"/>
            <w:noWrap w:val="false"/>
          </w:tcPr>
          <w:p>
            <w:pPr>
              <w:pStyle w:val="106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28" w:type="dxa"/>
            <w:vAlign w:val="top"/>
            <w:textDirection w:val="lrTb"/>
            <w:noWrap w:val="false"/>
          </w:tcPr>
          <w:p>
            <w:pPr>
              <w:pStyle w:val="106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top"/>
            <w:textDirection w:val="lrTb"/>
            <w:noWrap w:val="false"/>
          </w:tcPr>
          <w:p>
            <w:pPr>
              <w:pStyle w:val="106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pStyle w:val="106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40" w:type="dxa"/>
            <w:vAlign w:val="top"/>
            <w:textDirection w:val="lrTb"/>
            <w:noWrap w:val="false"/>
          </w:tcPr>
          <w:p>
            <w:pPr>
              <w:pStyle w:val="106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9" w:type="dxa"/>
            <w:vAlign w:val="top"/>
            <w:textDirection w:val="lrTb"/>
            <w:noWrap w:val="false"/>
          </w:tcPr>
          <w:p>
            <w:pPr>
              <w:pStyle w:val="106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57" w:type="dxa"/>
            <w:vAlign w:val="top"/>
            <w:textDirection w:val="lrTb"/>
            <w:noWrap w:val="false"/>
          </w:tcPr>
          <w:p>
            <w:pPr>
              <w:pStyle w:val="106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28" w:type="dxa"/>
            <w:vAlign w:val="top"/>
            <w:textDirection w:val="lrTb"/>
            <w:noWrap w:val="false"/>
          </w:tcPr>
          <w:p>
            <w:pPr>
              <w:pStyle w:val="106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top"/>
            <w:textDirection w:val="lrTb"/>
            <w:noWrap w:val="false"/>
          </w:tcPr>
          <w:p>
            <w:pPr>
              <w:pStyle w:val="106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pStyle w:val="106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40" w:type="dxa"/>
            <w:vAlign w:val="top"/>
            <w:textDirection w:val="lrTb"/>
            <w:noWrap w:val="false"/>
          </w:tcPr>
          <w:p>
            <w:pPr>
              <w:pStyle w:val="106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9" w:type="dxa"/>
            <w:vAlign w:val="top"/>
            <w:textDirection w:val="lrTb"/>
            <w:noWrap w:val="false"/>
          </w:tcPr>
          <w:p>
            <w:pPr>
              <w:pStyle w:val="106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57" w:type="dxa"/>
            <w:vAlign w:val="top"/>
            <w:textDirection w:val="lrTb"/>
            <w:noWrap w:val="false"/>
          </w:tcPr>
          <w:p>
            <w:pPr>
              <w:pStyle w:val="106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28" w:type="dxa"/>
            <w:vAlign w:val="top"/>
            <w:textDirection w:val="lrTb"/>
            <w:noWrap w:val="false"/>
          </w:tcPr>
          <w:p>
            <w:pPr>
              <w:pStyle w:val="106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top"/>
            <w:textDirection w:val="lrTb"/>
            <w:noWrap w:val="false"/>
          </w:tcPr>
          <w:p>
            <w:pPr>
              <w:pStyle w:val="106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pStyle w:val="106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40" w:type="dxa"/>
            <w:vAlign w:val="top"/>
            <w:textDirection w:val="lrTb"/>
            <w:noWrap w:val="false"/>
          </w:tcPr>
          <w:p>
            <w:pPr>
              <w:pStyle w:val="106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9" w:type="dxa"/>
            <w:vAlign w:val="top"/>
            <w:textDirection w:val="lrTb"/>
            <w:noWrap w:val="false"/>
          </w:tcPr>
          <w:p>
            <w:pPr>
              <w:pStyle w:val="106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57" w:type="dxa"/>
            <w:vAlign w:val="top"/>
            <w:textDirection w:val="lrTb"/>
            <w:noWrap w:val="false"/>
          </w:tcPr>
          <w:p>
            <w:pPr>
              <w:pStyle w:val="106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28" w:type="dxa"/>
            <w:vAlign w:val="top"/>
            <w:textDirection w:val="lrTb"/>
            <w:noWrap w:val="false"/>
          </w:tcPr>
          <w:p>
            <w:pPr>
              <w:pStyle w:val="106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top"/>
            <w:textDirection w:val="lrTb"/>
            <w:noWrap w:val="false"/>
          </w:tcPr>
          <w:p>
            <w:pPr>
              <w:pStyle w:val="106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pStyle w:val="106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40" w:type="dxa"/>
            <w:vAlign w:val="top"/>
            <w:textDirection w:val="lrTb"/>
            <w:noWrap w:val="false"/>
          </w:tcPr>
          <w:p>
            <w:pPr>
              <w:pStyle w:val="106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9" w:type="dxa"/>
            <w:vAlign w:val="top"/>
            <w:textDirection w:val="lrTb"/>
            <w:noWrap w:val="false"/>
          </w:tcPr>
          <w:p>
            <w:pPr>
              <w:pStyle w:val="106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57" w:type="dxa"/>
            <w:vAlign w:val="top"/>
            <w:textDirection w:val="lrTb"/>
            <w:noWrap w:val="false"/>
          </w:tcPr>
          <w:p>
            <w:pPr>
              <w:pStyle w:val="106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28" w:type="dxa"/>
            <w:vAlign w:val="top"/>
            <w:textDirection w:val="lrTb"/>
            <w:noWrap w:val="false"/>
          </w:tcPr>
          <w:p>
            <w:pPr>
              <w:pStyle w:val="106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top"/>
            <w:textDirection w:val="lrTb"/>
            <w:noWrap w:val="false"/>
          </w:tcPr>
          <w:p>
            <w:pPr>
              <w:pStyle w:val="106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pStyle w:val="106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40" w:type="dxa"/>
            <w:vAlign w:val="top"/>
            <w:textDirection w:val="lrTb"/>
            <w:noWrap w:val="false"/>
          </w:tcPr>
          <w:p>
            <w:pPr>
              <w:pStyle w:val="106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9" w:type="dxa"/>
            <w:vAlign w:val="top"/>
            <w:textDirection w:val="lrTb"/>
            <w:noWrap w:val="false"/>
          </w:tcPr>
          <w:p>
            <w:pPr>
              <w:pStyle w:val="106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57" w:type="dxa"/>
            <w:vAlign w:val="top"/>
            <w:textDirection w:val="lrTb"/>
            <w:noWrap w:val="false"/>
          </w:tcPr>
          <w:p>
            <w:pPr>
              <w:pStyle w:val="106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28" w:type="dxa"/>
            <w:vAlign w:val="top"/>
            <w:textDirection w:val="lrTb"/>
            <w:noWrap w:val="false"/>
          </w:tcPr>
          <w:p>
            <w:pPr>
              <w:pStyle w:val="106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top"/>
            <w:textDirection w:val="lrTb"/>
            <w:noWrap w:val="false"/>
          </w:tcPr>
          <w:p>
            <w:pPr>
              <w:pStyle w:val="106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pStyle w:val="106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40" w:type="dxa"/>
            <w:vAlign w:val="top"/>
            <w:textDirection w:val="lrTb"/>
            <w:noWrap w:val="false"/>
          </w:tcPr>
          <w:p>
            <w:pPr>
              <w:pStyle w:val="106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9" w:type="dxa"/>
            <w:vAlign w:val="top"/>
            <w:textDirection w:val="lrTb"/>
            <w:noWrap w:val="false"/>
          </w:tcPr>
          <w:p>
            <w:pPr>
              <w:pStyle w:val="106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57" w:type="dxa"/>
            <w:vAlign w:val="top"/>
            <w:textDirection w:val="lrTb"/>
            <w:noWrap w:val="false"/>
          </w:tcPr>
          <w:p>
            <w:pPr>
              <w:pStyle w:val="106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28" w:type="dxa"/>
            <w:vAlign w:val="top"/>
            <w:textDirection w:val="lrTb"/>
            <w:noWrap w:val="false"/>
          </w:tcPr>
          <w:p>
            <w:pPr>
              <w:pStyle w:val="106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top"/>
            <w:textDirection w:val="lrTb"/>
            <w:noWrap w:val="false"/>
          </w:tcPr>
          <w:p>
            <w:pPr>
              <w:pStyle w:val="106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pStyle w:val="106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40" w:type="dxa"/>
            <w:vAlign w:val="top"/>
            <w:textDirection w:val="lrTb"/>
            <w:noWrap w:val="false"/>
          </w:tcPr>
          <w:p>
            <w:pPr>
              <w:pStyle w:val="106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9" w:type="dxa"/>
            <w:vAlign w:val="top"/>
            <w:textDirection w:val="lrTb"/>
            <w:noWrap w:val="false"/>
          </w:tcPr>
          <w:p>
            <w:pPr>
              <w:pStyle w:val="106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57" w:type="dxa"/>
            <w:vAlign w:val="top"/>
            <w:textDirection w:val="lrTb"/>
            <w:noWrap w:val="false"/>
          </w:tcPr>
          <w:p>
            <w:pPr>
              <w:pStyle w:val="106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106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注：1、响应单位应对照征集文件技术要求等要求，所投标的物（服务）与征集文件的规定有偏离的，应在此表中申明与技术要求条文的偏差和例外。</w:t>
      </w:r>
      <w:r>
        <w:rPr>
          <w:rFonts w:hint="eastAsia" w:ascii="宋体" w:hAnsi="宋体" w:cs="宋体"/>
          <w:color w:val="000000"/>
          <w:sz w:val="24"/>
          <w:highlight w:val="none"/>
        </w:rPr>
      </w:r>
      <w:r/>
    </w:p>
    <w:p>
      <w:pPr>
        <w:pStyle w:val="106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未在上表中说明的，如在响应文件其他内容中已有文字说明的，则以已有文字说明为准，否则，将被认为完全响应征集文件的规定。但该表不作为响应单位对所投标的物（服务）关于技术要求等详细描述和说明的替代。</w:t>
      </w:r>
      <w:r>
        <w:rPr>
          <w:rFonts w:hint="eastAsia" w:ascii="宋体" w:hAnsi="宋体" w:cs="宋体"/>
          <w:color w:val="000000"/>
          <w:sz w:val="24"/>
          <w:highlight w:val="none"/>
        </w:rPr>
      </w:r>
      <w:r/>
    </w:p>
    <w:p>
      <w:pPr>
        <w:pStyle w:val="106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60"/>
        <w:ind w:firstLine="24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响应单位：（公章）</w:t>
      </w:r>
      <w:r>
        <w:rPr>
          <w:rFonts w:hint="eastAsia" w:ascii="宋体" w:hAnsi="宋体" w:cs="宋体"/>
          <w:color w:val="000000"/>
          <w:sz w:val="24"/>
          <w:highlight w:val="none"/>
        </w:rPr>
      </w:r>
      <w:r/>
    </w:p>
    <w:p>
      <w:pPr>
        <w:pStyle w:val="1060"/>
        <w:ind w:firstLine="24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法定代表人或委托代理人：（签字或盖章）</w:t>
      </w:r>
      <w:r>
        <w:rPr>
          <w:rFonts w:hint="eastAsia" w:ascii="宋体" w:hAnsi="宋体" w:cs="宋体"/>
          <w:color w:val="000000"/>
          <w:sz w:val="24"/>
          <w:highlight w:val="none"/>
        </w:rPr>
      </w:r>
      <w:r/>
    </w:p>
    <w:p>
      <w:pPr>
        <w:pStyle w:val="1060"/>
        <w:ind w:firstLine="24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日期：       年     月     日</w:t>
      </w:r>
      <w:r>
        <w:rPr>
          <w:rFonts w:hint="eastAsia" w:ascii="宋体" w:hAnsi="宋体" w:cs="宋体"/>
          <w:color w:val="000000"/>
          <w:sz w:val="24"/>
          <w:highlight w:val="none"/>
        </w:rPr>
      </w:r>
      <w:r/>
    </w:p>
    <w:p>
      <w:pPr>
        <w:pStyle w:val="1060"/>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br w:type="page" w:clear="all"/>
      </w:r>
      <w:r>
        <w:rPr>
          <w:rFonts w:hint="eastAsia" w:ascii="宋体" w:hAnsi="宋体" w:cs="宋体"/>
          <w:b/>
          <w:bCs/>
          <w:color w:val="000000"/>
          <w:sz w:val="24"/>
          <w:highlight w:val="none"/>
        </w:rPr>
        <w:t xml:space="preserve">  2、商务条款偏离表</w:t>
      </w:r>
      <w:r>
        <w:rPr>
          <w:rFonts w:hint="eastAsia" w:ascii="宋体" w:hAnsi="宋体" w:cs="宋体"/>
          <w:b/>
          <w:bCs/>
          <w:color w:val="000000"/>
          <w:sz w:val="24"/>
          <w:highlight w:val="none"/>
        </w:rPr>
      </w:r>
      <w:r/>
    </w:p>
    <w:p>
      <w:pPr>
        <w:pStyle w:val="1075"/>
        <w:ind w:firstLine="0"/>
        <w:spacing w:line="360" w:lineRule="auto"/>
        <w:rPr>
          <w:rFonts w:hint="eastAsia" w:ascii="宋体" w:hAnsi="宋体" w:eastAsia="宋体" w:cs="宋体"/>
          <w:b/>
          <w:bCs/>
          <w:color w:val="000000"/>
          <w:szCs w:val="24"/>
          <w:highlight w:val="none"/>
        </w:rPr>
      </w:pPr>
      <w:r>
        <w:rPr>
          <w:rFonts w:hint="eastAsia" w:ascii="宋体" w:hAnsi="宋体" w:eastAsia="宋体" w:cs="宋体"/>
          <w:b/>
          <w:bCs/>
          <w:color w:val="000000"/>
          <w:szCs w:val="24"/>
          <w:highlight w:val="none"/>
        </w:rPr>
      </w:r>
      <w:r/>
    </w:p>
    <w:p>
      <w:pPr>
        <w:pStyle w:val="1060"/>
        <w:jc w:val="cente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商务条款偏离表</w:t>
      </w:r>
      <w:r>
        <w:rPr>
          <w:rFonts w:hint="eastAsia" w:ascii="宋体" w:hAnsi="宋体" w:cs="宋体"/>
          <w:b/>
          <w:bCs/>
          <w:color w:val="000000"/>
          <w:sz w:val="24"/>
          <w:highlight w:val="none"/>
        </w:rPr>
      </w:r>
      <w:r/>
    </w:p>
    <w:p>
      <w:pPr>
        <w:pStyle w:val="1075"/>
        <w:ind w:firstLine="0"/>
        <w:spacing w:line="360" w:lineRule="auto"/>
        <w:rPr>
          <w:rFonts w:hint="eastAsia" w:ascii="宋体" w:hAnsi="宋体" w:eastAsia="宋体" w:cs="宋体"/>
          <w:b/>
          <w:bCs/>
          <w:color w:val="000000"/>
          <w:szCs w:val="24"/>
          <w:highlight w:val="none"/>
        </w:rPr>
      </w:pPr>
      <w:r>
        <w:rPr>
          <w:rFonts w:hint="eastAsia" w:ascii="宋体" w:hAnsi="宋体" w:eastAsia="宋体" w:cs="宋体"/>
          <w:b/>
          <w:bCs/>
          <w:color w:val="000000"/>
          <w:szCs w:val="24"/>
          <w:highlight w:val="none"/>
        </w:rPr>
      </w:r>
      <w:r/>
    </w:p>
    <w:p>
      <w:pPr>
        <w:pStyle w:val="106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单位名称（盖章）：                              </w:t>
      </w:r>
      <w:r>
        <w:rPr>
          <w:rFonts w:hint="eastAsia" w:ascii="宋体" w:hAnsi="宋体" w:cs="宋体"/>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920"/>
        <w:gridCol w:w="2400"/>
        <w:gridCol w:w="2400"/>
        <w:gridCol w:w="1716"/>
      </w:tblGrid>
      <w:tr>
        <w:trPr/>
        <w:tc>
          <w:tcPr>
            <w:tcW w:w="708" w:type="dxa"/>
            <w:vAlign w:val="center"/>
            <w:textDirection w:val="lrTb"/>
            <w:noWrap w:val="false"/>
          </w:tcPr>
          <w:p>
            <w:pPr>
              <w:pStyle w:val="106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序号</w:t>
            </w:r>
            <w:r>
              <w:rPr>
                <w:rFonts w:hint="eastAsia" w:ascii="宋体" w:hAnsi="宋体" w:cs="宋体"/>
                <w:color w:val="000000"/>
                <w:sz w:val="24"/>
                <w:highlight w:val="none"/>
              </w:rPr>
            </w:r>
            <w:r/>
          </w:p>
        </w:tc>
        <w:tc>
          <w:tcPr>
            <w:tcW w:w="1920" w:type="dxa"/>
            <w:vAlign w:val="center"/>
            <w:textDirection w:val="lrTb"/>
            <w:noWrap w:val="false"/>
          </w:tcPr>
          <w:p>
            <w:pPr>
              <w:pStyle w:val="106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名称</w:t>
            </w:r>
            <w:r>
              <w:rPr>
                <w:rFonts w:hint="eastAsia" w:ascii="宋体" w:hAnsi="宋体" w:cs="宋体"/>
                <w:color w:val="000000"/>
                <w:sz w:val="24"/>
                <w:highlight w:val="none"/>
              </w:rPr>
            </w:r>
            <w:r/>
          </w:p>
        </w:tc>
        <w:tc>
          <w:tcPr>
            <w:tcW w:w="2400" w:type="dxa"/>
            <w:vAlign w:val="center"/>
            <w:textDirection w:val="lrTb"/>
            <w:noWrap w:val="false"/>
          </w:tcPr>
          <w:p>
            <w:pPr>
              <w:pStyle w:val="106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征集文件商务要求</w:t>
            </w:r>
            <w:r>
              <w:rPr>
                <w:rFonts w:hint="eastAsia" w:ascii="宋体" w:hAnsi="宋体" w:cs="宋体"/>
                <w:color w:val="000000"/>
                <w:sz w:val="24"/>
                <w:highlight w:val="none"/>
              </w:rPr>
            </w:r>
            <w:r/>
          </w:p>
        </w:tc>
        <w:tc>
          <w:tcPr>
            <w:tcW w:w="2400" w:type="dxa"/>
            <w:vAlign w:val="center"/>
            <w:textDirection w:val="lrTb"/>
            <w:noWrap w:val="false"/>
          </w:tcPr>
          <w:p>
            <w:pPr>
              <w:pStyle w:val="106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响应文件响应情况</w:t>
            </w:r>
            <w:r>
              <w:rPr>
                <w:rFonts w:hint="eastAsia" w:ascii="宋体" w:hAnsi="宋体" w:cs="宋体"/>
                <w:color w:val="000000"/>
                <w:sz w:val="24"/>
                <w:highlight w:val="none"/>
              </w:rPr>
            </w:r>
            <w:r/>
          </w:p>
        </w:tc>
        <w:tc>
          <w:tcPr>
            <w:tcW w:w="1716" w:type="dxa"/>
            <w:vAlign w:val="top"/>
            <w:textDirection w:val="lrTb"/>
            <w:noWrap w:val="false"/>
          </w:tcPr>
          <w:p>
            <w:pPr>
              <w:pStyle w:val="106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说明</w:t>
            </w:r>
            <w:r>
              <w:rPr>
                <w:rFonts w:hint="eastAsia" w:ascii="宋体" w:hAnsi="宋体" w:cs="宋体"/>
                <w:color w:val="000000"/>
                <w:sz w:val="24"/>
                <w:highlight w:val="none"/>
              </w:rPr>
            </w:r>
            <w:r/>
          </w:p>
        </w:tc>
      </w:tr>
      <w:tr>
        <w:trPr/>
        <w:tc>
          <w:tcPr>
            <w:tcW w:w="708" w:type="dxa"/>
            <w:vAlign w:val="center"/>
            <w:textDirection w:val="lrTb"/>
            <w:noWrap w:val="false"/>
          </w:tcPr>
          <w:p>
            <w:pPr>
              <w:pStyle w:val="106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1920" w:type="dxa"/>
            <w:vAlign w:val="center"/>
            <w:textDirection w:val="lrTb"/>
            <w:noWrap w:val="false"/>
          </w:tcPr>
          <w:p>
            <w:pPr>
              <w:pStyle w:val="106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服务期限</w:t>
            </w:r>
            <w:r>
              <w:rPr>
                <w:rFonts w:hint="eastAsia" w:ascii="宋体" w:hAnsi="宋体" w:cs="宋体"/>
                <w:color w:val="000000"/>
                <w:sz w:val="24"/>
                <w:highlight w:val="none"/>
              </w:rPr>
            </w:r>
            <w:r/>
          </w:p>
        </w:tc>
        <w:tc>
          <w:tcPr>
            <w:tcW w:w="2400" w:type="dxa"/>
            <w:vAlign w:val="center"/>
            <w:textDirection w:val="lrTb"/>
            <w:noWrap w:val="false"/>
          </w:tcPr>
          <w:p>
            <w:pPr>
              <w:pStyle w:val="106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center"/>
            <w:textDirection w:val="lrTb"/>
            <w:noWrap w:val="false"/>
          </w:tcPr>
          <w:p>
            <w:pPr>
              <w:pStyle w:val="106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16" w:type="dxa"/>
            <w:vAlign w:val="top"/>
            <w:textDirection w:val="lrTb"/>
            <w:noWrap w:val="false"/>
          </w:tcPr>
          <w:p>
            <w:pPr>
              <w:pStyle w:val="106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708" w:type="dxa"/>
            <w:vAlign w:val="center"/>
            <w:textDirection w:val="lrTb"/>
            <w:noWrap w:val="false"/>
          </w:tcPr>
          <w:p>
            <w:pPr>
              <w:pStyle w:val="106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1920" w:type="dxa"/>
            <w:vAlign w:val="center"/>
            <w:textDirection w:val="lrTb"/>
            <w:noWrap w:val="false"/>
          </w:tcPr>
          <w:p>
            <w:pPr>
              <w:pStyle w:val="106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付款方式</w:t>
            </w:r>
            <w:r>
              <w:rPr>
                <w:rFonts w:hint="eastAsia" w:ascii="宋体" w:hAnsi="宋体" w:cs="宋体"/>
                <w:color w:val="000000"/>
                <w:sz w:val="24"/>
                <w:highlight w:val="none"/>
              </w:rPr>
            </w:r>
            <w:r/>
          </w:p>
        </w:tc>
        <w:tc>
          <w:tcPr>
            <w:tcW w:w="2400" w:type="dxa"/>
            <w:vAlign w:val="center"/>
            <w:textDirection w:val="lrTb"/>
            <w:noWrap w:val="false"/>
          </w:tcPr>
          <w:p>
            <w:pPr>
              <w:pStyle w:val="106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center"/>
            <w:textDirection w:val="lrTb"/>
            <w:noWrap w:val="false"/>
          </w:tcPr>
          <w:p>
            <w:pPr>
              <w:pStyle w:val="106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16" w:type="dxa"/>
            <w:vAlign w:val="top"/>
            <w:textDirection w:val="lrTb"/>
            <w:noWrap w:val="false"/>
          </w:tcPr>
          <w:p>
            <w:pPr>
              <w:pStyle w:val="106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708" w:type="dxa"/>
            <w:vAlign w:val="center"/>
            <w:textDirection w:val="lrTb"/>
            <w:noWrap w:val="false"/>
          </w:tcPr>
          <w:p>
            <w:pPr>
              <w:pStyle w:val="106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1920" w:type="dxa"/>
            <w:vAlign w:val="center"/>
            <w:textDirection w:val="lrTb"/>
            <w:noWrap w:val="false"/>
          </w:tcPr>
          <w:p>
            <w:pPr>
              <w:pStyle w:val="106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合同主要条款</w:t>
            </w:r>
            <w:r>
              <w:rPr>
                <w:rFonts w:hint="eastAsia" w:ascii="宋体" w:hAnsi="宋体" w:cs="宋体"/>
                <w:color w:val="000000"/>
                <w:sz w:val="24"/>
                <w:highlight w:val="none"/>
              </w:rPr>
            </w:r>
            <w:r/>
          </w:p>
        </w:tc>
        <w:tc>
          <w:tcPr>
            <w:tcW w:w="2400" w:type="dxa"/>
            <w:vAlign w:val="center"/>
            <w:textDirection w:val="lrTb"/>
            <w:noWrap w:val="false"/>
          </w:tcPr>
          <w:p>
            <w:pPr>
              <w:pStyle w:val="106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center"/>
            <w:textDirection w:val="lrTb"/>
            <w:noWrap w:val="false"/>
          </w:tcPr>
          <w:p>
            <w:pPr>
              <w:pStyle w:val="106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16" w:type="dxa"/>
            <w:vAlign w:val="top"/>
            <w:textDirection w:val="lrTb"/>
            <w:noWrap w:val="false"/>
          </w:tcPr>
          <w:p>
            <w:pPr>
              <w:pStyle w:val="106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708" w:type="dxa"/>
            <w:vAlign w:val="center"/>
            <w:textDirection w:val="lrTb"/>
            <w:noWrap w:val="false"/>
          </w:tcPr>
          <w:p>
            <w:pPr>
              <w:pStyle w:val="106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c>
          <w:tcPr>
            <w:tcW w:w="1920" w:type="dxa"/>
            <w:vAlign w:val="center"/>
            <w:textDirection w:val="lrTb"/>
            <w:noWrap w:val="false"/>
          </w:tcPr>
          <w:p>
            <w:pPr>
              <w:pStyle w:val="106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c>
          <w:tcPr>
            <w:tcW w:w="2400" w:type="dxa"/>
            <w:vAlign w:val="center"/>
            <w:textDirection w:val="lrTb"/>
            <w:noWrap w:val="false"/>
          </w:tcPr>
          <w:p>
            <w:pPr>
              <w:pStyle w:val="106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center"/>
            <w:textDirection w:val="lrTb"/>
            <w:noWrap w:val="false"/>
          </w:tcPr>
          <w:p>
            <w:pPr>
              <w:pStyle w:val="106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16" w:type="dxa"/>
            <w:vAlign w:val="top"/>
            <w:textDirection w:val="lrTb"/>
            <w:noWrap w:val="false"/>
          </w:tcPr>
          <w:p>
            <w:pPr>
              <w:pStyle w:val="106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708" w:type="dxa"/>
            <w:vAlign w:val="center"/>
            <w:textDirection w:val="lrTb"/>
            <w:noWrap w:val="false"/>
          </w:tcPr>
          <w:p>
            <w:pPr>
              <w:pStyle w:val="106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920" w:type="dxa"/>
            <w:vAlign w:val="center"/>
            <w:textDirection w:val="lrTb"/>
            <w:noWrap w:val="false"/>
          </w:tcPr>
          <w:p>
            <w:pPr>
              <w:pStyle w:val="106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center"/>
            <w:textDirection w:val="lrTb"/>
            <w:noWrap w:val="false"/>
          </w:tcPr>
          <w:p>
            <w:pPr>
              <w:pStyle w:val="106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center"/>
            <w:textDirection w:val="lrTb"/>
            <w:noWrap w:val="false"/>
          </w:tcPr>
          <w:p>
            <w:pPr>
              <w:pStyle w:val="106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16" w:type="dxa"/>
            <w:vAlign w:val="top"/>
            <w:textDirection w:val="lrTb"/>
            <w:noWrap w:val="false"/>
          </w:tcPr>
          <w:p>
            <w:pPr>
              <w:pStyle w:val="106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708" w:type="dxa"/>
            <w:vAlign w:val="top"/>
            <w:textDirection w:val="lrTb"/>
            <w:noWrap w:val="false"/>
          </w:tcPr>
          <w:p>
            <w:pPr>
              <w:pStyle w:val="106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920" w:type="dxa"/>
            <w:vAlign w:val="top"/>
            <w:textDirection w:val="lrTb"/>
            <w:noWrap w:val="false"/>
          </w:tcPr>
          <w:p>
            <w:pPr>
              <w:pStyle w:val="106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pStyle w:val="106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pStyle w:val="106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16" w:type="dxa"/>
            <w:vAlign w:val="top"/>
            <w:textDirection w:val="lrTb"/>
            <w:noWrap w:val="false"/>
          </w:tcPr>
          <w:p>
            <w:pPr>
              <w:pStyle w:val="106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708" w:type="dxa"/>
            <w:vAlign w:val="top"/>
            <w:textDirection w:val="lrTb"/>
            <w:noWrap w:val="false"/>
          </w:tcPr>
          <w:p>
            <w:pPr>
              <w:pStyle w:val="106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920" w:type="dxa"/>
            <w:vAlign w:val="top"/>
            <w:textDirection w:val="lrTb"/>
            <w:noWrap w:val="false"/>
          </w:tcPr>
          <w:p>
            <w:pPr>
              <w:pStyle w:val="106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pStyle w:val="106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pStyle w:val="106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16" w:type="dxa"/>
            <w:vAlign w:val="top"/>
            <w:textDirection w:val="lrTb"/>
            <w:noWrap w:val="false"/>
          </w:tcPr>
          <w:p>
            <w:pPr>
              <w:pStyle w:val="106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708" w:type="dxa"/>
            <w:vAlign w:val="top"/>
            <w:textDirection w:val="lrTb"/>
            <w:noWrap w:val="false"/>
          </w:tcPr>
          <w:p>
            <w:pPr>
              <w:pStyle w:val="106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920" w:type="dxa"/>
            <w:vAlign w:val="top"/>
            <w:textDirection w:val="lrTb"/>
            <w:noWrap w:val="false"/>
          </w:tcPr>
          <w:p>
            <w:pPr>
              <w:pStyle w:val="106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pStyle w:val="106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pStyle w:val="106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16" w:type="dxa"/>
            <w:vAlign w:val="top"/>
            <w:textDirection w:val="lrTb"/>
            <w:noWrap w:val="false"/>
          </w:tcPr>
          <w:p>
            <w:pPr>
              <w:pStyle w:val="106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708" w:type="dxa"/>
            <w:vAlign w:val="top"/>
            <w:textDirection w:val="lrTb"/>
            <w:noWrap w:val="false"/>
          </w:tcPr>
          <w:p>
            <w:pPr>
              <w:pStyle w:val="106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920" w:type="dxa"/>
            <w:vAlign w:val="top"/>
            <w:textDirection w:val="lrTb"/>
            <w:noWrap w:val="false"/>
          </w:tcPr>
          <w:p>
            <w:pPr>
              <w:pStyle w:val="106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pStyle w:val="106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pStyle w:val="106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16" w:type="dxa"/>
            <w:vAlign w:val="top"/>
            <w:textDirection w:val="lrTb"/>
            <w:noWrap w:val="false"/>
          </w:tcPr>
          <w:p>
            <w:pPr>
              <w:pStyle w:val="106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708" w:type="dxa"/>
            <w:vAlign w:val="top"/>
            <w:textDirection w:val="lrTb"/>
            <w:noWrap w:val="false"/>
          </w:tcPr>
          <w:p>
            <w:pPr>
              <w:pStyle w:val="106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920" w:type="dxa"/>
            <w:vAlign w:val="top"/>
            <w:textDirection w:val="lrTb"/>
            <w:noWrap w:val="false"/>
          </w:tcPr>
          <w:p>
            <w:pPr>
              <w:pStyle w:val="106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pStyle w:val="106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pStyle w:val="106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16" w:type="dxa"/>
            <w:vAlign w:val="top"/>
            <w:textDirection w:val="lrTb"/>
            <w:noWrap w:val="false"/>
          </w:tcPr>
          <w:p>
            <w:pPr>
              <w:pStyle w:val="106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106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注：响应单位的响应文件（除服务要求部分）与征集文件规定的有偏离的，应在此表中说明。未在上表中说明的，如在响应文件其他内容中已有文字说明的，则以已有文字说明为准，否则，将被认为完全响应征集文件的规定。但该表不作为响应单位对所投标服务关于商务条款等详细描述和说明的替代。</w:t>
      </w:r>
      <w:r>
        <w:rPr>
          <w:rFonts w:hint="eastAsia" w:ascii="宋体" w:hAnsi="宋体" w:cs="宋体"/>
          <w:color w:val="000000"/>
          <w:sz w:val="24"/>
          <w:highlight w:val="none"/>
        </w:rPr>
      </w:r>
      <w:r/>
    </w:p>
    <w:p>
      <w:pPr>
        <w:pStyle w:val="106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60"/>
        <w:ind w:firstLine="24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响应单位：（公章 ）</w:t>
      </w:r>
      <w:r>
        <w:rPr>
          <w:rFonts w:hint="eastAsia" w:ascii="宋体" w:hAnsi="宋体" w:cs="宋体"/>
          <w:color w:val="000000"/>
          <w:sz w:val="24"/>
          <w:highlight w:val="none"/>
        </w:rPr>
      </w:r>
      <w:r/>
    </w:p>
    <w:p>
      <w:pPr>
        <w:pStyle w:val="1060"/>
        <w:ind w:firstLine="24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法定代表人或委托代理人：（签字或盖章）</w:t>
      </w:r>
      <w:r>
        <w:rPr>
          <w:rFonts w:hint="eastAsia" w:ascii="宋体" w:hAnsi="宋体" w:cs="宋体"/>
          <w:color w:val="000000"/>
          <w:sz w:val="24"/>
          <w:highlight w:val="none"/>
        </w:rPr>
      </w:r>
      <w:r/>
    </w:p>
    <w:p>
      <w:pPr>
        <w:pStyle w:val="1060"/>
        <w:ind w:firstLine="240"/>
        <w:spacing w:line="360" w:lineRule="auto"/>
        <w:rPr>
          <w:rFonts w:hint="eastAsia" w:ascii="宋体" w:hAnsi="宋体" w:cs="宋体"/>
          <w:b/>
          <w:bCs/>
          <w:color w:val="000000"/>
          <w:sz w:val="24"/>
          <w:highlight w:val="none"/>
        </w:rPr>
      </w:pPr>
      <w:r>
        <w:rPr>
          <w:rFonts w:hint="eastAsia" w:ascii="宋体" w:hAnsi="宋体" w:cs="宋体"/>
          <w:color w:val="000000"/>
          <w:sz w:val="24"/>
          <w:highlight w:val="none"/>
        </w:rPr>
        <w:t xml:space="preserve">日期：       年     月     日</w:t>
      </w:r>
      <w:r>
        <w:rPr>
          <w:rFonts w:hint="eastAsia" w:ascii="宋体" w:hAnsi="宋体" w:cs="宋体"/>
          <w:b/>
          <w:bCs/>
          <w:color w:val="000000"/>
          <w:sz w:val="24"/>
          <w:highlight w:val="none"/>
        </w:rPr>
      </w:r>
      <w:r/>
    </w:p>
    <w:p>
      <w:pPr>
        <w:pStyle w:val="1060"/>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060"/>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102"/>
        <w:spacing w:line="360" w:lineRule="auto"/>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1102"/>
        <w:spacing w:line="360" w:lineRule="auto"/>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1102"/>
        <w:spacing w:line="360" w:lineRule="auto"/>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1060"/>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rPr>
        <w:br w:type="page" w:clear="all"/>
      </w:r>
      <w:r>
        <w:rPr>
          <w:rFonts w:hint="eastAsia" w:ascii="宋体" w:hAnsi="宋体" w:cs="宋体"/>
          <w:b/>
          <w:bCs/>
          <w:color w:val="000000"/>
          <w:sz w:val="24"/>
          <w:highlight w:val="none"/>
          <w:lang w:val="zh-CN"/>
        </w:rPr>
        <w:t xml:space="preserve">附件</w:t>
      </w:r>
      <w:r>
        <w:rPr>
          <w:rFonts w:hint="eastAsia" w:ascii="宋体" w:hAnsi="宋体" w:cs="宋体"/>
          <w:b/>
          <w:bCs/>
          <w:color w:val="000000"/>
          <w:sz w:val="24"/>
          <w:highlight w:val="none"/>
        </w:rPr>
        <w:t xml:space="preserve">7、</w:t>
      </w:r>
      <w:r>
        <w:rPr>
          <w:rFonts w:hint="eastAsia" w:ascii="宋体" w:hAnsi="宋体" w:cs="宋体"/>
          <w:b/>
          <w:bCs/>
          <w:color w:val="000000"/>
          <w:sz w:val="24"/>
          <w:highlight w:val="none"/>
          <w:lang w:val="zh-CN"/>
        </w:rPr>
        <w:t xml:space="preserve">关于资格文件的声明函</w:t>
      </w:r>
      <w:r>
        <w:rPr>
          <w:rFonts w:hint="eastAsia" w:ascii="宋体" w:hAnsi="宋体" w:cs="宋体"/>
          <w:b/>
          <w:bCs/>
          <w:color w:val="000000"/>
          <w:sz w:val="24"/>
          <w:highlight w:val="none"/>
          <w:lang w:val="zh-CN"/>
        </w:rPr>
      </w:r>
      <w:r/>
    </w:p>
    <w:p>
      <w:pPr>
        <w:pStyle w:val="1060"/>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1060"/>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1060"/>
        <w:jc w:val="left"/>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p>
      <w:pPr>
        <w:pStyle w:val="1060"/>
        <w:ind w:firstLine="420"/>
        <w:jc w:val="center"/>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t xml:space="preserve">关于资格文件的声明函</w:t>
      </w:r>
      <w:r>
        <w:rPr>
          <w:rFonts w:hint="eastAsia" w:ascii="宋体" w:hAnsi="宋体" w:cs="宋体"/>
          <w:b/>
          <w:bCs/>
          <w:color w:val="000000"/>
          <w:sz w:val="24"/>
          <w:highlight w:val="none"/>
          <w:lang w:val="zh-CN"/>
        </w:rPr>
      </w:r>
      <w:r/>
    </w:p>
    <w:p>
      <w:pPr>
        <w:pStyle w:val="1060"/>
        <w:ind w:firstLine="420"/>
        <w:jc w:val="center"/>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p>
      <w:pPr>
        <w:pStyle w:val="1075"/>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u w:val="single"/>
        </w:rPr>
        <w:t xml:space="preserve">苏州恒泰招投标咨询服务有限公司</w:t>
      </w:r>
      <w:r>
        <w:rPr>
          <w:rFonts w:hint="eastAsia" w:ascii="宋体" w:hAnsi="宋体" w:eastAsia="宋体" w:cs="宋体"/>
          <w:color w:val="000000"/>
          <w:szCs w:val="24"/>
          <w:highlight w:val="none"/>
        </w:rPr>
        <w:t xml:space="preserve">：</w:t>
      </w:r>
      <w:r>
        <w:rPr>
          <w:rFonts w:hint="eastAsia" w:ascii="宋体" w:hAnsi="宋体" w:eastAsia="宋体" w:cs="宋体"/>
          <w:color w:val="000000"/>
          <w:szCs w:val="24"/>
          <w:highlight w:val="none"/>
        </w:rPr>
      </w:r>
      <w:r/>
    </w:p>
    <w:p>
      <w:pPr>
        <w:pStyle w:val="106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zh-CN"/>
        </w:rPr>
        <w:t xml:space="preserve">本公司愿就由贵公司组织实施的项目编号</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lang w:val="zh-CN"/>
        </w:rPr>
        <w:t xml:space="preserve">分包号</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lang w:val="zh-CN"/>
        </w:rPr>
        <w:t xml:space="preserve">的采购活动进行投标。本公司所提交的响应文件中所有关于投标资格的文件、证明和陈述均是真实的、准确的。若与真实情况不符，本公司愿意承担由此而产生的一切后果。</w:t>
      </w:r>
      <w:r>
        <w:rPr>
          <w:rFonts w:hint="eastAsia" w:ascii="宋体" w:hAnsi="宋体" w:cs="宋体"/>
          <w:color w:val="000000"/>
          <w:sz w:val="24"/>
          <w:highlight w:val="none"/>
        </w:rPr>
      </w:r>
      <w:r/>
    </w:p>
    <w:p>
      <w:pPr>
        <w:pStyle w:val="1075"/>
        <w:spacing w:line="360" w:lineRule="auto"/>
        <w:tabs>
          <w:tab w:val="left" w:pos="3240" w:leader="none"/>
        </w:tabs>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075"/>
        <w:ind w:left="2940"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响应单位：（公章）</w:t>
      </w:r>
      <w:r>
        <w:rPr>
          <w:rFonts w:hint="eastAsia" w:ascii="宋体" w:hAnsi="宋体" w:eastAsia="宋体" w:cs="宋体"/>
          <w:color w:val="000000"/>
          <w:szCs w:val="24"/>
          <w:highlight w:val="none"/>
        </w:rPr>
      </w:r>
      <w:r/>
    </w:p>
    <w:p>
      <w:pPr>
        <w:pStyle w:val="1075"/>
        <w:ind w:left="2940"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法定代表人或委托代理人：（签字或盖章）</w:t>
      </w:r>
      <w:r>
        <w:rPr>
          <w:rFonts w:hint="eastAsia" w:ascii="宋体" w:hAnsi="宋体" w:eastAsia="宋体" w:cs="宋体"/>
          <w:color w:val="000000"/>
          <w:szCs w:val="24"/>
          <w:highlight w:val="none"/>
        </w:rPr>
      </w:r>
      <w:r/>
    </w:p>
    <w:p>
      <w:pPr>
        <w:pStyle w:val="1075"/>
        <w:ind w:left="2940"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日期：       年     月     日</w:t>
      </w:r>
      <w:r>
        <w:rPr>
          <w:rFonts w:hint="eastAsia" w:ascii="宋体" w:hAnsi="宋体" w:eastAsia="宋体" w:cs="宋体"/>
          <w:color w:val="000000"/>
          <w:szCs w:val="24"/>
          <w:highlight w:val="none"/>
        </w:rPr>
      </w:r>
      <w:r/>
    </w:p>
    <w:p>
      <w:pPr>
        <w:pStyle w:val="1060"/>
        <w:ind w:left="240"/>
        <w:jc w:val="left"/>
        <w:spacing w:line="360" w:lineRule="auto"/>
        <w:rPr>
          <w:rFonts w:hint="eastAsia" w:ascii="宋体" w:hAnsi="宋体" w:cs="宋体"/>
          <w:b/>
          <w:bCs/>
          <w:color w:val="000000"/>
          <w:sz w:val="24"/>
          <w:highlight w:val="none"/>
          <w:lang w:val="zh-CN"/>
        </w:rPr>
      </w:pPr>
      <w:r>
        <w:rPr>
          <w:rFonts w:hint="eastAsia" w:ascii="宋体" w:hAnsi="宋体" w:cs="宋体"/>
          <w:color w:val="000000"/>
          <w:sz w:val="24"/>
          <w:highlight w:val="none"/>
          <w:lang w:val="zh-CN"/>
        </w:rPr>
        <w:br w:type="page" w:clear="all"/>
      </w:r>
      <w:r>
        <w:rPr>
          <w:rFonts w:hint="eastAsia" w:ascii="宋体" w:hAnsi="宋体" w:cs="宋体"/>
          <w:color w:val="000000"/>
          <w:sz w:val="24"/>
          <w:highlight w:val="none"/>
        </w:rPr>
        <w:t xml:space="preserve"> </w:t>
      </w:r>
      <w:r>
        <w:rPr>
          <w:rFonts w:hint="eastAsia" w:ascii="宋体" w:hAnsi="宋体" w:cs="宋体"/>
          <w:b/>
          <w:bCs/>
          <w:color w:val="000000"/>
          <w:sz w:val="24"/>
          <w:highlight w:val="none"/>
          <w:lang w:val="zh-CN"/>
        </w:rPr>
        <w:t xml:space="preserve">附件</w:t>
      </w:r>
      <w:r>
        <w:rPr>
          <w:rFonts w:hint="eastAsia" w:ascii="宋体" w:hAnsi="宋体" w:cs="宋体"/>
          <w:b/>
          <w:bCs/>
          <w:color w:val="000000"/>
          <w:sz w:val="24"/>
          <w:highlight w:val="none"/>
        </w:rPr>
        <w:t xml:space="preserve">8、</w:t>
      </w:r>
      <w:r>
        <w:rPr>
          <w:rFonts w:hint="eastAsia" w:ascii="宋体" w:hAnsi="宋体" w:cs="宋体"/>
          <w:b/>
          <w:bCs/>
          <w:color w:val="000000"/>
          <w:sz w:val="24"/>
          <w:highlight w:val="none"/>
          <w:lang w:val="zh-CN"/>
        </w:rPr>
        <w:t xml:space="preserve">响应单位情况表</w:t>
      </w:r>
      <w:r>
        <w:rPr>
          <w:rFonts w:hint="eastAsia" w:ascii="宋体" w:hAnsi="宋体" w:cs="宋体"/>
          <w:b/>
          <w:bCs/>
          <w:color w:val="000000"/>
          <w:sz w:val="24"/>
          <w:highlight w:val="none"/>
          <w:lang w:val="zh-CN"/>
        </w:rPr>
      </w:r>
      <w:r/>
    </w:p>
    <w:p>
      <w:pPr>
        <w:pStyle w:val="1060"/>
        <w:ind w:firstLine="10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响应单位：（公章）                          采购编号：             号</w:t>
      </w:r>
      <w:r>
        <w:rPr>
          <w:rFonts w:hint="eastAsia" w:ascii="宋体" w:hAnsi="宋体" w:cs="宋体"/>
          <w:color w:val="000000"/>
          <w:sz w:val="24"/>
          <w:highlight w:val="none"/>
          <w:lang w:val="zh-CN"/>
        </w:rPr>
      </w:r>
      <w:r/>
    </w:p>
    <w:tbl>
      <w:tblPr>
        <w:tblW w:w="8540"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798"/>
        <w:gridCol w:w="1935"/>
        <w:gridCol w:w="1665"/>
        <w:gridCol w:w="2142"/>
      </w:tblGrid>
      <w:tr>
        <w:trPr>
          <w:cantSplit/>
          <w:trHeight w:val="624"/>
        </w:trPr>
        <w:tc>
          <w:tcPr>
            <w:tcW w:w="2798" w:type="dxa"/>
            <w:vAlign w:val="center"/>
            <w:textDirection w:val="lrTb"/>
            <w:noWrap w:val="false"/>
          </w:tcPr>
          <w:p>
            <w:pPr>
              <w:pStyle w:val="1060"/>
              <w:widowControl/>
              <w:rPr>
                <w:rFonts w:hint="eastAsia" w:ascii="宋体" w:hAnsi="宋体" w:cs="宋体"/>
                <w:color w:val="000000"/>
                <w:sz w:val="24"/>
                <w:highlight w:val="none"/>
              </w:rPr>
            </w:pPr>
            <w:r>
              <w:rPr>
                <w:rFonts w:hint="eastAsia" w:ascii="宋体" w:hAnsi="宋体" w:cs="宋体"/>
                <w:color w:val="000000"/>
                <w:sz w:val="24"/>
                <w:highlight w:val="none"/>
              </w:rPr>
              <w:t xml:space="preserve">机构名称</w:t>
            </w:r>
            <w:r>
              <w:rPr>
                <w:rFonts w:hint="eastAsia" w:ascii="宋体" w:hAnsi="宋体" w:cs="宋体"/>
                <w:color w:val="000000"/>
                <w:sz w:val="24"/>
                <w:highlight w:val="none"/>
              </w:rPr>
            </w:r>
            <w:r/>
          </w:p>
        </w:tc>
        <w:tc>
          <w:tcPr>
            <w:gridSpan w:val="3"/>
            <w:tcW w:w="5742" w:type="dxa"/>
            <w:vAlign w:val="center"/>
            <w:textDirection w:val="lrTb"/>
            <w:noWrap w:val="false"/>
          </w:tcPr>
          <w:p>
            <w:pPr>
              <w:pStyle w:val="1060"/>
              <w:ind w:firstLine="660"/>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624"/>
        </w:trPr>
        <w:tc>
          <w:tcPr>
            <w:tcW w:w="2798" w:type="dxa"/>
            <w:vAlign w:val="center"/>
            <w:textDirection w:val="lrTb"/>
            <w:noWrap w:val="false"/>
          </w:tcPr>
          <w:p>
            <w:pPr>
              <w:pStyle w:val="1060"/>
              <w:widowControl/>
              <w:rPr>
                <w:rFonts w:hint="eastAsia" w:ascii="宋体" w:hAnsi="宋体" w:cs="宋体"/>
                <w:color w:val="000000"/>
                <w:sz w:val="24"/>
                <w:highlight w:val="none"/>
              </w:rPr>
            </w:pPr>
            <w:r>
              <w:rPr>
                <w:rFonts w:hint="eastAsia" w:ascii="宋体" w:hAnsi="宋体" w:cs="宋体"/>
                <w:color w:val="000000"/>
                <w:sz w:val="24"/>
                <w:highlight w:val="none"/>
              </w:rPr>
              <w:t xml:space="preserve">统一社会机构信用代码</w:t>
            </w:r>
            <w:r>
              <w:rPr>
                <w:rFonts w:hint="eastAsia" w:ascii="宋体" w:hAnsi="宋体" w:cs="宋体"/>
                <w:color w:val="000000"/>
                <w:sz w:val="24"/>
                <w:highlight w:val="none"/>
              </w:rPr>
            </w:r>
            <w:r/>
          </w:p>
        </w:tc>
        <w:tc>
          <w:tcPr>
            <w:gridSpan w:val="3"/>
            <w:tcW w:w="5742" w:type="dxa"/>
            <w:vAlign w:val="center"/>
            <w:textDirection w:val="lrTb"/>
            <w:noWrap w:val="false"/>
          </w:tcPr>
          <w:p>
            <w:pPr>
              <w:pStyle w:val="1060"/>
              <w:ind w:firstLine="660"/>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624"/>
        </w:trPr>
        <w:tc>
          <w:tcPr>
            <w:tcW w:w="2798" w:type="dxa"/>
            <w:vAlign w:val="center"/>
            <w:textDirection w:val="lrTb"/>
            <w:noWrap w:val="false"/>
          </w:tcPr>
          <w:p>
            <w:pPr>
              <w:pStyle w:val="1060"/>
              <w:widowControl/>
              <w:rPr>
                <w:rFonts w:hint="eastAsia" w:ascii="宋体" w:hAnsi="宋体" w:cs="宋体"/>
                <w:color w:val="000000"/>
                <w:sz w:val="24"/>
                <w:highlight w:val="none"/>
              </w:rPr>
            </w:pPr>
            <w:r>
              <w:rPr>
                <w:rFonts w:hint="eastAsia" w:ascii="宋体" w:hAnsi="宋体" w:cs="宋体"/>
                <w:color w:val="000000"/>
                <w:sz w:val="24"/>
                <w:highlight w:val="none"/>
              </w:rPr>
              <w:t xml:space="preserve">登记地址</w:t>
            </w:r>
            <w:r>
              <w:rPr>
                <w:rFonts w:hint="eastAsia" w:ascii="宋体" w:hAnsi="宋体" w:cs="宋体"/>
                <w:color w:val="000000"/>
                <w:sz w:val="24"/>
                <w:highlight w:val="none"/>
              </w:rPr>
            </w:r>
            <w:r/>
          </w:p>
        </w:tc>
        <w:tc>
          <w:tcPr>
            <w:gridSpan w:val="3"/>
            <w:tcW w:w="5742" w:type="dxa"/>
            <w:vAlign w:val="center"/>
            <w:textDirection w:val="lrTb"/>
            <w:noWrap w:val="false"/>
          </w:tcPr>
          <w:p>
            <w:pPr>
              <w:pStyle w:val="1060"/>
              <w:ind w:firstLine="660"/>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624"/>
        </w:trPr>
        <w:tc>
          <w:tcPr>
            <w:tcW w:w="2798" w:type="dxa"/>
            <w:vAlign w:val="center"/>
            <w:textDirection w:val="lrTb"/>
            <w:noWrap w:val="false"/>
          </w:tcPr>
          <w:p>
            <w:pPr>
              <w:pStyle w:val="1060"/>
              <w:widowControl/>
              <w:rPr>
                <w:rFonts w:hint="eastAsia" w:ascii="宋体" w:hAnsi="宋体" w:cs="宋体"/>
                <w:color w:val="000000"/>
                <w:sz w:val="24"/>
                <w:highlight w:val="none"/>
              </w:rPr>
            </w:pPr>
            <w:r>
              <w:rPr>
                <w:rFonts w:hint="eastAsia" w:ascii="宋体" w:hAnsi="宋体" w:cs="宋体"/>
                <w:color w:val="000000"/>
                <w:sz w:val="24"/>
                <w:highlight w:val="none"/>
              </w:rPr>
              <w:t xml:space="preserve">开展服务详细地址</w:t>
            </w:r>
            <w:r>
              <w:rPr>
                <w:rFonts w:hint="eastAsia" w:ascii="宋体" w:hAnsi="宋体" w:cs="宋体"/>
                <w:color w:val="000000"/>
                <w:sz w:val="24"/>
                <w:highlight w:val="none"/>
              </w:rPr>
            </w:r>
            <w:r/>
          </w:p>
          <w:p>
            <w:pPr>
              <w:pStyle w:val="1060"/>
              <w:widowControl/>
              <w:rPr>
                <w:rFonts w:hint="eastAsia" w:ascii="宋体" w:hAnsi="宋体" w:cs="宋体"/>
                <w:color w:val="000000"/>
                <w:sz w:val="24"/>
                <w:highlight w:val="none"/>
              </w:rPr>
            </w:pPr>
            <w:r>
              <w:rPr>
                <w:rFonts w:hint="eastAsia" w:ascii="宋体" w:hAnsi="宋体" w:cs="宋体"/>
                <w:color w:val="000000"/>
                <w:sz w:val="24"/>
                <w:highlight w:val="none"/>
              </w:rPr>
              <w:t xml:space="preserve">及楼层</w:t>
            </w:r>
            <w:r>
              <w:rPr>
                <w:rFonts w:hint="eastAsia" w:ascii="宋体" w:hAnsi="宋体" w:cs="宋体"/>
                <w:color w:val="000000"/>
                <w:sz w:val="24"/>
                <w:highlight w:val="none"/>
              </w:rPr>
            </w:r>
            <w:r/>
          </w:p>
        </w:tc>
        <w:tc>
          <w:tcPr>
            <w:gridSpan w:val="3"/>
            <w:tcW w:w="5742" w:type="dxa"/>
            <w:vAlign w:val="center"/>
            <w:textDirection w:val="lrTb"/>
            <w:noWrap w:val="false"/>
          </w:tcPr>
          <w:p>
            <w:pPr>
              <w:pStyle w:val="1060"/>
              <w:ind w:firstLine="660"/>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624"/>
        </w:trPr>
        <w:tc>
          <w:tcPr>
            <w:tcW w:w="2798" w:type="dxa"/>
            <w:vAlign w:val="center"/>
            <w:textDirection w:val="lrTb"/>
            <w:noWrap w:val="false"/>
          </w:tcPr>
          <w:p>
            <w:pPr>
              <w:pStyle w:val="1060"/>
              <w:widowControl/>
              <w:rPr>
                <w:rFonts w:hint="eastAsia" w:ascii="宋体" w:hAnsi="宋体" w:cs="宋体"/>
                <w:color w:val="000000"/>
                <w:sz w:val="24"/>
                <w:highlight w:val="none"/>
              </w:rPr>
            </w:pPr>
            <w:r>
              <w:rPr>
                <w:rFonts w:hint="eastAsia" w:ascii="宋体" w:hAnsi="宋体" w:cs="宋体"/>
                <w:color w:val="000000"/>
                <w:sz w:val="24"/>
                <w:highlight w:val="none"/>
              </w:rPr>
              <w:t xml:space="preserve">法定代表人</w:t>
            </w:r>
            <w:r>
              <w:rPr>
                <w:rFonts w:hint="eastAsia" w:ascii="宋体" w:hAnsi="宋体" w:cs="宋体"/>
                <w:color w:val="000000"/>
                <w:sz w:val="24"/>
                <w:highlight w:val="none"/>
              </w:rPr>
            </w:r>
            <w:r/>
          </w:p>
        </w:tc>
        <w:tc>
          <w:tcPr>
            <w:gridSpan w:val="3"/>
            <w:tcW w:w="5742" w:type="dxa"/>
            <w:vAlign w:val="center"/>
            <w:textDirection w:val="lrTb"/>
            <w:noWrap w:val="false"/>
          </w:tcPr>
          <w:p>
            <w:pPr>
              <w:pStyle w:val="1060"/>
              <w:ind w:firstLine="660"/>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624"/>
        </w:trPr>
        <w:tc>
          <w:tcPr>
            <w:tcW w:w="2798" w:type="dxa"/>
            <w:vAlign w:val="center"/>
            <w:textDirection w:val="lrTb"/>
            <w:noWrap w:val="false"/>
          </w:tcPr>
          <w:p>
            <w:pPr>
              <w:pStyle w:val="1060"/>
              <w:widowControl/>
              <w:rPr>
                <w:rFonts w:hint="eastAsia" w:ascii="宋体" w:hAnsi="宋体" w:cs="宋体"/>
                <w:color w:val="000000"/>
                <w:sz w:val="24"/>
                <w:highlight w:val="none"/>
              </w:rPr>
            </w:pPr>
            <w:r>
              <w:rPr>
                <w:rFonts w:hint="eastAsia" w:ascii="宋体" w:hAnsi="宋体" w:cs="宋体"/>
                <w:color w:val="000000"/>
                <w:sz w:val="24"/>
                <w:highlight w:val="none"/>
              </w:rPr>
              <w:t xml:space="preserve">登记证书有效期限</w:t>
            </w:r>
            <w:r>
              <w:rPr>
                <w:rFonts w:hint="eastAsia" w:ascii="宋体" w:hAnsi="宋体" w:cs="宋体"/>
                <w:color w:val="000000"/>
                <w:sz w:val="24"/>
                <w:highlight w:val="none"/>
              </w:rPr>
            </w:r>
            <w:r/>
          </w:p>
        </w:tc>
        <w:tc>
          <w:tcPr>
            <w:gridSpan w:val="3"/>
            <w:tcW w:w="5742" w:type="dxa"/>
            <w:vAlign w:val="center"/>
            <w:textDirection w:val="lrTb"/>
            <w:noWrap w:val="false"/>
          </w:tcPr>
          <w:p>
            <w:pPr>
              <w:pStyle w:val="1060"/>
              <w:ind w:firstLine="660"/>
              <w:widowControl/>
              <w:rPr>
                <w:rFonts w:hint="eastAsia" w:ascii="宋体" w:hAnsi="宋体" w:cs="宋体"/>
                <w:color w:val="000000"/>
                <w:sz w:val="24"/>
                <w:highlight w:val="none"/>
              </w:rPr>
            </w:pPr>
            <w:r>
              <w:rPr>
                <w:rFonts w:hint="eastAsia" w:ascii="宋体" w:hAnsi="宋体" w:cs="宋体"/>
                <w:color w:val="000000"/>
                <w:sz w:val="24"/>
                <w:highlight w:val="none"/>
              </w:rPr>
              <w:t xml:space="preserve">年   月   日——      年   月   日</w:t>
            </w:r>
            <w:r>
              <w:rPr>
                <w:rFonts w:hint="eastAsia" w:ascii="宋体" w:hAnsi="宋体" w:cs="宋体"/>
                <w:color w:val="000000"/>
                <w:sz w:val="24"/>
                <w:highlight w:val="none"/>
              </w:rPr>
            </w:r>
            <w:r/>
          </w:p>
        </w:tc>
      </w:tr>
      <w:tr>
        <w:trPr>
          <w:cantSplit/>
          <w:trHeight w:val="624"/>
        </w:trPr>
        <w:tc>
          <w:tcPr>
            <w:tcW w:w="2798" w:type="dxa"/>
            <w:vAlign w:val="center"/>
            <w:textDirection w:val="lrTb"/>
            <w:noWrap w:val="false"/>
          </w:tcPr>
          <w:p>
            <w:pPr>
              <w:pStyle w:val="1060"/>
              <w:widowControl/>
              <w:rPr>
                <w:rFonts w:hint="eastAsia" w:ascii="宋体" w:hAnsi="宋体" w:cs="宋体"/>
                <w:color w:val="000000"/>
                <w:sz w:val="24"/>
                <w:highlight w:val="none"/>
              </w:rPr>
            </w:pPr>
            <w:r>
              <w:rPr>
                <w:rFonts w:hint="eastAsia" w:ascii="宋体" w:hAnsi="宋体" w:cs="宋体"/>
                <w:color w:val="000000"/>
                <w:sz w:val="24"/>
                <w:highlight w:val="none"/>
              </w:rPr>
              <w:t xml:space="preserve">取得资质证书名称</w:t>
            </w:r>
            <w:r>
              <w:rPr>
                <w:rFonts w:hint="eastAsia" w:ascii="宋体" w:hAnsi="宋体" w:cs="宋体"/>
                <w:color w:val="000000"/>
                <w:sz w:val="24"/>
                <w:highlight w:val="none"/>
              </w:rPr>
            </w:r>
            <w:r/>
          </w:p>
        </w:tc>
        <w:tc>
          <w:tcPr>
            <w:gridSpan w:val="3"/>
            <w:tcW w:w="5742" w:type="dxa"/>
            <w:vAlign w:val="center"/>
            <w:textDirection w:val="lrTb"/>
            <w:noWrap w:val="false"/>
          </w:tcPr>
          <w:p>
            <w:pPr>
              <w:pStyle w:val="1060"/>
              <w:ind w:firstLine="660"/>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624"/>
        </w:trPr>
        <w:tc>
          <w:tcPr>
            <w:tcW w:w="2798" w:type="dxa"/>
            <w:vAlign w:val="center"/>
            <w:textDirection w:val="lrTb"/>
            <w:noWrap w:val="false"/>
          </w:tcPr>
          <w:p>
            <w:pPr>
              <w:pStyle w:val="1060"/>
              <w:widowControl/>
              <w:rPr>
                <w:rFonts w:hint="eastAsia" w:ascii="宋体" w:hAnsi="宋体" w:cs="宋体"/>
                <w:color w:val="000000"/>
                <w:sz w:val="24"/>
                <w:highlight w:val="none"/>
              </w:rPr>
            </w:pPr>
            <w:r>
              <w:rPr>
                <w:rFonts w:hint="eastAsia" w:ascii="宋体" w:hAnsi="宋体" w:cs="宋体"/>
                <w:color w:val="000000"/>
                <w:sz w:val="24"/>
                <w:highlight w:val="none"/>
              </w:rPr>
              <w:t xml:space="preserve">业务范围</w:t>
            </w:r>
            <w:r>
              <w:rPr>
                <w:rFonts w:hint="eastAsia" w:ascii="宋体" w:hAnsi="宋体" w:cs="宋体"/>
                <w:color w:val="000000"/>
                <w:sz w:val="24"/>
                <w:highlight w:val="none"/>
              </w:rPr>
            </w:r>
            <w:r/>
          </w:p>
        </w:tc>
        <w:tc>
          <w:tcPr>
            <w:gridSpan w:val="3"/>
            <w:tcW w:w="5742" w:type="dxa"/>
            <w:vAlign w:val="center"/>
            <w:textDirection w:val="lrTb"/>
            <w:noWrap w:val="false"/>
          </w:tcPr>
          <w:p>
            <w:pPr>
              <w:pStyle w:val="1060"/>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624"/>
        </w:trPr>
        <w:tc>
          <w:tcPr>
            <w:tcW w:w="2798" w:type="dxa"/>
            <w:vAlign w:val="center"/>
            <w:textDirection w:val="lrTb"/>
            <w:noWrap w:val="false"/>
          </w:tcPr>
          <w:p>
            <w:pPr>
              <w:pStyle w:val="1060"/>
              <w:widowControl/>
              <w:rPr>
                <w:rFonts w:hint="eastAsia" w:ascii="宋体" w:hAnsi="宋体" w:cs="宋体"/>
                <w:color w:val="000000"/>
                <w:sz w:val="24"/>
                <w:highlight w:val="none"/>
              </w:rPr>
            </w:pPr>
            <w:r>
              <w:rPr>
                <w:rFonts w:hint="eastAsia" w:ascii="宋体" w:hAnsi="宋体" w:cs="宋体"/>
                <w:color w:val="000000"/>
                <w:sz w:val="24"/>
                <w:highlight w:val="none"/>
              </w:rPr>
              <w:t xml:space="preserve">业务开展方式</w:t>
            </w:r>
            <w:r>
              <w:rPr>
                <w:rFonts w:hint="eastAsia" w:ascii="宋体" w:hAnsi="宋体" w:cs="宋体"/>
                <w:color w:val="000000"/>
                <w:sz w:val="24"/>
                <w:highlight w:val="none"/>
              </w:rPr>
            </w:r>
            <w:r/>
          </w:p>
        </w:tc>
        <w:tc>
          <w:tcPr>
            <w:gridSpan w:val="3"/>
            <w:tcW w:w="5742" w:type="dxa"/>
            <w:vAlign w:val="center"/>
            <w:textDirection w:val="lrTb"/>
            <w:noWrap w:val="false"/>
          </w:tcPr>
          <w:p>
            <w:pPr>
              <w:pStyle w:val="1060"/>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624"/>
        </w:trPr>
        <w:tc>
          <w:tcPr>
            <w:tcW w:w="2798" w:type="dxa"/>
            <w:vAlign w:val="center"/>
            <w:textDirection w:val="lrTb"/>
            <w:noWrap w:val="false"/>
          </w:tcPr>
          <w:p>
            <w:pPr>
              <w:pStyle w:val="1060"/>
              <w:widowControl/>
              <w:rPr>
                <w:rFonts w:hint="eastAsia" w:ascii="宋体" w:hAnsi="宋体" w:cs="宋体"/>
                <w:color w:val="000000"/>
                <w:sz w:val="24"/>
                <w:highlight w:val="none"/>
              </w:rPr>
            </w:pPr>
            <w:r>
              <w:rPr>
                <w:rFonts w:hint="eastAsia" w:ascii="宋体" w:hAnsi="宋体" w:cs="宋体"/>
                <w:color w:val="000000"/>
                <w:sz w:val="24"/>
                <w:highlight w:val="none"/>
              </w:rPr>
              <w:t xml:space="preserve">部门设置</w:t>
            </w:r>
            <w:r>
              <w:rPr>
                <w:rFonts w:hint="eastAsia" w:ascii="宋体" w:hAnsi="宋体" w:cs="宋体"/>
                <w:color w:val="000000"/>
                <w:sz w:val="24"/>
                <w:highlight w:val="none"/>
              </w:rPr>
            </w:r>
            <w:r/>
          </w:p>
        </w:tc>
        <w:tc>
          <w:tcPr>
            <w:gridSpan w:val="3"/>
            <w:tcW w:w="5742" w:type="dxa"/>
            <w:vAlign w:val="center"/>
            <w:textDirection w:val="lrTb"/>
            <w:noWrap w:val="false"/>
          </w:tcPr>
          <w:p>
            <w:pPr>
              <w:pStyle w:val="1060"/>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624"/>
        </w:trPr>
        <w:tc>
          <w:tcPr>
            <w:tcW w:w="2798" w:type="dxa"/>
            <w:vAlign w:val="center"/>
            <w:textDirection w:val="lrTb"/>
            <w:noWrap w:val="false"/>
          </w:tcPr>
          <w:p>
            <w:pPr>
              <w:pStyle w:val="1060"/>
              <w:widowControl/>
              <w:rPr>
                <w:rFonts w:hint="eastAsia" w:ascii="宋体" w:hAnsi="宋体" w:cs="宋体"/>
                <w:color w:val="000000"/>
                <w:sz w:val="24"/>
                <w:highlight w:val="none"/>
              </w:rPr>
            </w:pPr>
            <w:r>
              <w:rPr>
                <w:rFonts w:hint="eastAsia" w:ascii="宋体" w:hAnsi="宋体" w:cs="宋体"/>
                <w:color w:val="000000"/>
                <w:sz w:val="24"/>
                <w:highlight w:val="none"/>
              </w:rPr>
              <w:t xml:space="preserve">职工人数</w:t>
            </w:r>
            <w:r>
              <w:rPr>
                <w:rFonts w:hint="eastAsia" w:ascii="宋体" w:hAnsi="宋体" w:cs="宋体"/>
                <w:color w:val="000000"/>
                <w:sz w:val="24"/>
                <w:highlight w:val="none"/>
              </w:rPr>
            </w:r>
            <w:r/>
          </w:p>
        </w:tc>
        <w:tc>
          <w:tcPr>
            <w:gridSpan w:val="3"/>
            <w:tcW w:w="5742" w:type="dxa"/>
            <w:vAlign w:val="center"/>
            <w:textDirection w:val="lrTb"/>
            <w:noWrap w:val="false"/>
          </w:tcPr>
          <w:p>
            <w:pPr>
              <w:pStyle w:val="1060"/>
              <w:spacing w:line="48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共    人。其中业务主管    人；</w:t>
            </w:r>
            <w:r>
              <w:rPr>
                <w:rFonts w:hint="eastAsia" w:ascii="宋体" w:hAnsi="宋体" w:cs="宋体"/>
                <w:color w:val="000000"/>
                <w:sz w:val="24"/>
                <w:highlight w:val="none"/>
              </w:rPr>
            </w:r>
            <w:r/>
          </w:p>
          <w:p>
            <w:pPr>
              <w:pStyle w:val="1060"/>
              <w:spacing w:line="48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专业技术人员    人；其他    人。</w:t>
            </w:r>
            <w:r>
              <w:rPr>
                <w:rFonts w:hint="eastAsia" w:ascii="宋体" w:hAnsi="宋体" w:cs="宋体"/>
                <w:color w:val="000000"/>
                <w:sz w:val="24"/>
                <w:highlight w:val="none"/>
              </w:rPr>
            </w:r>
            <w:r/>
          </w:p>
        </w:tc>
      </w:tr>
      <w:tr>
        <w:trPr>
          <w:cantSplit/>
          <w:trHeight w:val="624"/>
        </w:trPr>
        <w:tc>
          <w:tcPr>
            <w:tcW w:w="2798" w:type="dxa"/>
            <w:vAlign w:val="center"/>
            <w:textDirection w:val="lrTb"/>
            <w:noWrap w:val="false"/>
          </w:tcPr>
          <w:p>
            <w:pPr>
              <w:pStyle w:val="1060"/>
              <w:widowControl/>
              <w:rPr>
                <w:rFonts w:hint="eastAsia" w:ascii="宋体" w:hAnsi="宋体" w:cs="宋体"/>
                <w:color w:val="000000"/>
                <w:sz w:val="24"/>
                <w:highlight w:val="none"/>
              </w:rPr>
            </w:pPr>
            <w:r>
              <w:rPr>
                <w:rFonts w:hint="eastAsia" w:ascii="宋体" w:hAnsi="宋体" w:cs="宋体"/>
                <w:color w:val="000000"/>
                <w:sz w:val="24"/>
                <w:highlight w:val="none"/>
              </w:rPr>
              <w:t xml:space="preserve">建筑面积</w:t>
            </w:r>
            <w:r>
              <w:rPr>
                <w:rFonts w:hint="eastAsia" w:ascii="宋体" w:hAnsi="宋体" w:cs="宋体"/>
                <w:color w:val="000000"/>
                <w:sz w:val="24"/>
                <w:highlight w:val="none"/>
              </w:rPr>
            </w:r>
            <w:r/>
          </w:p>
        </w:tc>
        <w:tc>
          <w:tcPr>
            <w:tcW w:w="1935" w:type="dxa"/>
            <w:vAlign w:val="center"/>
            <w:textDirection w:val="lrTb"/>
            <w:noWrap w:val="false"/>
          </w:tcPr>
          <w:p>
            <w:pPr>
              <w:pStyle w:val="1060"/>
              <w:ind w:firstLine="960"/>
              <w:widowControl/>
              <w:rPr>
                <w:rFonts w:hint="eastAsia" w:ascii="宋体" w:hAnsi="宋体" w:cs="宋体"/>
                <w:color w:val="000000"/>
                <w:sz w:val="24"/>
                <w:highlight w:val="none"/>
              </w:rPr>
            </w:pPr>
            <w:r>
              <w:rPr>
                <w:rFonts w:hint="eastAsia" w:ascii="宋体" w:hAnsi="宋体" w:cs="宋体"/>
                <w:color w:val="000000"/>
                <w:sz w:val="24"/>
                <w:highlight w:val="none"/>
              </w:rPr>
              <w:t xml:space="preserve">平方米</w:t>
            </w:r>
            <w:r>
              <w:rPr>
                <w:rFonts w:hint="eastAsia" w:ascii="宋体" w:hAnsi="宋体" w:cs="宋体"/>
                <w:color w:val="000000"/>
                <w:sz w:val="24"/>
                <w:highlight w:val="none"/>
              </w:rPr>
            </w:r>
            <w:r/>
          </w:p>
        </w:tc>
        <w:tc>
          <w:tcPr>
            <w:tcW w:w="1665" w:type="dxa"/>
            <w:vAlign w:val="center"/>
            <w:textDirection w:val="lrTb"/>
            <w:noWrap w:val="false"/>
          </w:tcPr>
          <w:p>
            <w:pPr>
              <w:pStyle w:val="1060"/>
              <w:widowControl/>
              <w:rPr>
                <w:rFonts w:hint="eastAsia" w:ascii="宋体" w:hAnsi="宋体" w:cs="宋体"/>
                <w:color w:val="000000"/>
                <w:sz w:val="24"/>
                <w:highlight w:val="none"/>
              </w:rPr>
            </w:pPr>
            <w:r>
              <w:rPr>
                <w:rFonts w:hint="eastAsia" w:ascii="宋体" w:hAnsi="宋体" w:cs="宋体"/>
                <w:color w:val="000000"/>
                <w:sz w:val="24"/>
                <w:highlight w:val="none"/>
              </w:rPr>
              <w:t xml:space="preserve">业务用房面积</w:t>
            </w:r>
            <w:r>
              <w:rPr>
                <w:rFonts w:hint="eastAsia" w:ascii="宋体" w:hAnsi="宋体" w:cs="宋体"/>
                <w:color w:val="000000"/>
                <w:sz w:val="24"/>
                <w:highlight w:val="none"/>
              </w:rPr>
            </w:r>
            <w:r/>
          </w:p>
        </w:tc>
        <w:tc>
          <w:tcPr>
            <w:tcW w:w="2142" w:type="dxa"/>
            <w:vAlign w:val="center"/>
            <w:textDirection w:val="lrTb"/>
            <w:noWrap w:val="false"/>
          </w:tcPr>
          <w:p>
            <w:pPr>
              <w:pStyle w:val="1060"/>
              <w:ind w:firstLine="1200"/>
              <w:widowControl/>
              <w:rPr>
                <w:rFonts w:hint="eastAsia" w:ascii="宋体" w:hAnsi="宋体" w:cs="宋体"/>
                <w:color w:val="000000"/>
                <w:sz w:val="24"/>
                <w:highlight w:val="none"/>
              </w:rPr>
            </w:pPr>
            <w:r>
              <w:rPr>
                <w:rFonts w:hint="eastAsia" w:ascii="宋体" w:hAnsi="宋体" w:cs="宋体"/>
                <w:color w:val="000000"/>
                <w:sz w:val="24"/>
                <w:highlight w:val="none"/>
              </w:rPr>
              <w:t xml:space="preserve">平方米</w:t>
            </w:r>
            <w:r>
              <w:rPr>
                <w:rFonts w:hint="eastAsia" w:ascii="宋体" w:hAnsi="宋体" w:cs="宋体"/>
                <w:color w:val="000000"/>
                <w:sz w:val="24"/>
                <w:highlight w:val="none"/>
              </w:rPr>
            </w:r>
            <w:r/>
          </w:p>
        </w:tc>
      </w:tr>
      <w:tr>
        <w:trPr>
          <w:cantSplit/>
          <w:trHeight w:val="624"/>
        </w:trPr>
        <w:tc>
          <w:tcPr>
            <w:tcW w:w="2798" w:type="dxa"/>
            <w:vAlign w:val="center"/>
            <w:textDirection w:val="lrTb"/>
            <w:noWrap w:val="false"/>
          </w:tcPr>
          <w:p>
            <w:pPr>
              <w:pStyle w:val="1060"/>
              <w:widowControl/>
              <w:rPr>
                <w:rFonts w:hint="eastAsia" w:ascii="宋体" w:hAnsi="宋体" w:cs="宋体"/>
                <w:color w:val="000000"/>
                <w:sz w:val="24"/>
                <w:highlight w:val="none"/>
              </w:rPr>
            </w:pPr>
            <w:r>
              <w:rPr>
                <w:rFonts w:hint="eastAsia" w:ascii="宋体" w:hAnsi="宋体" w:cs="宋体"/>
                <w:color w:val="000000"/>
                <w:sz w:val="24"/>
                <w:highlight w:val="none"/>
              </w:rPr>
              <w:t xml:space="preserve">服务对象人数</w:t>
            </w:r>
            <w:r>
              <w:rPr>
                <w:rFonts w:hint="eastAsia" w:ascii="宋体" w:hAnsi="宋体" w:cs="宋体"/>
                <w:color w:val="000000"/>
                <w:sz w:val="24"/>
                <w:highlight w:val="none"/>
              </w:rPr>
            </w:r>
            <w:r/>
          </w:p>
        </w:tc>
        <w:tc>
          <w:tcPr>
            <w:gridSpan w:val="3"/>
            <w:tcW w:w="5742" w:type="dxa"/>
            <w:vAlign w:val="center"/>
            <w:textDirection w:val="lrTb"/>
            <w:noWrap w:val="false"/>
          </w:tcPr>
          <w:p>
            <w:pPr>
              <w:pStyle w:val="1060"/>
              <w:widowControl/>
              <w:rPr>
                <w:rFonts w:hint="eastAsia" w:ascii="宋体" w:hAnsi="宋体" w:cs="宋体"/>
                <w:color w:val="000000"/>
                <w:sz w:val="24"/>
                <w:highlight w:val="none"/>
              </w:rPr>
            </w:pPr>
            <w:r>
              <w:rPr>
                <w:rFonts w:hint="eastAsia" w:ascii="宋体" w:hAnsi="宋体" w:cs="宋体"/>
                <w:color w:val="000000"/>
                <w:sz w:val="24"/>
                <w:highlight w:val="none"/>
              </w:rPr>
              <w:t xml:space="preserve">         人</w:t>
            </w:r>
            <w:r>
              <w:rPr>
                <w:rFonts w:hint="eastAsia" w:ascii="宋体" w:hAnsi="宋体" w:cs="宋体"/>
                <w:color w:val="000000"/>
                <w:sz w:val="24"/>
                <w:highlight w:val="none"/>
              </w:rPr>
            </w:r>
            <w:r/>
          </w:p>
        </w:tc>
      </w:tr>
      <w:tr>
        <w:trPr>
          <w:cantSplit/>
          <w:trHeight w:val="1247"/>
        </w:trPr>
        <w:tc>
          <w:tcPr>
            <w:tcW w:w="2798" w:type="dxa"/>
            <w:vAlign w:val="center"/>
            <w:textDirection w:val="lrTb"/>
            <w:noWrap w:val="false"/>
          </w:tcPr>
          <w:p>
            <w:pPr>
              <w:pStyle w:val="1060"/>
              <w:widowControl/>
              <w:rPr>
                <w:rFonts w:hint="eastAsia" w:ascii="宋体" w:hAnsi="宋体" w:cs="宋体"/>
                <w:color w:val="000000"/>
                <w:sz w:val="24"/>
                <w:highlight w:val="none"/>
              </w:rPr>
            </w:pPr>
            <w:r>
              <w:rPr>
                <w:rFonts w:hint="eastAsia" w:ascii="宋体" w:hAnsi="宋体" w:cs="宋体"/>
                <w:color w:val="000000"/>
                <w:sz w:val="24"/>
                <w:highlight w:val="none"/>
              </w:rPr>
              <w:t xml:space="preserve">在经营过程中受到何种奖励或处分</w:t>
            </w:r>
            <w:r>
              <w:rPr>
                <w:rFonts w:hint="eastAsia" w:ascii="宋体" w:hAnsi="宋体" w:cs="宋体"/>
                <w:color w:val="000000"/>
                <w:sz w:val="24"/>
                <w:highlight w:val="none"/>
              </w:rPr>
            </w:r>
            <w:r/>
          </w:p>
        </w:tc>
        <w:tc>
          <w:tcPr>
            <w:gridSpan w:val="3"/>
            <w:tcW w:w="5742" w:type="dxa"/>
            <w:vAlign w:val="center"/>
            <w:textDirection w:val="lrTb"/>
            <w:noWrap w:val="false"/>
          </w:tcPr>
          <w:p>
            <w:pPr>
              <w:pStyle w:val="1060"/>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1247"/>
        </w:trPr>
        <w:tc>
          <w:tcPr>
            <w:tcW w:w="2798" w:type="dxa"/>
            <w:vAlign w:val="center"/>
            <w:textDirection w:val="lrTb"/>
            <w:noWrap w:val="false"/>
          </w:tcPr>
          <w:p>
            <w:pPr>
              <w:pStyle w:val="1060"/>
              <w:widowControl/>
              <w:rPr>
                <w:rFonts w:hint="eastAsia" w:ascii="宋体" w:hAnsi="宋体" w:cs="宋体"/>
                <w:color w:val="000000"/>
                <w:sz w:val="24"/>
                <w:highlight w:val="none"/>
              </w:rPr>
            </w:pPr>
            <w:r>
              <w:rPr>
                <w:rFonts w:hint="eastAsia" w:ascii="宋体" w:hAnsi="宋体" w:cs="宋体"/>
                <w:color w:val="000000"/>
                <w:sz w:val="24"/>
                <w:highlight w:val="none"/>
              </w:rPr>
              <w:t xml:space="preserve">有无因违纪或是其他原因被服务对象投诉或起诉的情况及说明</w:t>
            </w:r>
            <w:r>
              <w:rPr>
                <w:rFonts w:hint="eastAsia" w:ascii="宋体" w:hAnsi="宋体" w:cs="宋体"/>
                <w:color w:val="000000"/>
                <w:sz w:val="24"/>
                <w:highlight w:val="none"/>
              </w:rPr>
            </w:r>
            <w:r/>
          </w:p>
        </w:tc>
        <w:tc>
          <w:tcPr>
            <w:gridSpan w:val="3"/>
            <w:tcW w:w="5742" w:type="dxa"/>
            <w:vAlign w:val="center"/>
            <w:textDirection w:val="lrTb"/>
            <w:noWrap w:val="false"/>
          </w:tcPr>
          <w:p>
            <w:pPr>
              <w:pStyle w:val="1060"/>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737"/>
        </w:trPr>
        <w:tc>
          <w:tcPr>
            <w:gridSpan w:val="4"/>
            <w:tcW w:w="8540" w:type="dxa"/>
            <w:vAlign w:val="center"/>
            <w:textDirection w:val="lrTb"/>
            <w:noWrap w:val="false"/>
          </w:tcPr>
          <w:p>
            <w:pPr>
              <w:pStyle w:val="1060"/>
              <w:widowControl/>
              <w:rPr>
                <w:rFonts w:hint="eastAsia" w:ascii="宋体" w:hAnsi="宋体" w:cs="宋体"/>
                <w:color w:val="000000"/>
                <w:sz w:val="24"/>
                <w:highlight w:val="none"/>
              </w:rPr>
            </w:pPr>
            <w:r>
              <w:rPr>
                <w:rFonts w:hint="eastAsia" w:ascii="宋体" w:hAnsi="宋体" w:cs="宋体"/>
                <w:color w:val="000000"/>
                <w:sz w:val="24"/>
                <w:highlight w:val="none"/>
              </w:rPr>
              <w:t xml:space="preserve">其他需要说明的情况：</w:t>
            </w:r>
            <w:r>
              <w:rPr>
                <w:rFonts w:hint="eastAsia" w:ascii="宋体" w:hAnsi="宋体" w:cs="宋体"/>
                <w:color w:val="000000"/>
                <w:sz w:val="24"/>
                <w:highlight w:val="none"/>
              </w:rPr>
            </w:r>
            <w:r/>
          </w:p>
        </w:tc>
      </w:tr>
    </w:tbl>
    <w:p>
      <w:pPr>
        <w:pStyle w:val="1060"/>
        <w:jc w:val="left"/>
        <w:spacing w:line="360" w:lineRule="auto"/>
        <w:rPr>
          <w:rFonts w:hint="eastAsia" w:ascii="宋体" w:hAnsi="宋体" w:cs="宋体"/>
          <w:b/>
          <w:color w:val="000000"/>
          <w:sz w:val="24"/>
          <w:highlight w:val="none"/>
          <w:lang w:val="zh-CN"/>
        </w:rPr>
      </w:pPr>
      <w:r>
        <w:rPr>
          <w:rFonts w:hint="eastAsia" w:ascii="宋体" w:hAnsi="宋体" w:cs="宋体"/>
          <w:b/>
          <w:bCs/>
          <w:color w:val="000000"/>
          <w:sz w:val="24"/>
          <w:highlight w:val="none"/>
          <w:lang w:val="zh-CN"/>
        </w:rPr>
        <w:br w:type="page" w:clear="all"/>
      </w:r>
      <w:r>
        <w:rPr>
          <w:rFonts w:hint="eastAsia" w:ascii="宋体" w:hAnsi="宋体" w:cs="宋体"/>
          <w:b/>
          <w:bCs/>
          <w:color w:val="000000"/>
          <w:sz w:val="24"/>
          <w:highlight w:val="none"/>
          <w:lang w:val="zh-CN"/>
        </w:rPr>
        <w:t xml:space="preserve">附件</w:t>
      </w:r>
      <w:r>
        <w:rPr>
          <w:rFonts w:hint="eastAsia" w:ascii="宋体" w:hAnsi="宋体" w:cs="宋体"/>
          <w:b/>
          <w:bCs/>
          <w:color w:val="000000"/>
          <w:sz w:val="24"/>
          <w:highlight w:val="none"/>
        </w:rPr>
        <w:t xml:space="preserve">9</w:t>
      </w:r>
      <w:r>
        <w:rPr>
          <w:rFonts w:hint="eastAsia" w:ascii="宋体" w:hAnsi="宋体" w:cs="宋体"/>
          <w:b/>
          <w:bCs/>
          <w:color w:val="000000"/>
          <w:sz w:val="24"/>
          <w:highlight w:val="none"/>
          <w:lang w:val="zh-CN"/>
        </w:rPr>
        <w:t xml:space="preserve">、</w:t>
      </w:r>
      <w:r>
        <w:rPr>
          <w:rFonts w:hint="eastAsia" w:ascii="宋体" w:hAnsi="宋体" w:cs="宋体"/>
          <w:b/>
          <w:color w:val="000000"/>
          <w:sz w:val="24"/>
          <w:highlight w:val="none"/>
          <w:lang w:val="zh-CN"/>
        </w:rPr>
        <w:t xml:space="preserve">响应单位资格承诺书</w:t>
      </w:r>
      <w:r>
        <w:rPr>
          <w:rFonts w:hint="eastAsia" w:ascii="宋体" w:hAnsi="宋体" w:cs="宋体"/>
          <w:b/>
          <w:color w:val="000000"/>
          <w:sz w:val="24"/>
          <w:highlight w:val="none"/>
          <w:lang w:val="zh-CN"/>
        </w:rPr>
      </w:r>
      <w:r/>
    </w:p>
    <w:p>
      <w:pPr>
        <w:pStyle w:val="1060"/>
        <w:jc w:val="center"/>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响应单位资格承诺书</w:t>
      </w:r>
      <w:r>
        <w:rPr>
          <w:rFonts w:hint="eastAsia" w:ascii="宋体" w:hAnsi="宋体" w:cs="宋体"/>
          <w:color w:val="000000"/>
          <w:sz w:val="24"/>
          <w:highlight w:val="none"/>
          <w:lang w:val="zh-CN"/>
        </w:rPr>
      </w:r>
      <w:r/>
    </w:p>
    <w:p>
      <w:pPr>
        <w:pStyle w:val="1060"/>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响应单位：（公章）                              采购编号：             号</w:t>
      </w:r>
      <w:r>
        <w:rPr>
          <w:rFonts w:hint="eastAsia" w:ascii="宋体" w:hAnsi="宋体" w:cs="宋体"/>
          <w:color w:val="000000"/>
          <w:sz w:val="24"/>
          <w:highlight w:val="none"/>
        </w:rPr>
      </w:r>
      <w:r/>
    </w:p>
    <w:tbl>
      <w:tblPr>
        <w:tblW w:w="963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
        <w:gridCol w:w="2805"/>
        <w:gridCol w:w="1123"/>
        <w:gridCol w:w="4839"/>
      </w:tblGrid>
      <w:tr>
        <w:trPr>
          <w:trHeight w:val="696"/>
        </w:trPr>
        <w:tc>
          <w:tcPr>
            <w:tcW w:w="867" w:type="dxa"/>
            <w:vAlign w:val="center"/>
            <w:textDirection w:val="lrTb"/>
            <w:noWrap w:val="false"/>
          </w:tcPr>
          <w:p>
            <w:pPr>
              <w:pStyle w:val="1060"/>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序号</w:t>
            </w:r>
            <w:r>
              <w:rPr>
                <w:rFonts w:hint="eastAsia" w:ascii="宋体" w:hAnsi="宋体" w:cs="宋体"/>
                <w:color w:val="000000"/>
                <w:sz w:val="24"/>
                <w:highlight w:val="none"/>
                <w:lang w:val="zh-CN"/>
              </w:rPr>
            </w:r>
            <w:r/>
          </w:p>
        </w:tc>
        <w:tc>
          <w:tcPr>
            <w:tcW w:w="2805" w:type="dxa"/>
            <w:vAlign w:val="center"/>
            <w:textDirection w:val="lrTb"/>
            <w:noWrap w:val="false"/>
          </w:tcPr>
          <w:p>
            <w:pPr>
              <w:pStyle w:val="1060"/>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响应单位部分资格要求</w:t>
            </w:r>
            <w:r>
              <w:rPr>
                <w:rFonts w:hint="eastAsia" w:ascii="宋体" w:hAnsi="宋体" w:cs="宋体"/>
                <w:color w:val="000000"/>
                <w:sz w:val="24"/>
                <w:highlight w:val="none"/>
                <w:lang w:val="zh-CN"/>
              </w:rPr>
            </w:r>
            <w:r/>
          </w:p>
        </w:tc>
        <w:tc>
          <w:tcPr>
            <w:tcW w:w="1123" w:type="dxa"/>
            <w:vAlign w:val="center"/>
            <w:textDirection w:val="lrTb"/>
            <w:noWrap w:val="false"/>
          </w:tcPr>
          <w:p>
            <w:pPr>
              <w:pStyle w:val="1060"/>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是否完全满足</w:t>
            </w:r>
            <w:r>
              <w:rPr>
                <w:rFonts w:hint="eastAsia" w:ascii="宋体" w:hAnsi="宋体" w:cs="宋体"/>
                <w:color w:val="000000"/>
                <w:sz w:val="24"/>
                <w:highlight w:val="none"/>
                <w:lang w:val="zh-CN"/>
              </w:rPr>
            </w:r>
            <w:r/>
          </w:p>
        </w:tc>
        <w:tc>
          <w:tcPr>
            <w:tcW w:w="4839" w:type="dxa"/>
            <w:vAlign w:val="center"/>
            <w:textDirection w:val="lrTb"/>
            <w:noWrap w:val="false"/>
          </w:tcPr>
          <w:p>
            <w:pPr>
              <w:pStyle w:val="1060"/>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备注</w:t>
            </w:r>
            <w:r>
              <w:rPr>
                <w:rFonts w:hint="eastAsia" w:ascii="宋体" w:hAnsi="宋体" w:cs="宋体"/>
                <w:color w:val="000000"/>
                <w:sz w:val="24"/>
                <w:highlight w:val="none"/>
                <w:lang w:val="zh-CN"/>
              </w:rPr>
            </w:r>
            <w:r/>
          </w:p>
        </w:tc>
      </w:tr>
      <w:tr>
        <w:trPr>
          <w:trHeight w:val="660"/>
        </w:trPr>
        <w:tc>
          <w:tcPr>
            <w:tcW w:w="867" w:type="dxa"/>
            <w:vAlign w:val="center"/>
            <w:textDirection w:val="lrTb"/>
            <w:noWrap w:val="false"/>
          </w:tcPr>
          <w:p>
            <w:pPr>
              <w:pStyle w:val="1060"/>
              <w:jc w:val="center"/>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2805" w:type="dxa"/>
            <w:vAlign w:val="center"/>
            <w:textDirection w:val="lrTb"/>
            <w:noWrap w:val="false"/>
          </w:tcPr>
          <w:p>
            <w:pPr>
              <w:pStyle w:val="1060"/>
              <w:rPr>
                <w:rFonts w:hint="eastAsia" w:ascii="宋体" w:hAnsi="宋体" w:cs="宋体"/>
                <w:color w:val="000000"/>
                <w:sz w:val="24"/>
                <w:highlight w:val="none"/>
              </w:rPr>
            </w:pPr>
            <w:r>
              <w:rPr>
                <w:rFonts w:hint="eastAsia" w:ascii="宋体" w:hAnsi="宋体" w:cs="宋体"/>
                <w:color w:val="000000"/>
                <w:sz w:val="24"/>
                <w:highlight w:val="none"/>
              </w:rPr>
              <w:t xml:space="preserve">具有独立承担民事责任的能力；</w:t>
            </w:r>
            <w:r>
              <w:rPr>
                <w:rFonts w:hint="eastAsia" w:ascii="宋体" w:hAnsi="宋体" w:cs="宋体"/>
                <w:color w:val="000000"/>
                <w:sz w:val="24"/>
                <w:highlight w:val="none"/>
              </w:rPr>
            </w:r>
            <w:r/>
          </w:p>
        </w:tc>
        <w:tc>
          <w:tcPr>
            <w:tcW w:w="1123" w:type="dxa"/>
            <w:vAlign w:val="center"/>
            <w:textDirection w:val="lrTb"/>
            <w:noWrap w:val="false"/>
          </w:tcPr>
          <w:p>
            <w:pPr>
              <w:pStyle w:val="106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4839" w:type="dxa"/>
            <w:vAlign w:val="center"/>
            <w:textDirection w:val="lrTb"/>
            <w:noWrap w:val="false"/>
          </w:tcPr>
          <w:p>
            <w:pPr>
              <w:pStyle w:val="1060"/>
              <w:rPr>
                <w:rFonts w:hint="eastAsia" w:ascii="宋体" w:hAnsi="宋体" w:cs="宋体"/>
                <w:color w:val="000000"/>
                <w:sz w:val="24"/>
                <w:highlight w:val="none"/>
              </w:rPr>
            </w:pPr>
            <w:r>
              <w:rPr>
                <w:rFonts w:hint="eastAsia" w:ascii="宋体" w:hAnsi="宋体" w:cs="宋体"/>
                <w:color w:val="000000"/>
                <w:sz w:val="24"/>
                <w:highlight w:val="none"/>
              </w:rPr>
              <w:t xml:space="preserve">提供包括法人或者其他组织的营业执照等证明文件，自然人的身份证明</w:t>
            </w:r>
            <w:r>
              <w:rPr>
                <w:rFonts w:hint="eastAsia" w:ascii="宋体" w:hAnsi="宋体" w:cs="宋体"/>
                <w:color w:val="000000"/>
                <w:sz w:val="24"/>
                <w:highlight w:val="none"/>
              </w:rPr>
            </w:r>
            <w:r/>
          </w:p>
        </w:tc>
      </w:tr>
      <w:tr>
        <w:trPr>
          <w:trHeight w:val="660"/>
        </w:trPr>
        <w:tc>
          <w:tcPr>
            <w:tcW w:w="867" w:type="dxa"/>
            <w:vAlign w:val="center"/>
            <w:textDirection w:val="lrTb"/>
            <w:noWrap w:val="false"/>
          </w:tcPr>
          <w:p>
            <w:pPr>
              <w:pStyle w:val="1060"/>
              <w:jc w:val="center"/>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2805" w:type="dxa"/>
            <w:vAlign w:val="center"/>
            <w:textDirection w:val="lrTb"/>
            <w:noWrap w:val="false"/>
          </w:tcPr>
          <w:p>
            <w:pPr>
              <w:pStyle w:val="1060"/>
              <w:rPr>
                <w:rFonts w:hint="eastAsia" w:ascii="宋体" w:hAnsi="宋体" w:cs="宋体"/>
                <w:color w:val="000000"/>
                <w:sz w:val="24"/>
                <w:highlight w:val="none"/>
              </w:rPr>
            </w:pPr>
            <w:r>
              <w:rPr>
                <w:rFonts w:hint="eastAsia" w:ascii="宋体" w:hAnsi="宋体" w:cs="宋体"/>
                <w:color w:val="000000"/>
                <w:sz w:val="24"/>
                <w:highlight w:val="none"/>
              </w:rPr>
              <w:t xml:space="preserve">具有良好的商业信誉和健全的财务会计制度；</w:t>
            </w:r>
            <w:r>
              <w:rPr>
                <w:rFonts w:hint="eastAsia" w:ascii="宋体" w:hAnsi="宋体" w:cs="宋体"/>
                <w:color w:val="000000"/>
                <w:sz w:val="24"/>
                <w:highlight w:val="none"/>
              </w:rPr>
            </w:r>
            <w:r/>
          </w:p>
        </w:tc>
        <w:tc>
          <w:tcPr>
            <w:tcW w:w="1123" w:type="dxa"/>
            <w:vAlign w:val="center"/>
            <w:textDirection w:val="lrTb"/>
            <w:noWrap w:val="false"/>
          </w:tcPr>
          <w:p>
            <w:pPr>
              <w:pStyle w:val="106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4839" w:type="dxa"/>
            <w:vAlign w:val="center"/>
            <w:textDirection w:val="lrTb"/>
            <w:noWrap w:val="false"/>
          </w:tcPr>
          <w:p>
            <w:pPr>
              <w:pStyle w:val="1060"/>
              <w:rPr>
                <w:rFonts w:hint="eastAsia" w:ascii="宋体" w:hAnsi="宋体" w:cs="宋体"/>
                <w:color w:val="000000"/>
                <w:sz w:val="24"/>
                <w:highlight w:val="none"/>
              </w:rPr>
            </w:pPr>
            <w:r>
              <w:rPr>
                <w:rFonts w:hint="eastAsia" w:ascii="宋体" w:hAnsi="宋体" w:cs="宋体"/>
                <w:color w:val="000000"/>
                <w:sz w:val="24"/>
                <w:highlight w:val="none"/>
              </w:rPr>
              <w:t xml:space="preserve">提供包括但不限于最近一期经审计的财务报告，其他组织、自然人及成立未满一年的法人应提供银行出具的资信证明</w:t>
            </w:r>
            <w:r>
              <w:rPr>
                <w:rFonts w:hint="eastAsia" w:ascii="宋体" w:hAnsi="宋体" w:cs="宋体"/>
                <w:color w:val="000000"/>
                <w:sz w:val="24"/>
                <w:highlight w:val="none"/>
              </w:rPr>
            </w:r>
            <w:r/>
          </w:p>
        </w:tc>
      </w:tr>
      <w:tr>
        <w:trPr>
          <w:trHeight w:val="660"/>
        </w:trPr>
        <w:tc>
          <w:tcPr>
            <w:tcW w:w="867" w:type="dxa"/>
            <w:vAlign w:val="center"/>
            <w:textDirection w:val="lrTb"/>
            <w:noWrap w:val="false"/>
          </w:tcPr>
          <w:p>
            <w:pPr>
              <w:pStyle w:val="1060"/>
              <w:jc w:val="center"/>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2805" w:type="dxa"/>
            <w:vAlign w:val="center"/>
            <w:textDirection w:val="lrTb"/>
            <w:noWrap w:val="false"/>
          </w:tcPr>
          <w:p>
            <w:pPr>
              <w:pStyle w:val="1060"/>
              <w:rPr>
                <w:rFonts w:hint="eastAsia" w:ascii="宋体" w:hAnsi="宋体" w:cs="宋体"/>
                <w:color w:val="000000"/>
                <w:sz w:val="24"/>
                <w:highlight w:val="none"/>
              </w:rPr>
            </w:pPr>
            <w:r>
              <w:rPr>
                <w:rFonts w:hint="eastAsia" w:ascii="宋体" w:hAnsi="宋体" w:cs="宋体"/>
                <w:color w:val="000000"/>
                <w:sz w:val="24"/>
                <w:highlight w:val="none"/>
              </w:rPr>
              <w:t xml:space="preserve">具有履行合同所必需的设备和专业技术能力；</w:t>
            </w:r>
            <w:r>
              <w:rPr>
                <w:rFonts w:hint="eastAsia" w:ascii="宋体" w:hAnsi="宋体" w:cs="宋体"/>
                <w:color w:val="000000"/>
                <w:sz w:val="24"/>
                <w:highlight w:val="none"/>
              </w:rPr>
            </w:r>
            <w:r/>
          </w:p>
        </w:tc>
        <w:tc>
          <w:tcPr>
            <w:tcW w:w="1123" w:type="dxa"/>
            <w:vAlign w:val="center"/>
            <w:textDirection w:val="lrTb"/>
            <w:noWrap w:val="false"/>
          </w:tcPr>
          <w:p>
            <w:pPr>
              <w:pStyle w:val="106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4839" w:type="dxa"/>
            <w:vAlign w:val="center"/>
            <w:textDirection w:val="lrTb"/>
            <w:noWrap w:val="false"/>
          </w:tcPr>
          <w:p>
            <w:pPr>
              <w:pStyle w:val="1060"/>
              <w:rPr>
                <w:rFonts w:hint="eastAsia" w:ascii="宋体" w:hAnsi="宋体" w:cs="宋体"/>
                <w:color w:val="000000"/>
                <w:sz w:val="24"/>
                <w:highlight w:val="none"/>
              </w:rPr>
            </w:pPr>
            <w:r>
              <w:rPr>
                <w:rFonts w:hint="eastAsia" w:ascii="宋体" w:hAnsi="宋体" w:cs="宋体"/>
                <w:color w:val="000000"/>
                <w:sz w:val="24"/>
                <w:highlight w:val="none"/>
              </w:rPr>
              <w:t xml:space="preserve">提供证明材料或承诺；</w:t>
            </w:r>
            <w:r>
              <w:rPr>
                <w:rFonts w:hint="eastAsia" w:ascii="宋体" w:hAnsi="宋体" w:cs="宋体"/>
                <w:color w:val="000000"/>
                <w:sz w:val="24"/>
                <w:highlight w:val="none"/>
              </w:rPr>
            </w:r>
            <w:r/>
          </w:p>
        </w:tc>
      </w:tr>
      <w:tr>
        <w:trPr>
          <w:trHeight w:val="660"/>
        </w:trPr>
        <w:tc>
          <w:tcPr>
            <w:tcW w:w="867" w:type="dxa"/>
            <w:vAlign w:val="center"/>
            <w:textDirection w:val="lrTb"/>
            <w:noWrap w:val="false"/>
          </w:tcPr>
          <w:p>
            <w:pPr>
              <w:pStyle w:val="1060"/>
              <w:jc w:val="center"/>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2805" w:type="dxa"/>
            <w:vAlign w:val="center"/>
            <w:textDirection w:val="lrTb"/>
            <w:noWrap w:val="false"/>
          </w:tcPr>
          <w:p>
            <w:pPr>
              <w:pStyle w:val="1060"/>
              <w:rPr>
                <w:rFonts w:hint="eastAsia" w:ascii="宋体" w:hAnsi="宋体" w:cs="宋体"/>
                <w:color w:val="000000"/>
                <w:sz w:val="24"/>
                <w:highlight w:val="none"/>
              </w:rPr>
            </w:pPr>
            <w:r>
              <w:rPr>
                <w:rFonts w:hint="eastAsia" w:ascii="宋体" w:hAnsi="宋体" w:cs="宋体"/>
                <w:color w:val="000000"/>
                <w:sz w:val="24"/>
                <w:highlight w:val="none"/>
              </w:rPr>
              <w:t xml:space="preserve">有依法缴纳税收和社会保障资金的良好记录；</w:t>
            </w:r>
            <w:r>
              <w:rPr>
                <w:rFonts w:hint="eastAsia" w:ascii="宋体" w:hAnsi="宋体" w:cs="宋体"/>
                <w:color w:val="000000"/>
                <w:sz w:val="24"/>
                <w:highlight w:val="none"/>
              </w:rPr>
            </w:r>
            <w:r/>
          </w:p>
        </w:tc>
        <w:tc>
          <w:tcPr>
            <w:tcW w:w="1123" w:type="dxa"/>
            <w:vAlign w:val="center"/>
            <w:textDirection w:val="lrTb"/>
            <w:noWrap w:val="false"/>
          </w:tcPr>
          <w:p>
            <w:pPr>
              <w:pStyle w:val="106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4839" w:type="dxa"/>
            <w:vAlign w:val="center"/>
            <w:textDirection w:val="lrTb"/>
            <w:noWrap w:val="false"/>
          </w:tcPr>
          <w:p>
            <w:pPr>
              <w:pStyle w:val="1060"/>
              <w:rPr>
                <w:rFonts w:hint="eastAsia" w:ascii="宋体" w:hAnsi="宋体" w:cs="宋体"/>
                <w:color w:val="000000"/>
                <w:sz w:val="24"/>
                <w:highlight w:val="none"/>
              </w:rPr>
            </w:pPr>
            <w:r>
              <w:rPr>
                <w:rFonts w:hint="eastAsia" w:ascii="宋体" w:hAnsi="宋体" w:cs="宋体"/>
                <w:color w:val="000000"/>
                <w:sz w:val="24"/>
                <w:highlight w:val="none"/>
              </w:rPr>
              <w:t xml:space="preserve">提供税务登记证（如有）和最近期的依法缴纳税收的凭据，最近期的依法缴纳社会保险的凭据（专用收据或社会保险缴纳清单），依法免税或不需要缴纳社会保障资金的供应商，应提供对应证明文件</w:t>
            </w:r>
            <w:r>
              <w:rPr>
                <w:rFonts w:hint="eastAsia" w:ascii="宋体" w:hAnsi="宋体" w:cs="宋体"/>
                <w:color w:val="000000"/>
                <w:sz w:val="24"/>
                <w:highlight w:val="none"/>
              </w:rPr>
            </w:r>
            <w:r/>
          </w:p>
        </w:tc>
      </w:tr>
      <w:tr>
        <w:trPr>
          <w:trHeight w:val="660"/>
        </w:trPr>
        <w:tc>
          <w:tcPr>
            <w:tcW w:w="867" w:type="dxa"/>
            <w:vAlign w:val="center"/>
            <w:textDirection w:val="lrTb"/>
            <w:noWrap w:val="false"/>
          </w:tcPr>
          <w:p>
            <w:pPr>
              <w:pStyle w:val="1060"/>
              <w:jc w:val="center"/>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2805" w:type="dxa"/>
            <w:vAlign w:val="center"/>
            <w:textDirection w:val="lrTb"/>
            <w:noWrap w:val="false"/>
          </w:tcPr>
          <w:p>
            <w:pPr>
              <w:pStyle w:val="1060"/>
              <w:rPr>
                <w:rFonts w:hint="eastAsia" w:ascii="宋体" w:hAnsi="宋体" w:cs="宋体"/>
                <w:color w:val="000000"/>
                <w:sz w:val="24"/>
                <w:highlight w:val="none"/>
              </w:rPr>
            </w:pPr>
            <w:r>
              <w:rPr>
                <w:rFonts w:hint="eastAsia" w:ascii="宋体" w:hAnsi="宋体" w:cs="宋体"/>
                <w:color w:val="000000"/>
                <w:sz w:val="24"/>
                <w:highlight w:val="none"/>
              </w:rPr>
              <w:t xml:space="preserve">参加政府采购活动前三年内，在经营活动中没有重大违法记录。</w:t>
            </w:r>
            <w:r>
              <w:rPr>
                <w:rFonts w:hint="eastAsia" w:ascii="宋体" w:hAnsi="宋体" w:cs="宋体"/>
                <w:color w:val="000000"/>
                <w:sz w:val="24"/>
                <w:highlight w:val="none"/>
              </w:rPr>
            </w:r>
            <w:r/>
          </w:p>
        </w:tc>
        <w:tc>
          <w:tcPr>
            <w:tcW w:w="1123" w:type="dxa"/>
            <w:vAlign w:val="center"/>
            <w:textDirection w:val="lrTb"/>
            <w:noWrap w:val="false"/>
          </w:tcPr>
          <w:p>
            <w:pPr>
              <w:pStyle w:val="106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4839" w:type="dxa"/>
            <w:vAlign w:val="center"/>
            <w:textDirection w:val="lrTb"/>
            <w:noWrap w:val="false"/>
          </w:tcPr>
          <w:p>
            <w:pPr>
              <w:pStyle w:val="1060"/>
              <w:rPr>
                <w:rFonts w:hint="eastAsia" w:ascii="宋体" w:hAnsi="宋体" w:cs="宋体"/>
                <w:color w:val="000000"/>
                <w:sz w:val="24"/>
                <w:highlight w:val="none"/>
              </w:rPr>
            </w:pPr>
            <w:r>
              <w:rPr>
                <w:rFonts w:hint="eastAsia" w:ascii="宋体" w:hAnsi="宋体" w:cs="宋体"/>
                <w:color w:val="000000"/>
                <w:sz w:val="24"/>
                <w:highlight w:val="none"/>
              </w:rPr>
              <w:t xml:space="preserve">提供书面声明函</w:t>
            </w:r>
            <w:r>
              <w:rPr>
                <w:rFonts w:hint="eastAsia" w:ascii="宋体" w:hAnsi="宋体" w:cs="宋体"/>
                <w:color w:val="000000"/>
                <w:sz w:val="24"/>
                <w:highlight w:val="none"/>
              </w:rPr>
            </w:r>
            <w:r/>
          </w:p>
        </w:tc>
      </w:tr>
      <w:tr>
        <w:trPr>
          <w:trHeight w:val="660"/>
        </w:trPr>
        <w:tc>
          <w:tcPr>
            <w:tcW w:w="867" w:type="dxa"/>
            <w:vAlign w:val="center"/>
            <w:textDirection w:val="lrTb"/>
            <w:noWrap w:val="false"/>
          </w:tcPr>
          <w:p>
            <w:pPr>
              <w:pStyle w:val="1060"/>
              <w:ind w:firstLine="24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w:t>
            </w:r>
            <w:r>
              <w:rPr>
                <w:rFonts w:hint="eastAsia" w:ascii="宋体" w:hAnsi="宋体" w:cs="宋体"/>
                <w:color w:val="000000"/>
                <w:sz w:val="24"/>
                <w:highlight w:val="none"/>
              </w:rPr>
            </w:r>
            <w:r/>
          </w:p>
        </w:tc>
        <w:tc>
          <w:tcPr>
            <w:tcW w:w="2805" w:type="dxa"/>
            <w:vAlign w:val="center"/>
            <w:textDirection w:val="lrTb"/>
            <w:noWrap w:val="false"/>
          </w:tcPr>
          <w:p>
            <w:pPr>
              <w:pStyle w:val="10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法律、行政法规规定的其他条件；</w:t>
            </w:r>
            <w:r>
              <w:rPr>
                <w:rFonts w:hint="eastAsia" w:ascii="宋体" w:hAnsi="宋体" w:cs="宋体"/>
                <w:color w:val="000000"/>
                <w:sz w:val="24"/>
                <w:highlight w:val="none"/>
              </w:rPr>
            </w:r>
            <w:r/>
          </w:p>
        </w:tc>
        <w:tc>
          <w:tcPr>
            <w:tcW w:w="1123" w:type="dxa"/>
            <w:vAlign w:val="center"/>
            <w:textDirection w:val="lrTb"/>
            <w:noWrap w:val="false"/>
          </w:tcPr>
          <w:p>
            <w:pPr>
              <w:pStyle w:val="106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4839" w:type="dxa"/>
            <w:vAlign w:val="center"/>
            <w:textDirection w:val="lrTb"/>
            <w:noWrap w:val="false"/>
          </w:tcPr>
          <w:p>
            <w:pPr>
              <w:pStyle w:val="10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提供包括法人或者其他组织的营业执照等证明文件，自然人的身份证明</w:t>
            </w:r>
            <w:r>
              <w:rPr>
                <w:rFonts w:hint="eastAsia" w:ascii="宋体" w:hAnsi="宋体" w:cs="宋体"/>
                <w:color w:val="000000"/>
                <w:sz w:val="24"/>
                <w:highlight w:val="none"/>
              </w:rPr>
            </w:r>
            <w:r/>
          </w:p>
        </w:tc>
      </w:tr>
      <w:tr>
        <w:trPr>
          <w:trHeight w:val="660"/>
        </w:trPr>
        <w:tc>
          <w:tcPr>
            <w:tcW w:w="867" w:type="dxa"/>
            <w:vAlign w:val="center"/>
            <w:textDirection w:val="lrTb"/>
            <w:noWrap w:val="false"/>
          </w:tcPr>
          <w:p>
            <w:pPr>
              <w:pStyle w:val="106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w:t>
            </w:r>
            <w:r>
              <w:rPr>
                <w:rFonts w:hint="eastAsia" w:ascii="宋体" w:hAnsi="宋体" w:cs="宋体"/>
                <w:color w:val="000000"/>
                <w:sz w:val="24"/>
                <w:highlight w:val="none"/>
              </w:rPr>
            </w:r>
            <w:r/>
          </w:p>
        </w:tc>
        <w:tc>
          <w:tcPr>
            <w:tcW w:w="2805" w:type="dxa"/>
            <w:vAlign w:val="center"/>
            <w:textDirection w:val="lrTb"/>
            <w:noWrap w:val="false"/>
          </w:tcPr>
          <w:p>
            <w:pPr>
              <w:pStyle w:val="10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合格响应单位特殊要求（如有）</w:t>
            </w:r>
            <w:r>
              <w:rPr>
                <w:rFonts w:hint="eastAsia" w:ascii="宋体" w:hAnsi="宋体" w:cs="宋体"/>
                <w:color w:val="000000"/>
                <w:sz w:val="24"/>
                <w:highlight w:val="none"/>
              </w:rPr>
            </w:r>
            <w:r/>
          </w:p>
        </w:tc>
        <w:tc>
          <w:tcPr>
            <w:tcW w:w="1123" w:type="dxa"/>
            <w:vAlign w:val="center"/>
            <w:textDirection w:val="lrTb"/>
            <w:noWrap w:val="false"/>
          </w:tcPr>
          <w:p>
            <w:pPr>
              <w:pStyle w:val="106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4839" w:type="dxa"/>
            <w:vAlign w:val="center"/>
            <w:textDirection w:val="lrTb"/>
            <w:noWrap w:val="false"/>
          </w:tcPr>
          <w:p>
            <w:pPr>
              <w:pStyle w:val="10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按征集公告要求</w:t>
            </w:r>
            <w:r>
              <w:rPr>
                <w:rFonts w:hint="eastAsia" w:ascii="宋体" w:hAnsi="宋体" w:cs="宋体"/>
                <w:color w:val="000000"/>
                <w:sz w:val="24"/>
                <w:highlight w:val="none"/>
              </w:rPr>
            </w:r>
            <w:r/>
          </w:p>
        </w:tc>
      </w:tr>
    </w:tbl>
    <w:p>
      <w:pPr>
        <w:pStyle w:val="1060"/>
        <w:ind w:firstLine="36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p>
      <w:pPr>
        <w:pStyle w:val="1060"/>
        <w:pageBreakBefore/>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t xml:space="preserve">附件</w:t>
      </w:r>
      <w:r>
        <w:rPr>
          <w:rFonts w:hint="eastAsia" w:ascii="宋体" w:hAnsi="宋体" w:cs="宋体"/>
          <w:b/>
          <w:bCs/>
          <w:color w:val="000000"/>
          <w:sz w:val="24"/>
          <w:highlight w:val="none"/>
        </w:rPr>
        <w:t xml:space="preserve">10</w:t>
      </w:r>
      <w:r>
        <w:rPr>
          <w:rFonts w:hint="eastAsia" w:ascii="宋体" w:hAnsi="宋体" w:cs="宋体"/>
          <w:b/>
          <w:color w:val="000000"/>
          <w:sz w:val="24"/>
          <w:highlight w:val="none"/>
        </w:rPr>
        <w:t xml:space="preserve">、</w:t>
      </w:r>
      <w:r>
        <w:rPr>
          <w:rFonts w:hint="eastAsia" w:ascii="宋体" w:hAnsi="宋体" w:cs="宋体"/>
          <w:b/>
          <w:bCs/>
          <w:color w:val="000000"/>
          <w:sz w:val="24"/>
          <w:highlight w:val="none"/>
          <w:lang w:val="zh-CN"/>
        </w:rPr>
        <w:t xml:space="preserve">中小企业声明资料</w:t>
      </w:r>
      <w:r>
        <w:rPr>
          <w:rFonts w:hint="eastAsia" w:ascii="宋体" w:hAnsi="宋体" w:cs="宋体"/>
          <w:b/>
          <w:bCs/>
          <w:color w:val="000000"/>
          <w:sz w:val="24"/>
          <w:highlight w:val="none"/>
          <w:lang w:val="zh-CN"/>
        </w:rPr>
      </w:r>
      <w:r/>
    </w:p>
    <w:p>
      <w:pPr>
        <w:pStyle w:val="106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中小企业声明函（服务） </w:t>
      </w:r>
      <w:r>
        <w:rPr>
          <w:rFonts w:hint="eastAsia" w:ascii="宋体" w:hAnsi="宋体" w:cs="宋体"/>
          <w:color w:val="000000"/>
          <w:sz w:val="24"/>
          <w:highlight w:val="none"/>
        </w:rPr>
      </w:r>
      <w:r/>
    </w:p>
    <w:p>
      <w:pPr>
        <w:pStyle w:val="1060"/>
        <w:ind w:firstLine="484"/>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本公司（或联合体）郑重声明，根据《政府采购促进中小企业发展管理办法》（财库﹝2020﹞46 号）的规定，本公司 （或联合体）参加</w:t>
      </w:r>
      <w:r>
        <w:rPr>
          <w:rFonts w:hint="eastAsia" w:ascii="宋体" w:hAnsi="宋体" w:cs="宋体"/>
          <w:color w:val="000000"/>
          <w:sz w:val="24"/>
          <w:highlight w:val="none"/>
          <w:u w:val="single"/>
        </w:rPr>
        <w:t xml:space="preserve">（单位名称）</w:t>
      </w:r>
      <w:r>
        <w:rPr>
          <w:rFonts w:hint="eastAsia" w:ascii="宋体" w:hAnsi="宋体" w:cs="宋体"/>
          <w:color w:val="000000"/>
          <w:sz w:val="24"/>
          <w:highlight w:val="none"/>
        </w:rPr>
        <w:t xml:space="preserve">的</w:t>
      </w:r>
      <w:r>
        <w:rPr>
          <w:rFonts w:hint="eastAsia" w:ascii="宋体" w:hAnsi="宋体" w:cs="宋体"/>
          <w:color w:val="000000"/>
          <w:sz w:val="24"/>
          <w:highlight w:val="none"/>
          <w:u w:val="single"/>
        </w:rPr>
        <w:t xml:space="preserve">（项目名称）</w:t>
      </w:r>
      <w:r>
        <w:rPr>
          <w:rFonts w:hint="eastAsia" w:ascii="宋体" w:hAnsi="宋体" w:cs="宋体"/>
          <w:color w:val="000000"/>
          <w:sz w:val="24"/>
          <w:highlight w:val="none"/>
        </w:rPr>
        <w:t xml:space="preserve">采购活动，服务全部由符合政策要求的中小企业承接。相关企业（含联合体中的中小企业、签订分包意向协议的中小企业）的具体情况如下： </w:t>
      </w:r>
      <w:r>
        <w:rPr>
          <w:rFonts w:hint="eastAsia" w:ascii="宋体" w:hAnsi="宋体" w:cs="宋体"/>
          <w:color w:val="000000"/>
          <w:sz w:val="24"/>
          <w:highlight w:val="none"/>
        </w:rPr>
      </w:r>
      <w:r/>
    </w:p>
    <w:p>
      <w:pPr>
        <w:pStyle w:val="1060"/>
        <w:ind w:firstLine="484"/>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 </w:t>
      </w:r>
      <w:r>
        <w:rPr>
          <w:rFonts w:hint="eastAsia" w:ascii="宋体" w:hAnsi="宋体" w:cs="宋体"/>
          <w:color w:val="000000"/>
          <w:sz w:val="24"/>
          <w:highlight w:val="none"/>
          <w:u w:val="single"/>
        </w:rPr>
        <w:t xml:space="preserve">（标的名称） </w:t>
      </w:r>
      <w:r>
        <w:rPr>
          <w:rFonts w:hint="eastAsia" w:ascii="宋体" w:hAnsi="宋体" w:cs="宋体"/>
          <w:color w:val="000000"/>
          <w:sz w:val="24"/>
          <w:highlight w:val="none"/>
        </w:rPr>
        <w:t xml:space="preserve">，属于</w:t>
      </w:r>
      <w:r>
        <w:rPr>
          <w:rFonts w:hint="eastAsia" w:ascii="宋体" w:hAnsi="宋体" w:cs="宋体"/>
          <w:color w:val="000000"/>
          <w:sz w:val="24"/>
          <w:highlight w:val="none"/>
          <w:u w:val="single"/>
        </w:rPr>
        <w:t xml:space="preserve">（其他未列明行业）</w:t>
      </w:r>
      <w:r>
        <w:rPr>
          <w:rFonts w:hint="eastAsia" w:ascii="宋体" w:hAnsi="宋体" w:cs="宋体"/>
          <w:color w:val="000000"/>
          <w:sz w:val="24"/>
          <w:highlight w:val="none"/>
        </w:rPr>
        <w:t xml:space="preserve">； 承建（承接）企业为</w:t>
      </w:r>
      <w:r>
        <w:rPr>
          <w:rFonts w:hint="eastAsia" w:ascii="宋体" w:hAnsi="宋体" w:cs="宋体"/>
          <w:color w:val="000000"/>
          <w:sz w:val="24"/>
          <w:highlight w:val="none"/>
          <w:u w:val="single"/>
        </w:rPr>
        <w:t xml:space="preserve">（企业名称）</w:t>
      </w:r>
      <w:r>
        <w:rPr>
          <w:rFonts w:hint="eastAsia" w:ascii="宋体" w:hAnsi="宋体" w:cs="宋体"/>
          <w:color w:val="000000"/>
          <w:sz w:val="24"/>
          <w:highlight w:val="none"/>
        </w:rPr>
        <w:t xml:space="preserve">，从业人员人，营业收入为万元，资产总额为万元</w:t>
      </w:r>
      <w:r>
        <w:rPr>
          <w:rFonts w:hint="eastAsia" w:ascii="宋体" w:hAnsi="宋体" w:cs="宋体"/>
          <w:color w:val="000000"/>
          <w:sz w:val="24"/>
          <w:highlight w:val="none"/>
          <w:vertAlign w:val="superscript"/>
        </w:rPr>
        <w:t xml:space="preserve">1</w:t>
      </w:r>
      <w:r>
        <w:rPr>
          <w:rFonts w:hint="eastAsia" w:ascii="宋体" w:hAnsi="宋体" w:cs="宋体"/>
          <w:color w:val="000000"/>
          <w:sz w:val="24"/>
          <w:highlight w:val="none"/>
        </w:rPr>
        <w:t xml:space="preserve">，属于</w:t>
      </w:r>
      <w:r>
        <w:rPr>
          <w:rFonts w:hint="eastAsia" w:ascii="宋体" w:hAnsi="宋体" w:cs="宋体"/>
          <w:color w:val="000000"/>
          <w:sz w:val="24"/>
          <w:highlight w:val="none"/>
          <w:u w:val="single"/>
        </w:rPr>
        <w:t xml:space="preserve">（中型企业、 小型企业、微型企业）</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1060"/>
        <w:ind w:firstLine="484"/>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 </w:t>
      </w:r>
      <w:r>
        <w:rPr>
          <w:rFonts w:hint="eastAsia" w:ascii="宋体" w:hAnsi="宋体" w:cs="宋体"/>
          <w:color w:val="000000"/>
          <w:sz w:val="24"/>
          <w:highlight w:val="none"/>
          <w:u w:val="single"/>
        </w:rPr>
        <w:t xml:space="preserve">（标的名称） </w:t>
      </w:r>
      <w:r>
        <w:rPr>
          <w:rFonts w:hint="eastAsia" w:ascii="宋体" w:hAnsi="宋体" w:cs="宋体"/>
          <w:color w:val="000000"/>
          <w:sz w:val="24"/>
          <w:highlight w:val="none"/>
        </w:rPr>
        <w:t xml:space="preserve">，属于</w:t>
      </w:r>
      <w:r>
        <w:rPr>
          <w:rFonts w:hint="eastAsia" w:ascii="宋体" w:hAnsi="宋体" w:cs="宋体"/>
          <w:color w:val="000000"/>
          <w:sz w:val="24"/>
          <w:highlight w:val="none"/>
          <w:u w:val="single"/>
        </w:rPr>
        <w:t xml:space="preserve">（其他未列明行业）</w:t>
      </w:r>
      <w:r>
        <w:rPr>
          <w:rFonts w:hint="eastAsia" w:ascii="宋体" w:hAnsi="宋体" w:cs="宋体"/>
          <w:color w:val="000000"/>
          <w:sz w:val="24"/>
          <w:highlight w:val="none"/>
        </w:rPr>
        <w:t xml:space="preserve">； 承建（承接）企业为</w:t>
      </w:r>
      <w:r>
        <w:rPr>
          <w:rFonts w:hint="eastAsia" w:ascii="宋体" w:hAnsi="宋体" w:cs="宋体"/>
          <w:color w:val="000000"/>
          <w:sz w:val="24"/>
          <w:highlight w:val="none"/>
          <w:u w:val="single"/>
        </w:rPr>
        <w:t xml:space="preserve">（企业名称）</w:t>
      </w:r>
      <w:r>
        <w:rPr>
          <w:rFonts w:hint="eastAsia" w:ascii="宋体" w:hAnsi="宋体" w:cs="宋体"/>
          <w:color w:val="000000"/>
          <w:sz w:val="24"/>
          <w:highlight w:val="none"/>
        </w:rPr>
        <w:t xml:space="preserve">，从业人员人，营业收入为万元，资产总额为万元</w:t>
      </w:r>
      <w:r>
        <w:rPr>
          <w:rFonts w:hint="eastAsia" w:ascii="宋体" w:hAnsi="宋体" w:cs="宋体"/>
          <w:color w:val="000000"/>
          <w:sz w:val="24"/>
          <w:highlight w:val="none"/>
          <w:vertAlign w:val="superscript"/>
        </w:rPr>
        <w:t xml:space="preserve">1</w:t>
      </w:r>
      <w:r>
        <w:rPr>
          <w:rFonts w:hint="eastAsia" w:ascii="宋体" w:hAnsi="宋体" w:cs="宋体"/>
          <w:color w:val="000000"/>
          <w:sz w:val="24"/>
          <w:highlight w:val="none"/>
        </w:rPr>
        <w:t xml:space="preserve">，属于</w:t>
      </w:r>
      <w:r>
        <w:rPr>
          <w:rFonts w:hint="eastAsia" w:ascii="宋体" w:hAnsi="宋体" w:cs="宋体"/>
          <w:color w:val="000000"/>
          <w:sz w:val="24"/>
          <w:highlight w:val="none"/>
          <w:u w:val="single"/>
        </w:rPr>
        <w:t xml:space="preserve">（中型企业、 小型企业、微型企业）</w:t>
      </w:r>
      <w:r>
        <w:rPr>
          <w:rFonts w:hint="eastAsia" w:ascii="宋体" w:hAnsi="宋体" w:cs="宋体"/>
          <w:color w:val="000000"/>
          <w:sz w:val="24"/>
          <w:highlight w:val="none"/>
        </w:rPr>
        <w:t xml:space="preserve">； …… </w:t>
      </w:r>
      <w:r>
        <w:rPr>
          <w:rFonts w:hint="eastAsia" w:ascii="宋体" w:hAnsi="宋体" w:cs="宋体"/>
          <w:color w:val="000000"/>
          <w:sz w:val="24"/>
          <w:highlight w:val="none"/>
        </w:rPr>
      </w:r>
      <w:r/>
    </w:p>
    <w:p>
      <w:pPr>
        <w:pStyle w:val="1060"/>
        <w:ind w:firstLine="484"/>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以上企业，不属于大企业的分支机构，不存在控股股东为大企业的情形，也不存在与大企业的负责人为同一人的情形。 本企业对上述声明内容的真实性负责。如有虚假，将依法承担相应责任。 </w:t>
      </w:r>
      <w:r>
        <w:rPr>
          <w:rFonts w:hint="eastAsia" w:ascii="宋体" w:hAnsi="宋体" w:cs="宋体"/>
          <w:color w:val="000000"/>
          <w:sz w:val="24"/>
          <w:highlight w:val="none"/>
        </w:rPr>
      </w:r>
      <w:r/>
    </w:p>
    <w:p>
      <w:pPr>
        <w:pStyle w:val="1060"/>
        <w:ind w:firstLine="484"/>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企业名称（盖章）：</w:t>
      </w:r>
      <w:r>
        <w:rPr>
          <w:rFonts w:hint="eastAsia" w:ascii="宋体" w:hAnsi="宋体" w:cs="宋体"/>
          <w:color w:val="000000"/>
          <w:sz w:val="24"/>
          <w:highlight w:val="none"/>
        </w:rPr>
      </w:r>
      <w:r/>
    </w:p>
    <w:p>
      <w:pPr>
        <w:pStyle w:val="1060"/>
        <w:ind w:firstLine="46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日 期：</w:t>
      </w:r>
      <w:r>
        <w:rPr>
          <w:rFonts w:hint="eastAsia" w:ascii="宋体" w:hAnsi="宋体" w:cs="宋体"/>
          <w:color w:val="000000"/>
          <w:sz w:val="24"/>
          <w:highlight w:val="none"/>
          <w:lang w:val="zh-CN"/>
        </w:rPr>
      </w:r>
      <w:r/>
    </w:p>
    <w:p>
      <w:pPr>
        <w:pStyle w:val="1060"/>
        <w:jc w:val="center"/>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p>
      <w:pPr>
        <w:pStyle w:val="1060"/>
        <w:jc w:val="center"/>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p>
      <w:pPr>
        <w:pStyle w:val="1263"/>
        <w:ind w:firstLine="482"/>
        <w:spacing w:line="360" w:lineRule="auto"/>
        <w:rPr>
          <w:rFonts w:hint="eastAsia" w:ascii="宋体" w:hAnsi="宋体" w:cs="宋体"/>
          <w:color w:val="000000"/>
          <w:sz w:val="24"/>
          <w:highlight w:val="none"/>
        </w:rPr>
      </w:pPr>
      <w:r>
        <w:rPr>
          <w:rFonts w:hint="eastAsia" w:ascii="宋体" w:hAnsi="宋体" w:cs="宋体"/>
          <w:b/>
          <w:bCs/>
          <w:color w:val="000000"/>
          <w:sz w:val="24"/>
          <w:highlight w:val="none"/>
        </w:rPr>
        <w:t xml:space="preserve">备注：从业人员、营业收入、资产总额填报上一年度数据，无上一年度数据的新成立企业可不填报，如未对（中型企业、小型企业、微型企业）进行勾选，视同非小微企业，不可享受相应优惠</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6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附：中小企业划型标准规定</w:t>
      </w:r>
      <w:r>
        <w:rPr>
          <w:rFonts w:hint="eastAsia" w:ascii="宋体" w:hAnsi="宋体" w:cs="宋体"/>
          <w:color w:val="000000"/>
          <w:sz w:val="24"/>
          <w:highlight w:val="none"/>
        </w:rPr>
      </w:r>
      <w:r/>
    </w:p>
    <w:p>
      <w:pPr>
        <w:pStyle w:val="106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（一）农、林、牧、渔业。营业收入20000万元以下的为中小微型企业。其中，营业收入500万元及以上的为中型企业，营业收入50万元及以上的为小型企业，营业收入50万元以下的为微型企业。</w:t>
      </w:r>
      <w:r>
        <w:rPr>
          <w:rFonts w:hint="eastAsia" w:ascii="宋体" w:hAnsi="宋体" w:cs="宋体"/>
          <w:color w:val="000000"/>
          <w:sz w:val="24"/>
          <w:highlight w:val="none"/>
        </w:rPr>
      </w:r>
      <w:r/>
    </w:p>
    <w:p>
      <w:pPr>
        <w:pStyle w:val="106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cs="宋体"/>
          <w:color w:val="000000"/>
          <w:sz w:val="24"/>
          <w:highlight w:val="none"/>
        </w:rPr>
      </w:r>
      <w:r/>
    </w:p>
    <w:p>
      <w:pPr>
        <w:pStyle w:val="106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cs="宋体"/>
          <w:color w:val="000000"/>
          <w:sz w:val="24"/>
          <w:highlight w:val="none"/>
        </w:rPr>
      </w:r>
      <w:r/>
    </w:p>
    <w:p>
      <w:pPr>
        <w:pStyle w:val="106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cs="宋体"/>
          <w:color w:val="000000"/>
          <w:sz w:val="24"/>
          <w:highlight w:val="none"/>
        </w:rPr>
      </w:r>
      <w:r/>
    </w:p>
    <w:p>
      <w:pPr>
        <w:pStyle w:val="106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cs="宋体"/>
          <w:color w:val="000000"/>
          <w:sz w:val="24"/>
          <w:highlight w:val="none"/>
        </w:rPr>
      </w:r>
      <w:r/>
    </w:p>
    <w:p>
      <w:pPr>
        <w:pStyle w:val="106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cs="宋体"/>
          <w:color w:val="000000"/>
          <w:sz w:val="24"/>
          <w:highlight w:val="none"/>
        </w:rPr>
      </w:r>
      <w:r/>
    </w:p>
    <w:p>
      <w:pPr>
        <w:pStyle w:val="106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cs="宋体"/>
          <w:color w:val="000000"/>
          <w:sz w:val="24"/>
          <w:highlight w:val="none"/>
        </w:rPr>
      </w:r>
      <w:r/>
    </w:p>
    <w:p>
      <w:pPr>
        <w:pStyle w:val="106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cs="宋体"/>
          <w:color w:val="000000"/>
          <w:sz w:val="24"/>
          <w:highlight w:val="none"/>
        </w:rPr>
      </w:r>
      <w:r/>
    </w:p>
    <w:p>
      <w:pPr>
        <w:pStyle w:val="106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cs="宋体"/>
          <w:color w:val="000000"/>
          <w:sz w:val="24"/>
          <w:highlight w:val="none"/>
        </w:rPr>
      </w:r>
      <w:r/>
    </w:p>
    <w:p>
      <w:pPr>
        <w:pStyle w:val="106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cs="宋体"/>
          <w:color w:val="000000"/>
          <w:sz w:val="24"/>
          <w:highlight w:val="none"/>
        </w:rPr>
      </w:r>
      <w:r/>
    </w:p>
    <w:p>
      <w:pPr>
        <w:pStyle w:val="106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cs="宋体"/>
          <w:color w:val="000000"/>
          <w:sz w:val="24"/>
          <w:highlight w:val="none"/>
        </w:rPr>
      </w:r>
      <w:r/>
    </w:p>
    <w:p>
      <w:pPr>
        <w:pStyle w:val="106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cs="宋体"/>
          <w:color w:val="000000"/>
          <w:sz w:val="24"/>
          <w:highlight w:val="none"/>
        </w:rPr>
      </w:r>
      <w:r/>
    </w:p>
    <w:p>
      <w:pPr>
        <w:pStyle w:val="106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cs="宋体"/>
          <w:color w:val="000000"/>
          <w:sz w:val="24"/>
          <w:highlight w:val="none"/>
        </w:rPr>
      </w:r>
      <w:r/>
    </w:p>
    <w:p>
      <w:pPr>
        <w:pStyle w:val="106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（十四）物业管理。从业人员1000人以下或营业收入5000万元以下的为中小微型企业。其中，从业人员</w:t>
      </w:r>
      <w:r>
        <w:rPr>
          <w:rFonts w:hint="eastAsia" w:ascii="宋体" w:hAnsi="宋体" w:cs="宋体"/>
          <w:color w:val="000000"/>
          <w:sz w:val="24"/>
          <w:highlight w:val="none"/>
        </w:rPr>
      </w:r>
      <w:r/>
    </w:p>
    <w:p>
      <w:pPr>
        <w:pStyle w:val="106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cs="宋体"/>
          <w:color w:val="000000"/>
          <w:sz w:val="24"/>
          <w:highlight w:val="none"/>
        </w:rPr>
      </w:r>
      <w:r/>
    </w:p>
    <w:p>
      <w:pPr>
        <w:pStyle w:val="106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cs="宋体"/>
          <w:color w:val="000000"/>
          <w:sz w:val="24"/>
          <w:highlight w:val="none"/>
        </w:rPr>
      </w:r>
      <w:r/>
    </w:p>
    <w:p>
      <w:pPr>
        <w:pStyle w:val="106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（十六）其他未列明行业。从业人员300人以下的为中小微型企业。其中，从业人员100人及以上的为中型企业；从业人员10人及以上的为小型企业；从业人员10人以下的为微型企业。</w:t>
      </w:r>
      <w:r>
        <w:rPr>
          <w:rFonts w:hint="eastAsia" w:ascii="宋体" w:hAnsi="宋体" w:cs="宋体"/>
          <w:color w:val="000000"/>
          <w:sz w:val="24"/>
          <w:highlight w:val="none"/>
        </w:rPr>
      </w:r>
      <w:r/>
    </w:p>
    <w:p>
      <w:pPr>
        <w:pStyle w:val="1060"/>
        <w:jc w:val="righ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94"/>
        <w:spacing w:line="360" w:lineRule="auto"/>
        <w:tabs>
          <w:tab w:val="left" w:pos="525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94"/>
        <w:spacing w:line="360" w:lineRule="auto"/>
        <w:tabs>
          <w:tab w:val="left" w:pos="525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94"/>
        <w:spacing w:line="360" w:lineRule="auto"/>
        <w:tabs>
          <w:tab w:val="left" w:pos="525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94"/>
        <w:spacing w:line="360" w:lineRule="auto"/>
        <w:tabs>
          <w:tab w:val="left" w:pos="525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94"/>
        <w:spacing w:line="360" w:lineRule="auto"/>
        <w:tabs>
          <w:tab w:val="left" w:pos="525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94"/>
        <w:spacing w:line="360" w:lineRule="auto"/>
        <w:tabs>
          <w:tab w:val="left" w:pos="525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94"/>
        <w:spacing w:line="360" w:lineRule="auto"/>
        <w:tabs>
          <w:tab w:val="left" w:pos="525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60"/>
        <w:ind w:right="-4"/>
        <w:pageBreakBefore/>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附件</w:t>
      </w:r>
      <w:bookmarkStart w:id="159" w:name="OLE_LINK14"/>
      <w:r/>
      <w:bookmarkStart w:id="160" w:name="OLE_LINK13"/>
      <w:r>
        <w:rPr>
          <w:rFonts w:hint="eastAsia" w:ascii="宋体" w:hAnsi="宋体" w:cs="宋体"/>
          <w:b/>
          <w:color w:val="000000"/>
          <w:sz w:val="24"/>
          <w:highlight w:val="none"/>
        </w:rPr>
        <w:t xml:space="preserve">11、残疾人福利性单位声明函</w:t>
      </w:r>
      <w:r>
        <w:rPr>
          <w:rFonts w:hint="eastAsia" w:ascii="宋体" w:hAnsi="宋体" w:cs="宋体"/>
          <w:b/>
          <w:color w:val="000000"/>
          <w:sz w:val="24"/>
          <w:highlight w:val="none"/>
        </w:rPr>
      </w:r>
      <w:r/>
    </w:p>
    <w:p>
      <w:pPr>
        <w:pStyle w:val="1060"/>
        <w:jc w:val="center"/>
        <w:spacing w:line="360" w:lineRule="auto"/>
        <w:rPr>
          <w:rFonts w:hint="eastAsia" w:ascii="宋体" w:hAnsi="宋体" w:cs="宋体"/>
          <w:b/>
          <w:color w:val="000000"/>
          <w:spacing w:val="6"/>
          <w:sz w:val="24"/>
          <w:highlight w:val="none"/>
        </w:rPr>
      </w:pPr>
      <w:r>
        <w:rPr>
          <w:rFonts w:hint="eastAsia" w:ascii="宋体" w:hAnsi="宋体" w:cs="宋体"/>
          <w:b/>
          <w:color w:val="000000"/>
          <w:spacing w:val="6"/>
          <w:sz w:val="24"/>
          <w:highlight w:val="none"/>
        </w:rPr>
        <w:t xml:space="preserve">残疾人福利性单位声明函</w:t>
      </w:r>
      <w:bookmarkEnd w:id="159"/>
      <w:r/>
      <w:bookmarkEnd w:id="160"/>
      <w:r>
        <w:rPr>
          <w:rFonts w:hint="eastAsia" w:ascii="宋体" w:hAnsi="宋体" w:cs="宋体"/>
          <w:b/>
          <w:color w:val="000000"/>
          <w:spacing w:val="6"/>
          <w:sz w:val="24"/>
          <w:highlight w:val="none"/>
        </w:rPr>
      </w:r>
      <w:r/>
    </w:p>
    <w:p>
      <w:pPr>
        <w:pStyle w:val="1060"/>
        <w:spacing w:line="360" w:lineRule="auto"/>
        <w:rPr>
          <w:rFonts w:hint="eastAsia" w:ascii="宋体" w:hAnsi="宋体" w:cs="宋体"/>
          <w:b/>
          <w:color w:val="000000"/>
          <w:spacing w:val="6"/>
          <w:sz w:val="24"/>
          <w:highlight w:val="none"/>
        </w:rPr>
      </w:pPr>
      <w:r>
        <w:rPr>
          <w:rFonts w:hint="eastAsia" w:ascii="宋体" w:hAnsi="宋体" w:cs="宋体"/>
          <w:b/>
          <w:color w:val="000000"/>
          <w:spacing w:val="6"/>
          <w:sz w:val="24"/>
          <w:highlight w:val="none"/>
        </w:rPr>
      </w:r>
      <w:r/>
    </w:p>
    <w:p>
      <w:pPr>
        <w:pStyle w:val="1060"/>
        <w:ind w:firstLine="504"/>
        <w:spacing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t xml:space="preserve">本单位郑重声明，根据《财政部  民政部  中国残疾人联合会关于促进残疾人就业政府采购政策的通知》（财库</w:t>
      </w:r>
      <w:r>
        <w:rPr>
          <w:rFonts w:hint="eastAsia" w:ascii="宋体" w:hAnsi="宋体" w:cs="宋体"/>
          <w:color w:val="000000"/>
          <w:sz w:val="24"/>
          <w:highlight w:val="none"/>
        </w:rPr>
        <w:t xml:space="preserve">〔2017〕141</w:t>
      </w:r>
      <w:r>
        <w:rPr>
          <w:rFonts w:hint="eastAsia" w:ascii="宋体" w:hAnsi="宋体" w:cs="宋体"/>
          <w:color w:val="000000"/>
          <w:spacing w:val="6"/>
          <w:sz w:val="24"/>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cs="宋体"/>
          <w:color w:val="000000"/>
          <w:spacing w:val="6"/>
          <w:sz w:val="24"/>
          <w:highlight w:val="none"/>
        </w:rPr>
      </w:r>
      <w:r/>
    </w:p>
    <w:p>
      <w:pPr>
        <w:pStyle w:val="1060"/>
        <w:ind w:firstLine="504"/>
        <w:spacing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t xml:space="preserve">本单位对上述声明的真实性负责。如有虚假，将依法承担相应责任。</w:t>
      </w:r>
      <w:r>
        <w:rPr>
          <w:rFonts w:hint="eastAsia" w:ascii="宋体" w:hAnsi="宋体" w:cs="宋体"/>
          <w:color w:val="000000"/>
          <w:spacing w:val="6"/>
          <w:sz w:val="24"/>
          <w:highlight w:val="none"/>
        </w:rPr>
      </w:r>
      <w:r/>
    </w:p>
    <w:p>
      <w:pPr>
        <w:pStyle w:val="1060"/>
        <w:ind w:firstLine="504"/>
        <w:spacing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r>
      <w:r/>
    </w:p>
    <w:p>
      <w:pPr>
        <w:pStyle w:val="1060"/>
        <w:ind w:firstLine="504"/>
        <w:spacing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r>
      <w:r/>
    </w:p>
    <w:p>
      <w:pPr>
        <w:pStyle w:val="1060"/>
        <w:ind w:right="1560" w:firstLine="504"/>
        <w:jc w:val="center"/>
        <w:spacing w:line="360" w:lineRule="auto"/>
        <w:tabs>
          <w:tab w:val="left" w:pos="4860" w:leader="none"/>
        </w:tabs>
        <w:rPr>
          <w:rFonts w:hint="eastAsia" w:ascii="宋体" w:hAnsi="宋体" w:cs="宋体"/>
          <w:color w:val="000000"/>
          <w:spacing w:val="6"/>
          <w:sz w:val="24"/>
          <w:highlight w:val="none"/>
        </w:rPr>
      </w:pPr>
      <w:r>
        <w:rPr>
          <w:rFonts w:hint="eastAsia" w:ascii="宋体" w:hAnsi="宋体" w:cs="宋体"/>
          <w:color w:val="000000"/>
          <w:spacing w:val="6"/>
          <w:sz w:val="24"/>
          <w:highlight w:val="none"/>
        </w:rPr>
        <w:t xml:space="preserve">                                  单位名称（盖章）：</w:t>
      </w:r>
      <w:r>
        <w:rPr>
          <w:rFonts w:hint="eastAsia" w:ascii="宋体" w:hAnsi="宋体" w:cs="宋体"/>
          <w:color w:val="000000"/>
          <w:spacing w:val="6"/>
          <w:sz w:val="24"/>
          <w:highlight w:val="none"/>
        </w:rPr>
      </w:r>
      <w:r/>
    </w:p>
    <w:p>
      <w:pPr>
        <w:pStyle w:val="1060"/>
        <w:ind w:right="1560" w:firstLine="504"/>
        <w:jc w:val="center"/>
        <w:spacing w:line="360" w:lineRule="auto"/>
        <w:tabs>
          <w:tab w:val="left" w:pos="4860" w:leader="none"/>
        </w:tabs>
        <w:rPr>
          <w:rFonts w:hint="eastAsia" w:ascii="宋体" w:hAnsi="宋体" w:cs="宋体"/>
          <w:color w:val="000000"/>
          <w:spacing w:val="6"/>
          <w:sz w:val="24"/>
          <w:highlight w:val="none"/>
        </w:rPr>
      </w:pPr>
      <w:r>
        <w:rPr>
          <w:rFonts w:hint="eastAsia" w:ascii="宋体" w:hAnsi="宋体" w:cs="宋体"/>
          <w:color w:val="000000"/>
          <w:spacing w:val="6"/>
          <w:sz w:val="24"/>
          <w:highlight w:val="none"/>
        </w:rPr>
        <w:t xml:space="preserve">                          日  期：</w:t>
      </w:r>
      <w:r>
        <w:rPr>
          <w:rFonts w:hint="eastAsia" w:ascii="宋体" w:hAnsi="宋体" w:cs="宋体"/>
          <w:color w:val="000000"/>
          <w:spacing w:val="6"/>
          <w:sz w:val="24"/>
          <w:highlight w:val="none"/>
        </w:rPr>
      </w:r>
      <w:r/>
    </w:p>
    <w:p>
      <w:pPr>
        <w:pStyle w:val="1060"/>
        <w:ind w:firstLine="378"/>
        <w:spacing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t xml:space="preserve">备注：</w:t>
      </w:r>
      <w:r>
        <w:rPr>
          <w:rFonts w:hint="eastAsia" w:ascii="宋体" w:hAnsi="宋体" w:cs="宋体"/>
          <w:color w:val="000000"/>
          <w:spacing w:val="6"/>
          <w:sz w:val="24"/>
          <w:highlight w:val="none"/>
        </w:rPr>
        <w:t xml:space="preserve">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中标供应商为残疾人福利性单位的，采购人或者其委托的采购代理机构应当随中标、中标结果同时公告其《残疾人福利性单位声明函》，接受社会监督。</w:t>
      </w:r>
      <w:r>
        <w:rPr>
          <w:rFonts w:hint="eastAsia" w:ascii="宋体" w:hAnsi="宋体" w:cs="宋体"/>
          <w:color w:val="000000"/>
          <w:spacing w:val="6"/>
          <w:sz w:val="24"/>
          <w:highlight w:val="none"/>
        </w:rPr>
      </w:r>
      <w:r/>
    </w:p>
    <w:p>
      <w:pPr>
        <w:pStyle w:val="1060"/>
        <w:ind w:firstLine="35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1060"/>
        <w:ind w:right="492" w:firstLine="441"/>
        <w:spacing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r>
      <w:r/>
    </w:p>
    <w:p>
      <w:pPr>
        <w:pStyle w:val="1060"/>
        <w:ind w:right="492" w:firstLine="441"/>
        <w:jc w:val="center"/>
        <w:spacing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r>
      <w:r/>
    </w:p>
    <w:p>
      <w:pPr>
        <w:pStyle w:val="1060"/>
        <w:ind w:right="492" w:firstLine="441"/>
        <w:jc w:val="center"/>
        <w:spacing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r>
      <w:r/>
    </w:p>
    <w:p>
      <w:pPr>
        <w:pStyle w:val="1060"/>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1060"/>
        <w:ind w:firstLine="482"/>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1060"/>
        <w:ind w:firstLine="482"/>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1060"/>
        <w:ind w:firstLine="482"/>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1060"/>
        <w:ind w:firstLine="482"/>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1060"/>
        <w:ind w:firstLine="482"/>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1060"/>
        <w:pageBreakBefore/>
        <w:spacing w:line="360" w:lineRule="auto"/>
        <w:rPr>
          <w:rFonts w:hint="eastAsia" w:ascii="宋体" w:hAnsi="宋体" w:cs="宋体"/>
          <w:b/>
          <w:bCs/>
          <w:color w:val="000000"/>
          <w:sz w:val="24"/>
          <w:highlight w:val="none"/>
        </w:rPr>
      </w:pPr>
      <w:r>
        <w:rPr>
          <w:rFonts w:hint="eastAsia" w:ascii="宋体" w:hAnsi="宋体" w:cs="宋体"/>
          <w:b/>
          <w:color w:val="000000"/>
          <w:sz w:val="24"/>
          <w:highlight w:val="none"/>
        </w:rPr>
        <w:t xml:space="preserve">附件12、监狱企业声明函</w:t>
      </w:r>
      <w:r>
        <w:rPr>
          <w:rFonts w:hint="eastAsia" w:ascii="宋体" w:hAnsi="宋体" w:cs="宋体"/>
          <w:b/>
          <w:bCs/>
          <w:color w:val="000000"/>
          <w:sz w:val="24"/>
          <w:highlight w:val="none"/>
        </w:rPr>
      </w:r>
      <w:r/>
    </w:p>
    <w:p>
      <w:pPr>
        <w:pStyle w:val="1060"/>
        <w:jc w:val="center"/>
        <w:spacing w:line="360" w:lineRule="auto"/>
        <w:rPr>
          <w:rFonts w:hint="eastAsia" w:ascii="宋体" w:hAnsi="宋体" w:cs="宋体"/>
          <w:b/>
          <w:color w:val="000000"/>
          <w:sz w:val="24"/>
          <w:highlight w:val="none"/>
        </w:rPr>
      </w:pPr>
      <w:r>
        <w:rPr>
          <w:rFonts w:hint="eastAsia" w:ascii="宋体" w:hAnsi="宋体" w:cs="宋体"/>
          <w:b/>
          <w:bCs/>
          <w:color w:val="000000"/>
          <w:sz w:val="24"/>
          <w:highlight w:val="none"/>
        </w:rPr>
        <w:t xml:space="preserve">监狱企业声明函</w:t>
      </w:r>
      <w:r>
        <w:rPr>
          <w:rFonts w:hint="eastAsia" w:ascii="宋体" w:hAnsi="宋体" w:cs="宋体"/>
          <w:b/>
          <w:color w:val="000000"/>
          <w:sz w:val="24"/>
          <w:highlight w:val="none"/>
        </w:rPr>
      </w:r>
      <w:r/>
    </w:p>
    <w:p>
      <w:pPr>
        <w:pStyle w:val="1139"/>
        <w:ind w:firstLine="480"/>
        <w:spacing w:before="75" w:beforeAutospacing="0" w:after="75" w:afterAutospacing="0" w:line="360" w:lineRule="auto"/>
        <w:rPr>
          <w:rFonts w:hint="eastAsia"/>
          <w:color w:val="000000"/>
          <w:highlight w:val="none"/>
        </w:rPr>
      </w:pPr>
      <w:r>
        <w:rPr>
          <w:rFonts w:hint="eastAsia"/>
          <w:color w:val="000000"/>
          <w:highlight w:val="none"/>
        </w:rPr>
      </w:r>
      <w:r/>
    </w:p>
    <w:p>
      <w:pPr>
        <w:pStyle w:val="1139"/>
        <w:ind w:firstLine="480"/>
        <w:spacing w:before="75" w:beforeAutospacing="0" w:after="75" w:afterAutospacing="0" w:line="360" w:lineRule="auto"/>
        <w:rPr>
          <w:rFonts w:hint="eastAsia"/>
          <w:color w:val="000000"/>
          <w:highlight w:val="none"/>
        </w:rPr>
      </w:pPr>
      <w:r>
        <w:rPr>
          <w:rFonts w:hint="eastAsia"/>
          <w:color w:val="000000"/>
          <w:highlight w:val="none"/>
        </w:rPr>
        <w:t xml:space="preserve">本企业（单位）郑重声明下列事项（按照实际情况勾选或填空）：</w:t>
      </w:r>
      <w:r>
        <w:rPr>
          <w:rFonts w:hint="eastAsia"/>
          <w:color w:val="000000"/>
          <w:highlight w:val="none"/>
        </w:rPr>
      </w:r>
      <w:r/>
    </w:p>
    <w:p>
      <w:pPr>
        <w:pStyle w:val="1139"/>
        <w:ind w:firstLine="480"/>
        <w:spacing w:before="75" w:beforeAutospacing="0" w:after="75" w:afterAutospacing="0" w:line="360" w:lineRule="auto"/>
        <w:rPr>
          <w:rFonts w:hint="eastAsia"/>
          <w:color w:val="000000"/>
          <w:highlight w:val="none"/>
        </w:rPr>
      </w:pPr>
      <w:r>
        <w:rPr>
          <w:rFonts w:hint="eastAsia"/>
          <w:color w:val="000000"/>
          <w:highlight w:val="none"/>
        </w:rPr>
        <w:t xml:space="preserve">本企业（单位）为直接响应单位提供本企业（单位）的服务。</w:t>
      </w:r>
      <w:r>
        <w:rPr>
          <w:rFonts w:hint="eastAsia"/>
          <w:color w:val="000000"/>
          <w:highlight w:val="none"/>
        </w:rPr>
      </w:r>
      <w:r/>
    </w:p>
    <w:p>
      <w:pPr>
        <w:pStyle w:val="1139"/>
        <w:numPr>
          <w:ilvl w:val="0"/>
          <w:numId w:val="2"/>
        </w:numPr>
        <w:ind w:firstLine="480"/>
        <w:spacing w:before="75" w:beforeAutospacing="0" w:after="75" w:afterAutospacing="0" w:line="360" w:lineRule="auto"/>
        <w:rPr>
          <w:rFonts w:hint="eastAsia"/>
          <w:color w:val="000000"/>
          <w:highlight w:val="none"/>
        </w:rPr>
      </w:pPr>
      <w:r>
        <w:rPr>
          <w:rFonts w:hint="eastAsia"/>
          <w:color w:val="000000"/>
          <w:highlight w:val="none"/>
        </w:rPr>
        <w:t xml:space="preserve">本企业（单位）（请填写：是、不是）监狱企业。</w:t>
      </w:r>
      <w:r>
        <w:rPr>
          <w:rFonts w:hint="eastAsia"/>
          <w:color w:val="000000"/>
          <w:highlight w:val="none"/>
        </w:rPr>
      </w:r>
      <w:r/>
    </w:p>
    <w:p>
      <w:pPr>
        <w:pStyle w:val="1139"/>
        <w:ind w:firstLine="480"/>
        <w:spacing w:before="75" w:beforeAutospacing="0" w:after="75" w:afterAutospacing="0" w:line="360" w:lineRule="auto"/>
        <w:rPr>
          <w:rFonts w:hint="eastAsia"/>
          <w:color w:val="000000"/>
          <w:highlight w:val="none"/>
        </w:rPr>
      </w:pPr>
      <w:r>
        <w:rPr>
          <w:rFonts w:hint="eastAsia"/>
          <w:color w:val="000000"/>
          <w:highlight w:val="none"/>
        </w:rPr>
        <w:t xml:space="preserve">（2）本企业（单位）（请填写：是、不是）为联合体一方，提供本企业（单位）的服务。本企业（单位）提供协议合同金额占到共同投标协议合同总金额的比例为。</w:t>
      </w:r>
      <w:r>
        <w:rPr>
          <w:rFonts w:hint="eastAsia"/>
          <w:color w:val="000000"/>
          <w:highlight w:val="none"/>
        </w:rPr>
      </w:r>
      <w:r/>
    </w:p>
    <w:p>
      <w:pPr>
        <w:pStyle w:val="1139"/>
        <w:ind w:firstLine="480"/>
        <w:spacing w:before="75" w:beforeAutospacing="0" w:after="75" w:afterAutospacing="0" w:line="360" w:lineRule="auto"/>
        <w:rPr>
          <w:rFonts w:hint="eastAsia"/>
          <w:color w:val="000000"/>
          <w:highlight w:val="none"/>
        </w:rPr>
      </w:pPr>
      <w:r>
        <w:rPr>
          <w:rFonts w:hint="eastAsia"/>
          <w:color w:val="000000"/>
          <w:highlight w:val="none"/>
        </w:rPr>
        <w:t xml:space="preserve">　　本企业（单位）对上述声明的真实性负责。如有虚假，将依法承担相应责任。</w:t>
      </w:r>
      <w:r>
        <w:rPr>
          <w:rFonts w:hint="eastAsia"/>
          <w:color w:val="000000"/>
          <w:highlight w:val="none"/>
        </w:rPr>
      </w:r>
      <w:r/>
    </w:p>
    <w:p>
      <w:pPr>
        <w:pStyle w:val="1139"/>
        <w:ind w:firstLine="480"/>
        <w:spacing w:before="75" w:beforeAutospacing="0" w:after="75" w:afterAutospacing="0" w:line="360" w:lineRule="auto"/>
        <w:rPr>
          <w:rFonts w:hint="eastAsia"/>
          <w:color w:val="000000"/>
          <w:highlight w:val="none"/>
        </w:rPr>
      </w:pPr>
      <w:r>
        <w:rPr>
          <w:rFonts w:hint="eastAsia"/>
          <w:color w:val="000000"/>
          <w:highlight w:val="none"/>
        </w:rPr>
      </w:r>
      <w:r/>
    </w:p>
    <w:p>
      <w:pPr>
        <w:pStyle w:val="1060"/>
        <w:ind w:firstLine="484"/>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60"/>
        <w:ind w:firstLine="484"/>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企业名称（盖章）：</w:t>
      </w:r>
      <w:r>
        <w:rPr>
          <w:rFonts w:hint="eastAsia" w:ascii="宋体" w:hAnsi="宋体" w:cs="宋体"/>
          <w:color w:val="000000"/>
          <w:sz w:val="24"/>
          <w:highlight w:val="none"/>
        </w:rPr>
      </w:r>
      <w:r/>
    </w:p>
    <w:p>
      <w:pPr>
        <w:pStyle w:val="1060"/>
        <w:ind w:firstLine="52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日 期：</w:t>
      </w:r>
      <w:r>
        <w:rPr>
          <w:rFonts w:hint="eastAsia" w:ascii="宋体" w:hAnsi="宋体" w:cs="宋体"/>
          <w:color w:val="000000"/>
          <w:sz w:val="24"/>
          <w:highlight w:val="none"/>
          <w:lang w:val="zh-CN"/>
        </w:rPr>
      </w:r>
      <w:r/>
    </w:p>
    <w:p>
      <w:pPr>
        <w:pStyle w:val="1060"/>
        <w:ind w:firstLine="482"/>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1060"/>
        <w:ind w:firstLine="482"/>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1060"/>
        <w:ind w:firstLine="482"/>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1060"/>
        <w:pageBreakBefore/>
        <w:spacing w:line="360" w:lineRule="auto"/>
        <w:widowControl/>
        <w:rPr>
          <w:rFonts w:hint="eastAsia" w:ascii="宋体" w:hAnsi="宋体" w:cs="宋体"/>
          <w:color w:val="000000"/>
          <w:sz w:val="24"/>
          <w:highlight w:val="none"/>
        </w:rPr>
      </w:pPr>
      <w:r>
        <w:rPr>
          <w:rFonts w:hint="eastAsia" w:ascii="宋体" w:hAnsi="宋体" w:cs="宋体"/>
          <w:b/>
          <w:color w:val="000000"/>
          <w:sz w:val="24"/>
          <w:highlight w:val="none"/>
        </w:rPr>
        <w:t xml:space="preserve">附件13、</w:t>
      </w:r>
      <w:r>
        <w:rPr>
          <w:rFonts w:hint="eastAsia" w:ascii="宋体" w:hAnsi="宋体" w:cs="宋体"/>
          <w:b/>
          <w:bCs/>
          <w:color w:val="000000"/>
          <w:sz w:val="24"/>
          <w:highlight w:val="none"/>
        </w:rPr>
        <w:t xml:space="preserve">投标（响应）保证承诺书</w:t>
      </w:r>
      <w:r>
        <w:rPr>
          <w:rFonts w:hint="eastAsia" w:ascii="宋体" w:hAnsi="宋体" w:cs="宋体"/>
          <w:color w:val="000000"/>
          <w:sz w:val="24"/>
          <w:highlight w:val="none"/>
        </w:rPr>
      </w:r>
      <w:r/>
    </w:p>
    <w:p>
      <w:pPr>
        <w:pStyle w:val="1094"/>
        <w:jc w:val="center"/>
        <w:spacing w:line="360" w:lineRule="auto"/>
        <w:tabs>
          <w:tab w:val="left" w:pos="525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投标（响应）保证承诺书</w:t>
      </w:r>
      <w:r>
        <w:rPr>
          <w:rFonts w:hint="eastAsia" w:ascii="宋体" w:hAnsi="宋体" w:eastAsia="宋体" w:cs="宋体"/>
          <w:color w:val="000000"/>
          <w:sz w:val="24"/>
          <w:szCs w:val="24"/>
          <w:highlight w:val="none"/>
        </w:rPr>
      </w:r>
      <w:r/>
    </w:p>
    <w:p>
      <w:pPr>
        <w:pStyle w:val="106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106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致：</w:t>
      </w:r>
      <w:r>
        <w:rPr>
          <w:rFonts w:hint="eastAsia" w:ascii="宋体" w:hAnsi="宋体" w:cs="宋体"/>
          <w:color w:val="000000"/>
          <w:sz w:val="24"/>
          <w:highlight w:val="none"/>
          <w:u w:val="single"/>
        </w:rPr>
        <w:t xml:space="preserve">         （采购代理机构名称）</w:t>
      </w:r>
      <w:r>
        <w:rPr>
          <w:rFonts w:hint="eastAsia" w:ascii="宋体" w:hAnsi="宋体" w:cs="宋体"/>
          <w:color w:val="000000"/>
          <w:sz w:val="24"/>
          <w:highlight w:val="none"/>
        </w:rPr>
      </w:r>
      <w:r/>
    </w:p>
    <w:p>
      <w:pPr>
        <w:pStyle w:val="1060"/>
        <w:ind w:firstLine="60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我（单位/本人，以下统称我单位）自愿参加</w:t>
      </w:r>
      <w:r>
        <w:rPr>
          <w:rFonts w:hint="eastAsia" w:ascii="宋体" w:hAnsi="宋体" w:cs="宋体"/>
          <w:color w:val="000000"/>
          <w:sz w:val="24"/>
          <w:highlight w:val="none"/>
          <w:u w:val="single"/>
        </w:rPr>
        <w:t xml:space="preserve">              （项目名称和采购编号）</w:t>
      </w:r>
      <w:r>
        <w:rPr>
          <w:rFonts w:hint="eastAsia" w:ascii="宋体" w:hAnsi="宋体" w:cs="宋体"/>
          <w:color w:val="000000"/>
          <w:sz w:val="24"/>
          <w:highlight w:val="none"/>
        </w:rPr>
        <w:t xml:space="preserve">分包号</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的投标（响应）,并做出如下承诺：</w:t>
      </w:r>
      <w:r>
        <w:rPr>
          <w:rFonts w:hint="eastAsia" w:ascii="宋体" w:hAnsi="宋体" w:cs="宋体"/>
          <w:color w:val="000000"/>
          <w:sz w:val="24"/>
          <w:highlight w:val="none"/>
        </w:rPr>
      </w:r>
      <w:r/>
    </w:p>
    <w:p>
      <w:pPr>
        <w:pStyle w:val="1060"/>
        <w:ind w:firstLine="555"/>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一、除不可抗力外，我单位如果发生以下行为，将在行为发生的 10个工作日内，向贵方</w:t>
      </w:r>
      <w:r>
        <w:rPr>
          <w:rFonts w:hint="eastAsia" w:ascii="宋体" w:hAnsi="宋体" w:cs="宋体"/>
          <w:color w:val="000000"/>
          <w:sz w:val="24"/>
          <w:highlight w:val="none"/>
          <w:u w:val="single"/>
        </w:rPr>
        <w:t xml:space="preserve">(或采购人)</w:t>
      </w:r>
      <w:r>
        <w:rPr>
          <w:rFonts w:hint="eastAsia" w:ascii="宋体" w:hAnsi="宋体" w:cs="宋体"/>
          <w:color w:val="000000"/>
          <w:sz w:val="24"/>
          <w:highlight w:val="none"/>
        </w:rPr>
        <w:t xml:space="preserve">支付本征集文件公布的预算金额(或最高限价)的2%作为违约赔偿金(本项目约定违约赔偿金具体金额为3000元)。</w:t>
      </w:r>
      <w:r>
        <w:rPr>
          <w:rFonts w:hint="eastAsia" w:ascii="宋体" w:hAnsi="宋体" w:cs="宋体"/>
          <w:color w:val="000000"/>
          <w:sz w:val="24"/>
          <w:highlight w:val="none"/>
        </w:rPr>
      </w:r>
      <w:r/>
    </w:p>
    <w:p>
      <w:pPr>
        <w:pStyle w:val="1060"/>
        <w:ind w:firstLine="555"/>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1.自投标（响应）截止时间至本项目发布中标（中标）公告为止，撤销投标（响应）；</w:t>
      </w:r>
      <w:r>
        <w:rPr>
          <w:rFonts w:hint="eastAsia" w:ascii="宋体" w:hAnsi="宋体" w:cs="宋体"/>
          <w:color w:val="000000"/>
          <w:sz w:val="24"/>
          <w:highlight w:val="none"/>
        </w:rPr>
      </w:r>
      <w:r/>
    </w:p>
    <w:p>
      <w:pPr>
        <w:pStyle w:val="1060"/>
        <w:ind w:firstLine="555"/>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2.中标（中标）后不依法与采购人签订合同；</w:t>
      </w:r>
      <w:r>
        <w:rPr>
          <w:rFonts w:hint="eastAsia" w:ascii="宋体" w:hAnsi="宋体" w:cs="宋体"/>
          <w:color w:val="000000"/>
          <w:sz w:val="24"/>
          <w:highlight w:val="none"/>
        </w:rPr>
      </w:r>
      <w:r/>
    </w:p>
    <w:p>
      <w:pPr>
        <w:pStyle w:val="1060"/>
        <w:ind w:firstLine="555"/>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3.中标（中标）后不按本征集文件规定向采购人提交履约保证金（如有）；</w:t>
      </w:r>
      <w:r>
        <w:rPr>
          <w:rFonts w:hint="eastAsia" w:ascii="宋体" w:hAnsi="宋体" w:cs="宋体"/>
          <w:color w:val="000000"/>
          <w:sz w:val="24"/>
          <w:highlight w:val="none"/>
        </w:rPr>
      </w:r>
      <w:r/>
    </w:p>
    <w:p>
      <w:pPr>
        <w:pStyle w:val="1060"/>
        <w:ind w:firstLine="555"/>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4.中标（中标）后不按本征集文件规定向贵方缴纳采购代理费（如有）。</w:t>
      </w:r>
      <w:r>
        <w:rPr>
          <w:rFonts w:hint="eastAsia" w:ascii="宋体" w:hAnsi="宋体" w:cs="宋体"/>
          <w:color w:val="000000"/>
          <w:sz w:val="24"/>
          <w:highlight w:val="none"/>
        </w:rPr>
      </w:r>
      <w:r/>
    </w:p>
    <w:p>
      <w:pPr>
        <w:pStyle w:val="1060"/>
        <w:ind w:firstLine="60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二、我单位知晓上述行为的法律后果，承认本承诺书作为贵方</w:t>
      </w:r>
      <w:r>
        <w:rPr>
          <w:rFonts w:hint="eastAsia" w:ascii="宋体" w:hAnsi="宋体" w:cs="宋体"/>
          <w:color w:val="000000"/>
          <w:sz w:val="24"/>
          <w:highlight w:val="none"/>
          <w:u w:val="single"/>
        </w:rPr>
        <w:t xml:space="preserve">（或采购人）</w:t>
      </w:r>
      <w:r>
        <w:rPr>
          <w:rFonts w:hint="eastAsia" w:ascii="宋体" w:hAnsi="宋体" w:cs="宋体"/>
          <w:color w:val="000000"/>
          <w:sz w:val="24"/>
          <w:highlight w:val="none"/>
        </w:rPr>
        <w:t xml:space="preserve">要求我单位履行违约赔偿义务的依据作用。</w:t>
      </w:r>
      <w:r>
        <w:rPr>
          <w:rFonts w:hint="eastAsia" w:ascii="宋体" w:hAnsi="宋体" w:cs="宋体"/>
          <w:color w:val="000000"/>
          <w:sz w:val="24"/>
          <w:highlight w:val="none"/>
        </w:rPr>
      </w:r>
      <w:r/>
    </w:p>
    <w:p>
      <w:pPr>
        <w:pStyle w:val="106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106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投标（响应）人（盖公章）：</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r>
      <w:r/>
    </w:p>
    <w:p>
      <w:pPr>
        <w:pStyle w:val="106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地址：</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r>
      <w:r/>
    </w:p>
    <w:p>
      <w:pPr>
        <w:pStyle w:val="106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电话：</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106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传真：</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r>
      <w:r/>
    </w:p>
    <w:p>
      <w:pPr>
        <w:pStyle w:val="106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电子邮件：</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106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邮编：</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r>
      <w:r/>
    </w:p>
    <w:p>
      <w:pPr>
        <w:pStyle w:val="106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法定代表人或委托代理人(签字或盖章）：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r>
      <w:r/>
    </w:p>
    <w:p>
      <w:pPr>
        <w:pStyle w:val="106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日期：</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r>
      <w:r/>
    </w:p>
    <w:p>
      <w:pPr>
        <w:pStyle w:val="1060"/>
        <w:ind w:firstLine="484"/>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106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60"/>
        <w:jc w:val="left"/>
        <w:spacing w:line="360" w:lineRule="auto"/>
        <w:rPr>
          <w:rFonts w:hint="eastAsia" w:ascii="宋体" w:hAnsi="宋体" w:cs="宋体"/>
          <w:b/>
          <w:color w:val="000000"/>
          <w:sz w:val="24"/>
          <w:highlight w:val="none"/>
        </w:rPr>
        <w:sectPr>
          <w:headerReference w:type="default" r:id="rId11"/>
          <w:footerReference w:type="default" r:id="rId14"/>
          <w:footerReference w:type="first" r:id="rId15"/>
          <w:footnotePr/>
          <w:endnotePr/>
          <w:type w:val="nextPage"/>
          <w:pgSz w:w="11906" w:h="16838" w:orient="portrait"/>
          <w:pgMar w:top="1332" w:right="991" w:bottom="425" w:left="993" w:header="964" w:footer="907" w:gutter="0"/>
          <w:cols w:num="1" w:sep="0" w:space="1701" w:equalWidth="1"/>
          <w:docGrid w:linePitch="360"/>
        </w:sectPr>
      </w:pPr>
      <w:r>
        <w:rPr>
          <w:rFonts w:hint="eastAsia" w:ascii="宋体" w:hAnsi="宋体" w:cs="宋体"/>
          <w:b/>
          <w:color w:val="000000"/>
          <w:sz w:val="24"/>
          <w:highlight w:val="none"/>
        </w:rPr>
      </w:r>
      <w:r/>
    </w:p>
    <w:p>
      <w:pPr>
        <w:pStyle w:val="1060"/>
        <w:ind w:firstLine="482"/>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1060"/>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附件14、供应商与其他单位存在控股、管理关系情况表</w:t>
      </w:r>
      <w:r>
        <w:rPr>
          <w:rFonts w:hint="eastAsia" w:ascii="宋体" w:hAnsi="宋体" w:cs="宋体"/>
          <w:b/>
          <w:color w:val="000000"/>
          <w:sz w:val="24"/>
          <w:highlight w:val="none"/>
        </w:rPr>
      </w:r>
      <w:r/>
    </w:p>
    <w:p>
      <w:pPr>
        <w:pStyle w:val="1060"/>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1060"/>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供应商与其他单位存在控股、管理关系情况表</w:t>
      </w:r>
      <w:r>
        <w:rPr>
          <w:rFonts w:hint="eastAsia" w:ascii="宋体" w:hAnsi="宋体" w:cs="宋体"/>
          <w:bCs/>
          <w:color w:val="000000"/>
          <w:sz w:val="24"/>
          <w:highlight w:val="none"/>
        </w:rPr>
      </w:r>
      <w:r/>
    </w:p>
    <w:p>
      <w:pPr>
        <w:pStyle w:val="1060"/>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r>
      <w:r/>
    </w:p>
    <w:tbl>
      <w:tblPr>
        <w:tblW w:w="1040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53"/>
        <w:gridCol w:w="1704"/>
        <w:gridCol w:w="1506"/>
        <w:gridCol w:w="1580"/>
        <w:gridCol w:w="1084"/>
        <w:gridCol w:w="1711"/>
        <w:gridCol w:w="1268"/>
      </w:tblGrid>
      <w:tr>
        <w:trPr>
          <w:trHeight w:val="766"/>
        </w:trPr>
        <w:tc>
          <w:tcPr>
            <w:gridSpan w:val="4"/>
            <w:tcW w:w="6343" w:type="dxa"/>
            <w:vAlign w:val="center"/>
            <w:textDirection w:val="lrTb"/>
            <w:noWrap w:val="false"/>
          </w:tcPr>
          <w:p>
            <w:pPr>
              <w:pStyle w:val="1060"/>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与响应单位存在直接股权关系</w:t>
            </w:r>
            <w:r>
              <w:rPr>
                <w:rFonts w:hint="eastAsia" w:ascii="宋体" w:hAnsi="宋体" w:cs="宋体"/>
                <w:bCs/>
                <w:color w:val="000000"/>
                <w:sz w:val="24"/>
                <w:highlight w:val="none"/>
              </w:rPr>
            </w:r>
            <w:r/>
          </w:p>
        </w:tc>
        <w:tc>
          <w:tcPr>
            <w:gridSpan w:val="3"/>
            <w:tcW w:w="4063" w:type="dxa"/>
            <w:vAlign w:val="center"/>
            <w:textDirection w:val="lrTb"/>
            <w:noWrap w:val="false"/>
          </w:tcPr>
          <w:p>
            <w:pPr>
              <w:pStyle w:val="1060"/>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与响应单位存在直接管理关系</w:t>
            </w:r>
            <w:r>
              <w:rPr>
                <w:rFonts w:hint="eastAsia" w:ascii="宋体" w:hAnsi="宋体" w:cs="宋体"/>
                <w:bCs/>
                <w:color w:val="000000"/>
                <w:sz w:val="24"/>
                <w:highlight w:val="none"/>
              </w:rPr>
            </w:r>
            <w:r/>
          </w:p>
        </w:tc>
      </w:tr>
      <w:tr>
        <w:trPr>
          <w:trHeight w:val="768"/>
        </w:trPr>
        <w:tc>
          <w:tcPr>
            <w:tcW w:w="1553" w:type="dxa"/>
            <w:vAlign w:val="center"/>
            <w:textDirection w:val="lrTb"/>
            <w:noWrap w:val="false"/>
          </w:tcPr>
          <w:p>
            <w:pPr>
              <w:pStyle w:val="1060"/>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单位名称</w:t>
            </w:r>
            <w:r>
              <w:rPr>
                <w:rFonts w:hint="eastAsia" w:ascii="宋体" w:hAnsi="宋体" w:cs="宋体"/>
                <w:bCs/>
                <w:color w:val="000000"/>
                <w:sz w:val="24"/>
                <w:highlight w:val="none"/>
              </w:rPr>
            </w:r>
            <w:r/>
          </w:p>
        </w:tc>
        <w:tc>
          <w:tcPr>
            <w:tcW w:w="1704" w:type="dxa"/>
            <w:vAlign w:val="center"/>
            <w:textDirection w:val="lrTb"/>
            <w:noWrap w:val="false"/>
          </w:tcPr>
          <w:p>
            <w:pPr>
              <w:pStyle w:val="1060"/>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是否为大型企业（填写“是”或 “否”）</w:t>
            </w:r>
            <w:r>
              <w:rPr>
                <w:rFonts w:hint="eastAsia" w:ascii="宋体" w:hAnsi="宋体" w:cs="宋体"/>
                <w:bCs/>
                <w:color w:val="000000"/>
                <w:sz w:val="24"/>
                <w:highlight w:val="none"/>
              </w:rPr>
            </w:r>
            <w:r/>
          </w:p>
        </w:tc>
        <w:tc>
          <w:tcPr>
            <w:tcW w:w="1506" w:type="dxa"/>
            <w:vAlign w:val="center"/>
            <w:textDirection w:val="lrTb"/>
            <w:noWrap w:val="false"/>
          </w:tcPr>
          <w:p>
            <w:pPr>
              <w:pStyle w:val="1060"/>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是否直接控股（填写“是”或 “否”）</w:t>
            </w:r>
            <w:r>
              <w:rPr>
                <w:rFonts w:hint="eastAsia" w:ascii="宋体" w:hAnsi="宋体" w:cs="宋体"/>
                <w:bCs/>
                <w:color w:val="000000"/>
                <w:sz w:val="24"/>
                <w:highlight w:val="none"/>
              </w:rPr>
            </w:r>
            <w:r/>
          </w:p>
        </w:tc>
        <w:tc>
          <w:tcPr>
            <w:tcW w:w="1580" w:type="dxa"/>
            <w:vAlign w:val="center"/>
            <w:textDirection w:val="lrTb"/>
            <w:noWrap w:val="false"/>
          </w:tcPr>
          <w:p>
            <w:pPr>
              <w:pStyle w:val="1060"/>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直接控股关系情况说明（持股比例等）</w:t>
            </w:r>
            <w:r>
              <w:rPr>
                <w:rFonts w:hint="eastAsia" w:ascii="宋体" w:hAnsi="宋体" w:cs="宋体"/>
                <w:bCs/>
                <w:color w:val="000000"/>
                <w:sz w:val="24"/>
                <w:highlight w:val="none"/>
              </w:rPr>
            </w:r>
            <w:r/>
          </w:p>
        </w:tc>
        <w:tc>
          <w:tcPr>
            <w:tcW w:w="1084" w:type="dxa"/>
            <w:vAlign w:val="center"/>
            <w:textDirection w:val="lrTb"/>
            <w:noWrap w:val="false"/>
          </w:tcPr>
          <w:p>
            <w:pPr>
              <w:pStyle w:val="1060"/>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单位名称</w:t>
            </w:r>
            <w:r>
              <w:rPr>
                <w:rFonts w:hint="eastAsia" w:ascii="宋体" w:hAnsi="宋体" w:cs="宋体"/>
                <w:bCs/>
                <w:color w:val="000000"/>
                <w:sz w:val="24"/>
                <w:highlight w:val="none"/>
              </w:rPr>
            </w:r>
            <w:r/>
          </w:p>
        </w:tc>
        <w:tc>
          <w:tcPr>
            <w:tcW w:w="1711" w:type="dxa"/>
            <w:vAlign w:val="center"/>
            <w:textDirection w:val="lrTb"/>
            <w:noWrap w:val="false"/>
          </w:tcPr>
          <w:p>
            <w:pPr>
              <w:pStyle w:val="1060"/>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是否为大型企业（填写“是”或 “否”）</w:t>
            </w:r>
            <w:r>
              <w:rPr>
                <w:rFonts w:hint="eastAsia" w:ascii="宋体" w:hAnsi="宋体" w:cs="宋体"/>
                <w:bCs/>
                <w:color w:val="000000"/>
                <w:sz w:val="24"/>
                <w:highlight w:val="none"/>
              </w:rPr>
            </w:r>
            <w:r/>
          </w:p>
        </w:tc>
        <w:tc>
          <w:tcPr>
            <w:tcW w:w="1268" w:type="dxa"/>
            <w:vAlign w:val="center"/>
            <w:textDirection w:val="lrTb"/>
            <w:noWrap w:val="false"/>
          </w:tcPr>
          <w:p>
            <w:pPr>
              <w:pStyle w:val="1060"/>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直接管理关系情况说明</w:t>
            </w:r>
            <w:r>
              <w:rPr>
                <w:rFonts w:hint="eastAsia" w:ascii="宋体" w:hAnsi="宋体" w:cs="宋体"/>
                <w:bCs/>
                <w:color w:val="000000"/>
                <w:sz w:val="24"/>
                <w:highlight w:val="none"/>
              </w:rPr>
            </w:r>
            <w:r/>
          </w:p>
        </w:tc>
      </w:tr>
      <w:tr>
        <w:trPr>
          <w:trHeight w:val="850"/>
        </w:trPr>
        <w:tc>
          <w:tcPr>
            <w:tcW w:w="1553" w:type="dxa"/>
            <w:vAlign w:val="center"/>
            <w:textDirection w:val="lrTb"/>
            <w:noWrap w:val="false"/>
          </w:tcPr>
          <w:p>
            <w:pPr>
              <w:pStyle w:val="1060"/>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704" w:type="dxa"/>
            <w:vAlign w:val="center"/>
            <w:textDirection w:val="lrTb"/>
            <w:noWrap w:val="false"/>
          </w:tcPr>
          <w:p>
            <w:pPr>
              <w:pStyle w:val="1060"/>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506" w:type="dxa"/>
            <w:vAlign w:val="center"/>
            <w:textDirection w:val="lrTb"/>
            <w:noWrap w:val="false"/>
          </w:tcPr>
          <w:p>
            <w:pPr>
              <w:pStyle w:val="1060"/>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580" w:type="dxa"/>
            <w:vAlign w:val="center"/>
            <w:textDirection w:val="lrTb"/>
            <w:noWrap w:val="false"/>
          </w:tcPr>
          <w:p>
            <w:pPr>
              <w:pStyle w:val="1060"/>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084" w:type="dxa"/>
            <w:vAlign w:val="center"/>
            <w:textDirection w:val="lrTb"/>
            <w:noWrap w:val="false"/>
          </w:tcPr>
          <w:p>
            <w:pPr>
              <w:pStyle w:val="1060"/>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711" w:type="dxa"/>
            <w:vAlign w:val="center"/>
            <w:textDirection w:val="lrTb"/>
            <w:noWrap w:val="false"/>
          </w:tcPr>
          <w:p>
            <w:pPr>
              <w:pStyle w:val="1060"/>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68" w:type="dxa"/>
            <w:vAlign w:val="center"/>
            <w:textDirection w:val="lrTb"/>
            <w:noWrap w:val="false"/>
          </w:tcPr>
          <w:p>
            <w:pPr>
              <w:pStyle w:val="1060"/>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r>
            <w:r/>
          </w:p>
        </w:tc>
      </w:tr>
      <w:tr>
        <w:trPr>
          <w:trHeight w:val="850"/>
        </w:trPr>
        <w:tc>
          <w:tcPr>
            <w:tcW w:w="1553" w:type="dxa"/>
            <w:vAlign w:val="center"/>
            <w:textDirection w:val="lrTb"/>
            <w:noWrap w:val="false"/>
          </w:tcPr>
          <w:p>
            <w:pPr>
              <w:pStyle w:val="1060"/>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704" w:type="dxa"/>
            <w:vAlign w:val="center"/>
            <w:textDirection w:val="lrTb"/>
            <w:noWrap w:val="false"/>
          </w:tcPr>
          <w:p>
            <w:pPr>
              <w:pStyle w:val="1060"/>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506" w:type="dxa"/>
            <w:vAlign w:val="center"/>
            <w:textDirection w:val="lrTb"/>
            <w:noWrap w:val="false"/>
          </w:tcPr>
          <w:p>
            <w:pPr>
              <w:pStyle w:val="1060"/>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580" w:type="dxa"/>
            <w:vAlign w:val="center"/>
            <w:textDirection w:val="lrTb"/>
            <w:noWrap w:val="false"/>
          </w:tcPr>
          <w:p>
            <w:pPr>
              <w:pStyle w:val="1060"/>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084" w:type="dxa"/>
            <w:vAlign w:val="center"/>
            <w:textDirection w:val="lrTb"/>
            <w:noWrap w:val="false"/>
          </w:tcPr>
          <w:p>
            <w:pPr>
              <w:pStyle w:val="1060"/>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711" w:type="dxa"/>
            <w:vAlign w:val="center"/>
            <w:textDirection w:val="lrTb"/>
            <w:noWrap w:val="false"/>
          </w:tcPr>
          <w:p>
            <w:pPr>
              <w:pStyle w:val="1060"/>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68" w:type="dxa"/>
            <w:vAlign w:val="center"/>
            <w:textDirection w:val="lrTb"/>
            <w:noWrap w:val="false"/>
          </w:tcPr>
          <w:p>
            <w:pPr>
              <w:pStyle w:val="1060"/>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r>
            <w:r/>
          </w:p>
        </w:tc>
      </w:tr>
      <w:tr>
        <w:trPr>
          <w:trHeight w:val="850"/>
        </w:trPr>
        <w:tc>
          <w:tcPr>
            <w:tcW w:w="1553" w:type="dxa"/>
            <w:vAlign w:val="center"/>
            <w:textDirection w:val="lrTb"/>
            <w:noWrap w:val="false"/>
          </w:tcPr>
          <w:p>
            <w:pPr>
              <w:pStyle w:val="1060"/>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704" w:type="dxa"/>
            <w:vAlign w:val="center"/>
            <w:textDirection w:val="lrTb"/>
            <w:noWrap w:val="false"/>
          </w:tcPr>
          <w:p>
            <w:pPr>
              <w:pStyle w:val="1060"/>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506" w:type="dxa"/>
            <w:vAlign w:val="center"/>
            <w:textDirection w:val="lrTb"/>
            <w:noWrap w:val="false"/>
          </w:tcPr>
          <w:p>
            <w:pPr>
              <w:pStyle w:val="1060"/>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580" w:type="dxa"/>
            <w:vAlign w:val="center"/>
            <w:textDirection w:val="lrTb"/>
            <w:noWrap w:val="false"/>
          </w:tcPr>
          <w:p>
            <w:pPr>
              <w:pStyle w:val="1060"/>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084" w:type="dxa"/>
            <w:vAlign w:val="center"/>
            <w:textDirection w:val="lrTb"/>
            <w:noWrap w:val="false"/>
          </w:tcPr>
          <w:p>
            <w:pPr>
              <w:pStyle w:val="1060"/>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711" w:type="dxa"/>
            <w:vAlign w:val="center"/>
            <w:textDirection w:val="lrTb"/>
            <w:noWrap w:val="false"/>
          </w:tcPr>
          <w:p>
            <w:pPr>
              <w:pStyle w:val="1060"/>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68" w:type="dxa"/>
            <w:vAlign w:val="center"/>
            <w:textDirection w:val="lrTb"/>
            <w:noWrap w:val="false"/>
          </w:tcPr>
          <w:p>
            <w:pPr>
              <w:pStyle w:val="1060"/>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r>
            <w:r/>
          </w:p>
        </w:tc>
      </w:tr>
    </w:tbl>
    <w:p>
      <w:pPr>
        <w:pStyle w:val="1060"/>
        <w:jc w:val="left"/>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注：1、本表仅须填写与投标人存在直接股权、管理关系的企业情况。投标人应按上表要求据实填写，如填写“无”或不填写，均视为投标人声明不存在有关情形。</w:t>
      </w:r>
      <w:r>
        <w:rPr>
          <w:rFonts w:hint="eastAsia" w:ascii="宋体" w:hAnsi="宋体" w:cs="宋体"/>
          <w:bCs/>
          <w:color w:val="000000"/>
          <w:sz w:val="24"/>
          <w:highlight w:val="none"/>
        </w:rPr>
      </w:r>
      <w:r/>
    </w:p>
    <w:p>
      <w:pPr>
        <w:pStyle w:val="1060"/>
        <w:jc w:val="left"/>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2、其中“直接控股”是指投标人与大型企业之间存在直接投资并控股（非普通持股）的关系。</w:t>
      </w:r>
      <w:r>
        <w:rPr>
          <w:rFonts w:hint="eastAsia" w:ascii="宋体" w:hAnsi="宋体" w:cs="宋体"/>
          <w:bCs/>
          <w:color w:val="000000"/>
          <w:sz w:val="24"/>
          <w:highlight w:val="none"/>
        </w:rPr>
      </w:r>
      <w:r/>
    </w:p>
    <w:p>
      <w:pPr>
        <w:pStyle w:val="1060"/>
        <w:jc w:val="left"/>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1075"/>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响应单位：（公章）</w:t>
      </w:r>
      <w:r>
        <w:rPr>
          <w:rFonts w:hint="eastAsia" w:ascii="宋体" w:hAnsi="宋体" w:eastAsia="宋体" w:cs="宋体"/>
          <w:color w:val="000000"/>
          <w:szCs w:val="24"/>
          <w:highlight w:val="none"/>
        </w:rPr>
      </w:r>
      <w:r/>
    </w:p>
    <w:p>
      <w:pPr>
        <w:pStyle w:val="1075"/>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法定代表人或委托代理人：（签字或盖章）</w:t>
      </w:r>
      <w:r>
        <w:rPr>
          <w:rFonts w:hint="eastAsia" w:ascii="宋体" w:hAnsi="宋体" w:eastAsia="宋体" w:cs="宋体"/>
          <w:color w:val="000000"/>
          <w:szCs w:val="24"/>
          <w:highlight w:val="none"/>
        </w:rPr>
      </w:r>
      <w:r/>
    </w:p>
    <w:p>
      <w:pPr>
        <w:pStyle w:val="1075"/>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日期：       年     月     日</w:t>
      </w:r>
      <w:r>
        <w:rPr>
          <w:rFonts w:hint="eastAsia" w:ascii="宋体" w:hAnsi="宋体" w:eastAsia="宋体" w:cs="宋体"/>
          <w:color w:val="000000"/>
          <w:szCs w:val="24"/>
          <w:highlight w:val="none"/>
        </w:rPr>
      </w:r>
      <w:r/>
    </w:p>
    <w:p>
      <w:pPr>
        <w:pStyle w:val="1060"/>
        <w:jc w:val="left"/>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1060"/>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060"/>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060"/>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060"/>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060"/>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060"/>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060"/>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060"/>
        <w:jc w:val="left"/>
        <w:spacing w:line="360" w:lineRule="auto"/>
        <w:rPr>
          <w:rFonts w:ascii="宋体" w:hAnsi="宋体" w:cs="宋体"/>
          <w:bCs/>
          <w:color w:val="000000"/>
          <w:sz w:val="24"/>
          <w:highlight w:val="none"/>
        </w:rPr>
      </w:pPr>
      <w:r>
        <w:rPr>
          <w:rFonts w:hint="eastAsia" w:ascii="宋体" w:hAnsi="宋体" w:cs="宋体"/>
          <w:b/>
          <w:bCs/>
          <w:color w:val="000000"/>
          <w:sz w:val="24"/>
          <w:highlight w:val="none"/>
        </w:rPr>
        <w:t xml:space="preserve">附件15、</w:t>
      </w:r>
      <w:r>
        <w:rPr>
          <w:rFonts w:hint="eastAsia" w:ascii="宋体" w:hAnsi="宋体" w:cs="宋体"/>
          <w:b/>
          <w:color w:val="000000"/>
          <w:sz w:val="24"/>
          <w:highlight w:val="none"/>
        </w:rPr>
        <w:t xml:space="preserve">关于符合本国产品标准的声明函</w:t>
      </w:r>
      <w:r>
        <w:rPr>
          <w:rFonts w:ascii="宋体" w:hAnsi="宋体" w:cs="宋体"/>
          <w:bCs/>
          <w:color w:val="000000"/>
          <w:sz w:val="24"/>
          <w:highlight w:val="none"/>
        </w:rPr>
      </w:r>
      <w:r/>
    </w:p>
    <w:p>
      <w:pPr>
        <w:pStyle w:val="1060"/>
        <w:jc w:val="center"/>
        <w:spacing w:line="360" w:lineRule="auto"/>
        <w:rPr>
          <w:rFonts w:ascii="宋体" w:hAnsi="宋体" w:cs="宋体"/>
          <w:b/>
          <w:color w:val="000000"/>
          <w:sz w:val="28"/>
          <w:szCs w:val="28"/>
          <w:highlight w:val="none"/>
        </w:rPr>
      </w:pPr>
      <w:r>
        <w:rPr>
          <w:rFonts w:ascii="宋体" w:hAnsi="宋体" w:cs="宋体"/>
          <w:b/>
          <w:color w:val="000000"/>
          <w:sz w:val="28"/>
          <w:szCs w:val="28"/>
          <w:highlight w:val="none"/>
        </w:rPr>
      </w:r>
      <w:r/>
    </w:p>
    <w:p>
      <w:pPr>
        <w:pStyle w:val="1060"/>
        <w:jc w:val="center"/>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关于符合本国产品标准的声明函</w:t>
      </w:r>
      <w:r>
        <w:rPr>
          <w:rFonts w:ascii="宋体" w:hAnsi="宋体" w:cs="宋体"/>
          <w:b/>
          <w:color w:val="000000"/>
          <w:sz w:val="24"/>
          <w:highlight w:val="none"/>
        </w:rPr>
      </w:r>
      <w:r/>
    </w:p>
    <w:p>
      <w:pPr>
        <w:pStyle w:val="1060"/>
        <w:ind w:firstLine="480"/>
        <w:jc w:val="left"/>
        <w:spacing w:line="480" w:lineRule="atLeast"/>
        <w:shd w:val="clear" w:color="auto" w:fill="ffffff"/>
        <w:widowControl/>
        <w:rPr>
          <w:rFonts w:ascii="宋体" w:hAnsi="宋体" w:cs="宋体"/>
          <w:color w:val="000000"/>
          <w:sz w:val="24"/>
          <w:highlight w:val="none"/>
        </w:rPr>
      </w:pPr>
      <w:r>
        <w:rPr>
          <w:rFonts w:hint="eastAsia" w:ascii="宋体" w:hAnsi="宋体" w:cs="宋体"/>
          <w:color w:val="000000"/>
          <w:sz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ascii="宋体" w:hAnsi="宋体" w:cs="宋体"/>
          <w:color w:val="000000"/>
          <w:sz w:val="24"/>
          <w:highlight w:val="none"/>
        </w:rPr>
      </w:r>
      <w:r/>
    </w:p>
    <w:p>
      <w:pPr>
        <w:pStyle w:val="1060"/>
        <w:ind w:firstLine="480"/>
        <w:jc w:val="left"/>
        <w:spacing w:line="480" w:lineRule="atLeast"/>
        <w:shd w:val="clear" w:color="auto" w:fill="ffffff"/>
        <w:widowControl/>
        <w:rPr>
          <w:rFonts w:ascii="宋体" w:hAnsi="宋体" w:cs="宋体"/>
          <w:color w:val="000000"/>
          <w:sz w:val="24"/>
          <w:highlight w:val="none"/>
        </w:rPr>
      </w:pPr>
      <w:r>
        <w:rPr>
          <w:rFonts w:hint="eastAsia" w:ascii="宋体" w:hAnsi="宋体" w:cs="宋体"/>
          <w:color w:val="000000"/>
          <w:sz w:val="24"/>
          <w:highlight w:val="none"/>
        </w:rPr>
        <w:t xml:space="preserve">1.（产品名称1）</w:t>
      </w:r>
      <w:r>
        <w:rPr>
          <w:rFonts w:hint="eastAsia" w:ascii="宋体" w:hAnsi="宋体" w:cs="宋体"/>
          <w:color w:val="000000"/>
          <w:sz w:val="24"/>
          <w:highlight w:val="none"/>
          <w:vertAlign w:val="superscript"/>
        </w:rPr>
        <w:t xml:space="preserve">1</w:t>
      </w:r>
      <w:r>
        <w:rPr>
          <w:rFonts w:hint="eastAsia" w:ascii="宋体" w:hAnsi="宋体" w:cs="宋体"/>
          <w:color w:val="000000"/>
          <w:sz w:val="24"/>
          <w:highlight w:val="none"/>
        </w:rPr>
        <w:t xml:space="preserve">，生产厂为（厂名）</w:t>
      </w:r>
      <w:r>
        <w:rPr>
          <w:rFonts w:hint="eastAsia" w:ascii="宋体" w:hAnsi="宋体" w:cs="宋体"/>
          <w:color w:val="000000"/>
          <w:sz w:val="24"/>
          <w:highlight w:val="none"/>
          <w:vertAlign w:val="superscript"/>
        </w:rPr>
        <w:t xml:space="preserve">2</w:t>
      </w:r>
      <w:r>
        <w:rPr>
          <w:rFonts w:hint="eastAsia" w:ascii="宋体" w:hAnsi="宋体" w:cs="宋体"/>
          <w:color w:val="000000"/>
          <w:sz w:val="24"/>
          <w:highlight w:val="none"/>
        </w:rPr>
        <w:t xml:space="preserve">，厂址为（生产厂址）。（产品名称1）的中国境内生产的组件成本占比≥（规定比例）</w:t>
      </w:r>
      <w:r>
        <w:rPr>
          <w:rFonts w:hint="eastAsia" w:ascii="宋体" w:hAnsi="宋体" w:cs="宋体"/>
          <w:color w:val="000000"/>
          <w:sz w:val="24"/>
          <w:highlight w:val="none"/>
          <w:vertAlign w:val="superscript"/>
        </w:rPr>
        <w:t xml:space="preserve">3</w:t>
      </w:r>
      <w:r>
        <w:rPr>
          <w:rFonts w:hint="eastAsia" w:ascii="宋体" w:hAnsi="宋体" w:cs="宋体"/>
          <w:color w:val="000000"/>
          <w:sz w:val="24"/>
          <w:highlight w:val="none"/>
        </w:rPr>
        <w:t xml:space="preserve">。（产品名称1）的（关键组件）</w:t>
      </w:r>
      <w:r>
        <w:rPr>
          <w:rFonts w:hint="eastAsia" w:ascii="宋体" w:hAnsi="宋体" w:cs="宋体"/>
          <w:color w:val="000000"/>
          <w:sz w:val="24"/>
          <w:highlight w:val="none"/>
          <w:vertAlign w:val="superscript"/>
        </w:rPr>
        <w:t xml:space="preserve">4</w:t>
      </w:r>
      <w:r>
        <w:rPr>
          <w:rFonts w:hint="eastAsia" w:ascii="宋体" w:hAnsi="宋体" w:cs="宋体"/>
          <w:color w:val="000000"/>
          <w:sz w:val="24"/>
          <w:highlight w:val="none"/>
        </w:rPr>
        <w:t xml:space="preserve">在中国境内生产。（产品名称1）的（关键工序）</w:t>
      </w:r>
      <w:r>
        <w:rPr>
          <w:rFonts w:hint="eastAsia" w:ascii="宋体" w:hAnsi="宋体" w:cs="宋体"/>
          <w:color w:val="000000"/>
          <w:sz w:val="24"/>
          <w:highlight w:val="none"/>
          <w:vertAlign w:val="superscript"/>
        </w:rPr>
        <w:t xml:space="preserve">5</w:t>
      </w:r>
      <w:r>
        <w:rPr>
          <w:rFonts w:hint="eastAsia" w:ascii="宋体" w:hAnsi="宋体" w:cs="宋体"/>
          <w:color w:val="000000"/>
          <w:sz w:val="24"/>
          <w:highlight w:val="none"/>
        </w:rPr>
        <w:t xml:space="preserve">在中国境内完成。</w:t>
      </w:r>
      <w:r>
        <w:rPr>
          <w:rFonts w:ascii="宋体" w:hAnsi="宋体" w:cs="宋体"/>
          <w:color w:val="000000"/>
          <w:sz w:val="24"/>
          <w:highlight w:val="none"/>
        </w:rPr>
      </w:r>
      <w:r/>
    </w:p>
    <w:p>
      <w:pPr>
        <w:pStyle w:val="1060"/>
        <w:ind w:firstLine="480"/>
        <w:jc w:val="left"/>
        <w:spacing w:line="480" w:lineRule="atLeast"/>
        <w:shd w:val="clear" w:color="auto" w:fill="ffffff"/>
        <w:widowControl/>
        <w:rPr>
          <w:rFonts w:ascii="宋体" w:hAnsi="宋体" w:cs="宋体"/>
          <w:color w:val="000000"/>
          <w:sz w:val="24"/>
          <w:highlight w:val="none"/>
        </w:rPr>
      </w:pPr>
      <w:r>
        <w:rPr>
          <w:rFonts w:hint="eastAsia" w:ascii="宋体" w:hAnsi="宋体" w:cs="宋体"/>
          <w:color w:val="000000"/>
          <w:sz w:val="24"/>
          <w:highlight w:val="none"/>
        </w:rPr>
        <w:t xml:space="preserve">2.（产品名称2），生产厂为（厂名），厂址为（生产厂址）。（产品名称2）的中国境内生产的组件成本占比≥（规定比例）。（产品名称2）的（关键组件）在中国境内生产。（产品名称2）的（关键工序）在中国境内完成。</w:t>
      </w:r>
      <w:r>
        <w:rPr>
          <w:rFonts w:ascii="宋体" w:hAnsi="宋体" w:cs="宋体"/>
          <w:color w:val="000000"/>
          <w:sz w:val="24"/>
          <w:highlight w:val="none"/>
        </w:rPr>
      </w:r>
      <w:r/>
    </w:p>
    <w:p>
      <w:pPr>
        <w:pStyle w:val="1060"/>
        <w:ind w:firstLine="480"/>
        <w:jc w:val="left"/>
        <w:spacing w:line="480" w:lineRule="atLeast"/>
        <w:shd w:val="clear" w:color="auto" w:fill="ffffff"/>
        <w:widowControl/>
        <w:rPr>
          <w:rFonts w:ascii="宋体" w:hAnsi="宋体" w:cs="宋体"/>
          <w:color w:val="000000"/>
          <w:sz w:val="24"/>
          <w:highlight w:val="none"/>
        </w:rPr>
      </w:pP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060"/>
        <w:ind w:firstLine="480"/>
        <w:jc w:val="left"/>
        <w:spacing w:line="480" w:lineRule="atLeast"/>
        <w:shd w:val="clear" w:color="auto" w:fill="ffffff"/>
        <w:widowControl/>
        <w:rPr>
          <w:rFonts w:ascii="宋体" w:hAnsi="宋体" w:cs="宋体"/>
          <w:color w:val="000000"/>
          <w:sz w:val="24"/>
          <w:highlight w:val="none"/>
        </w:rPr>
      </w:pPr>
      <w:r>
        <w:rPr>
          <w:rFonts w:hint="eastAsia" w:ascii="宋体" w:hAnsi="宋体" w:cs="宋体"/>
          <w:color w:val="000000"/>
          <w:sz w:val="24"/>
          <w:highlight w:val="none"/>
        </w:rPr>
        <w:t xml:space="preserve">本公司（单位）对上述声明内容的真实性负责。如有虚假，愿承担相应法律责任。</w:t>
      </w:r>
      <w:r>
        <w:rPr>
          <w:rFonts w:ascii="宋体" w:hAnsi="宋体" w:cs="宋体"/>
          <w:color w:val="000000"/>
          <w:sz w:val="24"/>
          <w:highlight w:val="none"/>
        </w:rPr>
      </w:r>
      <w:r/>
    </w:p>
    <w:p>
      <w:pPr>
        <w:pStyle w:val="1060"/>
        <w:jc w:val="left"/>
        <w:spacing w:line="480" w:lineRule="atLeast"/>
        <w:shd w:val="clear" w:color="auto" w:fill="ffffff"/>
        <w:widowControl/>
        <w:rPr>
          <w:rFonts w:ascii="宋体" w:hAnsi="宋体" w:cs="宋体"/>
          <w:color w:val="000000"/>
          <w:sz w:val="24"/>
          <w:highlight w:val="none"/>
        </w:rPr>
      </w:pPr>
      <w:r>
        <w:rPr>
          <w:rFonts w:ascii="宋体" w:hAnsi="宋体" w:cs="宋体"/>
          <w:color w:val="000000"/>
          <w:sz w:val="24"/>
          <w:highlight w:val="none"/>
        </w:rPr>
      </w:r>
      <w:r/>
    </w:p>
    <w:p>
      <w:pPr>
        <w:pStyle w:val="1060"/>
        <w:jc w:val="right"/>
        <w:spacing w:line="480" w:lineRule="atLeast"/>
        <w:shd w:val="clear" w:color="auto" w:fill="ffffff"/>
        <w:widowControl/>
        <w:rPr>
          <w:rFonts w:ascii="宋体" w:hAnsi="宋体" w:cs="宋体"/>
          <w:color w:val="000000"/>
          <w:sz w:val="24"/>
          <w:highlight w:val="none"/>
        </w:rPr>
      </w:pPr>
      <w:r>
        <w:rPr>
          <w:rFonts w:hint="eastAsia" w:ascii="宋体" w:hAnsi="宋体" w:cs="宋体"/>
          <w:color w:val="000000"/>
          <w:sz w:val="24"/>
          <w:highlight w:val="none"/>
        </w:rPr>
        <w:t xml:space="preserve">公司（单位）名称（盖章）：　</w:t>
      </w:r>
      <w:r>
        <w:rPr>
          <w:rFonts w:ascii="宋体" w:hAnsi="宋体" w:cs="宋体"/>
          <w:color w:val="000000"/>
          <w:sz w:val="24"/>
          <w:highlight w:val="none"/>
        </w:rPr>
      </w:r>
      <w:r/>
    </w:p>
    <w:p>
      <w:pPr>
        <w:pStyle w:val="1060"/>
        <w:jc w:val="right"/>
        <w:spacing w:line="480" w:lineRule="atLeast"/>
        <w:shd w:val="clear" w:color="auto" w:fill="ffffff"/>
        <w:widowControl/>
        <w:rPr>
          <w:rFonts w:ascii="宋体" w:hAnsi="宋体" w:cs="宋体"/>
          <w:color w:val="000000"/>
          <w:sz w:val="24"/>
          <w:highlight w:val="none"/>
        </w:rPr>
      </w:pPr>
      <w:r>
        <w:rPr>
          <w:rFonts w:hint="eastAsia" w:ascii="宋体" w:hAnsi="宋体" w:cs="宋体"/>
          <w:color w:val="000000"/>
          <w:sz w:val="24"/>
          <w:highlight w:val="none"/>
        </w:rPr>
        <w:t xml:space="preserve">日期：　年　月　日</w:t>
      </w:r>
      <w:r>
        <w:rPr>
          <w:rFonts w:ascii="宋体" w:hAnsi="宋体" w:cs="宋体"/>
          <w:color w:val="000000"/>
          <w:sz w:val="24"/>
          <w:highlight w:val="none"/>
        </w:rPr>
      </w:r>
      <w:r/>
    </w:p>
    <w:p>
      <w:pPr>
        <w:pStyle w:val="1060"/>
        <w:jc w:val="right"/>
        <w:spacing w:line="480" w:lineRule="atLeast"/>
        <w:shd w:val="clear" w:color="auto" w:fill="ffffff"/>
        <w:widowControl/>
        <w:rPr>
          <w:rFonts w:ascii="宋体" w:hAnsi="宋体" w:cs="宋体"/>
          <w:color w:val="000000"/>
          <w:sz w:val="24"/>
          <w:highlight w:val="none"/>
        </w:rPr>
      </w:pPr>
      <w:r>
        <w:rPr>
          <w:rFonts w:ascii="宋体" w:hAnsi="宋体" w:cs="宋体"/>
          <w:color w:val="000000"/>
          <w:sz w:val="24"/>
          <w:highlight w:val="none"/>
        </w:rPr>
      </w:r>
      <w:r/>
    </w:p>
    <w:p>
      <w:pPr>
        <w:pStyle w:val="1060"/>
        <w:jc w:val="left"/>
        <w:spacing w:line="480" w:lineRule="atLeast"/>
        <w:shd w:val="clear" w:color="auto" w:fill="ffffff"/>
        <w:widowControl/>
        <w:rPr>
          <w:rFonts w:ascii="宋体" w:hAnsi="宋体" w:cs="宋体"/>
          <w:color w:val="000000"/>
          <w:sz w:val="24"/>
          <w:highlight w:val="none"/>
        </w:rPr>
      </w:pPr>
      <w:r>
        <w:rPr>
          <w:rFonts w:hint="eastAsia" w:ascii="宋体" w:hAnsi="宋体" w:cs="宋体"/>
          <w:color w:val="000000"/>
          <w:sz w:val="24"/>
          <w:highlight w:val="none"/>
        </w:rPr>
        <w:t xml:space="preserve">说明：</w:t>
      </w:r>
      <w:r>
        <w:rPr>
          <w:rFonts w:ascii="宋体" w:hAnsi="宋体" w:cs="宋体"/>
          <w:color w:val="000000"/>
          <w:sz w:val="24"/>
          <w:highlight w:val="none"/>
        </w:rPr>
      </w:r>
      <w:r/>
    </w:p>
    <w:p>
      <w:pPr>
        <w:pStyle w:val="1060"/>
        <w:ind w:firstLine="480"/>
        <w:jc w:val="left"/>
        <w:spacing w:line="480" w:lineRule="atLeast"/>
        <w:shd w:val="clear" w:color="auto" w:fill="ffffff"/>
        <w:widowControl/>
        <w:rPr>
          <w:rFonts w:ascii="宋体" w:hAnsi="宋体" w:cs="宋体"/>
          <w:color w:val="000000"/>
          <w:sz w:val="24"/>
          <w:highlight w:val="none"/>
        </w:rPr>
      </w:pPr>
      <w:r>
        <w:rPr>
          <w:rFonts w:hint="eastAsia" w:ascii="宋体" w:hAnsi="宋体" w:cs="宋体"/>
          <w:color w:val="000000"/>
          <w:sz w:val="24"/>
          <w:highlight w:val="none"/>
        </w:rPr>
        <w:t xml:space="preserve">1.产品如有型号，请在“产品名称”栏一并填写。</w:t>
      </w:r>
      <w:r>
        <w:rPr>
          <w:rFonts w:ascii="宋体" w:hAnsi="宋体" w:cs="宋体"/>
          <w:color w:val="000000"/>
          <w:sz w:val="24"/>
          <w:highlight w:val="none"/>
        </w:rPr>
      </w:r>
      <w:r/>
    </w:p>
    <w:p>
      <w:pPr>
        <w:pStyle w:val="1060"/>
        <w:ind w:firstLine="480"/>
        <w:jc w:val="left"/>
        <w:spacing w:line="480" w:lineRule="atLeast"/>
        <w:shd w:val="clear" w:color="auto" w:fill="ffffff"/>
        <w:widowControl/>
        <w:rPr>
          <w:rFonts w:ascii="宋体" w:hAnsi="宋体" w:cs="宋体"/>
          <w:color w:val="000000"/>
          <w:sz w:val="24"/>
          <w:highlight w:val="none"/>
        </w:rPr>
      </w:pPr>
      <w:r>
        <w:rPr>
          <w:rFonts w:hint="eastAsia" w:ascii="宋体" w:hAnsi="宋体" w:cs="宋体"/>
          <w:color w:val="000000"/>
          <w:sz w:val="24"/>
          <w:highlight w:val="none"/>
        </w:rPr>
        <w:t xml:space="preserve">2.生产厂名与厂址应与生产厂营业执照载明的相关信息保持一致。</w:t>
      </w:r>
      <w:r>
        <w:rPr>
          <w:rFonts w:ascii="宋体" w:hAnsi="宋体" w:cs="宋体"/>
          <w:color w:val="000000"/>
          <w:sz w:val="24"/>
          <w:highlight w:val="none"/>
        </w:rPr>
      </w:r>
      <w:r/>
    </w:p>
    <w:p>
      <w:pPr>
        <w:pStyle w:val="1060"/>
        <w:ind w:firstLine="480"/>
        <w:jc w:val="left"/>
        <w:spacing w:line="480" w:lineRule="atLeast"/>
        <w:shd w:val="clear" w:color="auto" w:fill="ffffff"/>
        <w:widowControl/>
        <w:rPr>
          <w:rFonts w:ascii="宋体" w:hAnsi="宋体" w:cs="宋体"/>
          <w:color w:val="000000"/>
          <w:sz w:val="24"/>
          <w:highlight w:val="none"/>
        </w:rPr>
      </w:pPr>
      <w:r>
        <w:rPr>
          <w:rFonts w:hint="eastAsia" w:ascii="宋体" w:hAnsi="宋体" w:cs="宋体"/>
          <w:color w:val="000000"/>
          <w:sz w:val="24"/>
          <w:highlight w:val="none"/>
        </w:rPr>
        <w:t xml:space="preserve">3.该产品的中国境内生产的组件成本占比相关要求实施前，“规定比例”栏可不填，下同。</w:t>
      </w:r>
      <w:r>
        <w:rPr>
          <w:rFonts w:ascii="宋体" w:hAnsi="宋体" w:cs="宋体"/>
          <w:color w:val="000000"/>
          <w:sz w:val="24"/>
          <w:highlight w:val="none"/>
        </w:rPr>
      </w:r>
      <w:r/>
    </w:p>
    <w:p>
      <w:pPr>
        <w:pStyle w:val="1060"/>
        <w:ind w:firstLine="480"/>
        <w:jc w:val="left"/>
        <w:spacing w:line="480" w:lineRule="atLeast"/>
        <w:shd w:val="clear" w:color="auto" w:fill="ffffff"/>
        <w:widowControl/>
        <w:rPr>
          <w:rFonts w:ascii="宋体" w:hAnsi="宋体" w:cs="宋体"/>
          <w:color w:val="000000"/>
          <w:sz w:val="24"/>
          <w:highlight w:val="none"/>
        </w:rPr>
      </w:pPr>
      <w:r>
        <w:rPr>
          <w:rFonts w:hint="eastAsia" w:ascii="宋体" w:hAnsi="宋体" w:cs="宋体"/>
          <w:color w:val="000000"/>
          <w:sz w:val="24"/>
          <w:highlight w:val="none"/>
        </w:rPr>
        <w:t xml:space="preserve">4.该产品的关键组件要求实施前，“关键组件”栏可不填，下同。</w:t>
      </w:r>
      <w:r>
        <w:rPr>
          <w:rFonts w:ascii="宋体" w:hAnsi="宋体" w:cs="宋体"/>
          <w:color w:val="000000"/>
          <w:sz w:val="24"/>
          <w:highlight w:val="none"/>
        </w:rPr>
      </w:r>
      <w:r/>
    </w:p>
    <w:p>
      <w:pPr>
        <w:pStyle w:val="1060"/>
        <w:ind w:firstLine="480"/>
        <w:jc w:val="left"/>
        <w:spacing w:line="480" w:lineRule="atLeast"/>
        <w:shd w:val="clear" w:color="auto" w:fill="ffffff"/>
        <w:widowControl/>
        <w:rPr>
          <w:rFonts w:ascii="宋体" w:hAnsi="宋体" w:cs="宋体"/>
          <w:color w:val="000000"/>
          <w:sz w:val="24"/>
          <w:highlight w:val="none"/>
        </w:rPr>
      </w:pPr>
      <w:r>
        <w:rPr>
          <w:rFonts w:hint="eastAsia" w:ascii="宋体" w:hAnsi="宋体" w:cs="宋体"/>
          <w:color w:val="000000"/>
          <w:sz w:val="24"/>
          <w:highlight w:val="none"/>
        </w:rPr>
        <w:t xml:space="preserve">5.该产品的关键工序要求实施前，“关键工序”栏可不填，下同。</w:t>
      </w:r>
      <w:r>
        <w:rPr>
          <w:rFonts w:ascii="宋体" w:hAnsi="宋体" w:cs="宋体"/>
          <w:color w:val="000000"/>
          <w:sz w:val="24"/>
          <w:highlight w:val="none"/>
        </w:rPr>
      </w:r>
      <w:r/>
    </w:p>
    <w:p>
      <w:pPr>
        <w:pStyle w:val="1060"/>
        <w:jc w:val="left"/>
        <w:spacing w:line="360" w:lineRule="auto"/>
        <w:rPr>
          <w:rFonts w:hint="eastAsia" w:ascii="宋体" w:hAnsi="宋体" w:cs="宋体"/>
          <w:bCs/>
          <w:color w:val="000000"/>
          <w:sz w:val="24"/>
          <w:highlight w:val="none"/>
        </w:rPr>
        <w:sectPr>
          <w:headerReference w:type="default" r:id="rId12"/>
          <w:footerReference w:type="default" r:id="rId16"/>
          <w:footerReference w:type="first" r:id="rId17"/>
          <w:footnotePr/>
          <w:endnotePr/>
          <w:type w:val="nextPage"/>
          <w:pgSz w:w="11906" w:h="16838" w:orient="portrait"/>
          <w:pgMar w:top="1332" w:right="991" w:bottom="425" w:left="993" w:header="964" w:footer="907" w:gutter="0"/>
          <w:cols w:num="1" w:sep="0" w:space="1701" w:equalWidth="1"/>
          <w:docGrid w:linePitch="360"/>
          <w:titlePg/>
        </w:sectPr>
      </w:pPr>
      <w:r>
        <w:rPr>
          <w:rFonts w:hint="eastAsia" w:ascii="宋体" w:hAnsi="宋体" w:cs="宋体"/>
          <w:bCs/>
          <w:color w:val="000000"/>
          <w:sz w:val="24"/>
          <w:highlight w:val="none"/>
        </w:rPr>
      </w:r>
      <w:r/>
    </w:p>
    <w:p>
      <w:pPr>
        <w:pStyle w:val="1061"/>
        <w:jc w:val="center"/>
        <w:pageBreakBefore/>
        <w:spacing w:before="0" w:after="0" w:line="360" w:lineRule="auto"/>
        <w:rPr>
          <w:rFonts w:hint="eastAsia" w:ascii="宋体" w:hAnsi="宋体" w:cs="宋体"/>
          <w:color w:val="000000"/>
          <w:highlight w:val="none"/>
          <w:lang w:eastAsia="zh-CN"/>
        </w:rPr>
      </w:pPr>
      <w:r/>
      <w:bookmarkStart w:id="161" w:name="_Toc19694"/>
      <w:r/>
      <w:bookmarkStart w:id="162" w:name="_Toc29943"/>
      <w:r/>
      <w:bookmarkStart w:id="163" w:name="_Toc27970"/>
      <w:r/>
      <w:bookmarkStart w:id="164" w:name="_Toc24904"/>
      <w:r>
        <w:rPr>
          <w:rFonts w:hint="eastAsia" w:ascii="宋体" w:hAnsi="宋体" w:cs="宋体"/>
          <w:color w:val="000000"/>
          <w:highlight w:val="none"/>
          <w:lang w:val="en-US" w:eastAsia="zh-CN"/>
        </w:rPr>
        <w:t xml:space="preserve"> </w:t>
      </w:r>
      <w:bookmarkStart w:id="165" w:name="_Toc16251"/>
      <w:r/>
      <w:bookmarkStart w:id="166" w:name="_Toc31208"/>
      <w:r/>
      <w:bookmarkStart w:id="167" w:name="_Toc9626"/>
      <w:r/>
      <w:bookmarkStart w:id="168" w:name="_Toc6775"/>
      <w:r/>
      <w:bookmarkStart w:id="169" w:name="_Toc14584"/>
      <w:r/>
      <w:bookmarkStart w:id="170" w:name="_Toc9742"/>
      <w:r/>
      <w:bookmarkStart w:id="171" w:name="_Toc18116"/>
      <w:r/>
      <w:bookmarkStart w:id="172" w:name="_Toc15383"/>
      <w:r/>
      <w:bookmarkStart w:id="173" w:name="_Toc13692"/>
      <w:r/>
      <w:bookmarkStart w:id="174" w:name="_Toc9327"/>
      <w:r/>
      <w:bookmarkStart w:id="175" w:name="_Toc19309"/>
      <w:r/>
      <w:bookmarkStart w:id="176" w:name="_Toc28975"/>
      <w:r/>
      <w:bookmarkStart w:id="177" w:name="_Toc6630"/>
      <w:r/>
      <w:bookmarkStart w:id="178" w:name="_Toc28121"/>
      <w:r/>
      <w:bookmarkStart w:id="179" w:name="_Toc30459"/>
      <w:r>
        <w:rPr>
          <w:rFonts w:hint="eastAsia" w:ascii="宋体" w:hAnsi="宋体" w:cs="宋体"/>
          <w:color w:val="000000"/>
          <w:highlight w:val="none"/>
        </w:rPr>
        <w:t xml:space="preserve">第四章 </w:t>
      </w:r>
      <w:bookmarkEnd w:id="149"/>
      <w:r/>
      <w:bookmarkEnd w:id="150"/>
      <w:r/>
      <w:bookmarkEnd w:id="151"/>
      <w:r/>
      <w:bookmarkEnd w:id="152"/>
      <w:r/>
      <w:bookmarkEnd w:id="153"/>
      <w:r/>
      <w:bookmarkEnd w:id="154"/>
      <w:r/>
      <w:bookmarkEnd w:id="155"/>
      <w:r/>
      <w:bookmarkEnd w:id="156"/>
      <w:r/>
      <w:bookmarkEnd w:id="157"/>
      <w:r/>
      <w:bookmarkEnd w:id="158"/>
      <w:r/>
      <w:bookmarkEnd w:id="161"/>
      <w:r/>
      <w:bookmarkEnd w:id="162"/>
      <w:r/>
      <w:bookmarkEnd w:id="163"/>
      <w:r/>
      <w:bookmarkEnd w:id="164"/>
      <w:r>
        <w:rPr>
          <w:rFonts w:hint="eastAsia" w:ascii="宋体" w:hAnsi="宋体" w:cs="宋体"/>
          <w:color w:val="000000"/>
          <w:highlight w:val="none"/>
          <w:lang w:eastAsia="zh-CN"/>
        </w:rPr>
        <w:t xml:space="preserve">采购需求</w:t>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rPr>
          <w:rFonts w:hint="eastAsia" w:ascii="宋体" w:hAnsi="宋体" w:cs="宋体"/>
          <w:color w:val="000000"/>
          <w:highlight w:val="none"/>
          <w:lang w:eastAsia="zh-CN"/>
        </w:rPr>
      </w:r>
      <w:r/>
    </w:p>
    <w:p>
      <w:pPr>
        <w:pStyle w:val="1060"/>
        <w:ind w:firstLine="482"/>
        <w:jc w:val="left"/>
        <w:spacing w:line="360" w:lineRule="auto"/>
        <w:tabs>
          <w:tab w:val="left" w:pos="293" w:leader="none"/>
        </w:tabs>
        <w:rPr>
          <w:rFonts w:hint="eastAsia" w:ascii="宋体" w:hAnsi="宋体" w:cs="宋体"/>
          <w:b/>
          <w:bCs/>
          <w:color w:val="000000"/>
          <w:sz w:val="24"/>
          <w:highlight w:val="none"/>
        </w:rPr>
      </w:pPr>
      <w:r/>
      <w:bookmarkStart w:id="180" w:name="_Toc13642116"/>
      <w:r/>
      <w:bookmarkStart w:id="181" w:name="_Toc265829550"/>
      <w:r/>
      <w:bookmarkStart w:id="182" w:name="_Toc267036351"/>
      <w:r/>
      <w:bookmarkStart w:id="183" w:name="_Toc263059046"/>
      <w:r/>
      <w:bookmarkStart w:id="184" w:name="_Toc267406381"/>
      <w:r/>
      <w:bookmarkStart w:id="185" w:name="_Toc262737497"/>
      <w:r/>
      <w:bookmarkStart w:id="186" w:name="_Toc13889376"/>
      <w:r/>
      <w:bookmarkStart w:id="187" w:name="_Toc262749227"/>
      <w:r>
        <w:rPr>
          <w:rFonts w:hint="eastAsia" w:ascii="宋体" w:hAnsi="宋体" w:cs="宋体"/>
          <w:b/>
          <w:bCs/>
          <w:color w:val="000000"/>
          <w:sz w:val="24"/>
          <w:highlight w:val="none"/>
        </w:rPr>
        <w:t xml:space="preserve">一、项目说明</w:t>
      </w:r>
      <w:r>
        <w:rPr>
          <w:rFonts w:hint="eastAsia" w:ascii="宋体" w:hAnsi="宋体" w:cs="宋体"/>
          <w:b/>
          <w:bCs/>
          <w:color w:val="000000"/>
          <w:sz w:val="24"/>
          <w:highlight w:val="none"/>
        </w:rPr>
      </w:r>
      <w:r/>
    </w:p>
    <w:p>
      <w:pPr>
        <w:pStyle w:val="1060"/>
        <w:ind w:firstLine="480"/>
        <w:jc w:val="left"/>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1、项目编号：</w:t>
      </w:r>
      <w:r>
        <w:rPr>
          <w:rFonts w:hint="eastAsia" w:ascii="宋体" w:hAnsi="宋体" w:cs="宋体"/>
          <w:color w:val="000000"/>
          <w:sz w:val="24"/>
          <w:highlight w:val="none"/>
          <w:lang w:eastAsia="zh-CN"/>
        </w:rPr>
        <w:t xml:space="preserve">JSZC-320508-SZHT-K2026-0005</w:t>
      </w:r>
      <w:r>
        <w:rPr>
          <w:rFonts w:hint="eastAsia" w:ascii="宋体" w:hAnsi="宋体" w:eastAsia="宋体" w:cs="宋体"/>
          <w:color w:val="000000"/>
          <w:sz w:val="24"/>
          <w:highlight w:val="none"/>
          <w:lang w:eastAsia="zh-CN"/>
        </w:rPr>
      </w:r>
      <w:r/>
    </w:p>
    <w:p>
      <w:pPr>
        <w:pStyle w:val="106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2、项目名称：苏州市姑苏区残疾人辅助器具适配服务</w:t>
      </w:r>
      <w:r>
        <w:rPr>
          <w:rFonts w:hint="eastAsia" w:ascii="宋体" w:hAnsi="宋体" w:cs="宋体"/>
          <w:color w:val="000000"/>
          <w:sz w:val="24"/>
          <w:highlight w:val="none"/>
        </w:rPr>
      </w:r>
      <w:r/>
    </w:p>
    <w:p>
      <w:pPr>
        <w:pStyle w:val="1060"/>
        <w:ind w:firstLine="480"/>
        <w:jc w:val="left"/>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3、本项目共三个分包，供应商可选择投报一个、多个或全部分包。分别为（分包号及名称）：第一包：残疾人助听器适配服务；第二包：残疾人假肢矫形器适配服务；第三包：残疾人其他辅助器具适配服务。</w:t>
      </w:r>
      <w:r>
        <w:rPr>
          <w:rFonts w:hint="eastAsia" w:ascii="宋体" w:hAnsi="宋体" w:cs="宋体"/>
          <w:bCs/>
          <w:color w:val="000000"/>
          <w:sz w:val="24"/>
          <w:highlight w:val="none"/>
        </w:rPr>
      </w:r>
      <w:r/>
    </w:p>
    <w:p>
      <w:pPr>
        <w:pStyle w:val="1060"/>
        <w:ind w:firstLine="480"/>
        <w:jc w:val="left"/>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4、项目简介</w:t>
      </w:r>
      <w:r>
        <w:rPr>
          <w:rFonts w:hint="eastAsia" w:ascii="宋体" w:hAnsi="宋体" w:cs="宋体"/>
          <w:bCs/>
          <w:color w:val="000000"/>
          <w:sz w:val="24"/>
          <w:highlight w:val="none"/>
        </w:rPr>
      </w:r>
      <w:r/>
    </w:p>
    <w:p>
      <w:pPr>
        <w:pStyle w:val="1060"/>
        <w:ind w:firstLine="480"/>
        <w:jc w:val="left"/>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根据《中华人民共和国政府采购法》及其实施条例、《政府采购货物和服务招标投标管理办法》（财政部令第87号）、《政府采购框架协议采购方式管理暂行办法》（财政部令第110号）等相关规定，采购大概流程为：采用封闭式框架协议方式，通过公开征集程序，确定第一阶段入围供应商并订立框架协议；苏州市姑苏区残疾人按照框架协议约定规则，选择入围供应商服务。</w:t>
      </w:r>
      <w:r>
        <w:rPr>
          <w:rFonts w:hint="eastAsia" w:ascii="宋体" w:hAnsi="宋体" w:cs="宋体"/>
          <w:bCs/>
          <w:color w:val="000000"/>
          <w:sz w:val="24"/>
          <w:highlight w:val="none"/>
        </w:rPr>
      </w:r>
      <w:r/>
    </w:p>
    <w:p>
      <w:pPr>
        <w:pStyle w:val="1060"/>
        <w:ind w:firstLine="480"/>
        <w:jc w:val="left"/>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5、合同履行期限：</w:t>
      </w:r>
      <w:r>
        <w:rPr>
          <w:rFonts w:hint="eastAsia" w:ascii="宋体" w:hAnsi="宋体" w:cs="宋体"/>
          <w:bCs/>
          <w:color w:val="000000"/>
          <w:sz w:val="24"/>
          <w:highlight w:val="none"/>
        </w:rPr>
      </w:r>
      <w:r/>
    </w:p>
    <w:p>
      <w:pPr>
        <w:pStyle w:val="106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第一包：2026年11月1日起至2028年10月31日。</w:t>
      </w:r>
      <w:r>
        <w:rPr>
          <w:rFonts w:hint="eastAsia" w:ascii="宋体" w:hAnsi="宋体" w:cs="宋体"/>
          <w:color w:val="000000"/>
          <w:sz w:val="24"/>
          <w:highlight w:val="none"/>
        </w:rPr>
      </w:r>
      <w:r/>
    </w:p>
    <w:p>
      <w:pPr>
        <w:pStyle w:val="106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第二包：2027年2月1日起至2028年10月31日。</w:t>
      </w:r>
      <w:r>
        <w:rPr>
          <w:rFonts w:hint="eastAsia" w:ascii="宋体" w:hAnsi="宋体" w:cs="宋体"/>
          <w:color w:val="000000"/>
          <w:sz w:val="24"/>
          <w:highlight w:val="none"/>
        </w:rPr>
      </w:r>
      <w:r/>
    </w:p>
    <w:p>
      <w:pPr>
        <w:pStyle w:val="106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第三包：2026年11月1日起至2028年10月31日。</w:t>
      </w:r>
      <w:r>
        <w:rPr>
          <w:rFonts w:hint="eastAsia" w:ascii="宋体" w:hAnsi="宋体" w:cs="宋体"/>
          <w:color w:val="000000"/>
          <w:sz w:val="24"/>
          <w:highlight w:val="none"/>
        </w:rPr>
      </w:r>
      <w:r/>
    </w:p>
    <w:p>
      <w:pPr>
        <w:pStyle w:val="1060"/>
        <w:ind w:firstLine="482"/>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二、服务内容及要求</w:t>
      </w:r>
      <w:r>
        <w:rPr>
          <w:rFonts w:hint="eastAsia" w:ascii="宋体" w:hAnsi="宋体" w:cs="宋体"/>
          <w:b/>
          <w:bCs/>
          <w:color w:val="000000"/>
          <w:sz w:val="24"/>
          <w:highlight w:val="none"/>
        </w:rPr>
      </w:r>
      <w:r/>
    </w:p>
    <w:p>
      <w:pPr>
        <w:pStyle w:val="1060"/>
        <w:ind w:firstLine="482"/>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第一包：残疾人助听器适配服务</w:t>
      </w:r>
      <w:r>
        <w:rPr>
          <w:rFonts w:hint="eastAsia" w:ascii="宋体" w:hAnsi="宋体" w:cs="宋体"/>
          <w:b/>
          <w:bCs/>
          <w:color w:val="000000"/>
          <w:sz w:val="24"/>
          <w:highlight w:val="none"/>
        </w:rPr>
      </w:r>
      <w:r/>
    </w:p>
    <w:tbl>
      <w:tblPr>
        <w:tblW w:w="974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513"/>
        <w:gridCol w:w="852"/>
        <w:gridCol w:w="8375"/>
      </w:tblGrid>
      <w:tr>
        <w:trPr/>
        <w:tc>
          <w:tcPr>
            <w:tcMar>
              <w:top w:w="100" w:type="dxa"/>
              <w:bottom w:w="100" w:type="dxa"/>
            </w:tcMar>
            <w:tcW w:w="513" w:type="dxa"/>
            <w:vAlign w:val="center"/>
            <w:textDirection w:val="lrTb"/>
            <w:noWrap w:val="false"/>
          </w:tcPr>
          <w:p>
            <w:pPr>
              <w:pStyle w:val="1060"/>
              <w:jc w:val="center"/>
              <w:spacing w:line="400" w:lineRule="exact"/>
              <w:widowControl/>
              <w:rPr>
                <w:color w:val="000000"/>
                <w:sz w:val="24"/>
                <w:highlight w:val="none"/>
              </w:rPr>
            </w:pPr>
            <w:r/>
            <w:bookmarkStart w:id="188" w:name="_Hlk143846102"/>
            <w:r>
              <w:rPr>
                <w:color w:val="000000"/>
                <w:sz w:val="24"/>
                <w:highlight w:val="none"/>
              </w:rPr>
              <w:t xml:space="preserve">序号</w:t>
            </w:r>
            <w:r>
              <w:rPr>
                <w:color w:val="000000"/>
                <w:sz w:val="24"/>
                <w:highlight w:val="none"/>
              </w:rPr>
            </w:r>
            <w:r/>
          </w:p>
        </w:tc>
        <w:tc>
          <w:tcPr>
            <w:tcMar>
              <w:top w:w="100" w:type="dxa"/>
              <w:bottom w:w="100" w:type="dxa"/>
            </w:tcMar>
            <w:tcW w:w="852" w:type="dxa"/>
            <w:vAlign w:val="center"/>
            <w:textDirection w:val="lrTb"/>
            <w:noWrap w:val="false"/>
          </w:tcPr>
          <w:p>
            <w:pPr>
              <w:pStyle w:val="1060"/>
              <w:jc w:val="center"/>
              <w:spacing w:line="400" w:lineRule="exact"/>
              <w:widowControl/>
              <w:rPr>
                <w:color w:val="000000"/>
                <w:sz w:val="24"/>
                <w:highlight w:val="none"/>
              </w:rPr>
            </w:pPr>
            <w:r>
              <w:rPr>
                <w:color w:val="000000"/>
                <w:sz w:val="24"/>
                <w:highlight w:val="none"/>
              </w:rPr>
              <w:t xml:space="preserve">名称</w:t>
            </w:r>
            <w:r>
              <w:rPr>
                <w:color w:val="000000"/>
                <w:sz w:val="24"/>
                <w:highlight w:val="none"/>
              </w:rPr>
            </w:r>
            <w:r/>
          </w:p>
        </w:tc>
        <w:tc>
          <w:tcPr>
            <w:tcMar>
              <w:top w:w="100" w:type="dxa"/>
              <w:bottom w:w="100" w:type="dxa"/>
            </w:tcMar>
            <w:tcW w:w="8375" w:type="dxa"/>
            <w:vAlign w:val="center"/>
            <w:textDirection w:val="lrTb"/>
            <w:noWrap w:val="false"/>
          </w:tcPr>
          <w:p>
            <w:pPr>
              <w:pStyle w:val="1060"/>
              <w:jc w:val="center"/>
              <w:spacing w:line="400" w:lineRule="exact"/>
              <w:widowControl/>
              <w:rPr>
                <w:color w:val="000000"/>
                <w:sz w:val="24"/>
                <w:highlight w:val="none"/>
              </w:rPr>
            </w:pPr>
            <w:r>
              <w:rPr>
                <w:color w:val="000000"/>
                <w:sz w:val="24"/>
                <w:highlight w:val="none"/>
              </w:rPr>
              <w:t xml:space="preserve">内容</w:t>
            </w:r>
            <w:r>
              <w:rPr>
                <w:color w:val="000000"/>
                <w:sz w:val="24"/>
                <w:highlight w:val="none"/>
              </w:rPr>
            </w:r>
            <w:r/>
          </w:p>
        </w:tc>
      </w:tr>
      <w:tr>
        <w:trPr/>
        <w:tc>
          <w:tcPr>
            <w:tcMar>
              <w:top w:w="100" w:type="dxa"/>
              <w:bottom w:w="100" w:type="dxa"/>
            </w:tcMar>
            <w:tcW w:w="513" w:type="dxa"/>
            <w:vAlign w:val="center"/>
            <w:textDirection w:val="lrTb"/>
            <w:noWrap w:val="false"/>
          </w:tcPr>
          <w:p>
            <w:pPr>
              <w:pStyle w:val="1060"/>
              <w:jc w:val="center"/>
              <w:spacing w:line="400" w:lineRule="exact"/>
              <w:widowControl/>
              <w:rPr>
                <w:color w:val="000000"/>
                <w:sz w:val="24"/>
                <w:highlight w:val="none"/>
              </w:rPr>
            </w:pPr>
            <w:r>
              <w:rPr>
                <w:color w:val="000000"/>
                <w:sz w:val="24"/>
                <w:highlight w:val="none"/>
              </w:rPr>
              <w:t xml:space="preserve">1</w:t>
            </w:r>
            <w:r>
              <w:rPr>
                <w:color w:val="000000"/>
                <w:sz w:val="24"/>
                <w:highlight w:val="none"/>
              </w:rPr>
            </w:r>
            <w:r/>
          </w:p>
        </w:tc>
        <w:tc>
          <w:tcPr>
            <w:tcMar>
              <w:top w:w="100" w:type="dxa"/>
              <w:bottom w:w="100" w:type="dxa"/>
            </w:tcMar>
            <w:tcW w:w="852" w:type="dxa"/>
            <w:vAlign w:val="center"/>
            <w:textDirection w:val="lrTb"/>
            <w:noWrap w:val="false"/>
          </w:tcPr>
          <w:p>
            <w:pPr>
              <w:pStyle w:val="1060"/>
              <w:jc w:val="left"/>
              <w:spacing w:line="400" w:lineRule="exact"/>
              <w:widowControl/>
              <w:rPr>
                <w:color w:val="000000"/>
                <w:sz w:val="24"/>
                <w:highlight w:val="none"/>
              </w:rPr>
            </w:pPr>
            <w:r>
              <w:rPr>
                <w:color w:val="000000"/>
                <w:sz w:val="24"/>
                <w:highlight w:val="none"/>
              </w:rPr>
              <w:t xml:space="preserve">项目概况</w:t>
            </w:r>
            <w:r>
              <w:rPr>
                <w:color w:val="000000"/>
                <w:sz w:val="24"/>
                <w:highlight w:val="none"/>
              </w:rPr>
            </w:r>
            <w:r/>
          </w:p>
        </w:tc>
        <w:tc>
          <w:tcPr>
            <w:tcMar>
              <w:top w:w="100" w:type="dxa"/>
              <w:bottom w:w="100" w:type="dxa"/>
            </w:tcMar>
            <w:tcW w:w="8375" w:type="dxa"/>
            <w:vAlign w:val="center"/>
            <w:textDirection w:val="lrTb"/>
            <w:noWrap w:val="false"/>
          </w:tcPr>
          <w:p>
            <w:pPr>
              <w:pStyle w:val="1060"/>
              <w:jc w:val="left"/>
              <w:spacing w:line="400" w:lineRule="exact"/>
              <w:widowControl/>
              <w:rPr>
                <w:color w:val="000000"/>
                <w:sz w:val="24"/>
                <w:highlight w:val="none"/>
              </w:rPr>
            </w:pPr>
            <w:r>
              <w:rPr>
                <w:color w:val="000000"/>
                <w:sz w:val="24"/>
                <w:highlight w:val="none"/>
              </w:rPr>
              <w:t xml:space="preserve">根据现有</w:t>
            </w:r>
            <w:r>
              <w:rPr>
                <w:rFonts w:hint="eastAsia"/>
                <w:color w:val="000000"/>
                <w:sz w:val="24"/>
                <w:highlight w:val="none"/>
              </w:rPr>
              <w:t xml:space="preserve">苏州市姑苏区</w:t>
            </w:r>
            <w:r>
              <w:rPr>
                <w:color w:val="000000"/>
                <w:sz w:val="24"/>
                <w:highlight w:val="none"/>
              </w:rPr>
              <w:t xml:space="preserve">残疾人</w:t>
            </w:r>
            <w:r>
              <w:rPr>
                <w:rFonts w:hint="eastAsia"/>
                <w:color w:val="000000"/>
                <w:sz w:val="24"/>
                <w:highlight w:val="none"/>
              </w:rPr>
              <w:t xml:space="preserve">助听器</w:t>
            </w:r>
            <w:r>
              <w:rPr>
                <w:color w:val="000000"/>
                <w:sz w:val="24"/>
                <w:highlight w:val="none"/>
              </w:rPr>
              <w:t xml:space="preserve">服务需求状况，</w:t>
            </w:r>
            <w:r>
              <w:rPr>
                <w:rFonts w:hint="eastAsia"/>
                <w:color w:val="000000"/>
                <w:sz w:val="24"/>
                <w:highlight w:val="none"/>
              </w:rPr>
              <w:t xml:space="preserve">苏州市姑苏区残疾人联合会</w:t>
            </w:r>
            <w:r>
              <w:rPr>
                <w:color w:val="000000"/>
                <w:sz w:val="24"/>
                <w:highlight w:val="none"/>
              </w:rPr>
              <w:t xml:space="preserve">拟选择符合条件的机构作为</w:t>
            </w:r>
            <w:r>
              <w:rPr>
                <w:rFonts w:hint="eastAsia"/>
                <w:color w:val="000000"/>
                <w:sz w:val="24"/>
                <w:highlight w:val="none"/>
              </w:rPr>
              <w:t xml:space="preserve">苏州市姑苏区</w:t>
            </w:r>
            <w:r>
              <w:rPr>
                <w:color w:val="000000"/>
                <w:sz w:val="24"/>
                <w:highlight w:val="none"/>
              </w:rPr>
              <w:t xml:space="preserve">残疾人</w:t>
            </w:r>
            <w:r>
              <w:rPr>
                <w:rFonts w:hint="eastAsia"/>
                <w:color w:val="000000"/>
                <w:sz w:val="24"/>
                <w:highlight w:val="none"/>
              </w:rPr>
              <w:t xml:space="preserve">助听器</w:t>
            </w:r>
            <w:r>
              <w:rPr>
                <w:color w:val="000000"/>
                <w:sz w:val="24"/>
                <w:highlight w:val="none"/>
              </w:rPr>
              <w:t xml:space="preserve">定点适配服务机构，为</w:t>
            </w:r>
            <w:r>
              <w:rPr>
                <w:rFonts w:hint="eastAsia"/>
                <w:color w:val="000000"/>
                <w:sz w:val="24"/>
                <w:highlight w:val="none"/>
              </w:rPr>
              <w:t xml:space="preserve">苏州市姑苏区</w:t>
            </w:r>
            <w:r>
              <w:rPr>
                <w:color w:val="000000"/>
                <w:sz w:val="24"/>
                <w:highlight w:val="none"/>
              </w:rPr>
              <w:t xml:space="preserve">户籍持证</w:t>
            </w:r>
            <w:r>
              <w:rPr>
                <w:rFonts w:hint="eastAsia"/>
                <w:color w:val="000000"/>
                <w:sz w:val="24"/>
                <w:highlight w:val="none"/>
              </w:rPr>
              <w:t xml:space="preserve">听力</w:t>
            </w:r>
            <w:r>
              <w:rPr>
                <w:color w:val="000000"/>
                <w:sz w:val="24"/>
                <w:highlight w:val="none"/>
              </w:rPr>
              <w:t xml:space="preserve">残疾人、18周岁以下残疾儿童、</w:t>
            </w:r>
            <w:r>
              <w:rPr>
                <w:rFonts w:hint="eastAsia"/>
                <w:color w:val="000000"/>
                <w:sz w:val="24"/>
                <w:highlight w:val="none"/>
              </w:rPr>
              <w:t xml:space="preserve">在校</w:t>
            </w:r>
            <w:r>
              <w:rPr>
                <w:color w:val="000000"/>
                <w:sz w:val="24"/>
                <w:highlight w:val="none"/>
              </w:rPr>
              <w:t xml:space="preserve">残疾学生开展助听</w:t>
            </w:r>
            <w:r>
              <w:rPr>
                <w:rFonts w:hint="eastAsia"/>
                <w:color w:val="000000"/>
                <w:sz w:val="24"/>
                <w:highlight w:val="none"/>
              </w:rPr>
              <w:t xml:space="preserve">器</w:t>
            </w:r>
            <w:r>
              <w:rPr>
                <w:color w:val="000000"/>
                <w:sz w:val="24"/>
                <w:highlight w:val="none"/>
              </w:rPr>
              <w:t xml:space="preserve">适配服务。</w:t>
            </w:r>
            <w:r>
              <w:rPr>
                <w:rFonts w:hint="eastAsia"/>
                <w:color w:val="000000"/>
                <w:sz w:val="24"/>
                <w:highlight w:val="none"/>
              </w:rPr>
              <w:t xml:space="preserve">服务</w:t>
            </w:r>
            <w:r>
              <w:rPr>
                <w:color w:val="000000"/>
                <w:sz w:val="24"/>
                <w:highlight w:val="none"/>
              </w:rPr>
              <w:t xml:space="preserve">对象可在</w:t>
            </w:r>
            <w:r>
              <w:rPr>
                <w:rFonts w:hint="eastAsia"/>
                <w:color w:val="000000"/>
                <w:sz w:val="24"/>
                <w:highlight w:val="none"/>
              </w:rPr>
              <w:t xml:space="preserve">苏州市姑苏区残疾人联合会采购</w:t>
            </w:r>
            <w:r>
              <w:rPr>
                <w:color w:val="000000"/>
                <w:sz w:val="24"/>
                <w:highlight w:val="none"/>
              </w:rPr>
              <w:t xml:space="preserve">的</w:t>
            </w:r>
            <w:r>
              <w:rPr>
                <w:rFonts w:hint="eastAsia"/>
                <w:color w:val="000000"/>
                <w:sz w:val="24"/>
                <w:highlight w:val="none"/>
              </w:rPr>
              <w:t xml:space="preserve">助听器定点适配</w:t>
            </w:r>
            <w:r>
              <w:rPr>
                <w:color w:val="000000"/>
                <w:sz w:val="24"/>
                <w:highlight w:val="none"/>
              </w:rPr>
              <w:t xml:space="preserve">机构进行</w:t>
            </w:r>
            <w:r>
              <w:rPr>
                <w:rFonts w:hint="eastAsia"/>
                <w:color w:val="000000"/>
                <w:sz w:val="24"/>
                <w:highlight w:val="none"/>
              </w:rPr>
              <w:t xml:space="preserve">助听器适配</w:t>
            </w:r>
            <w:r>
              <w:rPr>
                <w:color w:val="000000"/>
                <w:sz w:val="24"/>
                <w:highlight w:val="none"/>
              </w:rPr>
              <w:t xml:space="preserve">。</w:t>
            </w:r>
            <w:r>
              <w:rPr>
                <w:color w:val="000000"/>
                <w:sz w:val="24"/>
                <w:highlight w:val="none"/>
              </w:rPr>
            </w:r>
            <w:r/>
          </w:p>
        </w:tc>
      </w:tr>
      <w:tr>
        <w:trPr>
          <w:trHeight w:val="2325"/>
        </w:trPr>
        <w:tc>
          <w:tcPr>
            <w:tcMar>
              <w:top w:w="100" w:type="dxa"/>
              <w:bottom w:w="100" w:type="dxa"/>
            </w:tcMar>
            <w:tcW w:w="513" w:type="dxa"/>
            <w:vAlign w:val="center"/>
            <w:textDirection w:val="lrTb"/>
            <w:noWrap w:val="false"/>
          </w:tcPr>
          <w:p>
            <w:pPr>
              <w:pStyle w:val="1060"/>
              <w:jc w:val="center"/>
              <w:spacing w:line="400" w:lineRule="exact"/>
              <w:widowControl/>
              <w:rPr>
                <w:color w:val="000000"/>
                <w:sz w:val="24"/>
                <w:highlight w:val="none"/>
              </w:rPr>
            </w:pPr>
            <w:r>
              <w:rPr>
                <w:color w:val="000000"/>
                <w:sz w:val="24"/>
                <w:highlight w:val="none"/>
              </w:rPr>
              <w:t xml:space="preserve">2</w:t>
            </w:r>
            <w:r>
              <w:rPr>
                <w:color w:val="000000"/>
                <w:sz w:val="24"/>
                <w:highlight w:val="none"/>
              </w:rPr>
            </w:r>
            <w:r/>
          </w:p>
        </w:tc>
        <w:tc>
          <w:tcPr>
            <w:tcMar>
              <w:top w:w="100" w:type="dxa"/>
              <w:bottom w:w="100" w:type="dxa"/>
            </w:tcMar>
            <w:tcW w:w="852" w:type="dxa"/>
            <w:vAlign w:val="center"/>
            <w:textDirection w:val="lrTb"/>
            <w:noWrap w:val="false"/>
          </w:tcPr>
          <w:p>
            <w:pPr>
              <w:pStyle w:val="1060"/>
              <w:jc w:val="left"/>
              <w:spacing w:line="400" w:lineRule="exact"/>
              <w:widowControl/>
              <w:rPr>
                <w:color w:val="000000"/>
                <w:sz w:val="24"/>
                <w:highlight w:val="none"/>
              </w:rPr>
            </w:pPr>
            <w:r>
              <w:rPr>
                <w:color w:val="000000"/>
                <w:sz w:val="24"/>
                <w:highlight w:val="none"/>
              </w:rPr>
              <w:t xml:space="preserve">服务对象</w:t>
            </w:r>
            <w:r>
              <w:rPr>
                <w:color w:val="000000"/>
                <w:sz w:val="24"/>
                <w:highlight w:val="none"/>
              </w:rPr>
            </w:r>
            <w:r/>
          </w:p>
        </w:tc>
        <w:tc>
          <w:tcPr>
            <w:tcMar>
              <w:top w:w="100" w:type="dxa"/>
              <w:bottom w:w="100" w:type="dxa"/>
            </w:tcMar>
            <w:tcW w:w="8375" w:type="dxa"/>
            <w:vAlign w:val="center"/>
            <w:textDirection w:val="lrTb"/>
            <w:noWrap w:val="false"/>
          </w:tcPr>
          <w:p>
            <w:pPr>
              <w:pStyle w:val="1060"/>
              <w:jc w:val="left"/>
              <w:spacing w:line="400" w:lineRule="exact"/>
              <w:widowControl/>
              <w:rPr>
                <w:color w:val="000000"/>
                <w:sz w:val="24"/>
                <w:highlight w:val="none"/>
              </w:rPr>
            </w:pPr>
            <w:r>
              <w:rPr>
                <w:rFonts w:hint="eastAsia"/>
                <w:color w:val="000000"/>
                <w:sz w:val="24"/>
                <w:highlight w:val="none"/>
              </w:rPr>
              <w:t xml:space="preserve">本项目所对应的基本辅具适配服务对象：</w:t>
            </w:r>
            <w:r>
              <w:rPr>
                <w:color w:val="000000"/>
                <w:sz w:val="24"/>
                <w:highlight w:val="none"/>
              </w:rPr>
            </w:r>
            <w:r/>
          </w:p>
          <w:p>
            <w:pPr>
              <w:pStyle w:val="1060"/>
              <w:jc w:val="left"/>
              <w:spacing w:line="400" w:lineRule="exact"/>
              <w:widowControl/>
              <w:rPr>
                <w:color w:val="000000"/>
                <w:sz w:val="24"/>
                <w:highlight w:val="none"/>
              </w:rPr>
            </w:pPr>
            <w:r>
              <w:rPr>
                <w:rFonts w:hint="eastAsia"/>
                <w:color w:val="000000"/>
                <w:sz w:val="24"/>
                <w:highlight w:val="none"/>
              </w:rPr>
              <w:t xml:space="preserve">（1）具有苏州市姑苏区户籍的持证听力残疾人；</w:t>
            </w:r>
            <w:r>
              <w:rPr>
                <w:color w:val="000000"/>
                <w:sz w:val="24"/>
                <w:highlight w:val="none"/>
              </w:rPr>
            </w:r>
            <w:r/>
          </w:p>
          <w:p>
            <w:pPr>
              <w:pStyle w:val="1060"/>
              <w:jc w:val="left"/>
              <w:spacing w:line="400" w:lineRule="exact"/>
              <w:widowControl/>
              <w:rPr>
                <w:color w:val="000000"/>
                <w:sz w:val="24"/>
                <w:highlight w:val="none"/>
              </w:rPr>
            </w:pPr>
            <w:r>
              <w:rPr>
                <w:rFonts w:hint="eastAsia"/>
                <w:color w:val="000000"/>
                <w:sz w:val="24"/>
                <w:highlight w:val="none"/>
              </w:rPr>
              <w:t xml:space="preserve">（2）经国内三级以上专业医疗机构诊断为听力障碍的18周岁以下残疾儿童或在校残疾学生，由专业医疗机构出具医学诊断证明书、病历等，自开具之日起1年内有效。</w:t>
            </w:r>
            <w:r>
              <w:rPr>
                <w:color w:val="000000"/>
                <w:sz w:val="24"/>
                <w:highlight w:val="none"/>
              </w:rPr>
            </w:r>
            <w:r/>
          </w:p>
          <w:p>
            <w:pPr>
              <w:pStyle w:val="1060"/>
              <w:jc w:val="left"/>
              <w:spacing w:line="400" w:lineRule="exact"/>
              <w:widowControl/>
              <w:rPr>
                <w:i/>
                <w:iCs/>
                <w:color w:val="000000"/>
                <w:sz w:val="24"/>
                <w:highlight w:val="none"/>
                <w:u w:val="single"/>
              </w:rPr>
            </w:pPr>
            <w:r>
              <w:rPr>
                <w:rFonts w:hint="eastAsia"/>
                <w:color w:val="000000"/>
                <w:sz w:val="24"/>
                <w:highlight w:val="none"/>
              </w:rPr>
              <w:t xml:space="preserve">注：户口本、残疾人证、医学诊断证明（含病历）等是享受救助政策的重要凭证。</w:t>
            </w:r>
            <w:r>
              <w:rPr>
                <w:i/>
                <w:iCs/>
                <w:color w:val="000000"/>
                <w:sz w:val="24"/>
                <w:highlight w:val="none"/>
                <w:u w:val="single"/>
              </w:rPr>
            </w:r>
            <w:r/>
          </w:p>
        </w:tc>
      </w:tr>
      <w:tr>
        <w:trPr>
          <w:trHeight w:val="372"/>
        </w:trPr>
        <w:tc>
          <w:tcPr>
            <w:tcMar>
              <w:top w:w="100" w:type="dxa"/>
              <w:bottom w:w="100" w:type="dxa"/>
            </w:tcMar>
            <w:tcW w:w="513" w:type="dxa"/>
            <w:vAlign w:val="center"/>
            <w:vMerge w:val="restart"/>
            <w:textDirection w:val="lrTb"/>
            <w:noWrap w:val="false"/>
          </w:tcPr>
          <w:p>
            <w:pPr>
              <w:pStyle w:val="1060"/>
              <w:jc w:val="center"/>
              <w:spacing w:line="400" w:lineRule="exact"/>
              <w:widowControl/>
              <w:rPr>
                <w:color w:val="000000"/>
                <w:sz w:val="24"/>
                <w:highlight w:val="none"/>
              </w:rPr>
            </w:pPr>
            <w:r>
              <w:rPr>
                <w:color w:val="000000"/>
                <w:sz w:val="24"/>
                <w:highlight w:val="none"/>
              </w:rPr>
              <w:t xml:space="preserve">3</w:t>
            </w:r>
            <w:r>
              <w:rPr>
                <w:color w:val="000000"/>
                <w:sz w:val="24"/>
                <w:highlight w:val="none"/>
              </w:rPr>
            </w:r>
            <w:r/>
          </w:p>
        </w:tc>
        <w:tc>
          <w:tcPr>
            <w:tcMar>
              <w:top w:w="100" w:type="dxa"/>
              <w:bottom w:w="100" w:type="dxa"/>
            </w:tcMar>
            <w:tcW w:w="852" w:type="dxa"/>
            <w:vAlign w:val="center"/>
            <w:vMerge w:val="restart"/>
            <w:textDirection w:val="lrTb"/>
            <w:noWrap w:val="false"/>
          </w:tcPr>
          <w:p>
            <w:pPr>
              <w:pStyle w:val="1060"/>
              <w:jc w:val="left"/>
              <w:spacing w:line="400" w:lineRule="exact"/>
              <w:widowControl/>
              <w:rPr>
                <w:color w:val="000000"/>
                <w:sz w:val="24"/>
                <w:highlight w:val="none"/>
              </w:rPr>
            </w:pPr>
            <w:r>
              <w:rPr>
                <w:color w:val="000000"/>
                <w:sz w:val="24"/>
                <w:highlight w:val="none"/>
              </w:rPr>
              <w:t xml:space="preserve">服务目标与内容</w:t>
            </w:r>
            <w:r>
              <w:rPr>
                <w:color w:val="000000"/>
                <w:sz w:val="24"/>
                <w:highlight w:val="none"/>
              </w:rPr>
            </w:r>
            <w:r/>
          </w:p>
        </w:tc>
        <w:tc>
          <w:tcPr>
            <w:tcMar>
              <w:top w:w="100" w:type="dxa"/>
              <w:bottom w:w="100" w:type="dxa"/>
            </w:tcMar>
            <w:tcW w:w="8375" w:type="dxa"/>
            <w:vAlign w:val="center"/>
            <w:textDirection w:val="lrTb"/>
            <w:noWrap w:val="false"/>
          </w:tcPr>
          <w:p>
            <w:pPr>
              <w:pStyle w:val="1060"/>
              <w:jc w:val="left"/>
              <w:spacing w:line="400" w:lineRule="exact"/>
              <w:widowControl/>
              <w:rPr>
                <w:b/>
                <w:bCs/>
                <w:color w:val="000000"/>
                <w:sz w:val="24"/>
                <w:highlight w:val="none"/>
              </w:rPr>
            </w:pPr>
            <w:r>
              <w:rPr>
                <w:color w:val="000000"/>
                <w:sz w:val="24"/>
                <w:highlight w:val="none"/>
              </w:rPr>
              <w:t xml:space="preserve">3.1 服务流程、内容与标准</w:t>
            </w:r>
            <w:r>
              <w:rPr>
                <w:b/>
                <w:bCs/>
                <w:color w:val="000000"/>
                <w:sz w:val="24"/>
                <w:highlight w:val="none"/>
              </w:rPr>
            </w:r>
            <w:r/>
          </w:p>
        </w:tc>
      </w:tr>
      <w:tr>
        <w:trPr>
          <w:trHeight w:val="548"/>
        </w:trPr>
        <w:tc>
          <w:tcPr>
            <w:tcMar>
              <w:top w:w="100" w:type="dxa"/>
              <w:bottom w:w="100" w:type="dxa"/>
            </w:tcMar>
            <w:tcW w:w="513" w:type="dxa"/>
            <w:vAlign w:val="center"/>
            <w:vMerge w:val="continue"/>
            <w:textDirection w:val="lrTb"/>
            <w:noWrap w:val="false"/>
          </w:tcPr>
          <w:p>
            <w:pPr>
              <w:pStyle w:val="1060"/>
              <w:jc w:val="center"/>
              <w:spacing w:line="400" w:lineRule="exact"/>
              <w:widowControl/>
              <w:rPr>
                <w:color w:val="000000"/>
                <w:sz w:val="24"/>
                <w:highlight w:val="none"/>
              </w:rPr>
            </w:pPr>
            <w:r>
              <w:rPr>
                <w:color w:val="000000"/>
                <w:sz w:val="24"/>
                <w:highlight w:val="none"/>
              </w:rPr>
            </w:r>
            <w:r/>
          </w:p>
        </w:tc>
        <w:tc>
          <w:tcPr>
            <w:tcMar>
              <w:top w:w="100" w:type="dxa"/>
              <w:bottom w:w="100" w:type="dxa"/>
            </w:tcMar>
            <w:tcW w:w="852" w:type="dxa"/>
            <w:vAlign w:val="center"/>
            <w:vMerge w:val="continue"/>
            <w:textDirection w:val="lrTb"/>
            <w:noWrap w:val="false"/>
          </w:tcPr>
          <w:p>
            <w:pPr>
              <w:pStyle w:val="1060"/>
              <w:jc w:val="left"/>
              <w:spacing w:line="400" w:lineRule="exact"/>
              <w:widowControl/>
              <w:rPr>
                <w:color w:val="000000"/>
                <w:sz w:val="24"/>
                <w:highlight w:val="none"/>
              </w:rPr>
            </w:pPr>
            <w:r>
              <w:rPr>
                <w:color w:val="000000"/>
                <w:sz w:val="24"/>
                <w:highlight w:val="none"/>
              </w:rPr>
            </w:r>
            <w:r/>
          </w:p>
        </w:tc>
        <w:tc>
          <w:tcPr>
            <w:tcMar>
              <w:top w:w="100" w:type="dxa"/>
              <w:bottom w:w="100" w:type="dxa"/>
            </w:tcMar>
            <w:tcW w:w="8375" w:type="dxa"/>
            <w:vAlign w:val="center"/>
            <w:textDirection w:val="lrTb"/>
            <w:noWrap w:val="false"/>
          </w:tcPr>
          <w:p>
            <w:pPr>
              <w:pStyle w:val="1060"/>
              <w:spacing w:line="440" w:lineRule="exact"/>
              <w:rPr>
                <w:rFonts w:hint="eastAsia"/>
                <w:color w:val="000000"/>
                <w:sz w:val="24"/>
                <w:highlight w:val="none"/>
                <w:u w:val="single"/>
              </w:rPr>
            </w:pPr>
            <w:r>
              <w:rPr>
                <w:rFonts w:hint="eastAsia" w:ascii="Times New Roman" w:hAnsi="Times New Roman" w:cs="Times New Roman"/>
                <w:color w:val="000000"/>
                <w:sz w:val="24"/>
                <w:highlight w:val="none"/>
              </w:rPr>
              <w:t xml:space="preserve">按本购买服务要求及苏州市残疾人联合会公布的《关于优化〈苏州市残疾人辅助器具适配补贴实施办法〉的通知》（苏残字〔2024〕50号）</w:t>
            </w:r>
            <w:r>
              <w:rPr>
                <w:rFonts w:hint="eastAsia" w:ascii="宋体" w:hAnsi="宋体" w:cs="宋体"/>
                <w:color w:val="000000"/>
                <w:sz w:val="24"/>
                <w:highlight w:val="none"/>
              </w:rPr>
              <w:t xml:space="preserve">(后续如对应文件有调整，以最新版文件为准)</w:t>
            </w:r>
            <w:r>
              <w:rPr>
                <w:rFonts w:hint="eastAsia" w:ascii="Times New Roman" w:hAnsi="Times New Roman" w:cs="Times New Roman"/>
                <w:color w:val="000000"/>
                <w:sz w:val="24"/>
                <w:highlight w:val="none"/>
              </w:rPr>
              <w:t xml:space="preserve">执行。采购人与供应商的补助结付标准参照上述文件与</w:t>
            </w:r>
            <w:r>
              <w:rPr>
                <w:rFonts w:hint="eastAsia" w:ascii="宋体" w:hAnsi="宋体" w:cs="宋体"/>
                <w:color w:val="000000"/>
                <w:sz w:val="24"/>
                <w:highlight w:val="none"/>
              </w:rPr>
              <w:t xml:space="preserve">《关于印发〈2023年苏州市残疾人辅助器具适配产品目录〉的通知》（苏残字〔2023〕38号）</w:t>
            </w:r>
            <w:r>
              <w:rPr>
                <w:rFonts w:hint="eastAsia" w:ascii="Times New Roman" w:hAnsi="Times New Roman" w:cs="Times New Roman"/>
                <w:color w:val="000000"/>
                <w:sz w:val="24"/>
                <w:highlight w:val="none"/>
              </w:rPr>
              <w:t xml:space="preserve">(后续如上述目录出现调整，则以调整后的目录定价执行)执行，以采购人审核通过的符合补助费用据实支付。</w:t>
            </w:r>
            <w:r>
              <w:rPr>
                <w:rFonts w:hint="eastAsia"/>
                <w:color w:val="000000"/>
                <w:sz w:val="24"/>
                <w:highlight w:val="none"/>
                <w:u w:val="single"/>
              </w:rPr>
            </w:r>
            <w:r/>
          </w:p>
        </w:tc>
      </w:tr>
      <w:tr>
        <w:trPr>
          <w:trHeight w:val="203"/>
        </w:trPr>
        <w:tc>
          <w:tcPr>
            <w:tcMar>
              <w:top w:w="100" w:type="dxa"/>
              <w:bottom w:w="100" w:type="dxa"/>
            </w:tcMar>
            <w:tcW w:w="513" w:type="dxa"/>
            <w:vAlign w:val="center"/>
            <w:vMerge w:val="continue"/>
            <w:textDirection w:val="lrTb"/>
            <w:noWrap w:val="false"/>
          </w:tcPr>
          <w:p>
            <w:pPr>
              <w:pStyle w:val="1060"/>
              <w:jc w:val="center"/>
              <w:spacing w:line="400" w:lineRule="exact"/>
              <w:widowControl/>
              <w:rPr>
                <w:color w:val="000000"/>
                <w:sz w:val="24"/>
                <w:highlight w:val="none"/>
              </w:rPr>
            </w:pPr>
            <w:r>
              <w:rPr>
                <w:color w:val="000000"/>
                <w:sz w:val="24"/>
                <w:highlight w:val="none"/>
              </w:rPr>
            </w:r>
            <w:r/>
          </w:p>
        </w:tc>
        <w:tc>
          <w:tcPr>
            <w:tcMar>
              <w:top w:w="100" w:type="dxa"/>
              <w:bottom w:w="100" w:type="dxa"/>
            </w:tcMar>
            <w:tcW w:w="852" w:type="dxa"/>
            <w:vAlign w:val="center"/>
            <w:vMerge w:val="continue"/>
            <w:textDirection w:val="lrTb"/>
            <w:noWrap w:val="false"/>
          </w:tcPr>
          <w:p>
            <w:pPr>
              <w:pStyle w:val="1060"/>
              <w:jc w:val="left"/>
              <w:spacing w:line="400" w:lineRule="exact"/>
              <w:widowControl/>
              <w:rPr>
                <w:color w:val="000000"/>
                <w:sz w:val="24"/>
                <w:highlight w:val="none"/>
              </w:rPr>
            </w:pPr>
            <w:r>
              <w:rPr>
                <w:color w:val="000000"/>
                <w:sz w:val="24"/>
                <w:highlight w:val="none"/>
              </w:rPr>
            </w:r>
            <w:r/>
          </w:p>
        </w:tc>
        <w:tc>
          <w:tcPr>
            <w:tcMar>
              <w:top w:w="100" w:type="dxa"/>
              <w:bottom w:w="100" w:type="dxa"/>
            </w:tcMar>
            <w:tcW w:w="8375" w:type="dxa"/>
            <w:vAlign w:val="center"/>
            <w:textDirection w:val="lrTb"/>
            <w:noWrap w:val="false"/>
          </w:tcPr>
          <w:p>
            <w:pPr>
              <w:pStyle w:val="1060"/>
              <w:spacing w:line="440" w:lineRule="exact"/>
              <w:rPr>
                <w:color w:val="000000"/>
                <w:sz w:val="24"/>
                <w:highlight w:val="none"/>
              </w:rPr>
            </w:pPr>
            <w:r>
              <w:rPr>
                <w:color w:val="000000"/>
                <w:sz w:val="24"/>
                <w:highlight w:val="none"/>
              </w:rPr>
              <w:t xml:space="preserve">3.2 服务</w:t>
            </w:r>
            <w:r>
              <w:rPr>
                <w:rFonts w:hint="eastAsia"/>
                <w:color w:val="000000"/>
                <w:sz w:val="24"/>
                <w:highlight w:val="none"/>
              </w:rPr>
              <w:t xml:space="preserve">要求</w:t>
            </w:r>
            <w:r>
              <w:rPr>
                <w:color w:val="000000"/>
                <w:sz w:val="24"/>
                <w:highlight w:val="none"/>
              </w:rPr>
            </w:r>
            <w:r/>
          </w:p>
        </w:tc>
      </w:tr>
      <w:tr>
        <w:trPr>
          <w:trHeight w:val="548"/>
        </w:trPr>
        <w:tc>
          <w:tcPr>
            <w:tcMar>
              <w:top w:w="100" w:type="dxa"/>
              <w:bottom w:w="100" w:type="dxa"/>
            </w:tcMar>
            <w:tcW w:w="513" w:type="dxa"/>
            <w:vAlign w:val="center"/>
            <w:vMerge w:val="continue"/>
            <w:textDirection w:val="lrTb"/>
            <w:noWrap w:val="false"/>
          </w:tcPr>
          <w:p>
            <w:pPr>
              <w:pStyle w:val="1060"/>
              <w:jc w:val="center"/>
              <w:spacing w:line="400" w:lineRule="exact"/>
              <w:widowControl/>
              <w:rPr>
                <w:color w:val="000000"/>
                <w:sz w:val="24"/>
                <w:highlight w:val="none"/>
              </w:rPr>
            </w:pPr>
            <w:r>
              <w:rPr>
                <w:color w:val="000000"/>
                <w:sz w:val="24"/>
                <w:highlight w:val="none"/>
              </w:rPr>
            </w:r>
            <w:r/>
          </w:p>
        </w:tc>
        <w:tc>
          <w:tcPr>
            <w:tcMar>
              <w:top w:w="100" w:type="dxa"/>
              <w:bottom w:w="100" w:type="dxa"/>
            </w:tcMar>
            <w:tcW w:w="852" w:type="dxa"/>
            <w:vAlign w:val="center"/>
            <w:vMerge w:val="continue"/>
            <w:textDirection w:val="lrTb"/>
            <w:noWrap w:val="false"/>
          </w:tcPr>
          <w:p>
            <w:pPr>
              <w:pStyle w:val="1060"/>
              <w:jc w:val="left"/>
              <w:spacing w:line="400" w:lineRule="exact"/>
              <w:widowControl/>
              <w:rPr>
                <w:color w:val="000000"/>
                <w:sz w:val="24"/>
                <w:highlight w:val="none"/>
              </w:rPr>
            </w:pPr>
            <w:r>
              <w:rPr>
                <w:color w:val="000000"/>
                <w:sz w:val="24"/>
                <w:highlight w:val="none"/>
              </w:rPr>
            </w:r>
            <w:r/>
          </w:p>
        </w:tc>
        <w:tc>
          <w:tcPr>
            <w:tcMar>
              <w:top w:w="100" w:type="dxa"/>
              <w:bottom w:w="100" w:type="dxa"/>
            </w:tcMar>
            <w:tcW w:w="8375" w:type="dxa"/>
            <w:vAlign w:val="center"/>
            <w:textDirection w:val="lrTb"/>
            <w:noWrap w:val="false"/>
          </w:tcPr>
          <w:p>
            <w:pPr>
              <w:pStyle w:val="1060"/>
              <w:spacing w:line="440" w:lineRule="exact"/>
              <w:rPr>
                <w:color w:val="000000"/>
                <w:sz w:val="24"/>
                <w:szCs w:val="21"/>
                <w:highlight w:val="none"/>
              </w:rPr>
            </w:pPr>
            <w:r>
              <w:rPr>
                <w:color w:val="000000"/>
                <w:sz w:val="24"/>
                <w:szCs w:val="21"/>
                <w:highlight w:val="none"/>
              </w:rPr>
              <w:t xml:space="preserve">（1）根据申请人的身体功能和</w:t>
            </w:r>
            <w:r>
              <w:rPr>
                <w:rFonts w:hint="eastAsia"/>
                <w:color w:val="000000"/>
                <w:sz w:val="24"/>
                <w:szCs w:val="21"/>
                <w:highlight w:val="none"/>
              </w:rPr>
              <w:t xml:space="preserve">助听器</w:t>
            </w:r>
            <w:r>
              <w:rPr>
                <w:color w:val="000000"/>
                <w:sz w:val="24"/>
                <w:szCs w:val="21"/>
                <w:highlight w:val="none"/>
              </w:rPr>
              <w:t xml:space="preserve">适配需求，实施“一人一案”的适配评估，</w:t>
            </w:r>
            <w:r>
              <w:rPr>
                <w:rFonts w:hint="eastAsia"/>
                <w:color w:val="000000"/>
                <w:sz w:val="24"/>
                <w:szCs w:val="21"/>
                <w:highlight w:val="none"/>
              </w:rPr>
              <w:t xml:space="preserve">在残疾人选定具体助听器产品后，供应商需要在3个工作日内完成下单采购工作，并在产品到货后5个工作日内进行助听器的配发、使用指导等服务（对行动不便的残疾人需提供上门服务）；</w:t>
            </w:r>
            <w:r>
              <w:rPr>
                <w:color w:val="000000"/>
                <w:sz w:val="24"/>
                <w:szCs w:val="21"/>
                <w:highlight w:val="none"/>
              </w:rPr>
              <w:t xml:space="preserve">同时按规定做好建立台账、信息系统录入以及后续维保工作。</w:t>
            </w:r>
            <w:r>
              <w:rPr>
                <w:color w:val="000000"/>
                <w:sz w:val="24"/>
                <w:szCs w:val="21"/>
                <w:highlight w:val="none"/>
              </w:rPr>
            </w:r>
            <w:r/>
          </w:p>
          <w:p>
            <w:pPr>
              <w:pStyle w:val="1060"/>
              <w:spacing w:line="440" w:lineRule="exact"/>
              <w:rPr>
                <w:rFonts w:ascii="宋体" w:hAnsi="宋体" w:cs="宋体"/>
                <w:color w:val="000000"/>
                <w:sz w:val="24"/>
                <w:highlight w:val="none"/>
              </w:rPr>
            </w:pPr>
            <w:r>
              <w:rPr>
                <w:rFonts w:hint="eastAsia"/>
                <w:color w:val="000000"/>
                <w:sz w:val="24"/>
                <w:szCs w:val="21"/>
                <w:highlight w:val="none"/>
              </w:rPr>
              <w:t xml:space="preserve">（2）供应商</w:t>
            </w:r>
            <w:r>
              <w:rPr>
                <w:rFonts w:hint="eastAsia" w:ascii="宋体" w:hAnsi="宋体" w:cs="宋体"/>
                <w:color w:val="000000"/>
                <w:sz w:val="24"/>
                <w:highlight w:val="none"/>
              </w:rPr>
              <w:t xml:space="preserve">生产和销售的助听器必须属于《中国康复辅助器具目录》（2026年版）范围内的产品。</w:t>
            </w:r>
            <w:r>
              <w:rPr>
                <w:rFonts w:ascii="宋体" w:hAnsi="宋体" w:cs="宋体"/>
                <w:color w:val="000000"/>
                <w:sz w:val="24"/>
                <w:highlight w:val="none"/>
              </w:rPr>
            </w:r>
            <w:r/>
          </w:p>
          <w:p>
            <w:pPr>
              <w:pStyle w:val="1060"/>
              <w:spacing w:line="440" w:lineRule="exact"/>
              <w:rPr>
                <w:rFonts w:ascii="宋体" w:hAnsi="宋体" w:cs="宋体"/>
                <w:color w:val="000000"/>
                <w:sz w:val="24"/>
                <w:highlight w:val="none"/>
              </w:rPr>
            </w:pPr>
            <w:r>
              <w:rPr>
                <w:rFonts w:hint="eastAsia"/>
                <w:color w:val="000000"/>
                <w:sz w:val="24"/>
                <w:szCs w:val="21"/>
                <w:highlight w:val="none"/>
              </w:rPr>
              <w:t xml:space="preserve">（3）助听器验</w:t>
            </w:r>
            <w:r>
              <w:rPr>
                <w:rFonts w:hint="eastAsia" w:ascii="宋体" w:hAnsi="宋体" w:cs="宋体"/>
                <w:color w:val="000000"/>
                <w:sz w:val="24"/>
                <w:highlight w:val="none"/>
              </w:rPr>
              <w:t xml:space="preserve">配流程须按中国残疾人联合会公布的《助听器验配操作技术规范》执行。助听器配置服务应符合GB/T 44994-2024的规定。</w:t>
            </w:r>
            <w:r>
              <w:rPr>
                <w:rFonts w:ascii="宋体" w:hAnsi="宋体" w:cs="宋体"/>
                <w:color w:val="000000"/>
                <w:sz w:val="24"/>
                <w:highlight w:val="none"/>
              </w:rPr>
            </w:r>
            <w:r/>
          </w:p>
          <w:p>
            <w:pPr>
              <w:pStyle w:val="1060"/>
              <w:spacing w:line="440" w:lineRule="exact"/>
              <w:rPr>
                <w:color w:val="000000"/>
                <w:sz w:val="24"/>
                <w:szCs w:val="21"/>
                <w:highlight w:val="none"/>
              </w:rPr>
            </w:pPr>
            <w:r>
              <w:rPr>
                <w:rFonts w:hint="eastAsia"/>
                <w:color w:val="000000"/>
                <w:sz w:val="24"/>
                <w:szCs w:val="21"/>
                <w:highlight w:val="none"/>
              </w:rPr>
              <w:t xml:space="preserve">（4）供应商能提供《关于印发〈2023年苏州市残疾人辅助器具适配产品目录〉的通知》（苏残字〔2023〕38号）</w:t>
            </w:r>
            <w:r>
              <w:rPr>
                <w:rFonts w:hint="eastAsia"/>
                <w:color w:val="000000"/>
                <w:sz w:val="24"/>
                <w:highlight w:val="none"/>
              </w:rPr>
              <w:t xml:space="preserve">（</w:t>
            </w:r>
            <w:r>
              <w:rPr>
                <w:rFonts w:hint="eastAsia" w:ascii="Times New Roman" w:hAnsi="Times New Roman" w:cs="Times New Roman"/>
                <w:color w:val="000000"/>
                <w:sz w:val="24"/>
                <w:highlight w:val="none"/>
              </w:rPr>
              <w:t xml:space="preserve">后续如上述目录出现调整，则以调整后的目录定价执行</w:t>
            </w:r>
            <w:r>
              <w:rPr>
                <w:rFonts w:hint="eastAsia"/>
                <w:color w:val="000000"/>
                <w:sz w:val="24"/>
                <w:highlight w:val="none"/>
              </w:rPr>
              <w:t xml:space="preserve">）的</w:t>
            </w:r>
            <w:r>
              <w:rPr>
                <w:rFonts w:hint="eastAsia"/>
                <w:color w:val="000000"/>
                <w:sz w:val="24"/>
                <w:szCs w:val="21"/>
                <w:highlight w:val="none"/>
              </w:rPr>
              <w:t xml:space="preserve">助听器产品目录的所有产品。</w:t>
            </w:r>
            <w:r>
              <w:rPr>
                <w:color w:val="000000"/>
                <w:sz w:val="24"/>
                <w:szCs w:val="21"/>
                <w:highlight w:val="none"/>
              </w:rPr>
            </w:r>
            <w:r/>
          </w:p>
          <w:p>
            <w:pPr>
              <w:pStyle w:val="1060"/>
              <w:spacing w:line="440" w:lineRule="exact"/>
              <w:rPr>
                <w:rFonts w:hint="eastAsia"/>
                <w:color w:val="000000"/>
                <w:sz w:val="24"/>
                <w:szCs w:val="21"/>
                <w:highlight w:val="none"/>
              </w:rPr>
            </w:pPr>
            <w:r>
              <w:rPr>
                <w:rFonts w:hint="eastAsia"/>
                <w:color w:val="000000"/>
                <w:sz w:val="24"/>
                <w:szCs w:val="21"/>
                <w:highlight w:val="none"/>
              </w:rPr>
              <w:t xml:space="preserve">（5）供应商的助听器应满足听力残疾人助听器适配需求，如果残疾人确因需要选择《关于印发〈2023年苏州市残疾人辅助器具适配产品目录〉的通知》（苏残字〔2023〕38号）（后续如上述目录出现调整，则以调整后的目录定价执行）以外的助听器，须签订辅具选配告知书，告知书内容须包含未选择市级目录产品的原因、残疾人自行选取的目录外助听器品牌、型号、补助和自费金额。</w:t>
            </w:r>
            <w:r>
              <w:rPr>
                <w:rFonts w:hint="eastAsia" w:ascii="宋体" w:hAnsi="宋体" w:cs="宋体"/>
                <w:color w:val="000000"/>
                <w:sz w:val="24"/>
                <w:highlight w:val="none"/>
              </w:rPr>
              <w:t xml:space="preserve">目录外辅助器具产品实行前置审核机制，供应商应事先向姑苏区残疾人联合会报送所能提供的全部目录外辅助器具产品清单，批准通过后方可提供相应产品。目录外产品适配价（含服务费）不得高于同期其他任何渠道售价，并结合本项目公益属性给予公益价格折扣。</w:t>
            </w:r>
            <w:r>
              <w:rPr>
                <w:rFonts w:hint="eastAsia"/>
                <w:color w:val="000000"/>
                <w:sz w:val="24"/>
                <w:szCs w:val="21"/>
                <w:highlight w:val="none"/>
              </w:rPr>
              <w:t xml:space="preserve">同品牌同型号的目录外产品适配价须与向姑苏区残联的报送价一致。</w:t>
            </w:r>
            <w:r>
              <w:rPr>
                <w:rFonts w:hint="eastAsia"/>
                <w:color w:val="000000"/>
                <w:sz w:val="24"/>
                <w:szCs w:val="21"/>
                <w:highlight w:val="none"/>
              </w:rPr>
            </w:r>
            <w:r/>
          </w:p>
          <w:p>
            <w:pPr>
              <w:pStyle w:val="1060"/>
              <w:spacing w:line="440" w:lineRule="exact"/>
              <w:rPr>
                <w:color w:val="000000"/>
                <w:sz w:val="24"/>
                <w:highlight w:val="none"/>
              </w:rPr>
            </w:pPr>
            <w:r>
              <w:rPr>
                <w:color w:val="000000"/>
                <w:sz w:val="24"/>
                <w:highlight w:val="none"/>
              </w:rPr>
              <w:t xml:space="preserve">（</w:t>
            </w:r>
            <w:r>
              <w:rPr>
                <w:rFonts w:hint="eastAsia"/>
                <w:color w:val="000000"/>
                <w:sz w:val="24"/>
                <w:highlight w:val="none"/>
              </w:rPr>
              <w:t xml:space="preserve">6</w:t>
            </w:r>
            <w:r>
              <w:rPr>
                <w:color w:val="000000"/>
                <w:sz w:val="24"/>
                <w:highlight w:val="none"/>
              </w:rPr>
              <w:t xml:space="preserve">）</w:t>
            </w:r>
            <w:r>
              <w:rPr>
                <w:rFonts w:hint="eastAsia"/>
                <w:color w:val="000000"/>
                <w:sz w:val="24"/>
                <w:szCs w:val="21"/>
                <w:highlight w:val="none"/>
              </w:rPr>
              <w:t xml:space="preserve">残疾人如需适配《关于印发〈2023年苏州市残疾人辅助器具适配产品目录〉的通知》（苏残字〔2023〕38号）</w:t>
            </w:r>
            <w:r>
              <w:rPr>
                <w:rFonts w:hint="eastAsia"/>
                <w:color w:val="000000"/>
                <w:sz w:val="24"/>
                <w:highlight w:val="none"/>
              </w:rPr>
              <w:t xml:space="preserve">（</w:t>
            </w:r>
            <w:r>
              <w:rPr>
                <w:rFonts w:hint="eastAsia" w:ascii="Times New Roman" w:hAnsi="Times New Roman" w:cs="Times New Roman"/>
                <w:color w:val="000000"/>
                <w:sz w:val="24"/>
                <w:highlight w:val="none"/>
              </w:rPr>
              <w:t xml:space="preserve">后续如上述目录出现调整，则以调整后的目录定价执行</w:t>
            </w:r>
            <w:r>
              <w:rPr>
                <w:rFonts w:hint="eastAsia"/>
                <w:color w:val="000000"/>
                <w:sz w:val="24"/>
                <w:highlight w:val="none"/>
              </w:rPr>
              <w:t xml:space="preserve">）</w:t>
            </w:r>
            <w:r>
              <w:rPr>
                <w:rFonts w:hint="eastAsia"/>
                <w:color w:val="000000"/>
                <w:sz w:val="24"/>
                <w:szCs w:val="21"/>
                <w:highlight w:val="none"/>
              </w:rPr>
              <w:t xml:space="preserve">以外的助听器，但供应商未按上述要求上报审批，经姑苏区残联核查情况属实的，姑苏区残联有权拒付该辅具涉及的补助费用，并由供应商赔偿残疾人因此造成的一切损失。</w:t>
            </w:r>
            <w:r>
              <w:rPr>
                <w:color w:val="000000"/>
                <w:sz w:val="24"/>
                <w:highlight w:val="none"/>
              </w:rPr>
            </w:r>
            <w:r/>
          </w:p>
        </w:tc>
      </w:tr>
      <w:tr>
        <w:trPr>
          <w:trHeight w:val="20"/>
        </w:trPr>
        <w:tc>
          <w:tcPr>
            <w:tcMar>
              <w:top w:w="100" w:type="dxa"/>
              <w:bottom w:w="100" w:type="dxa"/>
            </w:tcMar>
            <w:tcW w:w="513" w:type="dxa"/>
            <w:vAlign w:val="center"/>
            <w:vMerge w:val="restart"/>
            <w:textDirection w:val="lrTb"/>
            <w:noWrap w:val="false"/>
          </w:tcPr>
          <w:p>
            <w:pPr>
              <w:pStyle w:val="1060"/>
              <w:jc w:val="center"/>
              <w:spacing w:line="400" w:lineRule="exact"/>
              <w:widowControl/>
              <w:rPr>
                <w:color w:val="000000"/>
                <w:sz w:val="24"/>
                <w:highlight w:val="none"/>
              </w:rPr>
            </w:pPr>
            <w:r>
              <w:rPr>
                <w:color w:val="000000"/>
                <w:sz w:val="24"/>
                <w:highlight w:val="none"/>
              </w:rPr>
              <w:t xml:space="preserve">4</w:t>
            </w:r>
            <w:r>
              <w:rPr>
                <w:color w:val="000000"/>
                <w:sz w:val="24"/>
                <w:highlight w:val="none"/>
              </w:rPr>
            </w:r>
            <w:r/>
          </w:p>
        </w:tc>
        <w:tc>
          <w:tcPr>
            <w:tcMar>
              <w:top w:w="100" w:type="dxa"/>
              <w:bottom w:w="100" w:type="dxa"/>
            </w:tcMar>
            <w:tcW w:w="852" w:type="dxa"/>
            <w:vAlign w:val="center"/>
            <w:vMerge w:val="restart"/>
            <w:textDirection w:val="lrTb"/>
            <w:noWrap w:val="false"/>
          </w:tcPr>
          <w:p>
            <w:pPr>
              <w:pStyle w:val="1060"/>
              <w:jc w:val="left"/>
              <w:spacing w:line="400" w:lineRule="exact"/>
              <w:widowControl/>
              <w:rPr>
                <w:color w:val="000000"/>
                <w:sz w:val="24"/>
                <w:highlight w:val="none"/>
              </w:rPr>
            </w:pPr>
            <w:r>
              <w:rPr>
                <w:color w:val="000000"/>
                <w:sz w:val="24"/>
                <w:highlight w:val="none"/>
              </w:rPr>
              <w:t xml:space="preserve">服务</w:t>
            </w:r>
            <w:r>
              <w:rPr>
                <w:color w:val="000000"/>
                <w:sz w:val="24"/>
                <w:highlight w:val="none"/>
                <w:lang w:eastAsia="en-US"/>
              </w:rPr>
              <w:t xml:space="preserve">管理</w:t>
            </w:r>
            <w:r>
              <w:rPr>
                <w:color w:val="000000"/>
                <w:sz w:val="24"/>
                <w:highlight w:val="none"/>
              </w:rPr>
            </w:r>
            <w:r/>
          </w:p>
        </w:tc>
        <w:tc>
          <w:tcPr>
            <w:tcMar>
              <w:top w:w="100" w:type="dxa"/>
              <w:bottom w:w="100" w:type="dxa"/>
            </w:tcMar>
            <w:tcW w:w="8375" w:type="dxa"/>
            <w:vAlign w:val="center"/>
            <w:textDirection w:val="lrTb"/>
            <w:noWrap w:val="false"/>
          </w:tcPr>
          <w:p>
            <w:pPr>
              <w:pStyle w:val="1060"/>
              <w:jc w:val="left"/>
              <w:spacing w:line="400" w:lineRule="exact"/>
              <w:widowControl/>
              <w:rPr>
                <w:color w:val="000000"/>
                <w:sz w:val="24"/>
                <w:highlight w:val="none"/>
              </w:rPr>
            </w:pPr>
            <w:r>
              <w:rPr>
                <w:color w:val="000000"/>
                <w:sz w:val="24"/>
                <w:highlight w:val="none"/>
              </w:rPr>
              <w:t xml:space="preserve">4.1 质量控制</w:t>
            </w:r>
            <w:r>
              <w:rPr>
                <w:color w:val="000000"/>
                <w:sz w:val="24"/>
                <w:highlight w:val="none"/>
              </w:rPr>
            </w:r>
            <w:r/>
          </w:p>
        </w:tc>
      </w:tr>
      <w:tr>
        <w:trPr>
          <w:trHeight w:val="46"/>
        </w:trPr>
        <w:tc>
          <w:tcPr>
            <w:tcMar>
              <w:top w:w="100" w:type="dxa"/>
              <w:bottom w:w="100" w:type="dxa"/>
            </w:tcMar>
            <w:tcW w:w="513" w:type="dxa"/>
            <w:vAlign w:val="center"/>
            <w:vMerge w:val="continue"/>
            <w:textDirection w:val="lrTb"/>
            <w:noWrap w:val="false"/>
          </w:tcPr>
          <w:p>
            <w:pPr>
              <w:pStyle w:val="1060"/>
              <w:jc w:val="center"/>
              <w:spacing w:line="400" w:lineRule="exact"/>
              <w:widowControl/>
              <w:rPr>
                <w:color w:val="000000"/>
                <w:sz w:val="24"/>
                <w:highlight w:val="none"/>
              </w:rPr>
            </w:pPr>
            <w:r>
              <w:rPr>
                <w:color w:val="000000"/>
                <w:sz w:val="24"/>
                <w:highlight w:val="none"/>
              </w:rPr>
            </w:r>
            <w:r/>
          </w:p>
        </w:tc>
        <w:tc>
          <w:tcPr>
            <w:tcMar>
              <w:top w:w="100" w:type="dxa"/>
              <w:bottom w:w="100" w:type="dxa"/>
            </w:tcMar>
            <w:tcW w:w="852" w:type="dxa"/>
            <w:vAlign w:val="center"/>
            <w:vMerge w:val="continue"/>
            <w:textDirection w:val="lrTb"/>
            <w:noWrap w:val="false"/>
          </w:tcPr>
          <w:p>
            <w:pPr>
              <w:pStyle w:val="1060"/>
              <w:jc w:val="left"/>
              <w:spacing w:line="400" w:lineRule="exact"/>
              <w:widowControl/>
              <w:rPr>
                <w:color w:val="000000"/>
                <w:sz w:val="24"/>
                <w:highlight w:val="none"/>
              </w:rPr>
            </w:pPr>
            <w:r>
              <w:rPr>
                <w:color w:val="000000"/>
                <w:sz w:val="24"/>
                <w:highlight w:val="none"/>
              </w:rPr>
            </w:r>
            <w:r/>
          </w:p>
        </w:tc>
        <w:tc>
          <w:tcPr>
            <w:tcMar>
              <w:top w:w="100" w:type="dxa"/>
              <w:bottom w:w="100" w:type="dxa"/>
            </w:tcMar>
            <w:tcW w:w="8375" w:type="dxa"/>
            <w:vAlign w:val="center"/>
            <w:textDirection w:val="lrTb"/>
            <w:noWrap w:val="false"/>
          </w:tcPr>
          <w:p>
            <w:pPr>
              <w:pStyle w:val="1060"/>
              <w:spacing w:line="440" w:lineRule="exact"/>
              <w:rPr>
                <w:color w:val="000000"/>
                <w:sz w:val="24"/>
                <w:highlight w:val="none"/>
              </w:rPr>
            </w:pPr>
            <w:r>
              <w:rPr>
                <w:color w:val="000000"/>
                <w:sz w:val="24"/>
                <w:highlight w:val="none"/>
              </w:rPr>
              <w:t xml:space="preserve">（1）服务对象</w:t>
            </w:r>
            <w:r>
              <w:rPr>
                <w:rFonts w:hint="eastAsia"/>
                <w:color w:val="000000"/>
                <w:sz w:val="24"/>
                <w:highlight w:val="none"/>
              </w:rPr>
              <w:t xml:space="preserve">助听器</w:t>
            </w:r>
            <w:r>
              <w:rPr>
                <w:color w:val="000000"/>
                <w:sz w:val="24"/>
                <w:highlight w:val="none"/>
              </w:rPr>
              <w:t xml:space="preserve">需求评估、适配服务建档率100%；</w:t>
            </w:r>
            <w:r>
              <w:rPr>
                <w:color w:val="000000"/>
                <w:sz w:val="24"/>
                <w:highlight w:val="none"/>
              </w:rPr>
            </w:r>
            <w:r/>
          </w:p>
          <w:p>
            <w:pPr>
              <w:pStyle w:val="1060"/>
              <w:spacing w:line="440" w:lineRule="exact"/>
              <w:rPr>
                <w:color w:val="000000"/>
                <w:sz w:val="24"/>
                <w:highlight w:val="none"/>
              </w:rPr>
            </w:pPr>
            <w:r>
              <w:rPr>
                <w:color w:val="000000"/>
                <w:sz w:val="24"/>
                <w:highlight w:val="none"/>
              </w:rPr>
              <w:t xml:space="preserve">（2）满意度达9</w:t>
            </w:r>
            <w:r>
              <w:rPr>
                <w:rFonts w:hint="eastAsia"/>
                <w:color w:val="000000"/>
                <w:sz w:val="24"/>
                <w:highlight w:val="none"/>
              </w:rPr>
              <w:t xml:space="preserve">5</w:t>
            </w:r>
            <w:r>
              <w:rPr>
                <w:color w:val="000000"/>
                <w:sz w:val="24"/>
                <w:highlight w:val="none"/>
              </w:rPr>
              <w:t xml:space="preserve">%以上。</w:t>
            </w:r>
            <w:r>
              <w:rPr>
                <w:color w:val="000000"/>
                <w:sz w:val="24"/>
                <w:highlight w:val="none"/>
              </w:rPr>
            </w:r>
            <w:r/>
          </w:p>
        </w:tc>
      </w:tr>
      <w:tr>
        <w:trPr/>
        <w:tc>
          <w:tcPr>
            <w:tcMar>
              <w:top w:w="100" w:type="dxa"/>
              <w:bottom w:w="100" w:type="dxa"/>
            </w:tcMar>
            <w:tcW w:w="513" w:type="dxa"/>
            <w:vAlign w:val="center"/>
            <w:vMerge w:val="continue"/>
            <w:textDirection w:val="lrTb"/>
            <w:noWrap w:val="false"/>
          </w:tcPr>
          <w:p>
            <w:pPr>
              <w:pStyle w:val="1060"/>
              <w:jc w:val="center"/>
              <w:spacing w:line="400" w:lineRule="exact"/>
              <w:widowControl/>
              <w:rPr>
                <w:color w:val="000000"/>
                <w:sz w:val="24"/>
                <w:highlight w:val="none"/>
              </w:rPr>
            </w:pPr>
            <w:r>
              <w:rPr>
                <w:color w:val="000000"/>
                <w:sz w:val="24"/>
                <w:highlight w:val="none"/>
              </w:rPr>
            </w:r>
            <w:r/>
          </w:p>
        </w:tc>
        <w:tc>
          <w:tcPr>
            <w:tcMar>
              <w:top w:w="100" w:type="dxa"/>
              <w:bottom w:w="100" w:type="dxa"/>
            </w:tcMar>
            <w:tcW w:w="852" w:type="dxa"/>
            <w:vAlign w:val="center"/>
            <w:vMerge w:val="continue"/>
            <w:textDirection w:val="lrTb"/>
            <w:noWrap w:val="false"/>
          </w:tcPr>
          <w:p>
            <w:pPr>
              <w:pStyle w:val="1060"/>
              <w:jc w:val="left"/>
              <w:spacing w:line="400" w:lineRule="exact"/>
              <w:widowControl/>
              <w:rPr>
                <w:color w:val="000000"/>
                <w:sz w:val="24"/>
                <w:highlight w:val="none"/>
              </w:rPr>
            </w:pPr>
            <w:r>
              <w:rPr>
                <w:color w:val="000000"/>
                <w:sz w:val="24"/>
                <w:highlight w:val="none"/>
              </w:rPr>
            </w:r>
            <w:r/>
          </w:p>
        </w:tc>
        <w:tc>
          <w:tcPr>
            <w:tcMar>
              <w:top w:w="100" w:type="dxa"/>
              <w:bottom w:w="100" w:type="dxa"/>
            </w:tcMar>
            <w:tcW w:w="8375" w:type="dxa"/>
            <w:vAlign w:val="center"/>
            <w:textDirection w:val="lrTb"/>
            <w:noWrap w:val="false"/>
          </w:tcPr>
          <w:p>
            <w:pPr>
              <w:pStyle w:val="1060"/>
              <w:jc w:val="left"/>
              <w:spacing w:line="400" w:lineRule="exact"/>
              <w:widowControl/>
              <w:rPr>
                <w:color w:val="000000"/>
                <w:sz w:val="24"/>
                <w:highlight w:val="none"/>
              </w:rPr>
            </w:pPr>
            <w:r>
              <w:rPr>
                <w:color w:val="000000"/>
                <w:sz w:val="24"/>
                <w:highlight w:val="none"/>
              </w:rPr>
              <w:t xml:space="preserve">4.2 </w:t>
            </w:r>
            <w:r>
              <w:rPr>
                <w:color w:val="000000"/>
                <w:sz w:val="24"/>
                <w:highlight w:val="none"/>
                <w:lang w:eastAsia="en-US"/>
              </w:rPr>
              <w:t xml:space="preserve">档案管理</w:t>
            </w:r>
            <w:r>
              <w:rPr>
                <w:color w:val="000000"/>
                <w:sz w:val="24"/>
                <w:highlight w:val="none"/>
              </w:rPr>
            </w:r>
            <w:r/>
          </w:p>
        </w:tc>
      </w:tr>
      <w:tr>
        <w:trPr/>
        <w:tc>
          <w:tcPr>
            <w:tcMar>
              <w:top w:w="100" w:type="dxa"/>
              <w:bottom w:w="100" w:type="dxa"/>
            </w:tcMar>
            <w:tcW w:w="513" w:type="dxa"/>
            <w:vAlign w:val="center"/>
            <w:vMerge w:val="continue"/>
            <w:textDirection w:val="lrTb"/>
            <w:noWrap w:val="false"/>
          </w:tcPr>
          <w:p>
            <w:pPr>
              <w:pStyle w:val="1060"/>
              <w:jc w:val="center"/>
              <w:spacing w:line="400" w:lineRule="exact"/>
              <w:widowControl/>
              <w:rPr>
                <w:color w:val="000000"/>
                <w:sz w:val="24"/>
                <w:highlight w:val="none"/>
              </w:rPr>
            </w:pPr>
            <w:r>
              <w:rPr>
                <w:color w:val="000000"/>
                <w:sz w:val="24"/>
                <w:highlight w:val="none"/>
              </w:rPr>
            </w:r>
            <w:r/>
          </w:p>
        </w:tc>
        <w:tc>
          <w:tcPr>
            <w:tcMar>
              <w:top w:w="100" w:type="dxa"/>
              <w:bottom w:w="100" w:type="dxa"/>
            </w:tcMar>
            <w:tcW w:w="852" w:type="dxa"/>
            <w:vAlign w:val="center"/>
            <w:vMerge w:val="continue"/>
            <w:textDirection w:val="lrTb"/>
            <w:noWrap w:val="false"/>
          </w:tcPr>
          <w:p>
            <w:pPr>
              <w:pStyle w:val="1060"/>
              <w:jc w:val="left"/>
              <w:spacing w:line="400" w:lineRule="exact"/>
              <w:widowControl/>
              <w:rPr>
                <w:color w:val="000000"/>
                <w:sz w:val="24"/>
                <w:highlight w:val="none"/>
              </w:rPr>
            </w:pPr>
            <w:r>
              <w:rPr>
                <w:color w:val="000000"/>
                <w:sz w:val="24"/>
                <w:highlight w:val="none"/>
              </w:rPr>
            </w:r>
            <w:r/>
          </w:p>
        </w:tc>
        <w:tc>
          <w:tcPr>
            <w:tcMar>
              <w:top w:w="100" w:type="dxa"/>
              <w:bottom w:w="100" w:type="dxa"/>
            </w:tcMar>
            <w:tcW w:w="8375" w:type="dxa"/>
            <w:vAlign w:val="center"/>
            <w:textDirection w:val="lrTb"/>
            <w:noWrap w:val="false"/>
          </w:tcPr>
          <w:p>
            <w:pPr>
              <w:pStyle w:val="1060"/>
              <w:spacing w:line="440" w:lineRule="exact"/>
              <w:rPr>
                <w:color w:val="000000"/>
                <w:sz w:val="24"/>
                <w:highlight w:val="none"/>
              </w:rPr>
            </w:pPr>
            <w:r>
              <w:rPr>
                <w:color w:val="000000"/>
                <w:sz w:val="24"/>
                <w:highlight w:val="none"/>
              </w:rPr>
              <w:t xml:space="preserve">（1）为接受</w:t>
            </w:r>
            <w:r>
              <w:rPr>
                <w:rFonts w:hint="eastAsia"/>
                <w:color w:val="000000"/>
                <w:sz w:val="24"/>
                <w:highlight w:val="none"/>
              </w:rPr>
              <w:t xml:space="preserve">助听器</w:t>
            </w:r>
            <w:r>
              <w:rPr>
                <w:color w:val="000000"/>
                <w:sz w:val="24"/>
                <w:highlight w:val="none"/>
              </w:rPr>
              <w:t xml:space="preserve">适配服务对象</w:t>
            </w:r>
            <w:r>
              <w:rPr>
                <w:rFonts w:hint="eastAsia"/>
                <w:color w:val="000000"/>
                <w:sz w:val="24"/>
                <w:highlight w:val="none"/>
              </w:rPr>
              <w:t xml:space="preserve">建立服务档案（一人一档，完成对服务对象每次服务的记录，制定评估表格，做好适配前评估和测定、配发后使用指导、适应性训练、售后服务等记录，填写好《辅具适配服务签收单》）</w:t>
            </w:r>
            <w:r>
              <w:rPr>
                <w:color w:val="000000"/>
                <w:sz w:val="24"/>
                <w:highlight w:val="none"/>
              </w:rPr>
            </w:r>
            <w:r/>
          </w:p>
          <w:p>
            <w:pPr>
              <w:pStyle w:val="1060"/>
              <w:spacing w:line="400" w:lineRule="exact"/>
              <w:rPr>
                <w:color w:val="000000"/>
                <w:sz w:val="24"/>
                <w:highlight w:val="none"/>
              </w:rPr>
            </w:pPr>
            <w:r>
              <w:rPr>
                <w:color w:val="000000"/>
                <w:sz w:val="24"/>
                <w:highlight w:val="none"/>
              </w:rPr>
              <w:t xml:space="preserve">（</w:t>
            </w:r>
            <w:r>
              <w:rPr>
                <w:rFonts w:hint="eastAsia"/>
                <w:color w:val="000000"/>
                <w:sz w:val="24"/>
                <w:highlight w:val="none"/>
              </w:rPr>
              <w:t xml:space="preserve">2</w:t>
            </w:r>
            <w:r>
              <w:rPr>
                <w:color w:val="000000"/>
                <w:sz w:val="24"/>
                <w:highlight w:val="none"/>
              </w:rPr>
              <w:t xml:space="preserve">）及时配合</w:t>
            </w:r>
            <w:r>
              <w:rPr>
                <w:color w:val="000000"/>
                <w:sz w:val="24"/>
                <w:highlight w:val="none"/>
                <w:lang w:eastAsia="en-US"/>
              </w:rPr>
              <w:t xml:space="preserve">采购人</w:t>
            </w:r>
            <w:r>
              <w:rPr>
                <w:color w:val="000000"/>
                <w:sz w:val="24"/>
                <w:highlight w:val="none"/>
              </w:rPr>
              <w:t xml:space="preserve">完成相关记录的采集。</w:t>
            </w:r>
            <w:r>
              <w:rPr>
                <w:color w:val="000000"/>
                <w:sz w:val="24"/>
                <w:highlight w:val="none"/>
              </w:rPr>
            </w:r>
            <w:r/>
          </w:p>
        </w:tc>
      </w:tr>
      <w:tr>
        <w:trPr/>
        <w:tc>
          <w:tcPr>
            <w:tcMar>
              <w:top w:w="100" w:type="dxa"/>
              <w:bottom w:w="100" w:type="dxa"/>
            </w:tcMar>
            <w:tcW w:w="513" w:type="dxa"/>
            <w:vAlign w:val="center"/>
            <w:vMerge w:val="continue"/>
            <w:textDirection w:val="lrTb"/>
            <w:noWrap w:val="false"/>
          </w:tcPr>
          <w:p>
            <w:pPr>
              <w:pStyle w:val="1060"/>
              <w:jc w:val="center"/>
              <w:spacing w:line="400" w:lineRule="exact"/>
              <w:widowControl/>
              <w:rPr>
                <w:color w:val="000000"/>
                <w:sz w:val="24"/>
                <w:highlight w:val="none"/>
              </w:rPr>
            </w:pPr>
            <w:r>
              <w:rPr>
                <w:color w:val="000000"/>
                <w:sz w:val="24"/>
                <w:highlight w:val="none"/>
              </w:rPr>
            </w:r>
            <w:r/>
          </w:p>
        </w:tc>
        <w:tc>
          <w:tcPr>
            <w:tcMar>
              <w:top w:w="100" w:type="dxa"/>
              <w:bottom w:w="100" w:type="dxa"/>
            </w:tcMar>
            <w:tcW w:w="852" w:type="dxa"/>
            <w:vAlign w:val="center"/>
            <w:vMerge w:val="continue"/>
            <w:textDirection w:val="lrTb"/>
            <w:noWrap w:val="false"/>
          </w:tcPr>
          <w:p>
            <w:pPr>
              <w:pStyle w:val="1060"/>
              <w:jc w:val="left"/>
              <w:spacing w:line="400" w:lineRule="exact"/>
              <w:widowControl/>
              <w:rPr>
                <w:color w:val="000000"/>
                <w:sz w:val="24"/>
                <w:highlight w:val="none"/>
              </w:rPr>
            </w:pPr>
            <w:r>
              <w:rPr>
                <w:color w:val="000000"/>
                <w:sz w:val="24"/>
                <w:highlight w:val="none"/>
              </w:rPr>
            </w:r>
            <w:r/>
          </w:p>
        </w:tc>
        <w:tc>
          <w:tcPr>
            <w:tcMar>
              <w:top w:w="100" w:type="dxa"/>
              <w:bottom w:w="100" w:type="dxa"/>
            </w:tcMar>
            <w:tcW w:w="8375" w:type="dxa"/>
            <w:vAlign w:val="center"/>
            <w:textDirection w:val="lrTb"/>
            <w:noWrap w:val="false"/>
          </w:tcPr>
          <w:p>
            <w:pPr>
              <w:pStyle w:val="1060"/>
              <w:jc w:val="left"/>
              <w:spacing w:line="400" w:lineRule="exact"/>
              <w:widowControl/>
              <w:rPr>
                <w:color w:val="000000"/>
                <w:sz w:val="24"/>
                <w:highlight w:val="none"/>
              </w:rPr>
            </w:pPr>
            <w:r>
              <w:rPr>
                <w:color w:val="000000"/>
                <w:sz w:val="24"/>
                <w:highlight w:val="none"/>
              </w:rPr>
              <w:t xml:space="preserve">4.3售后服务</w:t>
            </w:r>
            <w:r>
              <w:rPr>
                <w:color w:val="000000"/>
                <w:sz w:val="24"/>
                <w:highlight w:val="none"/>
              </w:rPr>
            </w:r>
            <w:r/>
          </w:p>
        </w:tc>
      </w:tr>
      <w:tr>
        <w:trPr>
          <w:trHeight w:val="1309"/>
        </w:trPr>
        <w:tc>
          <w:tcPr>
            <w:tcMar>
              <w:top w:w="100" w:type="dxa"/>
              <w:bottom w:w="100" w:type="dxa"/>
            </w:tcMar>
            <w:tcW w:w="513" w:type="dxa"/>
            <w:vAlign w:val="center"/>
            <w:vMerge w:val="continue"/>
            <w:textDirection w:val="lrTb"/>
            <w:noWrap w:val="false"/>
          </w:tcPr>
          <w:p>
            <w:pPr>
              <w:pStyle w:val="1060"/>
              <w:jc w:val="center"/>
              <w:spacing w:line="400" w:lineRule="exact"/>
              <w:widowControl/>
              <w:rPr>
                <w:color w:val="000000"/>
                <w:sz w:val="24"/>
                <w:highlight w:val="none"/>
              </w:rPr>
            </w:pPr>
            <w:r>
              <w:rPr>
                <w:color w:val="000000"/>
                <w:sz w:val="24"/>
                <w:highlight w:val="none"/>
              </w:rPr>
            </w:r>
            <w:r/>
          </w:p>
        </w:tc>
        <w:tc>
          <w:tcPr>
            <w:tcMar>
              <w:top w:w="100" w:type="dxa"/>
              <w:bottom w:w="100" w:type="dxa"/>
            </w:tcMar>
            <w:tcW w:w="852" w:type="dxa"/>
            <w:vAlign w:val="center"/>
            <w:vMerge w:val="continue"/>
            <w:textDirection w:val="lrTb"/>
            <w:noWrap w:val="false"/>
          </w:tcPr>
          <w:p>
            <w:pPr>
              <w:pStyle w:val="1060"/>
              <w:jc w:val="left"/>
              <w:spacing w:line="400" w:lineRule="exact"/>
              <w:widowControl/>
              <w:rPr>
                <w:color w:val="000000"/>
                <w:sz w:val="24"/>
                <w:highlight w:val="none"/>
              </w:rPr>
            </w:pPr>
            <w:r>
              <w:rPr>
                <w:color w:val="000000"/>
                <w:sz w:val="24"/>
                <w:highlight w:val="none"/>
              </w:rPr>
            </w:r>
            <w:r/>
          </w:p>
        </w:tc>
        <w:tc>
          <w:tcPr>
            <w:tcMar>
              <w:top w:w="100" w:type="dxa"/>
              <w:bottom w:w="100" w:type="dxa"/>
            </w:tcMar>
            <w:tcW w:w="8375" w:type="dxa"/>
            <w:vAlign w:val="center"/>
            <w:textDirection w:val="lrTb"/>
            <w:noWrap w:val="false"/>
          </w:tcPr>
          <w:p>
            <w:pPr>
              <w:pStyle w:val="1060"/>
              <w:spacing w:line="440" w:lineRule="exact"/>
              <w:rPr>
                <w:color w:val="000000"/>
                <w:sz w:val="24"/>
                <w:highlight w:val="none"/>
              </w:rPr>
            </w:pPr>
            <w:r>
              <w:rPr>
                <w:rFonts w:hint="eastAsia"/>
                <w:color w:val="000000"/>
                <w:sz w:val="24"/>
                <w:highlight w:val="none"/>
              </w:rPr>
              <w:t xml:space="preserve">（1）提供1小时内响应，2小时内向服务对象提供维修等服务；</w:t>
            </w:r>
            <w:r>
              <w:rPr>
                <w:color w:val="000000"/>
                <w:sz w:val="24"/>
                <w:highlight w:val="none"/>
              </w:rPr>
            </w:r>
            <w:r/>
          </w:p>
          <w:p>
            <w:pPr>
              <w:pStyle w:val="1060"/>
              <w:spacing w:line="440" w:lineRule="exact"/>
              <w:rPr>
                <w:color w:val="000000"/>
                <w:sz w:val="24"/>
                <w:highlight w:val="none"/>
              </w:rPr>
            </w:pPr>
            <w:r>
              <w:rPr>
                <w:rFonts w:hint="eastAsia"/>
                <w:color w:val="000000"/>
                <w:sz w:val="24"/>
                <w:highlight w:val="none"/>
              </w:rPr>
              <w:t xml:space="preserve">（2）提供1年以上免费维保服务（按产品维保期限定）；</w:t>
            </w:r>
            <w:r>
              <w:rPr>
                <w:color w:val="000000"/>
                <w:sz w:val="24"/>
                <w:highlight w:val="none"/>
              </w:rPr>
            </w:r>
            <w:r/>
          </w:p>
          <w:p>
            <w:pPr>
              <w:pStyle w:val="1060"/>
              <w:jc w:val="left"/>
              <w:spacing w:line="400" w:lineRule="exact"/>
              <w:rPr>
                <w:color w:val="000000"/>
                <w:sz w:val="24"/>
                <w:highlight w:val="none"/>
              </w:rPr>
            </w:pPr>
            <w:r>
              <w:rPr>
                <w:color w:val="000000"/>
                <w:sz w:val="24"/>
                <w:highlight w:val="none"/>
              </w:rPr>
              <w:t xml:space="preserve">（3）提供免费维保期外的优惠维修等服务。</w:t>
            </w:r>
            <w:r>
              <w:rPr>
                <w:color w:val="000000"/>
                <w:sz w:val="24"/>
                <w:highlight w:val="none"/>
              </w:rPr>
            </w:r>
            <w:r/>
          </w:p>
        </w:tc>
      </w:tr>
      <w:tr>
        <w:trPr>
          <w:trHeight w:val="160"/>
        </w:trPr>
        <w:tc>
          <w:tcPr>
            <w:tcMar>
              <w:top w:w="100" w:type="dxa"/>
              <w:bottom w:w="100" w:type="dxa"/>
            </w:tcMar>
            <w:tcW w:w="513" w:type="dxa"/>
            <w:vAlign w:val="center"/>
            <w:vMerge w:val="continue"/>
            <w:textDirection w:val="lrTb"/>
            <w:noWrap w:val="false"/>
          </w:tcPr>
          <w:p>
            <w:pPr>
              <w:pStyle w:val="1060"/>
              <w:jc w:val="center"/>
              <w:spacing w:line="400" w:lineRule="exact"/>
              <w:widowControl/>
              <w:rPr>
                <w:color w:val="000000"/>
                <w:sz w:val="24"/>
                <w:highlight w:val="none"/>
              </w:rPr>
            </w:pPr>
            <w:r>
              <w:rPr>
                <w:color w:val="000000"/>
                <w:sz w:val="24"/>
                <w:highlight w:val="none"/>
              </w:rPr>
            </w:r>
            <w:r/>
          </w:p>
        </w:tc>
        <w:tc>
          <w:tcPr>
            <w:tcMar>
              <w:top w:w="100" w:type="dxa"/>
              <w:bottom w:w="100" w:type="dxa"/>
            </w:tcMar>
            <w:tcW w:w="852" w:type="dxa"/>
            <w:vAlign w:val="center"/>
            <w:vMerge w:val="continue"/>
            <w:textDirection w:val="lrTb"/>
            <w:noWrap w:val="false"/>
          </w:tcPr>
          <w:p>
            <w:pPr>
              <w:pStyle w:val="1060"/>
              <w:jc w:val="left"/>
              <w:spacing w:line="400" w:lineRule="exact"/>
              <w:widowControl/>
              <w:rPr>
                <w:color w:val="000000"/>
                <w:sz w:val="24"/>
                <w:highlight w:val="none"/>
              </w:rPr>
            </w:pPr>
            <w:r>
              <w:rPr>
                <w:color w:val="000000"/>
                <w:sz w:val="24"/>
                <w:highlight w:val="none"/>
              </w:rPr>
            </w:r>
            <w:r/>
          </w:p>
        </w:tc>
        <w:tc>
          <w:tcPr>
            <w:tcMar>
              <w:top w:w="100" w:type="dxa"/>
              <w:bottom w:w="100" w:type="dxa"/>
            </w:tcMar>
            <w:tcW w:w="8375" w:type="dxa"/>
            <w:vAlign w:val="center"/>
            <w:textDirection w:val="lrTb"/>
            <w:noWrap w:val="false"/>
          </w:tcPr>
          <w:p>
            <w:pPr>
              <w:pStyle w:val="1060"/>
              <w:jc w:val="left"/>
              <w:spacing w:line="400" w:lineRule="exact"/>
              <w:rPr>
                <w:color w:val="000000"/>
                <w:sz w:val="24"/>
                <w:highlight w:val="none"/>
              </w:rPr>
            </w:pPr>
            <w:r>
              <w:rPr>
                <w:color w:val="000000"/>
                <w:sz w:val="24"/>
                <w:highlight w:val="none"/>
              </w:rPr>
              <w:t xml:space="preserve">4.4 支持性服务</w:t>
            </w:r>
            <w:r>
              <w:rPr>
                <w:color w:val="000000"/>
                <w:sz w:val="24"/>
                <w:highlight w:val="none"/>
              </w:rPr>
            </w:r>
            <w:r/>
          </w:p>
        </w:tc>
      </w:tr>
      <w:tr>
        <w:trPr>
          <w:trHeight w:val="160"/>
        </w:trPr>
        <w:tc>
          <w:tcPr>
            <w:tcMar>
              <w:top w:w="100" w:type="dxa"/>
              <w:bottom w:w="100" w:type="dxa"/>
            </w:tcMar>
            <w:tcW w:w="513" w:type="dxa"/>
            <w:vAlign w:val="center"/>
            <w:vMerge w:val="continue"/>
            <w:textDirection w:val="lrTb"/>
            <w:noWrap w:val="false"/>
          </w:tcPr>
          <w:p>
            <w:pPr>
              <w:pStyle w:val="1060"/>
              <w:jc w:val="center"/>
              <w:spacing w:line="400" w:lineRule="exact"/>
              <w:widowControl/>
              <w:rPr>
                <w:color w:val="000000"/>
                <w:sz w:val="24"/>
                <w:highlight w:val="none"/>
              </w:rPr>
            </w:pPr>
            <w:r>
              <w:rPr>
                <w:color w:val="000000"/>
                <w:sz w:val="24"/>
                <w:highlight w:val="none"/>
              </w:rPr>
            </w:r>
            <w:r/>
          </w:p>
        </w:tc>
        <w:tc>
          <w:tcPr>
            <w:tcMar>
              <w:top w:w="100" w:type="dxa"/>
              <w:bottom w:w="100" w:type="dxa"/>
            </w:tcMar>
            <w:tcW w:w="852" w:type="dxa"/>
            <w:vAlign w:val="center"/>
            <w:vMerge w:val="continue"/>
            <w:textDirection w:val="lrTb"/>
            <w:noWrap w:val="false"/>
          </w:tcPr>
          <w:p>
            <w:pPr>
              <w:pStyle w:val="1060"/>
              <w:jc w:val="left"/>
              <w:spacing w:line="400" w:lineRule="exact"/>
              <w:widowControl/>
              <w:rPr>
                <w:color w:val="000000"/>
                <w:sz w:val="24"/>
                <w:highlight w:val="none"/>
              </w:rPr>
            </w:pPr>
            <w:r>
              <w:rPr>
                <w:color w:val="000000"/>
                <w:sz w:val="24"/>
                <w:highlight w:val="none"/>
              </w:rPr>
            </w:r>
            <w:r/>
          </w:p>
        </w:tc>
        <w:tc>
          <w:tcPr>
            <w:tcMar>
              <w:top w:w="100" w:type="dxa"/>
              <w:bottom w:w="100" w:type="dxa"/>
            </w:tcMar>
            <w:tcW w:w="8375" w:type="dxa"/>
            <w:vAlign w:val="center"/>
            <w:textDirection w:val="lrTb"/>
            <w:noWrap w:val="false"/>
          </w:tcPr>
          <w:p>
            <w:pPr>
              <w:pStyle w:val="1060"/>
              <w:jc w:val="left"/>
              <w:spacing w:line="400" w:lineRule="exact"/>
              <w:rPr>
                <w:rFonts w:hint="eastAsia"/>
                <w:color w:val="000000"/>
                <w:sz w:val="24"/>
                <w:highlight w:val="none"/>
              </w:rPr>
            </w:pPr>
            <w:r>
              <w:rPr>
                <w:rFonts w:hint="eastAsia" w:ascii="宋体" w:hAnsi="宋体" w:cs="宋体"/>
                <w:color w:val="000000"/>
                <w:sz w:val="24"/>
                <w:highlight w:val="none"/>
              </w:rPr>
              <w:t xml:space="preserve">结合“爱耳日”、“全国助残日”等专题日，举办或参与公益活动，每年不少于2次；并在新媒体平台推送宣传内容，年度刊发或提供相关宣传文稿不少于 2 篇。</w:t>
            </w:r>
            <w:r>
              <w:rPr>
                <w:rFonts w:hint="eastAsia"/>
                <w:color w:val="000000"/>
                <w:sz w:val="24"/>
                <w:highlight w:val="none"/>
              </w:rPr>
            </w:r>
            <w:r/>
          </w:p>
        </w:tc>
      </w:tr>
      <w:tr>
        <w:trPr>
          <w:trHeight w:val="160"/>
        </w:trPr>
        <w:tc>
          <w:tcPr>
            <w:tcMar>
              <w:top w:w="100" w:type="dxa"/>
              <w:bottom w:w="100" w:type="dxa"/>
            </w:tcMar>
            <w:tcW w:w="513" w:type="dxa"/>
            <w:vAlign w:val="center"/>
            <w:vMerge w:val="continue"/>
            <w:textDirection w:val="lrTb"/>
            <w:noWrap w:val="false"/>
          </w:tcPr>
          <w:p>
            <w:pPr>
              <w:pStyle w:val="1060"/>
              <w:jc w:val="center"/>
              <w:spacing w:line="400" w:lineRule="exact"/>
              <w:widowControl/>
              <w:rPr>
                <w:color w:val="000000"/>
                <w:sz w:val="24"/>
                <w:highlight w:val="none"/>
              </w:rPr>
            </w:pPr>
            <w:r>
              <w:rPr>
                <w:color w:val="000000"/>
                <w:sz w:val="24"/>
                <w:highlight w:val="none"/>
              </w:rPr>
            </w:r>
            <w:r/>
          </w:p>
        </w:tc>
        <w:tc>
          <w:tcPr>
            <w:tcMar>
              <w:top w:w="100" w:type="dxa"/>
              <w:bottom w:w="100" w:type="dxa"/>
            </w:tcMar>
            <w:tcW w:w="852" w:type="dxa"/>
            <w:vAlign w:val="center"/>
            <w:vMerge w:val="continue"/>
            <w:textDirection w:val="lrTb"/>
            <w:noWrap w:val="false"/>
          </w:tcPr>
          <w:p>
            <w:pPr>
              <w:pStyle w:val="1060"/>
              <w:jc w:val="left"/>
              <w:spacing w:line="400" w:lineRule="exact"/>
              <w:widowControl/>
              <w:rPr>
                <w:color w:val="000000"/>
                <w:sz w:val="24"/>
                <w:highlight w:val="none"/>
              </w:rPr>
            </w:pPr>
            <w:r>
              <w:rPr>
                <w:color w:val="000000"/>
                <w:sz w:val="24"/>
                <w:highlight w:val="none"/>
              </w:rPr>
            </w:r>
            <w:r/>
          </w:p>
        </w:tc>
        <w:tc>
          <w:tcPr>
            <w:tcMar>
              <w:top w:w="100" w:type="dxa"/>
              <w:bottom w:w="100" w:type="dxa"/>
            </w:tcMar>
            <w:tcW w:w="8375" w:type="dxa"/>
            <w:vAlign w:val="center"/>
            <w:textDirection w:val="lrTb"/>
            <w:noWrap w:val="false"/>
          </w:tcPr>
          <w:p>
            <w:pPr>
              <w:pStyle w:val="1060"/>
              <w:jc w:val="left"/>
              <w:spacing w:line="400" w:lineRule="exact"/>
              <w:widowControl/>
              <w:rPr>
                <w:color w:val="000000"/>
                <w:sz w:val="24"/>
                <w:highlight w:val="none"/>
              </w:rPr>
            </w:pPr>
            <w:r>
              <w:rPr>
                <w:color w:val="000000"/>
                <w:sz w:val="24"/>
                <w:szCs w:val="22"/>
                <w:highlight w:val="none"/>
              </w:rPr>
              <w:t xml:space="preserve">4.5 管理制度</w:t>
            </w:r>
            <w:r>
              <w:rPr>
                <w:color w:val="000000"/>
                <w:sz w:val="24"/>
                <w:highlight w:val="none"/>
              </w:rPr>
            </w:r>
            <w:r/>
          </w:p>
        </w:tc>
      </w:tr>
      <w:tr>
        <w:trPr>
          <w:trHeight w:val="400"/>
        </w:trPr>
        <w:tc>
          <w:tcPr>
            <w:tcMar>
              <w:top w:w="100" w:type="dxa"/>
              <w:bottom w:w="100" w:type="dxa"/>
            </w:tcMar>
            <w:tcW w:w="513" w:type="dxa"/>
            <w:vAlign w:val="center"/>
            <w:vMerge w:val="continue"/>
            <w:textDirection w:val="lrTb"/>
            <w:noWrap w:val="false"/>
          </w:tcPr>
          <w:p>
            <w:pPr>
              <w:pStyle w:val="1060"/>
              <w:jc w:val="center"/>
              <w:spacing w:line="400" w:lineRule="exact"/>
              <w:widowControl/>
              <w:rPr>
                <w:color w:val="000000"/>
                <w:sz w:val="24"/>
                <w:highlight w:val="none"/>
              </w:rPr>
            </w:pPr>
            <w:r>
              <w:rPr>
                <w:color w:val="000000"/>
                <w:sz w:val="24"/>
                <w:highlight w:val="none"/>
              </w:rPr>
            </w:r>
            <w:r/>
          </w:p>
        </w:tc>
        <w:tc>
          <w:tcPr>
            <w:tcMar>
              <w:top w:w="100" w:type="dxa"/>
              <w:bottom w:w="100" w:type="dxa"/>
            </w:tcMar>
            <w:tcW w:w="852" w:type="dxa"/>
            <w:vAlign w:val="center"/>
            <w:vMerge w:val="continue"/>
            <w:textDirection w:val="lrTb"/>
            <w:noWrap w:val="false"/>
          </w:tcPr>
          <w:p>
            <w:pPr>
              <w:pStyle w:val="1060"/>
              <w:jc w:val="left"/>
              <w:spacing w:line="400" w:lineRule="exact"/>
              <w:widowControl/>
              <w:rPr>
                <w:color w:val="000000"/>
                <w:sz w:val="24"/>
                <w:highlight w:val="none"/>
              </w:rPr>
            </w:pPr>
            <w:r>
              <w:rPr>
                <w:color w:val="000000"/>
                <w:sz w:val="24"/>
                <w:highlight w:val="none"/>
              </w:rPr>
            </w:r>
            <w:r/>
          </w:p>
        </w:tc>
        <w:tc>
          <w:tcPr>
            <w:tcMar>
              <w:top w:w="100" w:type="dxa"/>
              <w:bottom w:w="100" w:type="dxa"/>
            </w:tcMar>
            <w:tcW w:w="8375" w:type="dxa"/>
            <w:vAlign w:val="center"/>
            <w:textDirection w:val="lrTb"/>
            <w:noWrap w:val="false"/>
          </w:tcPr>
          <w:p>
            <w:pPr>
              <w:pStyle w:val="1060"/>
              <w:jc w:val="left"/>
              <w:spacing w:line="400" w:lineRule="exact"/>
              <w:widowControl/>
              <w:rPr>
                <w:color w:val="000000"/>
                <w:sz w:val="24"/>
                <w:highlight w:val="none"/>
              </w:rPr>
            </w:pPr>
            <w:r>
              <w:rPr>
                <w:color w:val="000000"/>
                <w:sz w:val="24"/>
                <w:highlight w:val="none"/>
              </w:rPr>
              <w:t xml:space="preserve">供应商针对本项目服务内容制定的管理制度包含但不限于人力资源管理（含岗位职责）、财务管理制度（含固定资产管理制度）、业务管理制度、突发事件应急预案（含安全、消防等）、信息管理（含信息安全、舆情处置等）、服务项目档案管理制度等。</w:t>
            </w:r>
            <w:r>
              <w:rPr>
                <w:color w:val="000000"/>
                <w:sz w:val="24"/>
                <w:highlight w:val="none"/>
              </w:rPr>
            </w:r>
            <w:r/>
          </w:p>
        </w:tc>
      </w:tr>
      <w:tr>
        <w:trPr/>
        <w:tc>
          <w:tcPr>
            <w:tcMar>
              <w:top w:w="100" w:type="dxa"/>
              <w:bottom w:w="100" w:type="dxa"/>
            </w:tcMar>
            <w:tcW w:w="513" w:type="dxa"/>
            <w:vAlign w:val="center"/>
            <w:vMerge w:val="restart"/>
            <w:textDirection w:val="lrTb"/>
            <w:noWrap w:val="false"/>
          </w:tcPr>
          <w:p>
            <w:pPr>
              <w:pStyle w:val="1060"/>
              <w:jc w:val="center"/>
              <w:spacing w:line="400" w:lineRule="exact"/>
              <w:widowControl/>
              <w:rPr>
                <w:color w:val="000000"/>
                <w:sz w:val="24"/>
                <w:highlight w:val="none"/>
              </w:rPr>
            </w:pPr>
            <w:r>
              <w:rPr>
                <w:color w:val="000000"/>
                <w:sz w:val="24"/>
                <w:highlight w:val="none"/>
              </w:rPr>
              <w:t xml:space="preserve">5</w:t>
            </w:r>
            <w:r>
              <w:rPr>
                <w:color w:val="000000"/>
                <w:sz w:val="24"/>
                <w:highlight w:val="none"/>
              </w:rPr>
            </w:r>
            <w:r/>
          </w:p>
        </w:tc>
        <w:tc>
          <w:tcPr>
            <w:tcMar>
              <w:top w:w="100" w:type="dxa"/>
              <w:bottom w:w="100" w:type="dxa"/>
            </w:tcMar>
            <w:tcW w:w="852" w:type="dxa"/>
            <w:vAlign w:val="center"/>
            <w:vMerge w:val="restart"/>
            <w:textDirection w:val="lrTb"/>
            <w:noWrap w:val="false"/>
          </w:tcPr>
          <w:p>
            <w:pPr>
              <w:pStyle w:val="1060"/>
              <w:jc w:val="left"/>
              <w:spacing w:line="400" w:lineRule="exact"/>
              <w:widowControl/>
              <w:rPr>
                <w:color w:val="000000"/>
                <w:sz w:val="24"/>
                <w:highlight w:val="none"/>
              </w:rPr>
            </w:pPr>
            <w:r>
              <w:rPr>
                <w:color w:val="000000"/>
                <w:sz w:val="24"/>
                <w:highlight w:val="none"/>
              </w:rPr>
              <w:t xml:space="preserve">机构建设</w:t>
            </w:r>
            <w:r>
              <w:rPr>
                <w:color w:val="000000"/>
                <w:sz w:val="24"/>
                <w:highlight w:val="none"/>
              </w:rPr>
            </w:r>
            <w:r/>
          </w:p>
        </w:tc>
        <w:tc>
          <w:tcPr>
            <w:tcMar>
              <w:top w:w="100" w:type="dxa"/>
              <w:bottom w:w="100" w:type="dxa"/>
            </w:tcMar>
            <w:tcW w:w="8375" w:type="dxa"/>
            <w:vAlign w:val="center"/>
            <w:textDirection w:val="lrTb"/>
            <w:noWrap w:val="false"/>
          </w:tcPr>
          <w:p>
            <w:pPr>
              <w:pStyle w:val="1060"/>
              <w:spacing w:line="400" w:lineRule="exact"/>
              <w:rPr>
                <w:i/>
                <w:iCs/>
                <w:color w:val="000000"/>
                <w:sz w:val="24"/>
                <w:highlight w:val="none"/>
                <w:u w:val="single"/>
              </w:rPr>
            </w:pPr>
            <w:r>
              <w:rPr>
                <w:color w:val="000000"/>
                <w:sz w:val="24"/>
                <w:highlight w:val="none"/>
              </w:rPr>
              <w:t xml:space="preserve">5.1 场地建设</w:t>
            </w:r>
            <w:r>
              <w:rPr>
                <w:i/>
                <w:iCs/>
                <w:color w:val="000000"/>
                <w:sz w:val="24"/>
                <w:highlight w:val="none"/>
                <w:u w:val="single"/>
              </w:rPr>
            </w:r>
            <w:r/>
          </w:p>
        </w:tc>
      </w:tr>
      <w:tr>
        <w:trPr>
          <w:trHeight w:val="402"/>
        </w:trPr>
        <w:tc>
          <w:tcPr>
            <w:tcMar>
              <w:top w:w="100" w:type="dxa"/>
              <w:bottom w:w="100" w:type="dxa"/>
            </w:tcMar>
            <w:tcW w:w="513" w:type="dxa"/>
            <w:vAlign w:val="center"/>
            <w:vMerge w:val="continue"/>
            <w:textDirection w:val="lrTb"/>
            <w:noWrap w:val="false"/>
          </w:tcPr>
          <w:p>
            <w:pPr>
              <w:pStyle w:val="1060"/>
              <w:jc w:val="center"/>
              <w:spacing w:line="400" w:lineRule="exact"/>
              <w:widowControl/>
              <w:rPr>
                <w:color w:val="000000"/>
                <w:sz w:val="24"/>
                <w:highlight w:val="none"/>
              </w:rPr>
            </w:pPr>
            <w:r>
              <w:rPr>
                <w:color w:val="000000"/>
                <w:sz w:val="24"/>
                <w:highlight w:val="none"/>
              </w:rPr>
            </w:r>
            <w:r/>
          </w:p>
        </w:tc>
        <w:tc>
          <w:tcPr>
            <w:tcMar>
              <w:top w:w="100" w:type="dxa"/>
              <w:bottom w:w="100" w:type="dxa"/>
            </w:tcMar>
            <w:tcW w:w="852" w:type="dxa"/>
            <w:vAlign w:val="center"/>
            <w:vMerge w:val="continue"/>
            <w:textDirection w:val="lrTb"/>
            <w:noWrap w:val="false"/>
          </w:tcPr>
          <w:p>
            <w:pPr>
              <w:pStyle w:val="1060"/>
              <w:jc w:val="left"/>
              <w:spacing w:line="400" w:lineRule="exact"/>
              <w:widowControl/>
              <w:rPr>
                <w:i/>
                <w:color w:val="000000"/>
                <w:sz w:val="24"/>
                <w:highlight w:val="none"/>
                <w:u w:val="single"/>
              </w:rPr>
            </w:pPr>
            <w:r>
              <w:rPr>
                <w:i/>
                <w:color w:val="000000"/>
                <w:sz w:val="24"/>
                <w:highlight w:val="none"/>
                <w:u w:val="single"/>
              </w:rPr>
            </w:r>
            <w:r/>
          </w:p>
        </w:tc>
        <w:tc>
          <w:tcPr>
            <w:tcMar>
              <w:top w:w="100" w:type="dxa"/>
              <w:bottom w:w="100" w:type="dxa"/>
            </w:tcMar>
            <w:tcW w:w="8375" w:type="dxa"/>
            <w:vAlign w:val="center"/>
            <w:textDirection w:val="lrTb"/>
            <w:noWrap w:val="false"/>
          </w:tcPr>
          <w:p>
            <w:pPr>
              <w:pStyle w:val="1060"/>
              <w:jc w:val="left"/>
              <w:spacing w:line="400" w:lineRule="exact"/>
              <w:widowControl/>
              <w:rPr>
                <w:color w:val="000000"/>
                <w:sz w:val="24"/>
                <w:highlight w:val="none"/>
              </w:rPr>
            </w:pPr>
            <w:r>
              <w:rPr>
                <w:color w:val="000000"/>
                <w:sz w:val="24"/>
                <w:highlight w:val="none"/>
              </w:rPr>
              <w:t xml:space="preserve">（1）</w:t>
            </w:r>
            <w:r>
              <w:rPr>
                <w:rFonts w:hint="eastAsia"/>
                <w:color w:val="000000"/>
                <w:sz w:val="24"/>
                <w:highlight w:val="none"/>
              </w:rPr>
              <w:t xml:space="preserve">取得消防合格证书；</w:t>
            </w:r>
            <w:r>
              <w:rPr>
                <w:color w:val="000000"/>
                <w:sz w:val="24"/>
                <w:highlight w:val="none"/>
              </w:rPr>
            </w:r>
            <w:r/>
          </w:p>
          <w:p>
            <w:pPr>
              <w:pStyle w:val="1060"/>
              <w:jc w:val="left"/>
              <w:spacing w:line="400" w:lineRule="exact"/>
              <w:widowControl/>
              <w:rPr>
                <w:i/>
                <w:iCs/>
                <w:color w:val="000000"/>
                <w:sz w:val="24"/>
                <w:highlight w:val="none"/>
                <w:u w:val="single"/>
              </w:rPr>
            </w:pPr>
            <w:r>
              <w:rPr>
                <w:rFonts w:hint="eastAsia"/>
                <w:color w:val="000000"/>
                <w:sz w:val="24"/>
                <w:highlight w:val="none"/>
              </w:rPr>
              <w:t xml:space="preserve">（2）具有开展残疾人助听器服务工作的场地设施。</w:t>
            </w:r>
            <w:r>
              <w:rPr>
                <w:i/>
                <w:iCs/>
                <w:color w:val="000000"/>
                <w:sz w:val="24"/>
                <w:highlight w:val="none"/>
                <w:u w:val="single"/>
              </w:rPr>
            </w:r>
            <w:r/>
          </w:p>
        </w:tc>
      </w:tr>
      <w:tr>
        <w:trPr>
          <w:trHeight w:val="402"/>
        </w:trPr>
        <w:tc>
          <w:tcPr>
            <w:tcMar>
              <w:top w:w="100" w:type="dxa"/>
              <w:bottom w:w="100" w:type="dxa"/>
            </w:tcMar>
            <w:tcW w:w="513" w:type="dxa"/>
            <w:vAlign w:val="center"/>
            <w:vMerge w:val="continue"/>
            <w:textDirection w:val="lrTb"/>
            <w:noWrap w:val="false"/>
          </w:tcPr>
          <w:p>
            <w:pPr>
              <w:pStyle w:val="1060"/>
              <w:jc w:val="center"/>
              <w:spacing w:line="400" w:lineRule="exact"/>
              <w:widowControl/>
              <w:rPr>
                <w:color w:val="000000"/>
                <w:sz w:val="24"/>
                <w:highlight w:val="none"/>
              </w:rPr>
            </w:pPr>
            <w:r>
              <w:rPr>
                <w:color w:val="000000"/>
                <w:sz w:val="24"/>
                <w:highlight w:val="none"/>
              </w:rPr>
            </w:r>
            <w:r/>
          </w:p>
        </w:tc>
        <w:tc>
          <w:tcPr>
            <w:tcMar>
              <w:top w:w="100" w:type="dxa"/>
              <w:bottom w:w="100" w:type="dxa"/>
            </w:tcMar>
            <w:tcW w:w="852" w:type="dxa"/>
            <w:vAlign w:val="center"/>
            <w:vMerge w:val="continue"/>
            <w:textDirection w:val="lrTb"/>
            <w:noWrap w:val="false"/>
          </w:tcPr>
          <w:p>
            <w:pPr>
              <w:pStyle w:val="1060"/>
              <w:jc w:val="left"/>
              <w:spacing w:line="400" w:lineRule="exact"/>
              <w:widowControl/>
              <w:rPr>
                <w:i/>
                <w:color w:val="000000"/>
                <w:sz w:val="24"/>
                <w:highlight w:val="none"/>
                <w:u w:val="single"/>
              </w:rPr>
            </w:pPr>
            <w:r>
              <w:rPr>
                <w:i/>
                <w:color w:val="000000"/>
                <w:sz w:val="24"/>
                <w:highlight w:val="none"/>
                <w:u w:val="single"/>
              </w:rPr>
            </w:r>
            <w:r/>
          </w:p>
        </w:tc>
        <w:tc>
          <w:tcPr>
            <w:tcMar>
              <w:top w:w="100" w:type="dxa"/>
              <w:bottom w:w="100" w:type="dxa"/>
            </w:tcMar>
            <w:tcW w:w="8375" w:type="dxa"/>
            <w:vAlign w:val="center"/>
            <w:textDirection w:val="lrTb"/>
            <w:noWrap w:val="false"/>
          </w:tcPr>
          <w:p>
            <w:pPr>
              <w:pStyle w:val="1060"/>
              <w:jc w:val="left"/>
              <w:spacing w:line="400" w:lineRule="exact"/>
              <w:widowControl/>
              <w:rPr>
                <w:color w:val="000000"/>
                <w:sz w:val="24"/>
                <w:highlight w:val="none"/>
              </w:rPr>
            </w:pPr>
            <w:r>
              <w:rPr>
                <w:rFonts w:hint="eastAsia"/>
                <w:color w:val="000000"/>
                <w:sz w:val="24"/>
                <w:highlight w:val="none"/>
              </w:rPr>
              <w:t xml:space="preserve">机构应设置病案室、测听室、取型室、耳模制作室、助听器验配室、助听器维修室、评估室、康复指导室和助听器产品展示接待室。建筑</w:t>
            </w:r>
            <w:r>
              <w:rPr>
                <w:color w:val="000000"/>
                <w:sz w:val="24"/>
                <w:highlight w:val="none"/>
              </w:rPr>
              <w:t xml:space="preserve">总</w:t>
            </w:r>
            <w:r>
              <w:rPr>
                <w:rFonts w:hint="eastAsia"/>
                <w:color w:val="000000"/>
                <w:sz w:val="24"/>
                <w:highlight w:val="none"/>
              </w:rPr>
              <w:t xml:space="preserve">面积不少于100㎡，且业务用房面积不少于建筑总面积的70%。</w:t>
            </w:r>
            <w:r>
              <w:rPr>
                <w:color w:val="000000"/>
                <w:sz w:val="24"/>
                <w:highlight w:val="none"/>
              </w:rPr>
            </w:r>
            <w:r/>
          </w:p>
        </w:tc>
      </w:tr>
      <w:tr>
        <w:trPr>
          <w:trHeight w:val="117"/>
        </w:trPr>
        <w:tc>
          <w:tcPr>
            <w:tcMar>
              <w:top w:w="100" w:type="dxa"/>
              <w:bottom w:w="100" w:type="dxa"/>
            </w:tcMar>
            <w:tcW w:w="513" w:type="dxa"/>
            <w:vAlign w:val="center"/>
            <w:vMerge w:val="continue"/>
            <w:textDirection w:val="lrTb"/>
            <w:noWrap w:val="false"/>
          </w:tcPr>
          <w:p>
            <w:pPr>
              <w:pStyle w:val="1060"/>
              <w:jc w:val="center"/>
              <w:spacing w:line="400" w:lineRule="exact"/>
              <w:widowControl/>
              <w:rPr>
                <w:color w:val="000000"/>
                <w:sz w:val="24"/>
                <w:highlight w:val="none"/>
              </w:rPr>
            </w:pPr>
            <w:r>
              <w:rPr>
                <w:color w:val="000000"/>
                <w:sz w:val="24"/>
                <w:highlight w:val="none"/>
              </w:rPr>
            </w:r>
            <w:r/>
          </w:p>
        </w:tc>
        <w:tc>
          <w:tcPr>
            <w:tcMar>
              <w:top w:w="100" w:type="dxa"/>
              <w:bottom w:w="100" w:type="dxa"/>
            </w:tcMar>
            <w:tcW w:w="852" w:type="dxa"/>
            <w:vAlign w:val="center"/>
            <w:vMerge w:val="continue"/>
            <w:textDirection w:val="lrTb"/>
            <w:noWrap w:val="false"/>
          </w:tcPr>
          <w:p>
            <w:pPr>
              <w:pStyle w:val="1060"/>
              <w:jc w:val="left"/>
              <w:spacing w:line="400" w:lineRule="exact"/>
              <w:widowControl/>
              <w:rPr>
                <w:i/>
                <w:color w:val="000000"/>
                <w:sz w:val="24"/>
                <w:highlight w:val="none"/>
                <w:u w:val="single"/>
              </w:rPr>
            </w:pPr>
            <w:r>
              <w:rPr>
                <w:i/>
                <w:color w:val="000000"/>
                <w:sz w:val="24"/>
                <w:highlight w:val="none"/>
                <w:u w:val="single"/>
              </w:rPr>
            </w:r>
            <w:r/>
          </w:p>
        </w:tc>
        <w:tc>
          <w:tcPr>
            <w:tcMar>
              <w:top w:w="100" w:type="dxa"/>
              <w:bottom w:w="100" w:type="dxa"/>
            </w:tcMar>
            <w:tcW w:w="8375" w:type="dxa"/>
            <w:vAlign w:val="center"/>
            <w:textDirection w:val="lrTb"/>
            <w:noWrap w:val="false"/>
          </w:tcPr>
          <w:p>
            <w:pPr>
              <w:pStyle w:val="1060"/>
              <w:spacing w:line="400" w:lineRule="exact"/>
              <w:rPr>
                <w:i/>
                <w:iCs/>
                <w:color w:val="000000"/>
                <w:sz w:val="24"/>
                <w:highlight w:val="none"/>
                <w:u w:val="single"/>
              </w:rPr>
            </w:pPr>
            <w:r>
              <w:rPr>
                <w:color w:val="000000"/>
                <w:sz w:val="24"/>
                <w:highlight w:val="none"/>
              </w:rPr>
              <w:t xml:space="preserve">5.2 环境要求</w:t>
            </w:r>
            <w:r>
              <w:rPr>
                <w:i/>
                <w:iCs/>
                <w:color w:val="000000"/>
                <w:sz w:val="24"/>
                <w:highlight w:val="none"/>
                <w:u w:val="single"/>
              </w:rPr>
            </w:r>
            <w:r/>
          </w:p>
        </w:tc>
      </w:tr>
      <w:tr>
        <w:trPr>
          <w:trHeight w:val="117"/>
        </w:trPr>
        <w:tc>
          <w:tcPr>
            <w:tcMar>
              <w:top w:w="100" w:type="dxa"/>
              <w:bottom w:w="100" w:type="dxa"/>
            </w:tcMar>
            <w:tcW w:w="513" w:type="dxa"/>
            <w:vAlign w:val="center"/>
            <w:vMerge w:val="continue"/>
            <w:textDirection w:val="lrTb"/>
            <w:noWrap w:val="false"/>
          </w:tcPr>
          <w:p>
            <w:pPr>
              <w:pStyle w:val="1060"/>
              <w:jc w:val="center"/>
              <w:spacing w:line="400" w:lineRule="exact"/>
              <w:widowControl/>
              <w:rPr>
                <w:color w:val="000000"/>
                <w:sz w:val="24"/>
                <w:highlight w:val="none"/>
              </w:rPr>
            </w:pPr>
            <w:r>
              <w:rPr>
                <w:color w:val="000000"/>
                <w:sz w:val="24"/>
                <w:highlight w:val="none"/>
              </w:rPr>
            </w:r>
            <w:r/>
          </w:p>
        </w:tc>
        <w:tc>
          <w:tcPr>
            <w:tcMar>
              <w:top w:w="100" w:type="dxa"/>
              <w:bottom w:w="100" w:type="dxa"/>
            </w:tcMar>
            <w:tcW w:w="852" w:type="dxa"/>
            <w:vAlign w:val="center"/>
            <w:vMerge w:val="continue"/>
            <w:textDirection w:val="lrTb"/>
            <w:noWrap w:val="false"/>
          </w:tcPr>
          <w:p>
            <w:pPr>
              <w:pStyle w:val="1060"/>
              <w:jc w:val="left"/>
              <w:spacing w:line="400" w:lineRule="exact"/>
              <w:widowControl/>
              <w:rPr>
                <w:i/>
                <w:color w:val="000000"/>
                <w:sz w:val="24"/>
                <w:highlight w:val="none"/>
                <w:u w:val="single"/>
              </w:rPr>
            </w:pPr>
            <w:r>
              <w:rPr>
                <w:i/>
                <w:color w:val="000000"/>
                <w:sz w:val="24"/>
                <w:highlight w:val="none"/>
                <w:u w:val="single"/>
              </w:rPr>
            </w:r>
            <w:r/>
          </w:p>
        </w:tc>
        <w:tc>
          <w:tcPr>
            <w:tcMar>
              <w:top w:w="100" w:type="dxa"/>
              <w:bottom w:w="100" w:type="dxa"/>
            </w:tcMar>
            <w:tcW w:w="8375" w:type="dxa"/>
            <w:vAlign w:val="center"/>
            <w:textDirection w:val="lrTb"/>
            <w:noWrap w:val="false"/>
          </w:tcPr>
          <w:p>
            <w:pPr>
              <w:pStyle w:val="1060"/>
              <w:spacing w:line="400" w:lineRule="exact"/>
              <w:widowControl/>
              <w:rPr>
                <w:color w:val="000000"/>
                <w:sz w:val="24"/>
                <w:highlight w:val="none"/>
              </w:rPr>
            </w:pPr>
            <w:r>
              <w:rPr>
                <w:color w:val="000000"/>
                <w:sz w:val="24"/>
                <w:highlight w:val="none"/>
              </w:rPr>
              <w:t xml:space="preserve">（1）有独立、安全、相对稳定的房屋，并设置在安全区域内；</w:t>
            </w:r>
            <w:r>
              <w:rPr>
                <w:color w:val="000000"/>
                <w:sz w:val="24"/>
                <w:highlight w:val="none"/>
              </w:rPr>
            </w:r>
            <w:r/>
          </w:p>
          <w:p>
            <w:pPr>
              <w:pStyle w:val="1060"/>
              <w:spacing w:line="400" w:lineRule="exact"/>
              <w:widowControl/>
              <w:rPr>
                <w:color w:val="000000"/>
                <w:sz w:val="24"/>
                <w:highlight w:val="none"/>
              </w:rPr>
            </w:pPr>
            <w:r>
              <w:rPr>
                <w:color w:val="000000"/>
                <w:sz w:val="24"/>
                <w:highlight w:val="none"/>
              </w:rPr>
              <w:t xml:space="preserve">（2）周边交通便捷，有多条公交线路可达；</w:t>
            </w:r>
            <w:r>
              <w:rPr>
                <w:color w:val="000000"/>
                <w:sz w:val="24"/>
                <w:highlight w:val="none"/>
              </w:rPr>
            </w:r>
            <w:r/>
          </w:p>
          <w:p>
            <w:pPr>
              <w:pStyle w:val="1060"/>
              <w:spacing w:line="400" w:lineRule="exact"/>
              <w:widowControl/>
              <w:rPr>
                <w:color w:val="000000"/>
                <w:sz w:val="24"/>
                <w:highlight w:val="none"/>
              </w:rPr>
            </w:pPr>
            <w:r>
              <w:rPr>
                <w:color w:val="000000"/>
                <w:sz w:val="24"/>
                <w:highlight w:val="none"/>
              </w:rPr>
              <w:t xml:space="preserve">（3）</w:t>
            </w:r>
            <w:r>
              <w:rPr>
                <w:rFonts w:hint="eastAsia"/>
                <w:color w:val="000000"/>
                <w:sz w:val="24"/>
                <w:highlight w:val="none"/>
              </w:rPr>
              <w:t xml:space="preserve">有必要的无障碍设施。</w:t>
            </w:r>
            <w:r>
              <w:rPr>
                <w:color w:val="000000"/>
                <w:sz w:val="24"/>
                <w:highlight w:val="none"/>
              </w:rPr>
            </w:r>
            <w:r/>
          </w:p>
        </w:tc>
      </w:tr>
      <w:tr>
        <w:trPr>
          <w:trHeight w:val="312"/>
        </w:trPr>
        <w:tc>
          <w:tcPr>
            <w:tcMar>
              <w:top w:w="100" w:type="dxa"/>
              <w:bottom w:w="100" w:type="dxa"/>
            </w:tcMar>
            <w:tcW w:w="513" w:type="dxa"/>
            <w:vAlign w:val="center"/>
            <w:textDirection w:val="lrTb"/>
            <w:noWrap w:val="false"/>
          </w:tcPr>
          <w:p>
            <w:pPr>
              <w:pStyle w:val="1060"/>
              <w:jc w:val="center"/>
              <w:spacing w:line="400" w:lineRule="exact"/>
              <w:widowControl/>
              <w:rPr>
                <w:color w:val="000000"/>
                <w:sz w:val="24"/>
                <w:highlight w:val="none"/>
              </w:rPr>
            </w:pPr>
            <w:r>
              <w:rPr>
                <w:rFonts w:hint="eastAsia"/>
                <w:color w:val="000000"/>
                <w:sz w:val="24"/>
                <w:highlight w:val="none"/>
              </w:rPr>
              <w:t xml:space="preserve">6</w:t>
            </w:r>
            <w:r>
              <w:rPr>
                <w:color w:val="000000"/>
                <w:sz w:val="24"/>
                <w:highlight w:val="none"/>
              </w:rPr>
            </w:r>
            <w:r/>
          </w:p>
        </w:tc>
        <w:tc>
          <w:tcPr>
            <w:tcMar>
              <w:top w:w="100" w:type="dxa"/>
              <w:bottom w:w="100" w:type="dxa"/>
            </w:tcMar>
            <w:tcW w:w="852" w:type="dxa"/>
            <w:vAlign w:val="center"/>
            <w:textDirection w:val="lrTb"/>
            <w:noWrap w:val="false"/>
          </w:tcPr>
          <w:p>
            <w:pPr>
              <w:pStyle w:val="1060"/>
              <w:jc w:val="left"/>
              <w:spacing w:line="400" w:lineRule="exact"/>
              <w:widowControl/>
              <w:rPr>
                <w:color w:val="000000"/>
                <w:sz w:val="24"/>
                <w:highlight w:val="none"/>
              </w:rPr>
            </w:pPr>
            <w:r>
              <w:rPr>
                <w:color w:val="000000"/>
                <w:sz w:val="24"/>
                <w:highlight w:val="none"/>
              </w:rPr>
              <w:t xml:space="preserve">安全生产工作要求</w:t>
            </w:r>
            <w:r>
              <w:rPr>
                <w:color w:val="000000"/>
                <w:sz w:val="24"/>
                <w:highlight w:val="none"/>
              </w:rPr>
            </w:r>
            <w:r/>
          </w:p>
        </w:tc>
        <w:tc>
          <w:tcPr>
            <w:tcMar>
              <w:top w:w="100" w:type="dxa"/>
              <w:bottom w:w="100" w:type="dxa"/>
            </w:tcMar>
            <w:tcW w:w="8375" w:type="dxa"/>
            <w:vAlign w:val="center"/>
            <w:textDirection w:val="lrTb"/>
            <w:noWrap w:val="false"/>
          </w:tcPr>
          <w:p>
            <w:pPr>
              <w:pStyle w:val="1060"/>
              <w:jc w:val="left"/>
              <w:spacing w:line="400" w:lineRule="exact"/>
              <w:widowControl/>
              <w:rPr>
                <w:color w:val="000000"/>
                <w:sz w:val="24"/>
                <w:highlight w:val="none"/>
              </w:rPr>
            </w:pPr>
            <w:r>
              <w:rPr>
                <w:color w:val="000000"/>
                <w:sz w:val="24"/>
                <w:highlight w:val="none"/>
              </w:rPr>
              <w:t xml:space="preserve">残疾人辅助器具适配机构应依照安全生产法律法规履行安全生产主体责任，严格落实安全管理措施，有效管控安全生产风险，消除问题隐患等方面存在的问题。采购人将会组织专项督查，实地查看服务机构的安全生产情况。各供应商应根据项目实施情况，按照下列要求，制定相应的安全生产工作方案。</w:t>
            </w:r>
            <w:r>
              <w:rPr>
                <w:color w:val="000000"/>
                <w:sz w:val="24"/>
                <w:highlight w:val="none"/>
              </w:rPr>
            </w:r>
            <w:r/>
          </w:p>
          <w:p>
            <w:pPr>
              <w:pStyle w:val="1060"/>
              <w:jc w:val="left"/>
              <w:spacing w:line="400" w:lineRule="exact"/>
              <w:widowControl/>
              <w:rPr>
                <w:color w:val="000000"/>
                <w:sz w:val="24"/>
                <w:highlight w:val="none"/>
              </w:rPr>
            </w:pPr>
            <w:r>
              <w:rPr>
                <w:color w:val="000000"/>
                <w:sz w:val="24"/>
                <w:highlight w:val="none"/>
              </w:rPr>
              <w:t xml:space="preserve">（1）针对各服务机构的重点项目：消防安全制度落实情况，工作人员掌握消防安全知识和基本技能情况，消防重点部位日常管理情况，火灾隐患整改和日常防范措施落实情况；</w:t>
            </w:r>
            <w:r>
              <w:rPr>
                <w:color w:val="000000"/>
                <w:sz w:val="24"/>
                <w:highlight w:val="none"/>
              </w:rPr>
            </w:r>
            <w:r/>
          </w:p>
          <w:p>
            <w:pPr>
              <w:pStyle w:val="1060"/>
              <w:jc w:val="left"/>
              <w:spacing w:line="400" w:lineRule="exact"/>
              <w:widowControl/>
              <w:rPr>
                <w:color w:val="000000"/>
                <w:sz w:val="24"/>
                <w:highlight w:val="none"/>
              </w:rPr>
            </w:pPr>
            <w:r>
              <w:rPr>
                <w:color w:val="000000"/>
                <w:sz w:val="24"/>
                <w:highlight w:val="none"/>
              </w:rPr>
              <w:t xml:space="preserve">（2）4项“严禁”：严禁使用未经消防许可或不符合消防技术的建筑物及场所、严禁违规改建、扩建不符合消防安全标准的构筑物，严禁采用夹芯材料燃烧性能低于A级的彩钢板作为室内分格或搭建临时建筑，严禁擅自停用关闭消防设施设备、设置影响疏散逃生和灭火救援的铁栅栏、锁闭堵塞安全出口、占用消防通道和扑救场地，严禁私拉乱接电气线、超负荷用电，严禁使用电炉、热得快等大功率电器；</w:t>
            </w:r>
            <w:r>
              <w:rPr>
                <w:color w:val="000000"/>
                <w:sz w:val="24"/>
                <w:highlight w:val="none"/>
              </w:rPr>
            </w:r>
            <w:r/>
          </w:p>
          <w:p>
            <w:pPr>
              <w:pStyle w:val="1060"/>
              <w:jc w:val="left"/>
              <w:spacing w:line="400" w:lineRule="exact"/>
              <w:widowControl/>
              <w:rPr>
                <w:color w:val="000000"/>
                <w:sz w:val="24"/>
                <w:highlight w:val="none"/>
              </w:rPr>
            </w:pPr>
            <w:r>
              <w:rPr>
                <w:color w:val="000000"/>
                <w:sz w:val="24"/>
                <w:highlight w:val="none"/>
              </w:rPr>
              <w:t xml:space="preserve">（3）“三知”：知道建筑物功能布局情况、知道安全出口位置、知道消防器材位置；</w:t>
            </w:r>
            <w:r>
              <w:rPr>
                <w:color w:val="000000"/>
                <w:sz w:val="24"/>
                <w:highlight w:val="none"/>
              </w:rPr>
            </w:r>
            <w:r/>
          </w:p>
          <w:p>
            <w:pPr>
              <w:pStyle w:val="1060"/>
              <w:jc w:val="left"/>
              <w:spacing w:line="400" w:lineRule="exact"/>
              <w:widowControl/>
              <w:rPr>
                <w:color w:val="000000"/>
                <w:sz w:val="24"/>
                <w:highlight w:val="none"/>
              </w:rPr>
            </w:pPr>
            <w:r>
              <w:rPr>
                <w:color w:val="000000"/>
                <w:sz w:val="24"/>
                <w:highlight w:val="none"/>
              </w:rPr>
              <w:t xml:space="preserve">（4）“四会”：会使用消防针器材、会报火警、会扑灭初期火灾、会组织人员疏散逃生；</w:t>
            </w:r>
            <w:r>
              <w:rPr>
                <w:color w:val="000000"/>
                <w:sz w:val="24"/>
                <w:highlight w:val="none"/>
              </w:rPr>
            </w:r>
            <w:r/>
          </w:p>
          <w:p>
            <w:pPr>
              <w:pStyle w:val="1060"/>
              <w:jc w:val="left"/>
              <w:spacing w:line="400" w:lineRule="exact"/>
              <w:widowControl/>
              <w:rPr>
                <w:color w:val="000000"/>
                <w:sz w:val="24"/>
                <w:highlight w:val="none"/>
              </w:rPr>
            </w:pPr>
            <w:r>
              <w:rPr>
                <w:color w:val="000000"/>
                <w:sz w:val="24"/>
                <w:highlight w:val="none"/>
              </w:rPr>
              <w:t xml:space="preserve">（5）应急管理：每年至少开展一次火灾事故应急演练。</w:t>
            </w:r>
            <w:r>
              <w:rPr>
                <w:color w:val="000000"/>
                <w:sz w:val="24"/>
                <w:highlight w:val="none"/>
              </w:rPr>
            </w:r>
            <w:r/>
          </w:p>
        </w:tc>
      </w:tr>
      <w:tr>
        <w:trPr>
          <w:trHeight w:val="312"/>
        </w:trPr>
        <w:tc>
          <w:tcPr>
            <w:tcMar>
              <w:top w:w="100" w:type="dxa"/>
              <w:bottom w:w="100" w:type="dxa"/>
            </w:tcMar>
            <w:tcW w:w="513" w:type="dxa"/>
            <w:vAlign w:val="center"/>
            <w:textDirection w:val="lrTb"/>
            <w:noWrap w:val="false"/>
          </w:tcPr>
          <w:p>
            <w:pPr>
              <w:pStyle w:val="1060"/>
              <w:jc w:val="center"/>
              <w:spacing w:line="400" w:lineRule="exact"/>
              <w:widowControl/>
              <w:rPr>
                <w:color w:val="000000"/>
                <w:sz w:val="24"/>
                <w:highlight w:val="none"/>
              </w:rPr>
            </w:pPr>
            <w:r>
              <w:rPr>
                <w:rFonts w:hint="eastAsia"/>
                <w:color w:val="000000"/>
                <w:sz w:val="24"/>
                <w:highlight w:val="none"/>
              </w:rPr>
              <w:t xml:space="preserve">7</w:t>
            </w:r>
            <w:r>
              <w:rPr>
                <w:color w:val="000000"/>
                <w:sz w:val="24"/>
                <w:highlight w:val="none"/>
              </w:rPr>
            </w:r>
            <w:r/>
          </w:p>
        </w:tc>
        <w:tc>
          <w:tcPr>
            <w:tcMar>
              <w:top w:w="100" w:type="dxa"/>
              <w:bottom w:w="100" w:type="dxa"/>
            </w:tcMar>
            <w:tcW w:w="852" w:type="dxa"/>
            <w:vAlign w:val="center"/>
            <w:textDirection w:val="lrTb"/>
            <w:noWrap w:val="false"/>
          </w:tcPr>
          <w:p>
            <w:pPr>
              <w:pStyle w:val="1060"/>
              <w:jc w:val="left"/>
              <w:spacing w:line="400" w:lineRule="exact"/>
              <w:widowControl/>
              <w:rPr>
                <w:color w:val="000000"/>
                <w:sz w:val="24"/>
                <w:highlight w:val="none"/>
              </w:rPr>
            </w:pPr>
            <w:r>
              <w:rPr>
                <w:color w:val="000000"/>
                <w:sz w:val="24"/>
                <w:highlight w:val="none"/>
              </w:rPr>
              <w:t xml:space="preserve">综合说明</w:t>
            </w:r>
            <w:r>
              <w:rPr>
                <w:color w:val="000000"/>
                <w:sz w:val="24"/>
                <w:highlight w:val="none"/>
              </w:rPr>
            </w:r>
            <w:r/>
          </w:p>
        </w:tc>
        <w:tc>
          <w:tcPr>
            <w:tcMar>
              <w:top w:w="100" w:type="dxa"/>
              <w:bottom w:w="100" w:type="dxa"/>
            </w:tcMar>
            <w:tcW w:w="8375" w:type="dxa"/>
            <w:vAlign w:val="center"/>
            <w:textDirection w:val="lrTb"/>
            <w:noWrap w:val="false"/>
          </w:tcPr>
          <w:p>
            <w:pPr>
              <w:pStyle w:val="1060"/>
              <w:jc w:val="left"/>
              <w:spacing w:line="400" w:lineRule="exact"/>
              <w:widowControl/>
              <w:rPr>
                <w:color w:val="000000"/>
                <w:sz w:val="24"/>
                <w:highlight w:val="none"/>
              </w:rPr>
            </w:pPr>
            <w:r>
              <w:rPr>
                <w:color w:val="000000"/>
                <w:sz w:val="24"/>
                <w:highlight w:val="none"/>
                <w:lang w:eastAsia="en-US"/>
              </w:rPr>
              <w:t xml:space="preserve">（1）</w:t>
            </w:r>
            <w:r>
              <w:rPr>
                <w:color w:val="000000"/>
                <w:sz w:val="24"/>
                <w:highlight w:val="none"/>
              </w:rPr>
              <w:t xml:space="preserve">服务对象可在</w:t>
            </w:r>
            <w:r>
              <w:rPr>
                <w:color w:val="000000"/>
                <w:sz w:val="24"/>
                <w:highlight w:val="none"/>
                <w:lang w:eastAsia="en-US"/>
              </w:rPr>
              <w:t xml:space="preserve">入围供应商</w:t>
            </w:r>
            <w:r>
              <w:rPr>
                <w:color w:val="000000"/>
                <w:sz w:val="24"/>
                <w:highlight w:val="none"/>
              </w:rPr>
              <w:t xml:space="preserve">中自愿选择</w:t>
            </w:r>
            <w:r>
              <w:rPr>
                <w:rFonts w:hint="eastAsia"/>
                <w:color w:val="000000"/>
                <w:sz w:val="24"/>
                <w:highlight w:val="none"/>
              </w:rPr>
              <w:t xml:space="preserve">服务机构</w:t>
            </w:r>
            <w:r>
              <w:rPr>
                <w:color w:val="000000"/>
                <w:sz w:val="24"/>
                <w:highlight w:val="none"/>
              </w:rPr>
              <w:t xml:space="preserve">形式，</w:t>
            </w:r>
            <w:r>
              <w:rPr>
                <w:color w:val="000000"/>
                <w:sz w:val="24"/>
                <w:highlight w:val="none"/>
                <w:lang w:eastAsia="en-US"/>
              </w:rPr>
              <w:t xml:space="preserve">入围供应商</w:t>
            </w:r>
            <w:r>
              <w:rPr>
                <w:color w:val="000000"/>
                <w:sz w:val="24"/>
                <w:highlight w:val="none"/>
              </w:rPr>
              <w:t xml:space="preserve">不得拒绝或以拖延等形式变相拒绝服务对象只开展补助标准内的服务的要求。</w:t>
            </w:r>
            <w:r>
              <w:rPr>
                <w:color w:val="000000"/>
                <w:sz w:val="24"/>
                <w:highlight w:val="none"/>
              </w:rPr>
            </w:r>
            <w:r/>
          </w:p>
          <w:p>
            <w:pPr>
              <w:pStyle w:val="1060"/>
              <w:jc w:val="left"/>
              <w:spacing w:line="400" w:lineRule="exact"/>
              <w:widowControl/>
              <w:rPr>
                <w:color w:val="000000"/>
                <w:sz w:val="24"/>
                <w:highlight w:val="none"/>
              </w:rPr>
            </w:pPr>
            <w:r>
              <w:rPr>
                <w:color w:val="000000"/>
                <w:sz w:val="24"/>
                <w:highlight w:val="none"/>
                <w:lang w:eastAsia="en-US"/>
              </w:rPr>
              <w:t xml:space="preserve">（2）入围供应商</w:t>
            </w:r>
            <w:r>
              <w:rPr>
                <w:color w:val="000000"/>
                <w:sz w:val="24"/>
                <w:highlight w:val="none"/>
              </w:rPr>
              <w:t xml:space="preserve">须按照本</w:t>
            </w:r>
            <w:r>
              <w:rPr>
                <w:rFonts w:hint="eastAsia"/>
                <w:color w:val="000000"/>
                <w:sz w:val="24"/>
                <w:highlight w:val="none"/>
              </w:rPr>
              <w:t xml:space="preserve">征集</w:t>
            </w:r>
            <w:r>
              <w:rPr>
                <w:color w:val="000000"/>
                <w:sz w:val="24"/>
                <w:highlight w:val="none"/>
              </w:rPr>
              <w:t xml:space="preserve">文件和市残联出台的相关管理办法和服务规范的要求对该采购项目进行服务工作，遵守市残联对</w:t>
            </w:r>
            <w:r>
              <w:rPr>
                <w:rFonts w:hint="eastAsia"/>
                <w:color w:val="000000"/>
                <w:sz w:val="24"/>
                <w:highlight w:val="none"/>
              </w:rPr>
              <w:t xml:space="preserve">残疾人辅助器具适配定点机构</w:t>
            </w:r>
            <w:r>
              <w:rPr>
                <w:color w:val="000000"/>
                <w:sz w:val="24"/>
                <w:highlight w:val="none"/>
              </w:rPr>
              <w:t xml:space="preserve">的管理要求。</w:t>
            </w:r>
            <w:r>
              <w:rPr>
                <w:color w:val="000000"/>
                <w:sz w:val="24"/>
                <w:highlight w:val="none"/>
              </w:rPr>
            </w:r>
            <w:r/>
          </w:p>
          <w:p>
            <w:pPr>
              <w:pStyle w:val="1060"/>
              <w:jc w:val="left"/>
              <w:spacing w:line="400" w:lineRule="exact"/>
              <w:widowControl/>
              <w:rPr>
                <w:color w:val="000000"/>
                <w:sz w:val="24"/>
                <w:highlight w:val="none"/>
              </w:rPr>
            </w:pPr>
            <w:r>
              <w:rPr>
                <w:color w:val="000000"/>
                <w:sz w:val="24"/>
                <w:highlight w:val="none"/>
                <w:lang w:eastAsia="en-US"/>
              </w:rPr>
              <w:t xml:space="preserve">（3）</w:t>
            </w:r>
            <w:r>
              <w:rPr>
                <w:color w:val="000000"/>
                <w:sz w:val="24"/>
                <w:highlight w:val="none"/>
              </w:rPr>
              <w:t xml:space="preserve">确定成交后不得将本项目或其中任何部分转包给其他单位或个人。</w:t>
            </w:r>
            <w:r>
              <w:rPr>
                <w:color w:val="000000"/>
                <w:sz w:val="24"/>
                <w:highlight w:val="none"/>
              </w:rPr>
            </w:r>
            <w:r/>
          </w:p>
          <w:p>
            <w:pPr>
              <w:pStyle w:val="1094"/>
              <w:spacing w:line="440" w:lineRule="exact"/>
              <w:rPr>
                <w:rFonts w:ascii="Times New Roman" w:eastAsia="宋体"/>
                <w:color w:val="000000"/>
                <w:sz w:val="24"/>
                <w:highlight w:val="none"/>
                <w:lang w:val="en-US" w:eastAsia="zh-CN"/>
              </w:rPr>
            </w:pPr>
            <w:r>
              <w:rPr>
                <w:rFonts w:ascii="Times New Roman" w:eastAsia="宋体"/>
                <w:color w:val="000000"/>
                <w:sz w:val="24"/>
                <w:highlight w:val="none"/>
                <w:lang w:val="en-US" w:eastAsia="en-US"/>
              </w:rPr>
              <w:t xml:space="preserve">（4）</w:t>
            </w:r>
            <w:r>
              <w:rPr>
                <w:rFonts w:ascii="Times New Roman" w:eastAsia="宋体"/>
                <w:color w:val="000000"/>
                <w:sz w:val="24"/>
                <w:highlight w:val="none"/>
                <w:lang w:val="en-US" w:eastAsia="zh-CN"/>
              </w:rPr>
              <w:t xml:space="preserve">本项目购买残疾人辅助器具适配服务内容，补贴金额为残疾人保障金支付金额。</w:t>
            </w:r>
            <w:r>
              <w:rPr>
                <w:rFonts w:ascii="Times New Roman" w:eastAsia="宋体"/>
                <w:color w:val="000000"/>
                <w:sz w:val="24"/>
                <w:highlight w:val="none"/>
                <w:lang w:val="en-US" w:eastAsia="zh-CN"/>
              </w:rPr>
            </w:r>
            <w:r/>
          </w:p>
          <w:p>
            <w:pPr>
              <w:pStyle w:val="1060"/>
              <w:jc w:val="left"/>
              <w:spacing w:line="400" w:lineRule="exact"/>
              <w:widowControl/>
              <w:rPr>
                <w:color w:val="000000"/>
                <w:sz w:val="24"/>
                <w:highlight w:val="none"/>
              </w:rPr>
            </w:pPr>
            <w:r>
              <w:rPr>
                <w:color w:val="000000"/>
                <w:sz w:val="24"/>
                <w:highlight w:val="none"/>
                <w:lang w:eastAsia="en-US"/>
              </w:rPr>
              <w:t xml:space="preserve">（5）入围供应商</w:t>
            </w:r>
            <w:r>
              <w:rPr>
                <w:color w:val="000000"/>
                <w:sz w:val="24"/>
                <w:highlight w:val="none"/>
              </w:rPr>
              <w:t xml:space="preserve">应保证在</w:t>
            </w:r>
            <w:r>
              <w:rPr>
                <w:rFonts w:hint="eastAsia"/>
                <w:color w:val="000000"/>
                <w:sz w:val="24"/>
                <w:highlight w:val="none"/>
              </w:rPr>
              <w:t xml:space="preserve">苏州市</w:t>
            </w:r>
            <w:r>
              <w:rPr>
                <w:color w:val="000000"/>
                <w:sz w:val="24"/>
                <w:highlight w:val="none"/>
              </w:rPr>
              <w:t xml:space="preserve">残疾人辅助器具适配目录和补贴标准内开展符合本次购买服务要求的服务，超出补贴费用，经服务对象同意后可另行收费。</w:t>
            </w:r>
            <w:r>
              <w:rPr>
                <w:color w:val="000000"/>
                <w:sz w:val="24"/>
                <w:highlight w:val="none"/>
              </w:rPr>
            </w:r>
            <w:r/>
          </w:p>
          <w:p>
            <w:pPr>
              <w:pStyle w:val="1060"/>
              <w:jc w:val="left"/>
              <w:spacing w:line="400" w:lineRule="exact"/>
              <w:widowControl/>
              <w:rPr>
                <w:color w:val="000000"/>
                <w:sz w:val="24"/>
                <w:highlight w:val="none"/>
              </w:rPr>
            </w:pPr>
            <w:r>
              <w:rPr>
                <w:color w:val="000000"/>
                <w:sz w:val="24"/>
                <w:highlight w:val="none"/>
                <w:lang w:eastAsia="en-US"/>
              </w:rPr>
              <w:t xml:space="preserve">（6）</w:t>
            </w:r>
            <w:r>
              <w:rPr>
                <w:color w:val="000000"/>
                <w:sz w:val="24"/>
                <w:highlight w:val="none"/>
              </w:rPr>
              <w:t xml:space="preserve">确定</w:t>
            </w:r>
            <w:r>
              <w:rPr>
                <w:color w:val="000000"/>
                <w:sz w:val="24"/>
                <w:highlight w:val="none"/>
                <w:lang w:eastAsia="en-US"/>
              </w:rPr>
              <w:t xml:space="preserve">成交</w:t>
            </w:r>
            <w:r>
              <w:rPr>
                <w:color w:val="000000"/>
                <w:sz w:val="24"/>
                <w:highlight w:val="none"/>
              </w:rPr>
              <w:t xml:space="preserve">后，采购</w:t>
            </w:r>
            <w:r>
              <w:rPr>
                <w:color w:val="000000"/>
                <w:sz w:val="24"/>
                <w:highlight w:val="none"/>
                <w:lang w:eastAsia="en-US"/>
              </w:rPr>
              <w:t xml:space="preserve">人</w:t>
            </w:r>
            <w:r>
              <w:rPr>
                <w:color w:val="000000"/>
                <w:sz w:val="24"/>
                <w:highlight w:val="none"/>
              </w:rPr>
              <w:t xml:space="preserve">有权不定期对项目的服务情况进行核查，如果发现</w:t>
            </w:r>
            <w:r>
              <w:rPr>
                <w:color w:val="000000"/>
                <w:sz w:val="24"/>
                <w:highlight w:val="none"/>
                <w:lang w:eastAsia="en-US"/>
              </w:rPr>
              <w:t xml:space="preserve">入围供应商</w:t>
            </w:r>
            <w:r>
              <w:rPr>
                <w:color w:val="000000"/>
                <w:sz w:val="24"/>
                <w:highlight w:val="none"/>
              </w:rPr>
              <w:t xml:space="preserve">存在违反本次采购项目要求的，采购</w:t>
            </w:r>
            <w:r>
              <w:rPr>
                <w:color w:val="000000"/>
                <w:sz w:val="24"/>
                <w:highlight w:val="none"/>
                <w:lang w:eastAsia="en-US"/>
              </w:rPr>
              <w:t xml:space="preserve">人</w:t>
            </w:r>
            <w:r>
              <w:rPr>
                <w:color w:val="000000"/>
                <w:sz w:val="24"/>
                <w:highlight w:val="none"/>
              </w:rPr>
              <w:t xml:space="preserve">有权中止合同，相关损失由</w:t>
            </w:r>
            <w:r>
              <w:rPr>
                <w:color w:val="000000"/>
                <w:sz w:val="24"/>
                <w:highlight w:val="none"/>
                <w:lang w:eastAsia="en-US"/>
              </w:rPr>
              <w:t xml:space="preserve">入围供应商</w:t>
            </w:r>
            <w:r>
              <w:rPr>
                <w:color w:val="000000"/>
                <w:sz w:val="24"/>
                <w:highlight w:val="none"/>
              </w:rPr>
              <w:t xml:space="preserve">承担。</w:t>
            </w:r>
            <w:r>
              <w:rPr>
                <w:color w:val="000000"/>
                <w:sz w:val="24"/>
                <w:highlight w:val="none"/>
              </w:rPr>
            </w:r>
            <w:r/>
          </w:p>
          <w:p>
            <w:pPr>
              <w:pStyle w:val="1060"/>
              <w:jc w:val="left"/>
              <w:spacing w:line="400" w:lineRule="exact"/>
              <w:widowControl/>
              <w:rPr>
                <w:color w:val="000000"/>
                <w:sz w:val="24"/>
                <w:highlight w:val="none"/>
              </w:rPr>
            </w:pPr>
            <w:r>
              <w:rPr>
                <w:color w:val="000000"/>
                <w:sz w:val="24"/>
                <w:highlight w:val="none"/>
                <w:lang w:eastAsia="en-US"/>
              </w:rPr>
              <w:t xml:space="preserve">（</w:t>
            </w:r>
            <w:r>
              <w:rPr>
                <w:color w:val="000000"/>
                <w:sz w:val="24"/>
                <w:highlight w:val="none"/>
              </w:rPr>
              <w:t xml:space="preserve">7</w:t>
            </w:r>
            <w:r>
              <w:rPr>
                <w:color w:val="000000"/>
                <w:sz w:val="24"/>
                <w:highlight w:val="none"/>
                <w:lang w:eastAsia="en-US"/>
              </w:rPr>
              <w:t xml:space="preserve">）入围供应商</w:t>
            </w:r>
            <w:r>
              <w:rPr>
                <w:color w:val="000000"/>
                <w:sz w:val="24"/>
                <w:highlight w:val="none"/>
              </w:rPr>
              <w:t xml:space="preserve">必须保证全部响应资料的真实性，如有虚假或对</w:t>
            </w:r>
            <w:r>
              <w:rPr>
                <w:rFonts w:hint="eastAsia"/>
                <w:color w:val="000000"/>
                <w:sz w:val="24"/>
                <w:highlight w:val="none"/>
              </w:rPr>
              <w:t xml:space="preserve">征集</w:t>
            </w:r>
            <w:r>
              <w:rPr>
                <w:color w:val="000000"/>
                <w:sz w:val="24"/>
                <w:highlight w:val="none"/>
              </w:rPr>
              <w:t xml:space="preserve">文件所要求说明的情况故意隐瞒或虚报，视为不实质性响应</w:t>
            </w:r>
            <w:r>
              <w:rPr>
                <w:rFonts w:hint="eastAsia"/>
                <w:color w:val="000000"/>
                <w:sz w:val="24"/>
                <w:highlight w:val="none"/>
              </w:rPr>
              <w:t xml:space="preserve">征集</w:t>
            </w:r>
            <w:r>
              <w:rPr>
                <w:color w:val="000000"/>
                <w:sz w:val="24"/>
                <w:highlight w:val="none"/>
              </w:rPr>
              <w:t xml:space="preserve">文件，为无效响应，已</w:t>
            </w:r>
            <w:r>
              <w:rPr>
                <w:color w:val="000000"/>
                <w:sz w:val="24"/>
                <w:highlight w:val="none"/>
                <w:lang w:eastAsia="en-US"/>
              </w:rPr>
              <w:t xml:space="preserve">成交</w:t>
            </w:r>
            <w:r>
              <w:rPr>
                <w:color w:val="000000"/>
                <w:sz w:val="24"/>
                <w:highlight w:val="none"/>
              </w:rPr>
              <w:t xml:space="preserve">的将取消</w:t>
            </w:r>
            <w:r>
              <w:rPr>
                <w:color w:val="000000"/>
                <w:sz w:val="24"/>
                <w:highlight w:val="none"/>
                <w:lang w:eastAsia="en-US"/>
              </w:rPr>
              <w:t xml:space="preserve">成交</w:t>
            </w:r>
            <w:r>
              <w:rPr>
                <w:color w:val="000000"/>
                <w:sz w:val="24"/>
                <w:highlight w:val="none"/>
              </w:rPr>
              <w:t xml:space="preserve">资格，并按《中华人民共和国政府采购法》第七十七条“提供虚假材料谋取成交相关处理办法”处理。</w:t>
            </w:r>
            <w:r>
              <w:rPr>
                <w:color w:val="000000"/>
                <w:sz w:val="24"/>
                <w:highlight w:val="none"/>
              </w:rPr>
            </w:r>
            <w:r/>
          </w:p>
          <w:p>
            <w:pPr>
              <w:pStyle w:val="1263"/>
              <w:ind w:firstLine="0"/>
              <w:spacing w:line="360" w:lineRule="auto"/>
              <w:rPr>
                <w:rFonts w:hint="eastAsia" w:ascii="Times New Roman" w:hAnsi="Times New Roman" w:cs="Times New Roman"/>
                <w:color w:val="000000"/>
                <w:sz w:val="24"/>
                <w:highlight w:val="none"/>
                <w:lang w:val="en-US"/>
              </w:rPr>
            </w:pPr>
            <w:r>
              <w:rPr>
                <w:rFonts w:hint="eastAsia"/>
                <w:color w:val="000000"/>
                <w:sz w:val="24"/>
                <w:highlight w:val="none"/>
              </w:rPr>
              <w:t xml:space="preserve">（8）费用</w:t>
            </w:r>
            <w:r>
              <w:rPr>
                <w:rFonts w:hint="eastAsia"/>
                <w:color w:val="000000"/>
                <w:sz w:val="24"/>
                <w:highlight w:val="none"/>
              </w:rPr>
              <w:t xml:space="preserve">结算：本项目经费实行据实结算。每季度结束后次月的7个工作日内，供应商需将苏州市残疾人辅助器具申请表、残疾人证复印件、相关证明材料、姑苏区残疾人辅具适配服务签收单、残疾人辅具适配服务现场照片以及姑苏区残疾人辅具适配服务信息汇总表等材料按时提交至采购人。采购人将对上述材料的真实性、完整性以及项目经费金额的准确性进行核查，并开展残疾人辅具适配服务回访调查工作。待材料核查、经费核对及回访调查均确认无误后，供应商需开具符合国家法律规定的发票，采购人将依据苏州市残疾人辅助器具补贴标准，在规定时间内完成经费据实拨付工作。</w:t>
            </w:r>
            <w:r>
              <w:rPr>
                <w:rFonts w:hint="eastAsia" w:ascii="Times New Roman" w:hAnsi="Times New Roman" w:cs="Times New Roman"/>
                <w:color w:val="000000"/>
                <w:sz w:val="24"/>
                <w:highlight w:val="none"/>
                <w:lang w:val="en-US"/>
              </w:rPr>
            </w:r>
            <w:r/>
          </w:p>
          <w:p>
            <w:pPr>
              <w:pStyle w:val="1060"/>
              <w:jc w:val="left"/>
              <w:spacing w:line="400" w:lineRule="exact"/>
              <w:widowControl/>
              <w:rPr>
                <w:rFonts w:hint="eastAsia"/>
                <w:color w:val="000000"/>
                <w:sz w:val="24"/>
                <w:highlight w:val="none"/>
              </w:rPr>
            </w:pPr>
            <w:r>
              <w:rPr>
                <w:rFonts w:hint="eastAsia"/>
                <w:color w:val="000000"/>
                <w:sz w:val="24"/>
                <w:highlight w:val="none"/>
                <w:lang w:eastAsia="en-US"/>
              </w:rPr>
              <w:t xml:space="preserve">（9）入围供应商必须在“苏州市残疾人辅助器具服务网（https://service.cl.suzhou.com.cn/CDPF_SZ/mall/login）”按采购方要求报送相关数据</w:t>
            </w:r>
            <w:r>
              <w:rPr>
                <w:rFonts w:hint="eastAsia"/>
                <w:color w:val="000000"/>
                <w:sz w:val="24"/>
                <w:highlight w:val="none"/>
              </w:rPr>
              <w:t xml:space="preserve">（后续如有其他业务系统要求供应商填报相关信息的，供应商应按要求执行）</w:t>
            </w:r>
            <w:r>
              <w:rPr>
                <w:rFonts w:hint="eastAsia"/>
                <w:color w:val="000000"/>
                <w:sz w:val="24"/>
                <w:highlight w:val="none"/>
                <w:lang w:eastAsia="en-US"/>
              </w:rPr>
              <w:t xml:space="preserve">。</w:t>
            </w:r>
            <w:r>
              <w:rPr>
                <w:rFonts w:hint="eastAsia"/>
                <w:color w:val="000000"/>
                <w:sz w:val="24"/>
                <w:highlight w:val="none"/>
              </w:rPr>
            </w:r>
            <w:r/>
          </w:p>
          <w:p>
            <w:pPr>
              <w:pStyle w:val="1060"/>
              <w:jc w:val="left"/>
              <w:spacing w:line="400" w:lineRule="exact"/>
              <w:widowControl/>
              <w:rPr>
                <w:color w:val="000000"/>
                <w:sz w:val="24"/>
                <w:highlight w:val="none"/>
              </w:rPr>
            </w:pPr>
            <w:r>
              <w:rPr>
                <w:color w:val="000000"/>
                <w:sz w:val="24"/>
                <w:highlight w:val="none"/>
                <w:lang w:eastAsia="en-US"/>
              </w:rPr>
              <w:t xml:space="preserve">（</w:t>
            </w:r>
            <w:r>
              <w:rPr>
                <w:rFonts w:hint="eastAsia"/>
                <w:color w:val="000000"/>
                <w:sz w:val="24"/>
                <w:highlight w:val="none"/>
              </w:rPr>
              <w:t xml:space="preserve">10</w:t>
            </w:r>
            <w:r>
              <w:rPr>
                <w:color w:val="000000"/>
                <w:sz w:val="24"/>
                <w:highlight w:val="none"/>
                <w:lang w:eastAsia="en-US"/>
              </w:rPr>
              <w:t xml:space="preserve">）供应商</w:t>
            </w:r>
            <w:r>
              <w:rPr>
                <w:color w:val="000000"/>
                <w:sz w:val="24"/>
                <w:highlight w:val="none"/>
              </w:rPr>
              <w:t xml:space="preserve">必须说明其是否响应文件中提出的全部服务内容与要求，如果其中某些条款不响应时，应在文件中逐条列出，未列出的视同响应。</w:t>
            </w:r>
            <w:r>
              <w:rPr>
                <w:color w:val="000000"/>
                <w:sz w:val="24"/>
                <w:highlight w:val="none"/>
              </w:rPr>
            </w:r>
            <w:r/>
          </w:p>
          <w:p>
            <w:pPr>
              <w:pStyle w:val="1060"/>
              <w:jc w:val="left"/>
              <w:spacing w:line="400" w:lineRule="exact"/>
              <w:widowControl/>
              <w:rPr>
                <w:rFonts w:ascii="Times New Roman" w:hAnsi="Times New Roman" w:cs="Times New Roman"/>
                <w:color w:val="000000"/>
                <w:sz w:val="24"/>
                <w:highlight w:val="none"/>
                <w:lang w:eastAsia="en-US"/>
              </w:rPr>
            </w:pPr>
            <w:r>
              <w:rPr>
                <w:rFonts w:ascii="Times New Roman" w:hAnsi="Times New Roman" w:cs="Times New Roman"/>
                <w:color w:val="000000"/>
                <w:sz w:val="24"/>
                <w:highlight w:val="none"/>
                <w:lang w:eastAsia="en-US"/>
              </w:rPr>
              <w:t xml:space="preserve">（</w:t>
            </w:r>
            <w:r>
              <w:rPr>
                <w:rFonts w:hint="eastAsia" w:ascii="Times New Roman" w:hAnsi="Times New Roman" w:cs="Times New Roman"/>
                <w:color w:val="000000"/>
                <w:sz w:val="24"/>
                <w:highlight w:val="none"/>
              </w:rPr>
              <w:t xml:space="preserve">11</w:t>
            </w:r>
            <w:r>
              <w:rPr>
                <w:rFonts w:ascii="Times New Roman" w:hAnsi="Times New Roman" w:cs="Times New Roman"/>
                <w:color w:val="000000"/>
                <w:sz w:val="24"/>
                <w:highlight w:val="none"/>
                <w:lang w:eastAsia="en-US"/>
              </w:rPr>
              <w:t xml:space="preserve">）成交后，采购人将对项目进行监管，监管方案见</w:t>
            </w:r>
            <w:r>
              <w:rPr>
                <w:rFonts w:hint="eastAsia" w:ascii="Times New Roman" w:hAnsi="Times New Roman" w:cs="Times New Roman"/>
                <w:color w:val="000000"/>
                <w:sz w:val="24"/>
                <w:highlight w:val="none"/>
                <w:lang w:eastAsia="en-US"/>
              </w:rPr>
              <w:t xml:space="preserve">其他部分</w:t>
            </w:r>
            <w:r>
              <w:rPr>
                <w:rFonts w:ascii="Times New Roman" w:hAnsi="Times New Roman" w:cs="Times New Roman"/>
                <w:color w:val="000000"/>
                <w:sz w:val="24"/>
                <w:highlight w:val="none"/>
                <w:lang w:eastAsia="en-US"/>
              </w:rPr>
              <w:t xml:space="preserve">。</w:t>
            </w:r>
            <w:r>
              <w:rPr>
                <w:rFonts w:ascii="Times New Roman" w:hAnsi="Times New Roman" w:cs="Times New Roman"/>
                <w:color w:val="000000"/>
                <w:sz w:val="24"/>
                <w:highlight w:val="none"/>
                <w:lang w:eastAsia="en-US"/>
              </w:rPr>
            </w:r>
            <w:r/>
          </w:p>
          <w:p>
            <w:pPr>
              <w:pStyle w:val="1060"/>
              <w:jc w:val="left"/>
              <w:spacing w:line="400" w:lineRule="exact"/>
              <w:widowControl/>
              <w:rPr>
                <w:rFonts w:hint="eastAsia" w:ascii="Times New Roman" w:hAnsi="Times New Roman" w:cs="Times New Roman"/>
                <w:color w:val="000000"/>
                <w:sz w:val="24"/>
                <w:highlight w:val="none"/>
                <w:lang w:eastAsia="en-US"/>
              </w:rPr>
            </w:pPr>
            <w:r>
              <w:rPr>
                <w:rFonts w:ascii="Times New Roman" w:hAnsi="Times New Roman" w:cs="Times New Roman"/>
                <w:color w:val="000000"/>
                <w:sz w:val="24"/>
                <w:highlight w:val="none"/>
                <w:lang w:eastAsia="en-US"/>
              </w:rPr>
              <w:t xml:space="preserve">（</w:t>
            </w:r>
            <w:r>
              <w:rPr>
                <w:rFonts w:hint="eastAsia" w:ascii="Times New Roman" w:hAnsi="Times New Roman" w:cs="Times New Roman"/>
                <w:color w:val="000000"/>
                <w:sz w:val="24"/>
                <w:highlight w:val="none"/>
              </w:rPr>
              <w:t xml:space="preserve">12</w:t>
            </w:r>
            <w:r>
              <w:rPr>
                <w:rFonts w:ascii="Times New Roman" w:hAnsi="Times New Roman" w:cs="Times New Roman"/>
                <w:color w:val="000000"/>
                <w:sz w:val="24"/>
                <w:highlight w:val="none"/>
                <w:lang w:eastAsia="en-US"/>
              </w:rPr>
              <w:t xml:space="preserve">）</w:t>
            </w:r>
            <w:r>
              <w:rPr>
                <w:rFonts w:hint="eastAsia" w:ascii="Times New Roman" w:hAnsi="Times New Roman" w:cs="Times New Roman"/>
                <w:color w:val="000000"/>
                <w:sz w:val="24"/>
                <w:highlight w:val="none"/>
                <w:lang w:eastAsia="en-US"/>
              </w:rPr>
              <w:t xml:space="preserve">成交供应商如为苏州市区外助听器适配机构，成交后需在</w:t>
            </w:r>
            <w:r>
              <w:rPr>
                <w:rFonts w:hint="eastAsia" w:ascii="Times New Roman" w:hAnsi="Times New Roman" w:cs="Times New Roman"/>
                <w:color w:val="000000"/>
                <w:sz w:val="24"/>
                <w:highlight w:val="none"/>
              </w:rPr>
              <w:t xml:space="preserve">3</w:t>
            </w:r>
            <w:r>
              <w:rPr>
                <w:rFonts w:hint="eastAsia" w:ascii="Times New Roman" w:hAnsi="Times New Roman" w:cs="Times New Roman"/>
                <w:color w:val="000000"/>
                <w:sz w:val="24"/>
                <w:highlight w:val="none"/>
                <w:lang w:eastAsia="en-US"/>
              </w:rPr>
              <w:t xml:space="preserve">0天内在苏州市区内设立符合条件的适配服务场所，采购人将对该成交供应商提供服务的场地进行复核，服务场所符合本采购要求的签订采购合同，如出现与投标文件不一致的或不能满足相关要求，责令整改，</w:t>
            </w:r>
            <w:r>
              <w:rPr>
                <w:rFonts w:hint="eastAsia" w:ascii="Times New Roman" w:hAnsi="Times New Roman" w:cs="Times New Roman"/>
                <w:color w:val="000000"/>
                <w:sz w:val="24"/>
                <w:highlight w:val="none"/>
              </w:rPr>
              <w:t xml:space="preserve">整改期间暂停适配服务，</w:t>
            </w:r>
            <w:r>
              <w:rPr>
                <w:rFonts w:hint="eastAsia" w:ascii="Times New Roman" w:hAnsi="Times New Roman" w:cs="Times New Roman"/>
                <w:color w:val="000000"/>
                <w:sz w:val="24"/>
                <w:highlight w:val="none"/>
                <w:lang w:eastAsia="en-US"/>
              </w:rPr>
              <w:t xml:space="preserve">无法整改或整改不到位的的采购人有权终止框架协议并取消定点资格。</w:t>
            </w:r>
            <w:bookmarkEnd w:id="188"/>
            <w:r>
              <w:rPr>
                <w:rFonts w:hint="eastAsia" w:ascii="Times New Roman" w:hAnsi="Times New Roman" w:cs="Times New Roman"/>
                <w:color w:val="000000"/>
                <w:sz w:val="24"/>
                <w:highlight w:val="none"/>
                <w:lang w:eastAsia="en-US"/>
              </w:rPr>
            </w:r>
            <w:r/>
          </w:p>
        </w:tc>
      </w:tr>
    </w:tbl>
    <w:p>
      <w:pPr>
        <w:pStyle w:val="1060"/>
        <w:ind w:firstLine="482"/>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060"/>
        <w:ind w:firstLine="482"/>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第二包：残疾人假肢矫形器适配服务</w:t>
      </w:r>
      <w:r>
        <w:rPr>
          <w:rFonts w:hint="eastAsia" w:ascii="宋体" w:hAnsi="宋体" w:cs="宋体"/>
          <w:b/>
          <w:bCs/>
          <w:color w:val="000000"/>
          <w:sz w:val="24"/>
          <w:highlight w:val="none"/>
        </w:rPr>
      </w:r>
      <w:r/>
    </w:p>
    <w:tbl>
      <w:tblPr>
        <w:tblW w:w="974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513"/>
        <w:gridCol w:w="927"/>
        <w:gridCol w:w="8300"/>
      </w:tblGrid>
      <w:tr>
        <w:trPr/>
        <w:tc>
          <w:tcPr>
            <w:tcMar>
              <w:top w:w="100" w:type="dxa"/>
              <w:bottom w:w="100" w:type="dxa"/>
            </w:tcMar>
            <w:tcW w:w="513" w:type="dxa"/>
            <w:vAlign w:val="center"/>
            <w:textDirection w:val="lrTb"/>
            <w:noWrap w:val="false"/>
          </w:tcPr>
          <w:p>
            <w:pPr>
              <w:pStyle w:val="1060"/>
              <w:jc w:val="center"/>
              <w:spacing w:line="400" w:lineRule="exact"/>
              <w:widowControl/>
              <w:rPr>
                <w:color w:val="000000"/>
                <w:sz w:val="24"/>
                <w:highlight w:val="none"/>
              </w:rPr>
            </w:pPr>
            <w:r>
              <w:rPr>
                <w:color w:val="000000"/>
                <w:sz w:val="24"/>
                <w:highlight w:val="none"/>
              </w:rPr>
              <w:t xml:space="preserve">序号</w:t>
            </w:r>
            <w:r>
              <w:rPr>
                <w:color w:val="000000"/>
                <w:sz w:val="24"/>
                <w:highlight w:val="none"/>
              </w:rPr>
            </w:r>
            <w:r/>
          </w:p>
        </w:tc>
        <w:tc>
          <w:tcPr>
            <w:tcMar>
              <w:top w:w="100" w:type="dxa"/>
              <w:bottom w:w="100" w:type="dxa"/>
            </w:tcMar>
            <w:tcW w:w="927" w:type="dxa"/>
            <w:vAlign w:val="center"/>
            <w:textDirection w:val="lrTb"/>
            <w:noWrap w:val="false"/>
          </w:tcPr>
          <w:p>
            <w:pPr>
              <w:pStyle w:val="1060"/>
              <w:jc w:val="center"/>
              <w:spacing w:line="400" w:lineRule="exact"/>
              <w:widowControl/>
              <w:rPr>
                <w:color w:val="000000"/>
                <w:sz w:val="24"/>
                <w:highlight w:val="none"/>
              </w:rPr>
            </w:pPr>
            <w:r>
              <w:rPr>
                <w:color w:val="000000"/>
                <w:sz w:val="24"/>
                <w:highlight w:val="none"/>
              </w:rPr>
              <w:t xml:space="preserve">名称</w:t>
            </w:r>
            <w:r>
              <w:rPr>
                <w:color w:val="000000"/>
                <w:sz w:val="24"/>
                <w:highlight w:val="none"/>
              </w:rPr>
            </w:r>
            <w:r/>
          </w:p>
        </w:tc>
        <w:tc>
          <w:tcPr>
            <w:tcMar>
              <w:top w:w="100" w:type="dxa"/>
              <w:bottom w:w="100" w:type="dxa"/>
            </w:tcMar>
            <w:tcW w:w="8300" w:type="dxa"/>
            <w:vAlign w:val="center"/>
            <w:textDirection w:val="lrTb"/>
            <w:noWrap w:val="false"/>
          </w:tcPr>
          <w:p>
            <w:pPr>
              <w:pStyle w:val="1060"/>
              <w:jc w:val="center"/>
              <w:spacing w:line="400" w:lineRule="exact"/>
              <w:widowControl/>
              <w:rPr>
                <w:color w:val="000000"/>
                <w:sz w:val="24"/>
                <w:highlight w:val="none"/>
              </w:rPr>
            </w:pPr>
            <w:r>
              <w:rPr>
                <w:color w:val="000000"/>
                <w:sz w:val="24"/>
                <w:highlight w:val="none"/>
              </w:rPr>
              <w:t xml:space="preserve">内容</w:t>
            </w:r>
            <w:r>
              <w:rPr>
                <w:color w:val="000000"/>
                <w:sz w:val="24"/>
                <w:highlight w:val="none"/>
              </w:rPr>
            </w:r>
            <w:r/>
          </w:p>
        </w:tc>
      </w:tr>
      <w:tr>
        <w:trPr/>
        <w:tc>
          <w:tcPr>
            <w:tcMar>
              <w:top w:w="100" w:type="dxa"/>
              <w:bottom w:w="100" w:type="dxa"/>
            </w:tcMar>
            <w:tcW w:w="513" w:type="dxa"/>
            <w:vAlign w:val="center"/>
            <w:textDirection w:val="lrTb"/>
            <w:noWrap w:val="false"/>
          </w:tcPr>
          <w:p>
            <w:pPr>
              <w:pStyle w:val="1060"/>
              <w:jc w:val="center"/>
              <w:spacing w:line="400" w:lineRule="exact"/>
              <w:widowControl/>
              <w:rPr>
                <w:color w:val="000000"/>
                <w:sz w:val="24"/>
                <w:highlight w:val="none"/>
              </w:rPr>
            </w:pPr>
            <w:r>
              <w:rPr>
                <w:color w:val="000000"/>
                <w:sz w:val="24"/>
                <w:highlight w:val="none"/>
              </w:rPr>
              <w:t xml:space="preserve">1</w:t>
            </w:r>
            <w:r>
              <w:rPr>
                <w:color w:val="000000"/>
                <w:sz w:val="24"/>
                <w:highlight w:val="none"/>
              </w:rPr>
            </w:r>
            <w:r/>
          </w:p>
        </w:tc>
        <w:tc>
          <w:tcPr>
            <w:tcMar>
              <w:top w:w="100" w:type="dxa"/>
              <w:bottom w:w="100" w:type="dxa"/>
            </w:tcMar>
            <w:tcW w:w="927" w:type="dxa"/>
            <w:vAlign w:val="center"/>
            <w:textDirection w:val="lrTb"/>
            <w:noWrap w:val="false"/>
          </w:tcPr>
          <w:p>
            <w:pPr>
              <w:pStyle w:val="1060"/>
              <w:jc w:val="left"/>
              <w:spacing w:line="400" w:lineRule="exact"/>
              <w:widowControl/>
              <w:rPr>
                <w:color w:val="000000"/>
                <w:sz w:val="24"/>
                <w:highlight w:val="none"/>
              </w:rPr>
            </w:pPr>
            <w:r>
              <w:rPr>
                <w:color w:val="000000"/>
                <w:sz w:val="24"/>
                <w:highlight w:val="none"/>
              </w:rPr>
              <w:t xml:space="preserve">项目概况</w:t>
            </w:r>
            <w:r>
              <w:rPr>
                <w:color w:val="000000"/>
                <w:sz w:val="24"/>
                <w:highlight w:val="none"/>
              </w:rPr>
            </w:r>
            <w:r/>
          </w:p>
        </w:tc>
        <w:tc>
          <w:tcPr>
            <w:tcMar>
              <w:top w:w="100" w:type="dxa"/>
              <w:bottom w:w="100" w:type="dxa"/>
            </w:tcMar>
            <w:tcW w:w="8300" w:type="dxa"/>
            <w:vAlign w:val="center"/>
            <w:textDirection w:val="lrTb"/>
            <w:noWrap w:val="false"/>
          </w:tcPr>
          <w:p>
            <w:pPr>
              <w:pStyle w:val="1060"/>
              <w:jc w:val="left"/>
              <w:spacing w:line="400" w:lineRule="exact"/>
              <w:widowControl/>
              <w:rPr>
                <w:color w:val="000000"/>
                <w:sz w:val="24"/>
                <w:highlight w:val="none"/>
              </w:rPr>
            </w:pPr>
            <w:r>
              <w:rPr>
                <w:color w:val="000000"/>
                <w:sz w:val="24"/>
                <w:highlight w:val="none"/>
              </w:rPr>
              <w:t xml:space="preserve">根据现有</w:t>
            </w:r>
            <w:r>
              <w:rPr>
                <w:rFonts w:hint="eastAsia"/>
                <w:color w:val="000000"/>
                <w:sz w:val="24"/>
                <w:szCs w:val="21"/>
                <w:highlight w:val="none"/>
              </w:rPr>
              <w:t xml:space="preserve">苏州市姑苏区</w:t>
            </w:r>
            <w:r>
              <w:rPr>
                <w:color w:val="000000"/>
                <w:sz w:val="24"/>
                <w:highlight w:val="none"/>
              </w:rPr>
              <w:t xml:space="preserve">残疾人</w:t>
            </w:r>
            <w:r>
              <w:rPr>
                <w:rFonts w:hint="eastAsia"/>
                <w:color w:val="000000"/>
                <w:sz w:val="24"/>
                <w:highlight w:val="none"/>
              </w:rPr>
              <w:t xml:space="preserve">假肢矫形器</w:t>
            </w:r>
            <w:r>
              <w:rPr>
                <w:color w:val="000000"/>
                <w:sz w:val="24"/>
                <w:highlight w:val="none"/>
              </w:rPr>
              <w:t xml:space="preserve">服务需求状况，</w:t>
            </w:r>
            <w:r>
              <w:rPr>
                <w:rFonts w:hint="eastAsia"/>
                <w:color w:val="000000"/>
                <w:sz w:val="24"/>
                <w:szCs w:val="21"/>
                <w:highlight w:val="none"/>
              </w:rPr>
              <w:t xml:space="preserve">苏州市姑苏区残疾人联合会</w:t>
            </w:r>
            <w:r>
              <w:rPr>
                <w:color w:val="000000"/>
                <w:sz w:val="24"/>
                <w:highlight w:val="none"/>
              </w:rPr>
              <w:t xml:space="preserve">拟选择符合条件的机构作为</w:t>
            </w:r>
            <w:r>
              <w:rPr>
                <w:rFonts w:hint="eastAsia"/>
                <w:color w:val="000000"/>
                <w:sz w:val="24"/>
                <w:szCs w:val="21"/>
                <w:highlight w:val="none"/>
              </w:rPr>
              <w:t xml:space="preserve">苏州市姑苏区</w:t>
            </w:r>
            <w:r>
              <w:rPr>
                <w:color w:val="000000"/>
                <w:sz w:val="24"/>
                <w:highlight w:val="none"/>
              </w:rPr>
              <w:t xml:space="preserve">残疾人</w:t>
            </w:r>
            <w:r>
              <w:rPr>
                <w:rFonts w:hint="eastAsia"/>
                <w:color w:val="000000"/>
                <w:sz w:val="24"/>
                <w:highlight w:val="none"/>
              </w:rPr>
              <w:t xml:space="preserve">假肢矫形器定点</w:t>
            </w:r>
            <w:r>
              <w:rPr>
                <w:color w:val="000000"/>
                <w:sz w:val="24"/>
                <w:highlight w:val="none"/>
              </w:rPr>
              <w:t xml:space="preserve">适配服务机构，为</w:t>
            </w:r>
            <w:r>
              <w:rPr>
                <w:rFonts w:hint="eastAsia"/>
                <w:color w:val="000000"/>
                <w:sz w:val="24"/>
                <w:szCs w:val="21"/>
                <w:highlight w:val="none"/>
              </w:rPr>
              <w:t xml:space="preserve">苏州市姑苏区</w:t>
            </w:r>
            <w:r>
              <w:rPr>
                <w:color w:val="000000"/>
                <w:sz w:val="24"/>
                <w:highlight w:val="none"/>
              </w:rPr>
              <w:t xml:space="preserve">户籍持证残疾人、18周岁以下残疾儿童、</w:t>
            </w:r>
            <w:r>
              <w:rPr>
                <w:rFonts w:hint="eastAsia"/>
                <w:color w:val="000000"/>
                <w:sz w:val="24"/>
                <w:highlight w:val="none"/>
              </w:rPr>
              <w:t xml:space="preserve">在校</w:t>
            </w:r>
            <w:r>
              <w:rPr>
                <w:color w:val="000000"/>
                <w:sz w:val="24"/>
                <w:highlight w:val="none"/>
              </w:rPr>
              <w:t xml:space="preserve">残疾学生开展假肢矫形器类辅具适配服务。</w:t>
            </w:r>
            <w:r>
              <w:rPr>
                <w:rFonts w:hint="eastAsia"/>
                <w:color w:val="000000"/>
                <w:sz w:val="24"/>
                <w:highlight w:val="none"/>
              </w:rPr>
              <w:t xml:space="preserve">服务</w:t>
            </w:r>
            <w:r>
              <w:rPr>
                <w:color w:val="000000"/>
                <w:sz w:val="24"/>
                <w:highlight w:val="none"/>
              </w:rPr>
              <w:t xml:space="preserve">对象可在</w:t>
            </w:r>
            <w:r>
              <w:rPr>
                <w:rFonts w:hint="eastAsia"/>
                <w:color w:val="000000"/>
                <w:sz w:val="24"/>
                <w:szCs w:val="21"/>
                <w:highlight w:val="none"/>
              </w:rPr>
              <w:t xml:space="preserve">苏州市姑苏区</w:t>
            </w:r>
            <w:r>
              <w:rPr>
                <w:color w:val="000000"/>
                <w:sz w:val="24"/>
                <w:highlight w:val="none"/>
              </w:rPr>
              <w:t xml:space="preserve">残疾人联合会</w:t>
            </w:r>
            <w:r>
              <w:rPr>
                <w:rFonts w:hint="eastAsia"/>
                <w:color w:val="000000"/>
                <w:sz w:val="24"/>
                <w:highlight w:val="none"/>
              </w:rPr>
              <w:t xml:space="preserve">采购</w:t>
            </w:r>
            <w:r>
              <w:rPr>
                <w:color w:val="000000"/>
                <w:sz w:val="24"/>
                <w:highlight w:val="none"/>
              </w:rPr>
              <w:t xml:space="preserve">的假肢矫形器</w:t>
            </w:r>
            <w:r>
              <w:rPr>
                <w:rFonts w:hint="eastAsia"/>
                <w:color w:val="000000"/>
                <w:sz w:val="24"/>
                <w:highlight w:val="none"/>
              </w:rPr>
              <w:t xml:space="preserve">定点</w:t>
            </w:r>
            <w:r>
              <w:rPr>
                <w:color w:val="000000"/>
                <w:sz w:val="24"/>
                <w:highlight w:val="none"/>
              </w:rPr>
              <w:t xml:space="preserve">适配</w:t>
            </w:r>
            <w:r>
              <w:rPr>
                <w:rFonts w:hint="eastAsia"/>
                <w:color w:val="000000"/>
                <w:sz w:val="24"/>
                <w:highlight w:val="none"/>
              </w:rPr>
              <w:t xml:space="preserve">服务</w:t>
            </w:r>
            <w:r>
              <w:rPr>
                <w:color w:val="000000"/>
                <w:sz w:val="24"/>
                <w:highlight w:val="none"/>
              </w:rPr>
              <w:t xml:space="preserve">机构进行</w:t>
            </w:r>
            <w:r>
              <w:rPr>
                <w:rFonts w:hint="eastAsia"/>
                <w:color w:val="000000"/>
                <w:sz w:val="24"/>
                <w:highlight w:val="none"/>
              </w:rPr>
              <w:t xml:space="preserve">辅具适配</w:t>
            </w:r>
            <w:r>
              <w:rPr>
                <w:color w:val="000000"/>
                <w:sz w:val="24"/>
                <w:highlight w:val="none"/>
              </w:rPr>
              <w:t xml:space="preserve">。</w:t>
            </w:r>
            <w:r>
              <w:rPr>
                <w:color w:val="000000"/>
                <w:sz w:val="24"/>
                <w:highlight w:val="none"/>
              </w:rPr>
            </w:r>
            <w:r/>
          </w:p>
        </w:tc>
      </w:tr>
      <w:tr>
        <w:trPr>
          <w:trHeight w:val="2280"/>
        </w:trPr>
        <w:tc>
          <w:tcPr>
            <w:tcMar>
              <w:top w:w="100" w:type="dxa"/>
              <w:bottom w:w="100" w:type="dxa"/>
            </w:tcMar>
            <w:tcW w:w="513" w:type="dxa"/>
            <w:vAlign w:val="center"/>
            <w:textDirection w:val="lrTb"/>
            <w:noWrap w:val="false"/>
          </w:tcPr>
          <w:p>
            <w:pPr>
              <w:pStyle w:val="1060"/>
              <w:jc w:val="center"/>
              <w:spacing w:line="400" w:lineRule="exact"/>
              <w:widowControl/>
              <w:rPr>
                <w:color w:val="000000"/>
                <w:sz w:val="24"/>
                <w:highlight w:val="none"/>
              </w:rPr>
            </w:pPr>
            <w:r>
              <w:rPr>
                <w:color w:val="000000"/>
                <w:sz w:val="24"/>
                <w:highlight w:val="none"/>
              </w:rPr>
              <w:t xml:space="preserve">2</w:t>
            </w:r>
            <w:r>
              <w:rPr>
                <w:color w:val="000000"/>
                <w:sz w:val="24"/>
                <w:highlight w:val="none"/>
              </w:rPr>
            </w:r>
            <w:r/>
          </w:p>
        </w:tc>
        <w:tc>
          <w:tcPr>
            <w:tcMar>
              <w:top w:w="100" w:type="dxa"/>
              <w:bottom w:w="100" w:type="dxa"/>
            </w:tcMar>
            <w:tcW w:w="927" w:type="dxa"/>
            <w:vAlign w:val="center"/>
            <w:textDirection w:val="lrTb"/>
            <w:noWrap w:val="false"/>
          </w:tcPr>
          <w:p>
            <w:pPr>
              <w:pStyle w:val="1060"/>
              <w:jc w:val="left"/>
              <w:spacing w:line="400" w:lineRule="exact"/>
              <w:widowControl/>
              <w:rPr>
                <w:color w:val="000000"/>
                <w:sz w:val="24"/>
                <w:highlight w:val="none"/>
              </w:rPr>
            </w:pPr>
            <w:r>
              <w:rPr>
                <w:color w:val="000000"/>
                <w:sz w:val="24"/>
                <w:highlight w:val="none"/>
              </w:rPr>
              <w:t xml:space="preserve">服务对象</w:t>
            </w:r>
            <w:r>
              <w:rPr>
                <w:color w:val="000000"/>
                <w:sz w:val="24"/>
                <w:highlight w:val="none"/>
              </w:rPr>
            </w:r>
            <w:r/>
          </w:p>
        </w:tc>
        <w:tc>
          <w:tcPr>
            <w:tcMar>
              <w:top w:w="100" w:type="dxa"/>
              <w:bottom w:w="100" w:type="dxa"/>
            </w:tcMar>
            <w:tcW w:w="8300" w:type="dxa"/>
            <w:vAlign w:val="center"/>
            <w:textDirection w:val="lrTb"/>
            <w:noWrap w:val="false"/>
          </w:tcPr>
          <w:p>
            <w:pPr>
              <w:pStyle w:val="1060"/>
              <w:jc w:val="left"/>
              <w:spacing w:line="400" w:lineRule="exact"/>
              <w:widowControl/>
              <w:rPr>
                <w:color w:val="000000"/>
                <w:sz w:val="24"/>
                <w:highlight w:val="none"/>
              </w:rPr>
            </w:pPr>
            <w:r>
              <w:rPr>
                <w:color w:val="000000"/>
                <w:sz w:val="24"/>
                <w:highlight w:val="none"/>
              </w:rPr>
              <w:t xml:space="preserve">本项目所对应的基本辅具适配服务对象：</w:t>
            </w:r>
            <w:r>
              <w:rPr>
                <w:color w:val="000000"/>
                <w:sz w:val="24"/>
                <w:highlight w:val="none"/>
              </w:rPr>
            </w:r>
            <w:r/>
          </w:p>
          <w:p>
            <w:pPr>
              <w:pStyle w:val="1060"/>
              <w:jc w:val="left"/>
              <w:spacing w:line="400" w:lineRule="exact"/>
              <w:widowControl/>
              <w:rPr>
                <w:color w:val="000000"/>
                <w:sz w:val="24"/>
                <w:highlight w:val="none"/>
              </w:rPr>
            </w:pPr>
            <w:r>
              <w:rPr>
                <w:rFonts w:hint="eastAsia"/>
                <w:color w:val="000000"/>
                <w:sz w:val="24"/>
                <w:highlight w:val="none"/>
              </w:rPr>
              <w:t xml:space="preserve">（1）</w:t>
            </w:r>
            <w:r>
              <w:rPr>
                <w:rFonts w:hint="eastAsia"/>
                <w:color w:val="000000"/>
                <w:sz w:val="24"/>
                <w:szCs w:val="21"/>
                <w:highlight w:val="none"/>
              </w:rPr>
              <w:t xml:space="preserve">苏州市姑苏区</w:t>
            </w:r>
            <w:r>
              <w:rPr>
                <w:color w:val="000000"/>
                <w:sz w:val="24"/>
                <w:highlight w:val="none"/>
              </w:rPr>
              <w:t xml:space="preserve">户籍的</w:t>
            </w:r>
            <w:r>
              <w:rPr>
                <w:rFonts w:hint="eastAsia"/>
                <w:color w:val="000000"/>
                <w:sz w:val="24"/>
                <w:highlight w:val="none"/>
              </w:rPr>
              <w:t xml:space="preserve">持证肢体</w:t>
            </w:r>
            <w:r>
              <w:rPr>
                <w:color w:val="000000"/>
                <w:sz w:val="24"/>
                <w:highlight w:val="none"/>
              </w:rPr>
              <w:t xml:space="preserve">残疾人</w:t>
            </w:r>
            <w:r>
              <w:rPr>
                <w:rFonts w:hint="eastAsia"/>
                <w:color w:val="000000"/>
                <w:sz w:val="24"/>
                <w:highlight w:val="none"/>
              </w:rPr>
              <w:t xml:space="preserve">；</w:t>
            </w:r>
            <w:r>
              <w:rPr>
                <w:color w:val="000000"/>
                <w:sz w:val="24"/>
                <w:highlight w:val="none"/>
              </w:rPr>
            </w:r>
            <w:r/>
          </w:p>
          <w:p>
            <w:pPr>
              <w:pStyle w:val="1060"/>
              <w:jc w:val="left"/>
              <w:spacing w:line="400" w:lineRule="exact"/>
              <w:widowControl/>
              <w:rPr>
                <w:color w:val="000000"/>
                <w:sz w:val="24"/>
                <w:highlight w:val="none"/>
              </w:rPr>
            </w:pPr>
            <w:r>
              <w:rPr>
                <w:color w:val="000000"/>
                <w:sz w:val="24"/>
                <w:highlight w:val="none"/>
              </w:rPr>
              <w:t xml:space="preserve">（2）经国内</w:t>
            </w:r>
            <w:r>
              <w:rPr>
                <w:rFonts w:hint="eastAsia"/>
                <w:color w:val="000000"/>
                <w:sz w:val="24"/>
                <w:highlight w:val="none"/>
              </w:rPr>
              <w:t xml:space="preserve">三级以上</w:t>
            </w:r>
            <w:r>
              <w:rPr>
                <w:color w:val="000000"/>
                <w:sz w:val="24"/>
                <w:highlight w:val="none"/>
              </w:rPr>
              <w:t xml:space="preserve">专业医疗机构诊断为肢体障碍的18周岁以下残疾儿童或</w:t>
            </w:r>
            <w:r>
              <w:rPr>
                <w:rFonts w:hint="eastAsia"/>
                <w:color w:val="000000"/>
                <w:sz w:val="24"/>
                <w:highlight w:val="none"/>
              </w:rPr>
              <w:t xml:space="preserve">在校</w:t>
            </w:r>
            <w:r>
              <w:rPr>
                <w:color w:val="000000"/>
                <w:sz w:val="24"/>
                <w:highlight w:val="none"/>
              </w:rPr>
              <w:t xml:space="preserve">残疾学生，由专业医疗机构出具医学诊断证明书、病</w:t>
            </w:r>
            <w:r>
              <w:rPr>
                <w:rFonts w:hint="eastAsia"/>
                <w:color w:val="000000"/>
                <w:sz w:val="24"/>
                <w:highlight w:val="none"/>
              </w:rPr>
              <w:t xml:space="preserve">历</w:t>
            </w:r>
            <w:r>
              <w:rPr>
                <w:color w:val="000000"/>
                <w:sz w:val="24"/>
                <w:highlight w:val="none"/>
              </w:rPr>
              <w:t xml:space="preserve">等，自开具之日起1年内有效。</w:t>
            </w:r>
            <w:r>
              <w:rPr>
                <w:color w:val="000000"/>
                <w:sz w:val="24"/>
                <w:highlight w:val="none"/>
              </w:rPr>
            </w:r>
            <w:r/>
          </w:p>
          <w:p>
            <w:pPr>
              <w:pStyle w:val="1060"/>
              <w:jc w:val="left"/>
              <w:spacing w:line="400" w:lineRule="exact"/>
              <w:widowControl/>
              <w:rPr>
                <w:color w:val="000000"/>
                <w:sz w:val="24"/>
                <w:highlight w:val="none"/>
              </w:rPr>
            </w:pPr>
            <w:r>
              <w:rPr>
                <w:color w:val="000000"/>
                <w:sz w:val="24"/>
                <w:highlight w:val="none"/>
              </w:rPr>
              <w:t xml:space="preserve">注：</w:t>
            </w:r>
            <w:r>
              <w:rPr>
                <w:rFonts w:hint="eastAsia"/>
                <w:color w:val="000000"/>
                <w:sz w:val="24"/>
                <w:highlight w:val="none"/>
              </w:rPr>
              <w:t xml:space="preserve">户口本、残疾人证、医学诊断证明（含病历）等</w:t>
            </w:r>
            <w:r>
              <w:rPr>
                <w:color w:val="000000"/>
                <w:sz w:val="24"/>
                <w:highlight w:val="none"/>
              </w:rPr>
              <w:t xml:space="preserve">是享受救助政策的重要凭证。</w:t>
            </w:r>
            <w:r>
              <w:rPr>
                <w:color w:val="000000"/>
                <w:sz w:val="24"/>
                <w:highlight w:val="none"/>
              </w:rPr>
            </w:r>
            <w:r/>
          </w:p>
        </w:tc>
      </w:tr>
      <w:tr>
        <w:trPr>
          <w:trHeight w:val="372"/>
        </w:trPr>
        <w:tc>
          <w:tcPr>
            <w:tcMar>
              <w:top w:w="100" w:type="dxa"/>
              <w:bottom w:w="100" w:type="dxa"/>
            </w:tcMar>
            <w:tcW w:w="513" w:type="dxa"/>
            <w:vAlign w:val="center"/>
            <w:vMerge w:val="restart"/>
            <w:textDirection w:val="lrTb"/>
            <w:noWrap w:val="false"/>
          </w:tcPr>
          <w:p>
            <w:pPr>
              <w:pStyle w:val="1060"/>
              <w:jc w:val="center"/>
              <w:spacing w:line="400" w:lineRule="exact"/>
              <w:widowControl/>
              <w:rPr>
                <w:color w:val="000000"/>
                <w:sz w:val="24"/>
                <w:highlight w:val="none"/>
              </w:rPr>
            </w:pPr>
            <w:r>
              <w:rPr>
                <w:color w:val="000000"/>
                <w:sz w:val="24"/>
                <w:highlight w:val="none"/>
              </w:rPr>
              <w:t xml:space="preserve">3</w:t>
            </w:r>
            <w:r>
              <w:rPr>
                <w:color w:val="000000"/>
                <w:sz w:val="24"/>
                <w:highlight w:val="none"/>
              </w:rPr>
            </w:r>
            <w:r/>
          </w:p>
        </w:tc>
        <w:tc>
          <w:tcPr>
            <w:tcMar>
              <w:top w:w="100" w:type="dxa"/>
              <w:bottom w:w="100" w:type="dxa"/>
            </w:tcMar>
            <w:tcW w:w="927" w:type="dxa"/>
            <w:vAlign w:val="center"/>
            <w:vMerge w:val="restart"/>
            <w:textDirection w:val="lrTb"/>
            <w:noWrap w:val="false"/>
          </w:tcPr>
          <w:p>
            <w:pPr>
              <w:pStyle w:val="1060"/>
              <w:jc w:val="left"/>
              <w:spacing w:line="400" w:lineRule="exact"/>
              <w:widowControl/>
              <w:rPr>
                <w:color w:val="000000"/>
                <w:sz w:val="24"/>
                <w:highlight w:val="none"/>
              </w:rPr>
            </w:pPr>
            <w:r>
              <w:rPr>
                <w:color w:val="000000"/>
                <w:sz w:val="24"/>
                <w:highlight w:val="none"/>
              </w:rPr>
              <w:t xml:space="preserve">服务目标与内容</w:t>
            </w:r>
            <w:r>
              <w:rPr>
                <w:color w:val="000000"/>
                <w:sz w:val="24"/>
                <w:highlight w:val="none"/>
              </w:rPr>
            </w:r>
            <w:r/>
          </w:p>
        </w:tc>
        <w:tc>
          <w:tcPr>
            <w:tcMar>
              <w:top w:w="100" w:type="dxa"/>
              <w:bottom w:w="100" w:type="dxa"/>
            </w:tcMar>
            <w:tcW w:w="8300" w:type="dxa"/>
            <w:vAlign w:val="center"/>
            <w:textDirection w:val="lrTb"/>
            <w:noWrap w:val="false"/>
          </w:tcPr>
          <w:p>
            <w:pPr>
              <w:pStyle w:val="1060"/>
              <w:jc w:val="left"/>
              <w:spacing w:line="400" w:lineRule="exact"/>
              <w:widowControl/>
              <w:rPr>
                <w:b/>
                <w:bCs/>
                <w:color w:val="000000"/>
                <w:sz w:val="24"/>
                <w:highlight w:val="none"/>
              </w:rPr>
            </w:pPr>
            <w:r>
              <w:rPr>
                <w:color w:val="000000"/>
                <w:sz w:val="24"/>
                <w:highlight w:val="none"/>
              </w:rPr>
              <w:t xml:space="preserve">3.1 服务流程、内容与标准</w:t>
            </w:r>
            <w:r>
              <w:rPr>
                <w:b/>
                <w:bCs/>
                <w:color w:val="000000"/>
                <w:sz w:val="24"/>
                <w:highlight w:val="none"/>
              </w:rPr>
            </w:r>
            <w:r/>
          </w:p>
        </w:tc>
      </w:tr>
      <w:tr>
        <w:trPr>
          <w:trHeight w:val="548"/>
        </w:trPr>
        <w:tc>
          <w:tcPr>
            <w:tcMar>
              <w:top w:w="100" w:type="dxa"/>
              <w:bottom w:w="100" w:type="dxa"/>
            </w:tcMar>
            <w:tcW w:w="513" w:type="dxa"/>
            <w:vAlign w:val="center"/>
            <w:vMerge w:val="continue"/>
            <w:textDirection w:val="lrTb"/>
            <w:noWrap w:val="false"/>
          </w:tcPr>
          <w:p>
            <w:pPr>
              <w:pStyle w:val="1060"/>
              <w:jc w:val="center"/>
              <w:spacing w:line="400" w:lineRule="exact"/>
              <w:widowControl/>
              <w:rPr>
                <w:color w:val="000000"/>
                <w:sz w:val="24"/>
                <w:highlight w:val="none"/>
              </w:rPr>
            </w:pPr>
            <w:r>
              <w:rPr>
                <w:color w:val="000000"/>
                <w:sz w:val="24"/>
                <w:highlight w:val="none"/>
              </w:rPr>
            </w:r>
            <w:r/>
          </w:p>
        </w:tc>
        <w:tc>
          <w:tcPr>
            <w:tcMar>
              <w:top w:w="100" w:type="dxa"/>
              <w:bottom w:w="100" w:type="dxa"/>
            </w:tcMar>
            <w:tcW w:w="927" w:type="dxa"/>
            <w:vAlign w:val="center"/>
            <w:vMerge w:val="continue"/>
            <w:textDirection w:val="lrTb"/>
            <w:noWrap w:val="false"/>
          </w:tcPr>
          <w:p>
            <w:pPr>
              <w:pStyle w:val="1060"/>
              <w:jc w:val="left"/>
              <w:spacing w:line="400" w:lineRule="exact"/>
              <w:widowControl/>
              <w:rPr>
                <w:color w:val="000000"/>
                <w:sz w:val="24"/>
                <w:highlight w:val="none"/>
              </w:rPr>
            </w:pPr>
            <w:r>
              <w:rPr>
                <w:color w:val="000000"/>
                <w:sz w:val="24"/>
                <w:highlight w:val="none"/>
              </w:rPr>
            </w:r>
            <w:r/>
          </w:p>
        </w:tc>
        <w:tc>
          <w:tcPr>
            <w:tcMar>
              <w:top w:w="100" w:type="dxa"/>
              <w:bottom w:w="100" w:type="dxa"/>
            </w:tcMar>
            <w:tcW w:w="8300" w:type="dxa"/>
            <w:vAlign w:val="center"/>
            <w:textDirection w:val="lrTb"/>
            <w:noWrap w:val="false"/>
          </w:tcPr>
          <w:p>
            <w:pPr>
              <w:pStyle w:val="1060"/>
              <w:spacing w:line="440" w:lineRule="exact"/>
              <w:rPr>
                <w:color w:val="000000"/>
                <w:sz w:val="24"/>
                <w:highlight w:val="none"/>
                <w:u w:val="single"/>
              </w:rPr>
            </w:pPr>
            <w:r>
              <w:rPr>
                <w:rFonts w:hint="eastAsia" w:ascii="Times New Roman" w:hAnsi="Times New Roman" w:cs="Times New Roman"/>
                <w:color w:val="000000"/>
                <w:sz w:val="24"/>
                <w:highlight w:val="none"/>
              </w:rPr>
              <w:t xml:space="preserve">按本购买服务要求及苏州市残疾人联合会公布的《关于优化〈苏州市残疾人辅助器具适配补贴实施办法〉的通知》（苏残字〔2024〕50号）</w:t>
            </w:r>
            <w:r>
              <w:rPr>
                <w:rFonts w:hint="eastAsia"/>
                <w:color w:val="000000"/>
                <w:sz w:val="24"/>
                <w:highlight w:val="none"/>
              </w:rPr>
              <w:t xml:space="preserve">（后续如对应文件有调整，以最新版文件为准）</w:t>
            </w:r>
            <w:r>
              <w:rPr>
                <w:rFonts w:hint="eastAsia" w:ascii="Times New Roman" w:hAnsi="Times New Roman" w:cs="Times New Roman"/>
                <w:color w:val="000000"/>
                <w:sz w:val="24"/>
                <w:highlight w:val="none"/>
              </w:rPr>
              <w:t xml:space="preserve">执行</w:t>
            </w:r>
            <w:r>
              <w:rPr>
                <w:rFonts w:hint="eastAsia"/>
                <w:color w:val="000000"/>
                <w:sz w:val="24"/>
                <w:highlight w:val="none"/>
              </w:rPr>
              <w:t xml:space="preserve">。采购人与供应商的补助结付标准参照上述文件与</w:t>
            </w:r>
            <w:r>
              <w:rPr>
                <w:rFonts w:hint="eastAsia"/>
                <w:color w:val="000000"/>
                <w:sz w:val="24"/>
                <w:szCs w:val="21"/>
                <w:highlight w:val="none"/>
              </w:rPr>
              <w:t xml:space="preserve">《关于印发〈2023年苏州市残疾人辅助器具适配产品目录〉的通知》（苏残字〔2023〕38号）</w:t>
            </w:r>
            <w:r>
              <w:rPr>
                <w:rFonts w:hint="eastAsia"/>
                <w:color w:val="000000"/>
                <w:sz w:val="24"/>
                <w:highlight w:val="none"/>
              </w:rPr>
              <w:t xml:space="preserve">(后续如上述目录出现调整，则以调整后的目录定价执行)执行，以采购人审核通过的符合补助费用据实支付。</w:t>
            </w:r>
            <w:r>
              <w:rPr>
                <w:color w:val="000000"/>
                <w:sz w:val="24"/>
                <w:highlight w:val="none"/>
                <w:u w:val="single"/>
              </w:rPr>
            </w:r>
            <w:r/>
          </w:p>
        </w:tc>
      </w:tr>
      <w:tr>
        <w:trPr>
          <w:trHeight w:val="548"/>
        </w:trPr>
        <w:tc>
          <w:tcPr>
            <w:tcMar>
              <w:top w:w="100" w:type="dxa"/>
              <w:bottom w:w="100" w:type="dxa"/>
            </w:tcMar>
            <w:tcW w:w="513" w:type="dxa"/>
            <w:vAlign w:val="center"/>
            <w:vMerge w:val="continue"/>
            <w:textDirection w:val="lrTb"/>
            <w:noWrap w:val="false"/>
          </w:tcPr>
          <w:p>
            <w:pPr>
              <w:pStyle w:val="1060"/>
              <w:jc w:val="center"/>
              <w:spacing w:line="400" w:lineRule="exact"/>
              <w:widowControl/>
              <w:rPr>
                <w:color w:val="000000"/>
                <w:sz w:val="24"/>
                <w:highlight w:val="none"/>
              </w:rPr>
            </w:pPr>
            <w:r>
              <w:rPr>
                <w:color w:val="000000"/>
                <w:sz w:val="24"/>
                <w:highlight w:val="none"/>
              </w:rPr>
            </w:r>
            <w:r/>
          </w:p>
        </w:tc>
        <w:tc>
          <w:tcPr>
            <w:tcMar>
              <w:top w:w="100" w:type="dxa"/>
              <w:bottom w:w="100" w:type="dxa"/>
            </w:tcMar>
            <w:tcW w:w="927" w:type="dxa"/>
            <w:vAlign w:val="center"/>
            <w:vMerge w:val="continue"/>
            <w:textDirection w:val="lrTb"/>
            <w:noWrap w:val="false"/>
          </w:tcPr>
          <w:p>
            <w:pPr>
              <w:pStyle w:val="1060"/>
              <w:jc w:val="left"/>
              <w:spacing w:line="400" w:lineRule="exact"/>
              <w:widowControl/>
              <w:rPr>
                <w:color w:val="000000"/>
                <w:sz w:val="24"/>
                <w:highlight w:val="none"/>
              </w:rPr>
            </w:pPr>
            <w:r>
              <w:rPr>
                <w:color w:val="000000"/>
                <w:sz w:val="24"/>
                <w:highlight w:val="none"/>
              </w:rPr>
            </w:r>
            <w:r/>
          </w:p>
        </w:tc>
        <w:tc>
          <w:tcPr>
            <w:tcMar>
              <w:top w:w="100" w:type="dxa"/>
              <w:bottom w:w="100" w:type="dxa"/>
            </w:tcMar>
            <w:tcW w:w="8300" w:type="dxa"/>
            <w:vAlign w:val="center"/>
            <w:textDirection w:val="lrTb"/>
            <w:noWrap w:val="false"/>
          </w:tcPr>
          <w:p>
            <w:pPr>
              <w:pStyle w:val="1060"/>
              <w:spacing w:line="440" w:lineRule="exact"/>
              <w:rPr>
                <w:color w:val="000000"/>
                <w:sz w:val="24"/>
                <w:highlight w:val="none"/>
              </w:rPr>
            </w:pPr>
            <w:r>
              <w:rPr>
                <w:color w:val="000000"/>
                <w:sz w:val="24"/>
                <w:highlight w:val="none"/>
              </w:rPr>
              <w:t xml:space="preserve">3.2 服务</w:t>
            </w:r>
            <w:r>
              <w:rPr>
                <w:rFonts w:hint="eastAsia"/>
                <w:color w:val="000000"/>
                <w:sz w:val="24"/>
                <w:highlight w:val="none"/>
              </w:rPr>
              <w:t xml:space="preserve">要求</w:t>
            </w:r>
            <w:r>
              <w:rPr>
                <w:color w:val="000000"/>
                <w:sz w:val="24"/>
                <w:highlight w:val="none"/>
              </w:rPr>
            </w:r>
            <w:r/>
          </w:p>
        </w:tc>
      </w:tr>
      <w:tr>
        <w:trPr>
          <w:trHeight w:val="548"/>
        </w:trPr>
        <w:tc>
          <w:tcPr>
            <w:tcMar>
              <w:top w:w="100" w:type="dxa"/>
              <w:bottom w:w="100" w:type="dxa"/>
            </w:tcMar>
            <w:tcW w:w="513" w:type="dxa"/>
            <w:vAlign w:val="center"/>
            <w:vMerge w:val="continue"/>
            <w:textDirection w:val="lrTb"/>
            <w:noWrap w:val="false"/>
          </w:tcPr>
          <w:p>
            <w:pPr>
              <w:pStyle w:val="1060"/>
              <w:jc w:val="center"/>
              <w:spacing w:line="400" w:lineRule="exact"/>
              <w:widowControl/>
              <w:rPr>
                <w:color w:val="000000"/>
                <w:sz w:val="24"/>
                <w:highlight w:val="none"/>
              </w:rPr>
            </w:pPr>
            <w:r>
              <w:rPr>
                <w:color w:val="000000"/>
                <w:sz w:val="24"/>
                <w:highlight w:val="none"/>
              </w:rPr>
            </w:r>
            <w:r/>
          </w:p>
        </w:tc>
        <w:tc>
          <w:tcPr>
            <w:tcMar>
              <w:top w:w="100" w:type="dxa"/>
              <w:bottom w:w="100" w:type="dxa"/>
            </w:tcMar>
            <w:tcW w:w="927" w:type="dxa"/>
            <w:vAlign w:val="center"/>
            <w:vMerge w:val="continue"/>
            <w:textDirection w:val="lrTb"/>
            <w:noWrap w:val="false"/>
          </w:tcPr>
          <w:p>
            <w:pPr>
              <w:pStyle w:val="1060"/>
              <w:jc w:val="left"/>
              <w:spacing w:line="400" w:lineRule="exact"/>
              <w:widowControl/>
              <w:rPr>
                <w:color w:val="000000"/>
                <w:sz w:val="24"/>
                <w:highlight w:val="none"/>
              </w:rPr>
            </w:pPr>
            <w:r>
              <w:rPr>
                <w:color w:val="000000"/>
                <w:sz w:val="24"/>
                <w:highlight w:val="none"/>
              </w:rPr>
            </w:r>
            <w:r/>
          </w:p>
        </w:tc>
        <w:tc>
          <w:tcPr>
            <w:tcMar>
              <w:top w:w="100" w:type="dxa"/>
              <w:bottom w:w="100" w:type="dxa"/>
            </w:tcMar>
            <w:tcW w:w="8300" w:type="dxa"/>
            <w:vAlign w:val="center"/>
            <w:textDirection w:val="lrTb"/>
            <w:noWrap w:val="false"/>
          </w:tcPr>
          <w:p>
            <w:pPr>
              <w:pStyle w:val="1060"/>
              <w:spacing w:line="440" w:lineRule="exact"/>
              <w:rPr>
                <w:color w:val="000000"/>
                <w:sz w:val="24"/>
                <w:szCs w:val="21"/>
                <w:highlight w:val="none"/>
              </w:rPr>
            </w:pPr>
            <w:r>
              <w:rPr>
                <w:rFonts w:hint="eastAsia"/>
                <w:color w:val="000000"/>
                <w:sz w:val="24"/>
                <w:szCs w:val="21"/>
                <w:highlight w:val="none"/>
              </w:rPr>
              <w:t xml:space="preserve">（1）</w:t>
            </w:r>
            <w:r>
              <w:rPr>
                <w:color w:val="000000"/>
                <w:sz w:val="24"/>
                <w:szCs w:val="21"/>
                <w:highlight w:val="none"/>
              </w:rPr>
              <w:t xml:space="preserve">根据申请人的身体功能和辅具适配需求，实施“一人一案”的辅具适配评估，</w:t>
            </w:r>
            <w:r>
              <w:rPr>
                <w:rFonts w:hint="eastAsia"/>
                <w:color w:val="000000"/>
                <w:sz w:val="24"/>
                <w:szCs w:val="21"/>
                <w:highlight w:val="none"/>
              </w:rPr>
              <w:t xml:space="preserve">在残疾人选定具体辅具产品后，定点服务机构需要在3个工作日内完成下单采购工作，并在产品到货后5个工作日内进行辅具的配发、使用指导等服务（对行动不便的残疾人需提供上门服务）。</w:t>
            </w:r>
            <w:r>
              <w:rPr>
                <w:color w:val="000000"/>
                <w:sz w:val="24"/>
                <w:szCs w:val="21"/>
                <w:highlight w:val="none"/>
              </w:rPr>
            </w:r>
            <w:r/>
          </w:p>
          <w:p>
            <w:pPr>
              <w:pStyle w:val="1060"/>
              <w:spacing w:line="440" w:lineRule="exact"/>
              <w:rPr>
                <w:color w:val="000000"/>
                <w:sz w:val="24"/>
                <w:szCs w:val="21"/>
                <w:highlight w:val="none"/>
              </w:rPr>
            </w:pPr>
            <w:r>
              <w:rPr>
                <w:rFonts w:hint="eastAsia"/>
                <w:color w:val="000000"/>
                <w:sz w:val="24"/>
                <w:szCs w:val="21"/>
                <w:highlight w:val="none"/>
              </w:rPr>
              <w:t xml:space="preserve">（2）如后续苏州市残联出台相应的假肢、矫形器目录或调整补助范围、标准，供应商须参照开展服务。</w:t>
            </w:r>
            <w:r>
              <w:rPr>
                <w:color w:val="000000"/>
                <w:sz w:val="24"/>
                <w:szCs w:val="21"/>
                <w:highlight w:val="none"/>
              </w:rPr>
            </w:r>
            <w:r/>
          </w:p>
          <w:p>
            <w:pPr>
              <w:pStyle w:val="1060"/>
              <w:spacing w:line="440" w:lineRule="exact"/>
              <w:rPr>
                <w:color w:val="000000"/>
                <w:sz w:val="24"/>
                <w:szCs w:val="21"/>
                <w:highlight w:val="none"/>
              </w:rPr>
            </w:pPr>
            <w:r>
              <w:rPr>
                <w:rFonts w:hint="eastAsia"/>
                <w:color w:val="000000"/>
                <w:sz w:val="24"/>
                <w:szCs w:val="21"/>
                <w:highlight w:val="none"/>
              </w:rPr>
              <w:t xml:space="preserve">（3）</w:t>
            </w:r>
            <w:r>
              <w:rPr>
                <w:rFonts w:hint="eastAsia"/>
                <w:color w:val="000000"/>
                <w:sz w:val="24"/>
                <w:szCs w:val="21"/>
                <w:highlight w:val="none"/>
              </w:rPr>
              <w:t xml:space="preserve">服务机构中的假肢矫形器应满足残疾人适配需求，如果残疾人确需要选择后续市残联出台的相应目录以外的假肢、矫形器，供应商应事先向姑苏区残疾人联合会报送所能提供的全部目录外辅助器具产品清单，批准通过后方可提供相应产品。目录外产品适配价（含服务费）不得高于同期其他任何渠道售价，并结合本项目公益属性给予公益价格折扣。同品牌同型号的目录外产品适配价须与向姑苏区残联的报送价一致。供应商未按上述要求上报审批，经苏州市姑苏区残疾人联合会核查情况属实，姑苏区残联有权拒付该辅具涉及的补助费用，供应商应赔偿残疾人因此造成的一切损失。</w:t>
            </w:r>
            <w:r>
              <w:rPr>
                <w:color w:val="000000"/>
                <w:sz w:val="24"/>
                <w:szCs w:val="21"/>
                <w:highlight w:val="none"/>
              </w:rPr>
            </w:r>
            <w:r/>
          </w:p>
          <w:p>
            <w:pPr>
              <w:pStyle w:val="106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（4）供应商生产和销售的假肢和矫形器（辅助器具）必须属于《中国康复辅助器具目录》（2026年版）范围内的产品。</w:t>
            </w:r>
            <w:r>
              <w:rPr>
                <w:rFonts w:ascii="宋体" w:hAnsi="宋体" w:cs="宋体"/>
                <w:color w:val="000000"/>
                <w:sz w:val="24"/>
                <w:highlight w:val="none"/>
              </w:rPr>
            </w:r>
            <w:r/>
          </w:p>
          <w:p>
            <w:pPr>
              <w:pStyle w:val="1060"/>
              <w:jc w:val="left"/>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（5）供应商开展假肢、矫形器配置服务时，应当执行国家、行业现行有效相关服务及产品规范要求。如执行自行制定的企业标准，应当公开对应服务的功能指标以及产品性能指标。</w:t>
            </w:r>
            <w:r>
              <w:rPr>
                <w:rFonts w:ascii="宋体" w:hAnsi="宋体" w:cs="宋体"/>
                <w:color w:val="000000"/>
                <w:sz w:val="24"/>
                <w:highlight w:val="none"/>
              </w:rPr>
            </w:r>
            <w:r/>
          </w:p>
          <w:p>
            <w:pPr>
              <w:pStyle w:val="1060"/>
              <w:spacing w:line="440" w:lineRule="exact"/>
              <w:rPr>
                <w:color w:val="000000"/>
                <w:highlight w:val="none"/>
              </w:rPr>
            </w:pPr>
            <w:r>
              <w:rPr>
                <w:rFonts w:hint="eastAsia" w:ascii="宋体" w:hAnsi="宋体" w:cs="宋体"/>
                <w:color w:val="000000"/>
                <w:sz w:val="24"/>
                <w:highlight w:val="none"/>
              </w:rPr>
              <w:t xml:space="preserve">（6）供应商</w:t>
            </w:r>
            <w:r>
              <w:rPr>
                <w:rFonts w:ascii="宋体" w:hAnsi="宋体" w:cs="宋体"/>
                <w:color w:val="000000"/>
                <w:sz w:val="24"/>
                <w:highlight w:val="none"/>
              </w:rPr>
              <w:t xml:space="preserve">所响应产品若属于医疗器械管理范畴，</w:t>
            </w:r>
            <w:r>
              <w:rPr>
                <w:rFonts w:hint="eastAsia" w:ascii="宋体" w:hAnsi="宋体" w:cs="宋体"/>
                <w:color w:val="000000"/>
                <w:sz w:val="24"/>
                <w:highlight w:val="none"/>
              </w:rPr>
              <w:t xml:space="preserve">应严格遵守</w:t>
            </w:r>
            <w:r>
              <w:rPr>
                <w:rFonts w:ascii="宋体" w:hAnsi="宋体" w:cs="宋体"/>
                <w:color w:val="000000"/>
                <w:sz w:val="24"/>
                <w:highlight w:val="none"/>
              </w:rPr>
              <w:t xml:space="preserve">国家《医疗器械监督管理条例》</w:t>
            </w:r>
            <w:r>
              <w:rPr>
                <w:rFonts w:hint="eastAsia" w:ascii="宋体" w:hAnsi="宋体" w:cs="宋体"/>
                <w:color w:val="000000"/>
                <w:sz w:val="24"/>
                <w:highlight w:val="none"/>
              </w:rPr>
              <w:t xml:space="preserve">相关规定。</w:t>
            </w:r>
            <w:r>
              <w:rPr>
                <w:rFonts w:ascii="宋体" w:hAnsi="宋体" w:cs="宋体"/>
                <w:color w:val="000000"/>
                <w:sz w:val="24"/>
                <w:highlight w:val="none"/>
              </w:rPr>
              <w:t xml:space="preserve">供应商</w:t>
            </w:r>
            <w:r>
              <w:rPr>
                <w:rFonts w:hint="eastAsia" w:ascii="宋体" w:hAnsi="宋体" w:cs="宋体"/>
                <w:color w:val="000000"/>
                <w:sz w:val="24"/>
                <w:highlight w:val="none"/>
              </w:rPr>
              <w:t xml:space="preserve">响应</w:t>
            </w:r>
            <w:r>
              <w:rPr>
                <w:rFonts w:ascii="宋体" w:hAnsi="宋体" w:cs="宋体"/>
                <w:color w:val="000000"/>
                <w:sz w:val="24"/>
                <w:highlight w:val="none"/>
              </w:rPr>
              <w:t xml:space="preserve">的医疗器械若含有第二类医疗器械的，供应商应</w:t>
            </w:r>
            <w:r>
              <w:rPr>
                <w:rFonts w:hint="eastAsia" w:ascii="宋体" w:hAnsi="宋体" w:cs="宋体"/>
                <w:color w:val="000000"/>
                <w:sz w:val="24"/>
                <w:highlight w:val="none"/>
              </w:rPr>
              <w:t xml:space="preserve">持有</w:t>
            </w:r>
            <w:r>
              <w:rPr>
                <w:rFonts w:ascii="宋体" w:hAnsi="宋体" w:cs="宋体"/>
                <w:color w:val="000000"/>
                <w:sz w:val="24"/>
                <w:highlight w:val="none"/>
              </w:rPr>
              <w:t xml:space="preserve">“医疗器械经营备案凭证”或“食品药品生产经营许可证”；若含有第三类医疗器械的，供应商应</w:t>
            </w:r>
            <w:r>
              <w:rPr>
                <w:rFonts w:hint="eastAsia" w:ascii="宋体" w:hAnsi="宋体" w:cs="宋体"/>
                <w:color w:val="000000"/>
                <w:sz w:val="24"/>
                <w:highlight w:val="none"/>
              </w:rPr>
              <w:t xml:space="preserve">持有</w:t>
            </w:r>
            <w:r>
              <w:rPr>
                <w:rFonts w:ascii="宋体" w:hAnsi="宋体" w:cs="宋体"/>
                <w:color w:val="000000"/>
                <w:sz w:val="24"/>
                <w:highlight w:val="none"/>
              </w:rPr>
              <w:t xml:space="preserve">“医疗器械经营许可证”或“食品药品生产经营许可证”。供应商为</w:t>
            </w:r>
            <w:r>
              <w:rPr>
                <w:rFonts w:hint="eastAsia" w:ascii="宋体" w:hAnsi="宋体" w:cs="宋体"/>
                <w:color w:val="000000"/>
                <w:sz w:val="24"/>
                <w:highlight w:val="none"/>
              </w:rPr>
              <w:t xml:space="preserve">响应</w:t>
            </w:r>
            <w:r>
              <w:rPr>
                <w:rFonts w:ascii="宋体" w:hAnsi="宋体" w:cs="宋体"/>
                <w:color w:val="000000"/>
                <w:sz w:val="24"/>
                <w:highlight w:val="none"/>
              </w:rPr>
              <w:t xml:space="preserve">产品的生产企业，应</w:t>
            </w:r>
            <w:r>
              <w:rPr>
                <w:rFonts w:hint="eastAsia" w:ascii="宋体" w:hAnsi="宋体" w:cs="宋体"/>
                <w:color w:val="000000"/>
                <w:sz w:val="24"/>
                <w:highlight w:val="none"/>
              </w:rPr>
              <w:t xml:space="preserve">有</w:t>
            </w:r>
            <w:r>
              <w:rPr>
                <w:rFonts w:ascii="宋体" w:hAnsi="宋体" w:cs="宋体"/>
                <w:color w:val="000000"/>
                <w:sz w:val="24"/>
                <w:highlight w:val="none"/>
              </w:rPr>
              <w:t xml:space="preserve">第一类医疗器械的“医疗器械生产备案凭证”，第二、三类医疗器械的 “有效期内的医疗器械生产许可证”。</w:t>
            </w:r>
            <w:r>
              <w:rPr>
                <w:color w:val="000000"/>
                <w:highlight w:val="none"/>
              </w:rPr>
            </w:r>
            <w:r/>
          </w:p>
        </w:tc>
      </w:tr>
      <w:tr>
        <w:trPr>
          <w:trHeight w:val="20"/>
        </w:trPr>
        <w:tc>
          <w:tcPr>
            <w:tcMar>
              <w:top w:w="100" w:type="dxa"/>
              <w:bottom w:w="100" w:type="dxa"/>
            </w:tcMar>
            <w:tcW w:w="513" w:type="dxa"/>
            <w:vAlign w:val="center"/>
            <w:vMerge w:val="restart"/>
            <w:textDirection w:val="lrTb"/>
            <w:noWrap w:val="false"/>
          </w:tcPr>
          <w:p>
            <w:pPr>
              <w:pStyle w:val="1060"/>
              <w:jc w:val="center"/>
              <w:spacing w:line="400" w:lineRule="exact"/>
              <w:widowControl/>
              <w:rPr>
                <w:color w:val="000000"/>
                <w:sz w:val="24"/>
                <w:highlight w:val="none"/>
              </w:rPr>
            </w:pPr>
            <w:r>
              <w:rPr>
                <w:color w:val="000000"/>
                <w:sz w:val="24"/>
                <w:highlight w:val="none"/>
              </w:rPr>
              <w:t xml:space="preserve">4</w:t>
            </w:r>
            <w:r>
              <w:rPr>
                <w:color w:val="000000"/>
                <w:sz w:val="24"/>
                <w:highlight w:val="none"/>
              </w:rPr>
            </w:r>
            <w:r/>
          </w:p>
        </w:tc>
        <w:tc>
          <w:tcPr>
            <w:tcMar>
              <w:top w:w="100" w:type="dxa"/>
              <w:bottom w:w="100" w:type="dxa"/>
            </w:tcMar>
            <w:tcW w:w="927" w:type="dxa"/>
            <w:vAlign w:val="center"/>
            <w:vMerge w:val="restart"/>
            <w:textDirection w:val="lrTb"/>
            <w:noWrap w:val="false"/>
          </w:tcPr>
          <w:p>
            <w:pPr>
              <w:pStyle w:val="1060"/>
              <w:jc w:val="left"/>
              <w:spacing w:line="400" w:lineRule="exact"/>
              <w:widowControl/>
              <w:rPr>
                <w:color w:val="000000"/>
                <w:sz w:val="24"/>
                <w:highlight w:val="none"/>
              </w:rPr>
            </w:pPr>
            <w:r>
              <w:rPr>
                <w:color w:val="000000"/>
                <w:sz w:val="24"/>
                <w:highlight w:val="none"/>
              </w:rPr>
              <w:t xml:space="preserve">服务</w:t>
            </w:r>
            <w:r>
              <w:rPr>
                <w:color w:val="000000"/>
                <w:sz w:val="24"/>
                <w:highlight w:val="none"/>
                <w:lang w:eastAsia="en-US"/>
              </w:rPr>
              <w:t xml:space="preserve">管理</w:t>
            </w:r>
            <w:r>
              <w:rPr>
                <w:color w:val="000000"/>
                <w:sz w:val="24"/>
                <w:highlight w:val="none"/>
              </w:rPr>
            </w:r>
            <w:r/>
          </w:p>
        </w:tc>
        <w:tc>
          <w:tcPr>
            <w:tcMar>
              <w:top w:w="100" w:type="dxa"/>
              <w:bottom w:w="100" w:type="dxa"/>
            </w:tcMar>
            <w:tcW w:w="8300" w:type="dxa"/>
            <w:vAlign w:val="center"/>
            <w:textDirection w:val="lrTb"/>
            <w:noWrap w:val="false"/>
          </w:tcPr>
          <w:p>
            <w:pPr>
              <w:pStyle w:val="1060"/>
              <w:jc w:val="left"/>
              <w:spacing w:line="400" w:lineRule="exact"/>
              <w:widowControl/>
              <w:rPr>
                <w:color w:val="000000"/>
                <w:sz w:val="24"/>
                <w:highlight w:val="none"/>
              </w:rPr>
            </w:pPr>
            <w:r>
              <w:rPr>
                <w:color w:val="000000"/>
                <w:sz w:val="24"/>
                <w:highlight w:val="none"/>
              </w:rPr>
              <w:t xml:space="preserve">4.1 质量控制</w:t>
            </w:r>
            <w:r>
              <w:rPr>
                <w:color w:val="000000"/>
                <w:sz w:val="24"/>
                <w:highlight w:val="none"/>
              </w:rPr>
            </w:r>
            <w:r/>
          </w:p>
        </w:tc>
      </w:tr>
      <w:tr>
        <w:trPr>
          <w:trHeight w:val="46"/>
        </w:trPr>
        <w:tc>
          <w:tcPr>
            <w:tcMar>
              <w:top w:w="100" w:type="dxa"/>
              <w:bottom w:w="100" w:type="dxa"/>
            </w:tcMar>
            <w:tcW w:w="513" w:type="dxa"/>
            <w:vAlign w:val="center"/>
            <w:vMerge w:val="continue"/>
            <w:textDirection w:val="lrTb"/>
            <w:noWrap w:val="false"/>
          </w:tcPr>
          <w:p>
            <w:pPr>
              <w:pStyle w:val="1060"/>
              <w:jc w:val="center"/>
              <w:spacing w:line="400" w:lineRule="exact"/>
              <w:widowControl/>
              <w:rPr>
                <w:color w:val="000000"/>
                <w:sz w:val="24"/>
                <w:highlight w:val="none"/>
              </w:rPr>
            </w:pPr>
            <w:r>
              <w:rPr>
                <w:color w:val="000000"/>
                <w:sz w:val="24"/>
                <w:highlight w:val="none"/>
              </w:rPr>
            </w:r>
            <w:r/>
          </w:p>
        </w:tc>
        <w:tc>
          <w:tcPr>
            <w:tcMar>
              <w:top w:w="100" w:type="dxa"/>
              <w:bottom w:w="100" w:type="dxa"/>
            </w:tcMar>
            <w:tcW w:w="927" w:type="dxa"/>
            <w:vAlign w:val="center"/>
            <w:vMerge w:val="continue"/>
            <w:textDirection w:val="lrTb"/>
            <w:noWrap w:val="false"/>
          </w:tcPr>
          <w:p>
            <w:pPr>
              <w:pStyle w:val="1060"/>
              <w:jc w:val="left"/>
              <w:spacing w:line="400" w:lineRule="exact"/>
              <w:widowControl/>
              <w:rPr>
                <w:color w:val="000000"/>
                <w:sz w:val="24"/>
                <w:highlight w:val="none"/>
              </w:rPr>
            </w:pPr>
            <w:r>
              <w:rPr>
                <w:color w:val="000000"/>
                <w:sz w:val="24"/>
                <w:highlight w:val="none"/>
              </w:rPr>
            </w:r>
            <w:r/>
          </w:p>
        </w:tc>
        <w:tc>
          <w:tcPr>
            <w:tcMar>
              <w:top w:w="100" w:type="dxa"/>
              <w:bottom w:w="100" w:type="dxa"/>
            </w:tcMar>
            <w:tcW w:w="8300" w:type="dxa"/>
            <w:vAlign w:val="center"/>
            <w:textDirection w:val="lrTb"/>
            <w:noWrap w:val="false"/>
          </w:tcPr>
          <w:p>
            <w:pPr>
              <w:pStyle w:val="1060"/>
              <w:spacing w:line="440" w:lineRule="exact"/>
              <w:rPr>
                <w:color w:val="000000"/>
                <w:sz w:val="24"/>
                <w:highlight w:val="none"/>
              </w:rPr>
            </w:pPr>
            <w:r>
              <w:rPr>
                <w:color w:val="000000"/>
                <w:sz w:val="24"/>
                <w:highlight w:val="none"/>
              </w:rPr>
              <w:t xml:space="preserve">（1）有需求服务对象辅具需求评估、适配服务建档率100%；</w:t>
            </w:r>
            <w:r>
              <w:rPr>
                <w:color w:val="000000"/>
                <w:sz w:val="24"/>
                <w:highlight w:val="none"/>
              </w:rPr>
            </w:r>
            <w:r/>
          </w:p>
          <w:p>
            <w:pPr>
              <w:pStyle w:val="1060"/>
              <w:spacing w:line="440" w:lineRule="exact"/>
              <w:rPr>
                <w:color w:val="000000"/>
                <w:sz w:val="24"/>
                <w:highlight w:val="none"/>
              </w:rPr>
            </w:pPr>
            <w:r>
              <w:rPr>
                <w:color w:val="000000"/>
                <w:sz w:val="24"/>
                <w:highlight w:val="none"/>
              </w:rPr>
              <w:t xml:space="preserve">（2）满意度达9</w:t>
            </w:r>
            <w:r>
              <w:rPr>
                <w:rFonts w:hint="eastAsia"/>
                <w:color w:val="000000"/>
                <w:sz w:val="24"/>
                <w:highlight w:val="none"/>
              </w:rPr>
              <w:t xml:space="preserve">5</w:t>
            </w:r>
            <w:r>
              <w:rPr>
                <w:color w:val="000000"/>
                <w:sz w:val="24"/>
                <w:highlight w:val="none"/>
              </w:rPr>
              <w:t xml:space="preserve">%以上。</w:t>
            </w:r>
            <w:r>
              <w:rPr>
                <w:color w:val="000000"/>
                <w:sz w:val="24"/>
                <w:highlight w:val="none"/>
              </w:rPr>
            </w:r>
            <w:r/>
          </w:p>
        </w:tc>
      </w:tr>
      <w:tr>
        <w:trPr/>
        <w:tc>
          <w:tcPr>
            <w:tcMar>
              <w:top w:w="100" w:type="dxa"/>
              <w:bottom w:w="100" w:type="dxa"/>
            </w:tcMar>
            <w:tcW w:w="513" w:type="dxa"/>
            <w:vAlign w:val="center"/>
            <w:vMerge w:val="continue"/>
            <w:textDirection w:val="lrTb"/>
            <w:noWrap w:val="false"/>
          </w:tcPr>
          <w:p>
            <w:pPr>
              <w:pStyle w:val="1060"/>
              <w:jc w:val="center"/>
              <w:spacing w:line="400" w:lineRule="exact"/>
              <w:widowControl/>
              <w:rPr>
                <w:color w:val="000000"/>
                <w:sz w:val="24"/>
                <w:highlight w:val="none"/>
              </w:rPr>
            </w:pPr>
            <w:r>
              <w:rPr>
                <w:color w:val="000000"/>
                <w:sz w:val="24"/>
                <w:highlight w:val="none"/>
              </w:rPr>
            </w:r>
            <w:r/>
          </w:p>
        </w:tc>
        <w:tc>
          <w:tcPr>
            <w:tcMar>
              <w:top w:w="100" w:type="dxa"/>
              <w:bottom w:w="100" w:type="dxa"/>
            </w:tcMar>
            <w:tcW w:w="927" w:type="dxa"/>
            <w:vAlign w:val="center"/>
            <w:vMerge w:val="continue"/>
            <w:textDirection w:val="lrTb"/>
            <w:noWrap w:val="false"/>
          </w:tcPr>
          <w:p>
            <w:pPr>
              <w:pStyle w:val="1060"/>
              <w:jc w:val="left"/>
              <w:spacing w:line="400" w:lineRule="exact"/>
              <w:widowControl/>
              <w:rPr>
                <w:color w:val="000000"/>
                <w:sz w:val="24"/>
                <w:highlight w:val="none"/>
              </w:rPr>
            </w:pPr>
            <w:r>
              <w:rPr>
                <w:color w:val="000000"/>
                <w:sz w:val="24"/>
                <w:highlight w:val="none"/>
              </w:rPr>
            </w:r>
            <w:r/>
          </w:p>
        </w:tc>
        <w:tc>
          <w:tcPr>
            <w:tcMar>
              <w:top w:w="100" w:type="dxa"/>
              <w:bottom w:w="100" w:type="dxa"/>
            </w:tcMar>
            <w:tcW w:w="8300" w:type="dxa"/>
            <w:vAlign w:val="center"/>
            <w:textDirection w:val="lrTb"/>
            <w:noWrap w:val="false"/>
          </w:tcPr>
          <w:p>
            <w:pPr>
              <w:pStyle w:val="1060"/>
              <w:jc w:val="left"/>
              <w:spacing w:line="400" w:lineRule="exact"/>
              <w:widowControl/>
              <w:rPr>
                <w:color w:val="000000"/>
                <w:sz w:val="24"/>
                <w:highlight w:val="none"/>
              </w:rPr>
            </w:pPr>
            <w:r>
              <w:rPr>
                <w:color w:val="000000"/>
                <w:sz w:val="24"/>
                <w:highlight w:val="none"/>
              </w:rPr>
              <w:t xml:space="preserve">4.2 </w:t>
            </w:r>
            <w:r>
              <w:rPr>
                <w:color w:val="000000"/>
                <w:sz w:val="24"/>
                <w:highlight w:val="none"/>
                <w:lang w:eastAsia="en-US"/>
              </w:rPr>
              <w:t xml:space="preserve">档案管理</w:t>
            </w:r>
            <w:r>
              <w:rPr>
                <w:color w:val="000000"/>
                <w:sz w:val="24"/>
                <w:highlight w:val="none"/>
              </w:rPr>
            </w:r>
            <w:r/>
          </w:p>
        </w:tc>
      </w:tr>
      <w:tr>
        <w:trPr/>
        <w:tc>
          <w:tcPr>
            <w:tcMar>
              <w:top w:w="100" w:type="dxa"/>
              <w:bottom w:w="100" w:type="dxa"/>
            </w:tcMar>
            <w:tcW w:w="513" w:type="dxa"/>
            <w:vAlign w:val="center"/>
            <w:vMerge w:val="continue"/>
            <w:textDirection w:val="lrTb"/>
            <w:noWrap w:val="false"/>
          </w:tcPr>
          <w:p>
            <w:pPr>
              <w:pStyle w:val="1060"/>
              <w:jc w:val="center"/>
              <w:spacing w:line="400" w:lineRule="exact"/>
              <w:widowControl/>
              <w:rPr>
                <w:color w:val="000000"/>
                <w:sz w:val="24"/>
                <w:highlight w:val="none"/>
              </w:rPr>
            </w:pPr>
            <w:r>
              <w:rPr>
                <w:color w:val="000000"/>
                <w:sz w:val="24"/>
                <w:highlight w:val="none"/>
              </w:rPr>
            </w:r>
            <w:r/>
          </w:p>
        </w:tc>
        <w:tc>
          <w:tcPr>
            <w:tcMar>
              <w:top w:w="100" w:type="dxa"/>
              <w:bottom w:w="100" w:type="dxa"/>
            </w:tcMar>
            <w:tcW w:w="927" w:type="dxa"/>
            <w:vAlign w:val="center"/>
            <w:vMerge w:val="continue"/>
            <w:textDirection w:val="lrTb"/>
            <w:noWrap w:val="false"/>
          </w:tcPr>
          <w:p>
            <w:pPr>
              <w:pStyle w:val="1060"/>
              <w:jc w:val="left"/>
              <w:spacing w:line="400" w:lineRule="exact"/>
              <w:widowControl/>
              <w:rPr>
                <w:color w:val="000000"/>
                <w:sz w:val="24"/>
                <w:highlight w:val="none"/>
              </w:rPr>
            </w:pPr>
            <w:r>
              <w:rPr>
                <w:color w:val="000000"/>
                <w:sz w:val="24"/>
                <w:highlight w:val="none"/>
              </w:rPr>
            </w:r>
            <w:r/>
          </w:p>
        </w:tc>
        <w:tc>
          <w:tcPr>
            <w:tcMar>
              <w:top w:w="100" w:type="dxa"/>
              <w:bottom w:w="100" w:type="dxa"/>
            </w:tcMar>
            <w:tcW w:w="8300" w:type="dxa"/>
            <w:vAlign w:val="center"/>
            <w:textDirection w:val="lrTb"/>
            <w:noWrap w:val="false"/>
          </w:tcPr>
          <w:p>
            <w:pPr>
              <w:pStyle w:val="1060"/>
              <w:numPr>
                <w:ilvl w:val="0"/>
                <w:numId w:val="3"/>
              </w:numPr>
              <w:spacing w:line="440" w:lineRule="exact"/>
              <w:rPr>
                <w:color w:val="000000"/>
                <w:sz w:val="24"/>
                <w:highlight w:val="none"/>
              </w:rPr>
            </w:pPr>
            <w:r>
              <w:rPr>
                <w:color w:val="000000"/>
                <w:sz w:val="24"/>
                <w:highlight w:val="none"/>
              </w:rPr>
              <w:t xml:space="preserve">为接受辅具适配服务对象建立</w:t>
            </w:r>
            <w:r>
              <w:rPr>
                <w:rFonts w:hint="eastAsia"/>
                <w:color w:val="000000"/>
                <w:sz w:val="24"/>
                <w:highlight w:val="none"/>
              </w:rPr>
              <w:t xml:space="preserve">服务档案（一人一档，完成对服务对象每次服务的记录，制定评估表格，做好适配前评估和测定、配发后使用指导、适应性训练、售后服务等记录，填写好《辅具适配服务签收单》）。</w:t>
            </w:r>
            <w:r>
              <w:rPr>
                <w:color w:val="000000"/>
                <w:sz w:val="24"/>
                <w:highlight w:val="none"/>
              </w:rPr>
            </w:r>
            <w:r/>
          </w:p>
          <w:p>
            <w:pPr>
              <w:pStyle w:val="1060"/>
              <w:spacing w:line="400" w:lineRule="exact"/>
              <w:rPr>
                <w:color w:val="000000"/>
                <w:sz w:val="24"/>
                <w:highlight w:val="none"/>
              </w:rPr>
            </w:pPr>
            <w:r>
              <w:rPr>
                <w:color w:val="000000"/>
                <w:sz w:val="24"/>
                <w:highlight w:val="none"/>
              </w:rPr>
              <w:t xml:space="preserve">（</w:t>
            </w:r>
            <w:r>
              <w:rPr>
                <w:rFonts w:hint="eastAsia"/>
                <w:color w:val="000000"/>
                <w:sz w:val="24"/>
                <w:highlight w:val="none"/>
              </w:rPr>
              <w:t xml:space="preserve">2</w:t>
            </w:r>
            <w:r>
              <w:rPr>
                <w:color w:val="000000"/>
                <w:sz w:val="24"/>
                <w:highlight w:val="none"/>
              </w:rPr>
              <w:t xml:space="preserve">）及时配合</w:t>
            </w:r>
            <w:r>
              <w:rPr>
                <w:color w:val="000000"/>
                <w:sz w:val="24"/>
                <w:highlight w:val="none"/>
                <w:lang w:eastAsia="en-US"/>
              </w:rPr>
              <w:t xml:space="preserve">采购人</w:t>
            </w:r>
            <w:r>
              <w:rPr>
                <w:color w:val="000000"/>
                <w:sz w:val="24"/>
                <w:highlight w:val="none"/>
              </w:rPr>
              <w:t xml:space="preserve">完成相关记录的采集。</w:t>
            </w:r>
            <w:r>
              <w:rPr>
                <w:color w:val="000000"/>
                <w:sz w:val="24"/>
                <w:highlight w:val="none"/>
              </w:rPr>
            </w:r>
            <w:r/>
          </w:p>
        </w:tc>
      </w:tr>
      <w:tr>
        <w:trPr/>
        <w:tc>
          <w:tcPr>
            <w:tcMar>
              <w:top w:w="100" w:type="dxa"/>
              <w:bottom w:w="100" w:type="dxa"/>
            </w:tcMar>
            <w:tcW w:w="513" w:type="dxa"/>
            <w:vAlign w:val="center"/>
            <w:vMerge w:val="continue"/>
            <w:textDirection w:val="lrTb"/>
            <w:noWrap w:val="false"/>
          </w:tcPr>
          <w:p>
            <w:pPr>
              <w:pStyle w:val="1060"/>
              <w:jc w:val="center"/>
              <w:spacing w:line="400" w:lineRule="exact"/>
              <w:widowControl/>
              <w:rPr>
                <w:color w:val="000000"/>
                <w:sz w:val="24"/>
                <w:highlight w:val="none"/>
              </w:rPr>
            </w:pPr>
            <w:r>
              <w:rPr>
                <w:color w:val="000000"/>
                <w:sz w:val="24"/>
                <w:highlight w:val="none"/>
              </w:rPr>
            </w:r>
            <w:r/>
          </w:p>
        </w:tc>
        <w:tc>
          <w:tcPr>
            <w:tcMar>
              <w:top w:w="100" w:type="dxa"/>
              <w:bottom w:w="100" w:type="dxa"/>
            </w:tcMar>
            <w:tcW w:w="927" w:type="dxa"/>
            <w:vAlign w:val="center"/>
            <w:vMerge w:val="continue"/>
            <w:textDirection w:val="lrTb"/>
            <w:noWrap w:val="false"/>
          </w:tcPr>
          <w:p>
            <w:pPr>
              <w:pStyle w:val="1060"/>
              <w:jc w:val="left"/>
              <w:spacing w:line="400" w:lineRule="exact"/>
              <w:widowControl/>
              <w:rPr>
                <w:color w:val="000000"/>
                <w:sz w:val="24"/>
                <w:highlight w:val="none"/>
              </w:rPr>
            </w:pPr>
            <w:r>
              <w:rPr>
                <w:color w:val="000000"/>
                <w:sz w:val="24"/>
                <w:highlight w:val="none"/>
              </w:rPr>
            </w:r>
            <w:r/>
          </w:p>
        </w:tc>
        <w:tc>
          <w:tcPr>
            <w:tcMar>
              <w:top w:w="100" w:type="dxa"/>
              <w:bottom w:w="100" w:type="dxa"/>
            </w:tcMar>
            <w:tcW w:w="8300" w:type="dxa"/>
            <w:vAlign w:val="center"/>
            <w:textDirection w:val="lrTb"/>
            <w:noWrap w:val="false"/>
          </w:tcPr>
          <w:p>
            <w:pPr>
              <w:pStyle w:val="1060"/>
              <w:jc w:val="left"/>
              <w:spacing w:line="400" w:lineRule="exact"/>
              <w:widowControl/>
              <w:rPr>
                <w:color w:val="000000"/>
                <w:sz w:val="24"/>
                <w:highlight w:val="none"/>
              </w:rPr>
            </w:pPr>
            <w:r>
              <w:rPr>
                <w:color w:val="000000"/>
                <w:sz w:val="24"/>
                <w:highlight w:val="none"/>
              </w:rPr>
              <w:t xml:space="preserve">4.3售后服务</w:t>
            </w:r>
            <w:r>
              <w:rPr>
                <w:color w:val="000000"/>
                <w:sz w:val="24"/>
                <w:highlight w:val="none"/>
              </w:rPr>
            </w:r>
            <w:r/>
          </w:p>
        </w:tc>
      </w:tr>
      <w:tr>
        <w:trPr>
          <w:trHeight w:val="1435"/>
        </w:trPr>
        <w:tc>
          <w:tcPr>
            <w:tcMar>
              <w:top w:w="100" w:type="dxa"/>
              <w:bottom w:w="100" w:type="dxa"/>
            </w:tcMar>
            <w:tcW w:w="513" w:type="dxa"/>
            <w:vAlign w:val="center"/>
            <w:vMerge w:val="continue"/>
            <w:textDirection w:val="lrTb"/>
            <w:noWrap w:val="false"/>
          </w:tcPr>
          <w:p>
            <w:pPr>
              <w:pStyle w:val="1060"/>
              <w:jc w:val="center"/>
              <w:spacing w:line="400" w:lineRule="exact"/>
              <w:widowControl/>
              <w:rPr>
                <w:color w:val="000000"/>
                <w:sz w:val="24"/>
                <w:highlight w:val="none"/>
              </w:rPr>
            </w:pPr>
            <w:r>
              <w:rPr>
                <w:color w:val="000000"/>
                <w:sz w:val="24"/>
                <w:highlight w:val="none"/>
              </w:rPr>
            </w:r>
            <w:r/>
          </w:p>
        </w:tc>
        <w:tc>
          <w:tcPr>
            <w:tcMar>
              <w:top w:w="100" w:type="dxa"/>
              <w:bottom w:w="100" w:type="dxa"/>
            </w:tcMar>
            <w:tcW w:w="927" w:type="dxa"/>
            <w:vAlign w:val="center"/>
            <w:vMerge w:val="continue"/>
            <w:textDirection w:val="lrTb"/>
            <w:noWrap w:val="false"/>
          </w:tcPr>
          <w:p>
            <w:pPr>
              <w:pStyle w:val="1060"/>
              <w:jc w:val="left"/>
              <w:spacing w:line="400" w:lineRule="exact"/>
              <w:widowControl/>
              <w:rPr>
                <w:color w:val="000000"/>
                <w:sz w:val="24"/>
                <w:highlight w:val="none"/>
              </w:rPr>
            </w:pPr>
            <w:r>
              <w:rPr>
                <w:color w:val="000000"/>
                <w:sz w:val="24"/>
                <w:highlight w:val="none"/>
              </w:rPr>
            </w:r>
            <w:r/>
          </w:p>
        </w:tc>
        <w:tc>
          <w:tcPr>
            <w:tcMar>
              <w:top w:w="100" w:type="dxa"/>
              <w:bottom w:w="100" w:type="dxa"/>
            </w:tcMar>
            <w:tcW w:w="8300" w:type="dxa"/>
            <w:vAlign w:val="center"/>
            <w:textDirection w:val="lrTb"/>
            <w:noWrap w:val="false"/>
          </w:tcPr>
          <w:p>
            <w:pPr>
              <w:pStyle w:val="1060"/>
              <w:spacing w:line="440" w:lineRule="exact"/>
              <w:rPr>
                <w:color w:val="000000"/>
                <w:sz w:val="24"/>
                <w:highlight w:val="none"/>
              </w:rPr>
            </w:pPr>
            <w:r>
              <w:rPr>
                <w:color w:val="000000"/>
                <w:sz w:val="24"/>
                <w:highlight w:val="none"/>
              </w:rPr>
              <w:t xml:space="preserve">（1）提供1小时内响应，2小时内向服务对象提供维修等服务；</w:t>
            </w:r>
            <w:r>
              <w:rPr>
                <w:color w:val="000000"/>
                <w:sz w:val="24"/>
                <w:highlight w:val="none"/>
              </w:rPr>
            </w:r>
            <w:r/>
          </w:p>
          <w:p>
            <w:pPr>
              <w:pStyle w:val="1060"/>
              <w:spacing w:line="440" w:lineRule="exact"/>
              <w:rPr>
                <w:color w:val="000000"/>
                <w:sz w:val="24"/>
                <w:highlight w:val="none"/>
              </w:rPr>
            </w:pPr>
            <w:r>
              <w:rPr>
                <w:color w:val="000000"/>
                <w:sz w:val="24"/>
                <w:highlight w:val="none"/>
              </w:rPr>
              <w:t xml:space="preserve">（2）提供1年以上免费维保服务（按产品维保期限定）；</w:t>
            </w:r>
            <w:r>
              <w:rPr>
                <w:color w:val="000000"/>
                <w:sz w:val="24"/>
                <w:highlight w:val="none"/>
              </w:rPr>
            </w:r>
            <w:r/>
          </w:p>
          <w:p>
            <w:pPr>
              <w:pStyle w:val="1060"/>
              <w:jc w:val="left"/>
              <w:spacing w:line="400" w:lineRule="exact"/>
              <w:rPr>
                <w:color w:val="000000"/>
                <w:sz w:val="24"/>
                <w:highlight w:val="none"/>
              </w:rPr>
            </w:pPr>
            <w:r>
              <w:rPr>
                <w:color w:val="000000"/>
                <w:sz w:val="24"/>
                <w:highlight w:val="none"/>
              </w:rPr>
              <w:t xml:space="preserve">（3）提供免费维保期外的优惠维修等服务。</w:t>
            </w:r>
            <w:r>
              <w:rPr>
                <w:color w:val="000000"/>
                <w:sz w:val="24"/>
                <w:highlight w:val="none"/>
              </w:rPr>
            </w:r>
            <w:r/>
          </w:p>
        </w:tc>
      </w:tr>
      <w:tr>
        <w:trPr>
          <w:trHeight w:val="160"/>
        </w:trPr>
        <w:tc>
          <w:tcPr>
            <w:tcMar>
              <w:top w:w="100" w:type="dxa"/>
              <w:bottom w:w="100" w:type="dxa"/>
            </w:tcMar>
            <w:tcW w:w="513" w:type="dxa"/>
            <w:vAlign w:val="center"/>
            <w:vMerge w:val="continue"/>
            <w:textDirection w:val="lrTb"/>
            <w:noWrap w:val="false"/>
          </w:tcPr>
          <w:p>
            <w:pPr>
              <w:pStyle w:val="1060"/>
              <w:jc w:val="center"/>
              <w:spacing w:line="400" w:lineRule="exact"/>
              <w:widowControl/>
              <w:rPr>
                <w:color w:val="000000"/>
                <w:sz w:val="24"/>
                <w:highlight w:val="none"/>
              </w:rPr>
            </w:pPr>
            <w:r>
              <w:rPr>
                <w:color w:val="000000"/>
                <w:sz w:val="24"/>
                <w:highlight w:val="none"/>
              </w:rPr>
            </w:r>
            <w:r/>
          </w:p>
        </w:tc>
        <w:tc>
          <w:tcPr>
            <w:tcMar>
              <w:top w:w="100" w:type="dxa"/>
              <w:bottom w:w="100" w:type="dxa"/>
            </w:tcMar>
            <w:tcW w:w="927" w:type="dxa"/>
            <w:vAlign w:val="center"/>
            <w:vMerge w:val="continue"/>
            <w:textDirection w:val="lrTb"/>
            <w:noWrap w:val="false"/>
          </w:tcPr>
          <w:p>
            <w:pPr>
              <w:pStyle w:val="1060"/>
              <w:jc w:val="left"/>
              <w:spacing w:line="400" w:lineRule="exact"/>
              <w:widowControl/>
              <w:rPr>
                <w:color w:val="000000"/>
                <w:sz w:val="24"/>
                <w:highlight w:val="none"/>
              </w:rPr>
            </w:pPr>
            <w:r>
              <w:rPr>
                <w:color w:val="000000"/>
                <w:sz w:val="24"/>
                <w:highlight w:val="none"/>
              </w:rPr>
            </w:r>
            <w:r/>
          </w:p>
        </w:tc>
        <w:tc>
          <w:tcPr>
            <w:tcMar>
              <w:top w:w="100" w:type="dxa"/>
              <w:bottom w:w="100" w:type="dxa"/>
            </w:tcMar>
            <w:tcW w:w="8300" w:type="dxa"/>
            <w:vAlign w:val="center"/>
            <w:textDirection w:val="lrTb"/>
            <w:noWrap w:val="false"/>
          </w:tcPr>
          <w:p>
            <w:pPr>
              <w:pStyle w:val="1060"/>
              <w:jc w:val="left"/>
              <w:spacing w:line="400" w:lineRule="exact"/>
              <w:rPr>
                <w:color w:val="000000"/>
                <w:sz w:val="24"/>
                <w:highlight w:val="none"/>
              </w:rPr>
            </w:pPr>
            <w:r>
              <w:rPr>
                <w:color w:val="000000"/>
                <w:sz w:val="24"/>
                <w:highlight w:val="none"/>
              </w:rPr>
              <w:t xml:space="preserve">4.4 支持性服务</w:t>
            </w:r>
            <w:r>
              <w:rPr>
                <w:color w:val="000000"/>
                <w:sz w:val="24"/>
                <w:highlight w:val="none"/>
              </w:rPr>
            </w:r>
            <w:r/>
          </w:p>
        </w:tc>
      </w:tr>
      <w:tr>
        <w:trPr>
          <w:trHeight w:val="160"/>
        </w:trPr>
        <w:tc>
          <w:tcPr>
            <w:tcMar>
              <w:top w:w="100" w:type="dxa"/>
              <w:bottom w:w="100" w:type="dxa"/>
            </w:tcMar>
            <w:tcW w:w="513" w:type="dxa"/>
            <w:vAlign w:val="center"/>
            <w:vMerge w:val="continue"/>
            <w:textDirection w:val="lrTb"/>
            <w:noWrap w:val="false"/>
          </w:tcPr>
          <w:p>
            <w:pPr>
              <w:pStyle w:val="1060"/>
              <w:jc w:val="center"/>
              <w:spacing w:line="400" w:lineRule="exact"/>
              <w:widowControl/>
              <w:rPr>
                <w:color w:val="000000"/>
                <w:sz w:val="24"/>
                <w:highlight w:val="none"/>
              </w:rPr>
            </w:pPr>
            <w:r>
              <w:rPr>
                <w:color w:val="000000"/>
                <w:sz w:val="24"/>
                <w:highlight w:val="none"/>
              </w:rPr>
            </w:r>
            <w:r/>
          </w:p>
        </w:tc>
        <w:tc>
          <w:tcPr>
            <w:tcMar>
              <w:top w:w="100" w:type="dxa"/>
              <w:bottom w:w="100" w:type="dxa"/>
            </w:tcMar>
            <w:tcW w:w="927" w:type="dxa"/>
            <w:vAlign w:val="center"/>
            <w:vMerge w:val="continue"/>
            <w:textDirection w:val="lrTb"/>
            <w:noWrap w:val="false"/>
          </w:tcPr>
          <w:p>
            <w:pPr>
              <w:pStyle w:val="1060"/>
              <w:jc w:val="left"/>
              <w:spacing w:line="400" w:lineRule="exact"/>
              <w:widowControl/>
              <w:rPr>
                <w:color w:val="000000"/>
                <w:sz w:val="24"/>
                <w:highlight w:val="none"/>
              </w:rPr>
            </w:pPr>
            <w:r>
              <w:rPr>
                <w:color w:val="000000"/>
                <w:sz w:val="24"/>
                <w:highlight w:val="none"/>
              </w:rPr>
            </w:r>
            <w:r/>
          </w:p>
        </w:tc>
        <w:tc>
          <w:tcPr>
            <w:tcMar>
              <w:top w:w="100" w:type="dxa"/>
              <w:bottom w:w="100" w:type="dxa"/>
            </w:tcMar>
            <w:tcW w:w="8300" w:type="dxa"/>
            <w:vAlign w:val="center"/>
            <w:textDirection w:val="lrTb"/>
            <w:noWrap w:val="false"/>
          </w:tcPr>
          <w:p>
            <w:pPr>
              <w:pStyle w:val="1060"/>
              <w:jc w:val="left"/>
              <w:spacing w:line="400" w:lineRule="exact"/>
              <w:rPr>
                <w:color w:val="000000"/>
                <w:sz w:val="24"/>
                <w:highlight w:val="none"/>
              </w:rPr>
            </w:pPr>
            <w:r>
              <w:rPr>
                <w:color w:val="000000"/>
                <w:sz w:val="24"/>
                <w:highlight w:val="none"/>
              </w:rPr>
              <w:t xml:space="preserve">结合全国“肢残人活动日”“全国助残日”等专题日，举办或参与公益活动，每年不少于</w:t>
            </w:r>
            <w:r>
              <w:rPr>
                <w:rFonts w:hint="eastAsia"/>
                <w:color w:val="000000"/>
                <w:sz w:val="24"/>
                <w:highlight w:val="none"/>
              </w:rPr>
              <w:t xml:space="preserve">2</w:t>
            </w:r>
            <w:r>
              <w:rPr>
                <w:color w:val="000000"/>
                <w:sz w:val="24"/>
                <w:highlight w:val="none"/>
              </w:rPr>
              <w:t xml:space="preserve">次</w:t>
            </w:r>
            <w:r>
              <w:rPr>
                <w:rFonts w:hint="eastAsia"/>
                <w:color w:val="000000"/>
                <w:sz w:val="24"/>
                <w:highlight w:val="none"/>
              </w:rPr>
              <w:t xml:space="preserve">：</w:t>
            </w:r>
            <w:r>
              <w:rPr>
                <w:rFonts w:hint="eastAsia" w:ascii="宋体" w:hAnsi="宋体" w:cs="宋体"/>
                <w:color w:val="000000"/>
                <w:sz w:val="24"/>
                <w:highlight w:val="none"/>
              </w:rPr>
              <w:t xml:space="preserve">并在新媒体平台推送宣传内容，年度刊发或提供相关宣传文稿不少于 2 篇。</w:t>
            </w:r>
            <w:r>
              <w:rPr>
                <w:color w:val="000000"/>
                <w:sz w:val="24"/>
                <w:highlight w:val="none"/>
              </w:rPr>
            </w:r>
            <w:r/>
          </w:p>
        </w:tc>
      </w:tr>
      <w:tr>
        <w:trPr>
          <w:trHeight w:val="160"/>
        </w:trPr>
        <w:tc>
          <w:tcPr>
            <w:tcMar>
              <w:top w:w="100" w:type="dxa"/>
              <w:bottom w:w="100" w:type="dxa"/>
            </w:tcMar>
            <w:tcW w:w="513" w:type="dxa"/>
            <w:vAlign w:val="center"/>
            <w:vMerge w:val="continue"/>
            <w:textDirection w:val="lrTb"/>
            <w:noWrap w:val="false"/>
          </w:tcPr>
          <w:p>
            <w:pPr>
              <w:pStyle w:val="1060"/>
              <w:jc w:val="center"/>
              <w:spacing w:line="400" w:lineRule="exact"/>
              <w:widowControl/>
              <w:rPr>
                <w:color w:val="000000"/>
                <w:sz w:val="24"/>
                <w:highlight w:val="none"/>
              </w:rPr>
            </w:pPr>
            <w:r>
              <w:rPr>
                <w:color w:val="000000"/>
                <w:sz w:val="24"/>
                <w:highlight w:val="none"/>
              </w:rPr>
            </w:r>
            <w:r/>
          </w:p>
        </w:tc>
        <w:tc>
          <w:tcPr>
            <w:tcMar>
              <w:top w:w="100" w:type="dxa"/>
              <w:bottom w:w="100" w:type="dxa"/>
            </w:tcMar>
            <w:tcW w:w="927" w:type="dxa"/>
            <w:vAlign w:val="center"/>
            <w:vMerge w:val="continue"/>
            <w:textDirection w:val="lrTb"/>
            <w:noWrap w:val="false"/>
          </w:tcPr>
          <w:p>
            <w:pPr>
              <w:pStyle w:val="1060"/>
              <w:jc w:val="left"/>
              <w:spacing w:line="400" w:lineRule="exact"/>
              <w:widowControl/>
              <w:rPr>
                <w:color w:val="000000"/>
                <w:sz w:val="24"/>
                <w:highlight w:val="none"/>
              </w:rPr>
            </w:pPr>
            <w:r>
              <w:rPr>
                <w:color w:val="000000"/>
                <w:sz w:val="24"/>
                <w:highlight w:val="none"/>
              </w:rPr>
            </w:r>
            <w:r/>
          </w:p>
        </w:tc>
        <w:tc>
          <w:tcPr>
            <w:tcMar>
              <w:top w:w="100" w:type="dxa"/>
              <w:bottom w:w="100" w:type="dxa"/>
            </w:tcMar>
            <w:tcW w:w="8300" w:type="dxa"/>
            <w:vAlign w:val="center"/>
            <w:textDirection w:val="lrTb"/>
            <w:noWrap w:val="false"/>
          </w:tcPr>
          <w:p>
            <w:pPr>
              <w:pStyle w:val="1060"/>
              <w:jc w:val="left"/>
              <w:spacing w:line="400" w:lineRule="exact"/>
              <w:widowControl/>
              <w:rPr>
                <w:color w:val="000000"/>
                <w:sz w:val="24"/>
                <w:highlight w:val="none"/>
              </w:rPr>
            </w:pPr>
            <w:r>
              <w:rPr>
                <w:color w:val="000000"/>
                <w:sz w:val="24"/>
                <w:szCs w:val="22"/>
                <w:highlight w:val="none"/>
              </w:rPr>
              <w:t xml:space="preserve">4.5 管理制度</w:t>
            </w:r>
            <w:r>
              <w:rPr>
                <w:color w:val="000000"/>
                <w:sz w:val="24"/>
                <w:highlight w:val="none"/>
              </w:rPr>
            </w:r>
            <w:r/>
          </w:p>
        </w:tc>
      </w:tr>
      <w:tr>
        <w:trPr>
          <w:trHeight w:val="400"/>
        </w:trPr>
        <w:tc>
          <w:tcPr>
            <w:tcMar>
              <w:top w:w="100" w:type="dxa"/>
              <w:bottom w:w="100" w:type="dxa"/>
            </w:tcMar>
            <w:tcW w:w="513" w:type="dxa"/>
            <w:vAlign w:val="center"/>
            <w:vMerge w:val="continue"/>
            <w:textDirection w:val="lrTb"/>
            <w:noWrap w:val="false"/>
          </w:tcPr>
          <w:p>
            <w:pPr>
              <w:pStyle w:val="1060"/>
              <w:jc w:val="center"/>
              <w:spacing w:line="400" w:lineRule="exact"/>
              <w:widowControl/>
              <w:rPr>
                <w:color w:val="000000"/>
                <w:sz w:val="24"/>
                <w:highlight w:val="none"/>
              </w:rPr>
            </w:pPr>
            <w:r>
              <w:rPr>
                <w:color w:val="000000"/>
                <w:sz w:val="24"/>
                <w:highlight w:val="none"/>
              </w:rPr>
            </w:r>
            <w:r/>
          </w:p>
        </w:tc>
        <w:tc>
          <w:tcPr>
            <w:tcMar>
              <w:top w:w="100" w:type="dxa"/>
              <w:bottom w:w="100" w:type="dxa"/>
            </w:tcMar>
            <w:tcW w:w="927" w:type="dxa"/>
            <w:vAlign w:val="center"/>
            <w:vMerge w:val="continue"/>
            <w:textDirection w:val="lrTb"/>
            <w:noWrap w:val="false"/>
          </w:tcPr>
          <w:p>
            <w:pPr>
              <w:pStyle w:val="1060"/>
              <w:jc w:val="left"/>
              <w:spacing w:line="400" w:lineRule="exact"/>
              <w:widowControl/>
              <w:rPr>
                <w:color w:val="000000"/>
                <w:sz w:val="24"/>
                <w:highlight w:val="none"/>
              </w:rPr>
            </w:pPr>
            <w:r>
              <w:rPr>
                <w:color w:val="000000"/>
                <w:sz w:val="24"/>
                <w:highlight w:val="none"/>
              </w:rPr>
            </w:r>
            <w:r/>
          </w:p>
        </w:tc>
        <w:tc>
          <w:tcPr>
            <w:tcMar>
              <w:top w:w="100" w:type="dxa"/>
              <w:bottom w:w="100" w:type="dxa"/>
            </w:tcMar>
            <w:tcW w:w="8300" w:type="dxa"/>
            <w:vAlign w:val="center"/>
            <w:textDirection w:val="lrTb"/>
            <w:noWrap w:val="false"/>
          </w:tcPr>
          <w:p>
            <w:pPr>
              <w:pStyle w:val="1060"/>
              <w:jc w:val="left"/>
              <w:spacing w:line="400" w:lineRule="exact"/>
              <w:widowControl/>
              <w:rPr>
                <w:color w:val="000000"/>
                <w:sz w:val="24"/>
                <w:highlight w:val="none"/>
              </w:rPr>
            </w:pPr>
            <w:r>
              <w:rPr>
                <w:color w:val="000000"/>
                <w:sz w:val="24"/>
                <w:highlight w:val="none"/>
              </w:rPr>
              <w:t xml:space="preserve">供应商针对本项目服务内容制定的管理制度包含但不限于人力资源管理（含岗位职责）、财务管理制度（含固定资产管理制度）、业务管理制度、突发事件应急预案（含安全、消防等）、信息管理（含信息安全、舆情处置等）、服务项目档案管理制度等。</w:t>
            </w:r>
            <w:r>
              <w:rPr>
                <w:color w:val="000000"/>
                <w:sz w:val="24"/>
                <w:highlight w:val="none"/>
              </w:rPr>
            </w:r>
            <w:r/>
          </w:p>
        </w:tc>
      </w:tr>
      <w:tr>
        <w:trPr/>
        <w:tc>
          <w:tcPr>
            <w:tcMar>
              <w:top w:w="100" w:type="dxa"/>
              <w:bottom w:w="100" w:type="dxa"/>
            </w:tcMar>
            <w:tcW w:w="513" w:type="dxa"/>
            <w:vAlign w:val="center"/>
            <w:vMerge w:val="restart"/>
            <w:textDirection w:val="lrTb"/>
            <w:noWrap w:val="false"/>
          </w:tcPr>
          <w:p>
            <w:pPr>
              <w:pStyle w:val="1060"/>
              <w:jc w:val="center"/>
              <w:spacing w:line="400" w:lineRule="exact"/>
              <w:widowControl/>
              <w:rPr>
                <w:color w:val="000000"/>
                <w:sz w:val="24"/>
                <w:highlight w:val="none"/>
              </w:rPr>
            </w:pPr>
            <w:r>
              <w:rPr>
                <w:color w:val="000000"/>
                <w:sz w:val="24"/>
                <w:highlight w:val="none"/>
              </w:rPr>
              <w:t xml:space="preserve">5</w:t>
            </w:r>
            <w:r>
              <w:rPr>
                <w:color w:val="000000"/>
                <w:sz w:val="24"/>
                <w:highlight w:val="none"/>
              </w:rPr>
            </w:r>
            <w:r/>
          </w:p>
        </w:tc>
        <w:tc>
          <w:tcPr>
            <w:tcMar>
              <w:top w:w="100" w:type="dxa"/>
              <w:bottom w:w="100" w:type="dxa"/>
            </w:tcMar>
            <w:tcW w:w="927" w:type="dxa"/>
            <w:vAlign w:val="center"/>
            <w:vMerge w:val="restart"/>
            <w:textDirection w:val="lrTb"/>
            <w:noWrap w:val="false"/>
          </w:tcPr>
          <w:p>
            <w:pPr>
              <w:pStyle w:val="1060"/>
              <w:jc w:val="left"/>
              <w:spacing w:line="400" w:lineRule="exact"/>
              <w:widowControl/>
              <w:rPr>
                <w:color w:val="000000"/>
                <w:sz w:val="24"/>
                <w:highlight w:val="none"/>
              </w:rPr>
            </w:pPr>
            <w:r>
              <w:rPr>
                <w:color w:val="000000"/>
                <w:sz w:val="24"/>
                <w:highlight w:val="none"/>
              </w:rPr>
              <w:t xml:space="preserve">机构建设</w:t>
            </w:r>
            <w:r>
              <w:rPr>
                <w:color w:val="000000"/>
                <w:sz w:val="24"/>
                <w:highlight w:val="none"/>
              </w:rPr>
            </w:r>
            <w:r/>
          </w:p>
        </w:tc>
        <w:tc>
          <w:tcPr>
            <w:tcMar>
              <w:top w:w="100" w:type="dxa"/>
              <w:bottom w:w="100" w:type="dxa"/>
            </w:tcMar>
            <w:tcW w:w="8300" w:type="dxa"/>
            <w:vAlign w:val="center"/>
            <w:textDirection w:val="lrTb"/>
            <w:noWrap w:val="false"/>
          </w:tcPr>
          <w:p>
            <w:pPr>
              <w:pStyle w:val="1060"/>
              <w:spacing w:line="400" w:lineRule="exact"/>
              <w:rPr>
                <w:i/>
                <w:iCs/>
                <w:color w:val="000000"/>
                <w:sz w:val="24"/>
                <w:szCs w:val="32"/>
                <w:highlight w:val="none"/>
                <w:u w:val="single"/>
              </w:rPr>
            </w:pPr>
            <w:r>
              <w:rPr>
                <w:color w:val="000000"/>
                <w:sz w:val="24"/>
                <w:highlight w:val="none"/>
              </w:rPr>
              <w:t xml:space="preserve">5.1 场地建设</w:t>
            </w:r>
            <w:r>
              <w:rPr>
                <w:i/>
                <w:iCs/>
                <w:color w:val="000000"/>
                <w:sz w:val="24"/>
                <w:szCs w:val="32"/>
                <w:highlight w:val="none"/>
                <w:u w:val="single"/>
              </w:rPr>
            </w:r>
            <w:r/>
          </w:p>
        </w:tc>
      </w:tr>
      <w:tr>
        <w:trPr>
          <w:trHeight w:val="710"/>
        </w:trPr>
        <w:tc>
          <w:tcPr>
            <w:tcMar>
              <w:top w:w="100" w:type="dxa"/>
              <w:bottom w:w="100" w:type="dxa"/>
            </w:tcMar>
            <w:tcW w:w="513" w:type="dxa"/>
            <w:vAlign w:val="center"/>
            <w:vMerge w:val="continue"/>
            <w:textDirection w:val="lrTb"/>
            <w:noWrap w:val="false"/>
          </w:tcPr>
          <w:p>
            <w:pPr>
              <w:pStyle w:val="1060"/>
              <w:jc w:val="center"/>
              <w:spacing w:line="400" w:lineRule="exact"/>
              <w:widowControl/>
              <w:rPr>
                <w:color w:val="000000"/>
                <w:sz w:val="24"/>
                <w:highlight w:val="none"/>
              </w:rPr>
            </w:pPr>
            <w:r>
              <w:rPr>
                <w:color w:val="000000"/>
                <w:sz w:val="24"/>
                <w:highlight w:val="none"/>
              </w:rPr>
            </w:r>
            <w:r/>
          </w:p>
        </w:tc>
        <w:tc>
          <w:tcPr>
            <w:tcMar>
              <w:top w:w="100" w:type="dxa"/>
              <w:bottom w:w="100" w:type="dxa"/>
            </w:tcMar>
            <w:tcW w:w="927" w:type="dxa"/>
            <w:vAlign w:val="center"/>
            <w:vMerge w:val="continue"/>
            <w:textDirection w:val="lrTb"/>
            <w:noWrap w:val="false"/>
          </w:tcPr>
          <w:p>
            <w:pPr>
              <w:pStyle w:val="1060"/>
              <w:jc w:val="left"/>
              <w:spacing w:line="400" w:lineRule="exact"/>
              <w:widowControl/>
              <w:rPr>
                <w:i/>
                <w:color w:val="000000"/>
                <w:sz w:val="24"/>
                <w:highlight w:val="none"/>
                <w:u w:val="single"/>
              </w:rPr>
            </w:pPr>
            <w:r>
              <w:rPr>
                <w:i/>
                <w:color w:val="000000"/>
                <w:sz w:val="24"/>
                <w:highlight w:val="none"/>
                <w:u w:val="single"/>
              </w:rPr>
            </w:r>
            <w:r/>
          </w:p>
        </w:tc>
        <w:tc>
          <w:tcPr>
            <w:tcMar>
              <w:top w:w="100" w:type="dxa"/>
              <w:bottom w:w="100" w:type="dxa"/>
            </w:tcMar>
            <w:tcW w:w="8300" w:type="dxa"/>
            <w:vAlign w:val="center"/>
            <w:textDirection w:val="lrTb"/>
            <w:noWrap w:val="false"/>
          </w:tcPr>
          <w:p>
            <w:pPr>
              <w:pStyle w:val="1060"/>
              <w:jc w:val="left"/>
              <w:spacing w:line="400" w:lineRule="exact"/>
              <w:widowControl/>
              <w:rPr>
                <w:color w:val="000000"/>
                <w:sz w:val="24"/>
                <w:highlight w:val="none"/>
              </w:rPr>
            </w:pPr>
            <w:r>
              <w:rPr>
                <w:rFonts w:hint="eastAsia"/>
                <w:color w:val="000000"/>
                <w:sz w:val="24"/>
                <w:highlight w:val="none"/>
              </w:rPr>
              <w:t xml:space="preserve">（1）取得消防合格证书；</w:t>
            </w:r>
            <w:r>
              <w:rPr>
                <w:color w:val="000000"/>
                <w:sz w:val="24"/>
                <w:highlight w:val="none"/>
              </w:rPr>
            </w:r>
            <w:r/>
          </w:p>
          <w:p>
            <w:pPr>
              <w:pStyle w:val="1060"/>
              <w:jc w:val="left"/>
              <w:spacing w:line="400" w:lineRule="exact"/>
              <w:widowControl/>
              <w:rPr>
                <w:i/>
                <w:iCs/>
                <w:color w:val="000000"/>
                <w:sz w:val="24"/>
                <w:highlight w:val="none"/>
                <w:u w:val="single"/>
              </w:rPr>
            </w:pPr>
            <w:r>
              <w:rPr>
                <w:rFonts w:hint="eastAsia"/>
                <w:color w:val="000000"/>
                <w:sz w:val="24"/>
                <w:highlight w:val="none"/>
              </w:rPr>
              <w:t xml:space="preserve">（2）具有开展残疾人假肢矫形器适配服务工作的场地设施；</w:t>
            </w:r>
            <w:r>
              <w:rPr>
                <w:i/>
                <w:iCs/>
                <w:color w:val="000000"/>
                <w:sz w:val="24"/>
                <w:highlight w:val="none"/>
                <w:u w:val="single"/>
              </w:rPr>
            </w:r>
            <w:r/>
          </w:p>
        </w:tc>
      </w:tr>
      <w:tr>
        <w:trPr>
          <w:trHeight w:val="600"/>
        </w:trPr>
        <w:tc>
          <w:tcPr>
            <w:tcMar>
              <w:top w:w="100" w:type="dxa"/>
              <w:bottom w:w="100" w:type="dxa"/>
            </w:tcMar>
            <w:tcW w:w="513" w:type="dxa"/>
            <w:vAlign w:val="center"/>
            <w:vMerge w:val="continue"/>
            <w:textDirection w:val="lrTb"/>
            <w:noWrap w:val="false"/>
          </w:tcPr>
          <w:p>
            <w:pPr>
              <w:pStyle w:val="1060"/>
              <w:jc w:val="center"/>
              <w:spacing w:line="400" w:lineRule="exact"/>
              <w:widowControl/>
              <w:rPr>
                <w:color w:val="000000"/>
                <w:sz w:val="24"/>
                <w:highlight w:val="none"/>
              </w:rPr>
            </w:pPr>
            <w:r>
              <w:rPr>
                <w:color w:val="000000"/>
                <w:sz w:val="24"/>
                <w:highlight w:val="none"/>
              </w:rPr>
            </w:r>
            <w:r/>
          </w:p>
        </w:tc>
        <w:tc>
          <w:tcPr>
            <w:tcMar>
              <w:top w:w="100" w:type="dxa"/>
              <w:bottom w:w="100" w:type="dxa"/>
            </w:tcMar>
            <w:tcW w:w="927" w:type="dxa"/>
            <w:vAlign w:val="center"/>
            <w:vMerge w:val="continue"/>
            <w:textDirection w:val="lrTb"/>
            <w:noWrap w:val="false"/>
          </w:tcPr>
          <w:p>
            <w:pPr>
              <w:pStyle w:val="1060"/>
              <w:jc w:val="left"/>
              <w:spacing w:line="400" w:lineRule="exact"/>
              <w:widowControl/>
              <w:rPr>
                <w:i/>
                <w:color w:val="000000"/>
                <w:sz w:val="24"/>
                <w:highlight w:val="none"/>
                <w:u w:val="single"/>
              </w:rPr>
            </w:pPr>
            <w:r>
              <w:rPr>
                <w:i/>
                <w:color w:val="000000"/>
                <w:sz w:val="24"/>
                <w:highlight w:val="none"/>
                <w:u w:val="single"/>
              </w:rPr>
            </w:r>
            <w:r/>
          </w:p>
        </w:tc>
        <w:tc>
          <w:tcPr>
            <w:tcMar>
              <w:top w:w="100" w:type="dxa"/>
              <w:bottom w:w="100" w:type="dxa"/>
            </w:tcMar>
            <w:tcW w:w="8300" w:type="dxa"/>
            <w:vAlign w:val="center"/>
            <w:textDirection w:val="lrTb"/>
            <w:noWrap w:val="false"/>
          </w:tcPr>
          <w:p>
            <w:pPr>
              <w:pStyle w:val="1060"/>
              <w:jc w:val="left"/>
              <w:spacing w:line="400" w:lineRule="exact"/>
              <w:widowControl/>
              <w:rPr>
                <w:rFonts w:hint="eastAsia" w:ascii="Times New Roman" w:hAnsi="Times New Roman" w:cs="Times New Roman"/>
                <w:color w:val="000000"/>
                <w:sz w:val="24"/>
                <w:highlight w:val="none"/>
              </w:rPr>
            </w:pPr>
            <w:r>
              <w:rPr>
                <w:rFonts w:hint="eastAsia" w:ascii="宋体" w:hAnsi="宋体" w:cs="宋体"/>
                <w:color w:val="000000"/>
                <w:sz w:val="24"/>
                <w:highlight w:val="none"/>
              </w:rPr>
              <w:t xml:space="preserve">有假肢(矫形器)产品展示接待室、取型室、患者病房、假肢(矫形器)制作室、材料库房、功能训练室及相关配套服务设施。建筑面积不少于300㎡且业务用房面积不少于建筑总面积的 70%。</w:t>
            </w:r>
            <w:r>
              <w:rPr>
                <w:rFonts w:hint="eastAsia" w:ascii="Times New Roman" w:hAnsi="Times New Roman" w:cs="Times New Roman"/>
                <w:color w:val="000000"/>
                <w:sz w:val="24"/>
                <w:highlight w:val="none"/>
              </w:rPr>
            </w:r>
            <w:r/>
          </w:p>
        </w:tc>
      </w:tr>
      <w:tr>
        <w:trPr>
          <w:trHeight w:val="117"/>
        </w:trPr>
        <w:tc>
          <w:tcPr>
            <w:tcMar>
              <w:top w:w="100" w:type="dxa"/>
              <w:bottom w:w="100" w:type="dxa"/>
            </w:tcMar>
            <w:tcW w:w="513" w:type="dxa"/>
            <w:vAlign w:val="center"/>
            <w:vMerge w:val="continue"/>
            <w:textDirection w:val="lrTb"/>
            <w:noWrap w:val="false"/>
          </w:tcPr>
          <w:p>
            <w:pPr>
              <w:pStyle w:val="1060"/>
              <w:jc w:val="center"/>
              <w:spacing w:line="400" w:lineRule="exact"/>
              <w:widowControl/>
              <w:rPr>
                <w:color w:val="000000"/>
                <w:sz w:val="24"/>
                <w:highlight w:val="none"/>
              </w:rPr>
            </w:pPr>
            <w:r>
              <w:rPr>
                <w:color w:val="000000"/>
                <w:sz w:val="24"/>
                <w:highlight w:val="none"/>
              </w:rPr>
            </w:r>
            <w:r/>
          </w:p>
        </w:tc>
        <w:tc>
          <w:tcPr>
            <w:tcMar>
              <w:top w:w="100" w:type="dxa"/>
              <w:bottom w:w="100" w:type="dxa"/>
            </w:tcMar>
            <w:tcW w:w="927" w:type="dxa"/>
            <w:vAlign w:val="center"/>
            <w:vMerge w:val="continue"/>
            <w:textDirection w:val="lrTb"/>
            <w:noWrap w:val="false"/>
          </w:tcPr>
          <w:p>
            <w:pPr>
              <w:pStyle w:val="1060"/>
              <w:jc w:val="left"/>
              <w:spacing w:line="400" w:lineRule="exact"/>
              <w:widowControl/>
              <w:rPr>
                <w:i/>
                <w:color w:val="000000"/>
                <w:sz w:val="24"/>
                <w:highlight w:val="none"/>
                <w:u w:val="single"/>
              </w:rPr>
            </w:pPr>
            <w:r>
              <w:rPr>
                <w:i/>
                <w:color w:val="000000"/>
                <w:sz w:val="24"/>
                <w:highlight w:val="none"/>
                <w:u w:val="single"/>
              </w:rPr>
            </w:r>
            <w:r/>
          </w:p>
        </w:tc>
        <w:tc>
          <w:tcPr>
            <w:tcMar>
              <w:top w:w="100" w:type="dxa"/>
              <w:bottom w:w="100" w:type="dxa"/>
            </w:tcMar>
            <w:tcW w:w="8300" w:type="dxa"/>
            <w:vAlign w:val="center"/>
            <w:textDirection w:val="lrTb"/>
            <w:noWrap w:val="false"/>
          </w:tcPr>
          <w:p>
            <w:pPr>
              <w:pStyle w:val="1060"/>
              <w:spacing w:line="400" w:lineRule="exact"/>
              <w:rPr>
                <w:i/>
                <w:iCs/>
                <w:color w:val="000000"/>
                <w:sz w:val="24"/>
                <w:highlight w:val="none"/>
                <w:u w:val="single"/>
              </w:rPr>
            </w:pPr>
            <w:r>
              <w:rPr>
                <w:color w:val="000000"/>
                <w:sz w:val="24"/>
                <w:highlight w:val="none"/>
              </w:rPr>
              <w:t xml:space="preserve">5.2 环境要求</w:t>
            </w:r>
            <w:r>
              <w:rPr>
                <w:i/>
                <w:iCs/>
                <w:color w:val="000000"/>
                <w:sz w:val="24"/>
                <w:highlight w:val="none"/>
                <w:u w:val="single"/>
              </w:rPr>
            </w:r>
            <w:r/>
          </w:p>
        </w:tc>
      </w:tr>
      <w:tr>
        <w:trPr>
          <w:trHeight w:val="117"/>
        </w:trPr>
        <w:tc>
          <w:tcPr>
            <w:tcMar>
              <w:top w:w="100" w:type="dxa"/>
              <w:bottom w:w="100" w:type="dxa"/>
            </w:tcMar>
            <w:tcW w:w="513" w:type="dxa"/>
            <w:vAlign w:val="center"/>
            <w:vMerge w:val="continue"/>
            <w:textDirection w:val="lrTb"/>
            <w:noWrap w:val="false"/>
          </w:tcPr>
          <w:p>
            <w:pPr>
              <w:pStyle w:val="1060"/>
              <w:jc w:val="center"/>
              <w:spacing w:line="400" w:lineRule="exact"/>
              <w:widowControl/>
              <w:rPr>
                <w:color w:val="000000"/>
                <w:sz w:val="24"/>
                <w:highlight w:val="none"/>
              </w:rPr>
            </w:pPr>
            <w:r>
              <w:rPr>
                <w:color w:val="000000"/>
                <w:sz w:val="24"/>
                <w:highlight w:val="none"/>
              </w:rPr>
            </w:r>
            <w:r/>
          </w:p>
        </w:tc>
        <w:tc>
          <w:tcPr>
            <w:tcMar>
              <w:top w:w="100" w:type="dxa"/>
              <w:bottom w:w="100" w:type="dxa"/>
            </w:tcMar>
            <w:tcW w:w="927" w:type="dxa"/>
            <w:vAlign w:val="center"/>
            <w:vMerge w:val="continue"/>
            <w:textDirection w:val="lrTb"/>
            <w:noWrap w:val="false"/>
          </w:tcPr>
          <w:p>
            <w:pPr>
              <w:pStyle w:val="1060"/>
              <w:jc w:val="left"/>
              <w:spacing w:line="400" w:lineRule="exact"/>
              <w:widowControl/>
              <w:rPr>
                <w:i/>
                <w:color w:val="000000"/>
                <w:sz w:val="24"/>
                <w:highlight w:val="none"/>
                <w:u w:val="single"/>
              </w:rPr>
            </w:pPr>
            <w:r>
              <w:rPr>
                <w:i/>
                <w:color w:val="000000"/>
                <w:sz w:val="24"/>
                <w:highlight w:val="none"/>
                <w:u w:val="single"/>
              </w:rPr>
            </w:r>
            <w:r/>
          </w:p>
        </w:tc>
        <w:tc>
          <w:tcPr>
            <w:tcMar>
              <w:top w:w="100" w:type="dxa"/>
              <w:bottom w:w="100" w:type="dxa"/>
            </w:tcMar>
            <w:tcW w:w="8300" w:type="dxa"/>
            <w:vAlign w:val="center"/>
            <w:textDirection w:val="lrTb"/>
            <w:noWrap w:val="false"/>
          </w:tcPr>
          <w:p>
            <w:pPr>
              <w:pStyle w:val="1060"/>
              <w:spacing w:line="400" w:lineRule="exact"/>
              <w:widowControl/>
              <w:rPr>
                <w:color w:val="000000"/>
                <w:sz w:val="24"/>
                <w:highlight w:val="none"/>
              </w:rPr>
            </w:pPr>
            <w:r>
              <w:rPr>
                <w:color w:val="000000"/>
                <w:sz w:val="24"/>
                <w:highlight w:val="none"/>
              </w:rPr>
              <w:t xml:space="preserve">（1）有独立、安全、相对稳定的房屋，并设置在安全区域内；</w:t>
            </w:r>
            <w:r>
              <w:rPr>
                <w:color w:val="000000"/>
                <w:sz w:val="24"/>
                <w:highlight w:val="none"/>
              </w:rPr>
            </w:r>
            <w:r/>
          </w:p>
          <w:p>
            <w:pPr>
              <w:pStyle w:val="1060"/>
              <w:spacing w:line="400" w:lineRule="exact"/>
              <w:widowControl/>
              <w:rPr>
                <w:color w:val="000000"/>
                <w:sz w:val="24"/>
                <w:highlight w:val="none"/>
              </w:rPr>
            </w:pPr>
            <w:r>
              <w:rPr>
                <w:color w:val="000000"/>
                <w:sz w:val="24"/>
                <w:highlight w:val="none"/>
              </w:rPr>
              <w:t xml:space="preserve">（2）周边交通便捷，有多条公交线路可达；</w:t>
            </w:r>
            <w:r>
              <w:rPr>
                <w:color w:val="000000"/>
                <w:sz w:val="24"/>
                <w:highlight w:val="none"/>
              </w:rPr>
            </w:r>
            <w:r/>
          </w:p>
          <w:p>
            <w:pPr>
              <w:pStyle w:val="1060"/>
              <w:spacing w:line="400" w:lineRule="exact"/>
              <w:widowControl/>
              <w:rPr>
                <w:color w:val="000000"/>
                <w:sz w:val="24"/>
                <w:highlight w:val="none"/>
              </w:rPr>
            </w:pPr>
            <w:r>
              <w:rPr>
                <w:color w:val="000000"/>
                <w:sz w:val="24"/>
                <w:highlight w:val="none"/>
              </w:rPr>
              <w:t xml:space="preserve">（3）</w:t>
            </w:r>
            <w:r>
              <w:rPr>
                <w:rFonts w:hint="eastAsia"/>
                <w:color w:val="000000"/>
                <w:sz w:val="24"/>
                <w:highlight w:val="none"/>
              </w:rPr>
              <w:t xml:space="preserve">有必要的无障碍设施。</w:t>
            </w:r>
            <w:r>
              <w:rPr>
                <w:color w:val="000000"/>
                <w:sz w:val="24"/>
                <w:highlight w:val="none"/>
              </w:rPr>
            </w:r>
            <w:r/>
          </w:p>
        </w:tc>
      </w:tr>
      <w:tr>
        <w:trPr>
          <w:trHeight w:val="90"/>
        </w:trPr>
        <w:tc>
          <w:tcPr>
            <w:tcMar>
              <w:top w:w="100" w:type="dxa"/>
              <w:bottom w:w="100" w:type="dxa"/>
            </w:tcMar>
            <w:tcW w:w="513" w:type="dxa"/>
            <w:vAlign w:val="center"/>
            <w:vMerge w:val="continue"/>
            <w:textDirection w:val="lrTb"/>
            <w:noWrap w:val="false"/>
          </w:tcPr>
          <w:p>
            <w:pPr>
              <w:pStyle w:val="1060"/>
              <w:jc w:val="center"/>
              <w:spacing w:line="400" w:lineRule="exact"/>
              <w:widowControl/>
              <w:rPr>
                <w:color w:val="000000"/>
                <w:sz w:val="24"/>
                <w:highlight w:val="none"/>
              </w:rPr>
            </w:pPr>
            <w:r>
              <w:rPr>
                <w:color w:val="000000"/>
                <w:sz w:val="24"/>
                <w:highlight w:val="none"/>
              </w:rPr>
            </w:r>
            <w:r/>
          </w:p>
        </w:tc>
        <w:tc>
          <w:tcPr>
            <w:tcMar>
              <w:top w:w="100" w:type="dxa"/>
              <w:bottom w:w="100" w:type="dxa"/>
            </w:tcMar>
            <w:tcW w:w="927" w:type="dxa"/>
            <w:vAlign w:val="center"/>
            <w:vMerge w:val="continue"/>
            <w:textDirection w:val="lrTb"/>
            <w:noWrap w:val="false"/>
          </w:tcPr>
          <w:p>
            <w:pPr>
              <w:pStyle w:val="1060"/>
              <w:jc w:val="left"/>
              <w:spacing w:line="400" w:lineRule="exact"/>
              <w:widowControl/>
              <w:rPr>
                <w:i/>
                <w:color w:val="000000"/>
                <w:sz w:val="24"/>
                <w:highlight w:val="none"/>
                <w:u w:val="single"/>
              </w:rPr>
            </w:pPr>
            <w:r>
              <w:rPr>
                <w:i/>
                <w:color w:val="000000"/>
                <w:sz w:val="24"/>
                <w:highlight w:val="none"/>
                <w:u w:val="single"/>
              </w:rPr>
            </w:r>
            <w:r/>
          </w:p>
        </w:tc>
        <w:tc>
          <w:tcPr>
            <w:tcMar>
              <w:top w:w="100" w:type="dxa"/>
              <w:bottom w:w="100" w:type="dxa"/>
            </w:tcMar>
            <w:tcW w:w="8300" w:type="dxa"/>
            <w:vAlign w:val="center"/>
            <w:textDirection w:val="lrTb"/>
            <w:noWrap w:val="false"/>
          </w:tcPr>
          <w:p>
            <w:pPr>
              <w:pStyle w:val="1060"/>
              <w:spacing w:line="400" w:lineRule="exact"/>
              <w:rPr>
                <w:color w:val="000000"/>
                <w:sz w:val="24"/>
                <w:highlight w:val="none"/>
              </w:rPr>
            </w:pPr>
            <w:r>
              <w:rPr>
                <w:iCs/>
                <w:color w:val="000000"/>
                <w:sz w:val="24"/>
                <w:highlight w:val="none"/>
              </w:rPr>
              <w:t xml:space="preserve">5.3 设备配置</w:t>
            </w:r>
            <w:r>
              <w:rPr>
                <w:color w:val="000000"/>
                <w:sz w:val="24"/>
                <w:highlight w:val="none"/>
              </w:rPr>
            </w:r>
            <w:r/>
          </w:p>
        </w:tc>
      </w:tr>
      <w:tr>
        <w:trPr>
          <w:trHeight w:val="20"/>
        </w:trPr>
        <w:tc>
          <w:tcPr>
            <w:tcMar>
              <w:top w:w="100" w:type="dxa"/>
              <w:bottom w:w="100" w:type="dxa"/>
            </w:tcMar>
            <w:tcW w:w="513" w:type="dxa"/>
            <w:vAlign w:val="center"/>
            <w:vMerge w:val="continue"/>
            <w:textDirection w:val="lrTb"/>
            <w:noWrap w:val="false"/>
          </w:tcPr>
          <w:p>
            <w:pPr>
              <w:pStyle w:val="1060"/>
              <w:jc w:val="center"/>
              <w:spacing w:line="400" w:lineRule="exact"/>
              <w:widowControl/>
              <w:rPr>
                <w:color w:val="000000"/>
                <w:sz w:val="24"/>
                <w:highlight w:val="none"/>
              </w:rPr>
            </w:pPr>
            <w:r>
              <w:rPr>
                <w:color w:val="000000"/>
                <w:sz w:val="24"/>
                <w:highlight w:val="none"/>
              </w:rPr>
            </w:r>
            <w:r/>
          </w:p>
        </w:tc>
        <w:tc>
          <w:tcPr>
            <w:tcMar>
              <w:top w:w="100" w:type="dxa"/>
              <w:bottom w:w="100" w:type="dxa"/>
            </w:tcMar>
            <w:tcW w:w="927" w:type="dxa"/>
            <w:vAlign w:val="center"/>
            <w:vMerge w:val="continue"/>
            <w:textDirection w:val="lrTb"/>
            <w:noWrap w:val="false"/>
          </w:tcPr>
          <w:p>
            <w:pPr>
              <w:pStyle w:val="1060"/>
              <w:jc w:val="left"/>
              <w:spacing w:line="400" w:lineRule="exact"/>
              <w:widowControl/>
              <w:rPr>
                <w:i/>
                <w:color w:val="000000"/>
                <w:sz w:val="24"/>
                <w:highlight w:val="none"/>
                <w:u w:val="single"/>
              </w:rPr>
            </w:pPr>
            <w:r>
              <w:rPr>
                <w:i/>
                <w:color w:val="000000"/>
                <w:sz w:val="24"/>
                <w:highlight w:val="none"/>
                <w:u w:val="single"/>
              </w:rPr>
            </w:r>
            <w:r/>
          </w:p>
        </w:tc>
        <w:tc>
          <w:tcPr>
            <w:tcMar>
              <w:top w:w="100" w:type="dxa"/>
              <w:bottom w:w="100" w:type="dxa"/>
            </w:tcMar>
            <w:tcW w:w="8300" w:type="dxa"/>
            <w:vAlign w:val="center"/>
            <w:textDirection w:val="lrTb"/>
            <w:noWrap w:val="false"/>
          </w:tcPr>
          <w:p>
            <w:pPr>
              <w:pStyle w:val="1060"/>
              <w:spacing w:line="400" w:lineRule="exact"/>
              <w:widowControl/>
              <w:rPr>
                <w:color w:val="000000"/>
                <w:sz w:val="24"/>
                <w:highlight w:val="none"/>
              </w:rPr>
            </w:pPr>
            <w:r>
              <w:rPr>
                <w:rFonts w:hint="eastAsia"/>
                <w:color w:val="000000"/>
                <w:sz w:val="24"/>
                <w:highlight w:val="none"/>
              </w:rPr>
              <w:t xml:space="preserve">（1）应具备配置假肢或者矫形器所需的测量取型、石膏加工、抽真空成型、打磨修饰、钳工装配、对线调整、热塑成型等相关设备和工具。</w:t>
            </w:r>
            <w:r>
              <w:rPr>
                <w:color w:val="000000"/>
                <w:sz w:val="24"/>
                <w:highlight w:val="none"/>
              </w:rPr>
            </w:r>
            <w:r/>
          </w:p>
          <w:p>
            <w:pPr>
              <w:pStyle w:val="1060"/>
              <w:spacing w:line="400" w:lineRule="exact"/>
              <w:widowControl/>
              <w:rPr>
                <w:color w:val="000000"/>
                <w:sz w:val="24"/>
                <w:highlight w:val="none"/>
              </w:rPr>
            </w:pPr>
            <w:r>
              <w:rPr>
                <w:rFonts w:hint="eastAsia"/>
                <w:color w:val="000000"/>
                <w:sz w:val="24"/>
                <w:highlight w:val="none"/>
              </w:rPr>
              <w:t xml:space="preserve">（2）应具备配置假肢或者矫形器所需的功能训练基本设施(设备)和工具。包括但不限于平行杠、训练用阶梯与坡道、姿势镜、肌电信号测试仪等康复训练器具。</w:t>
            </w:r>
            <w:r>
              <w:rPr>
                <w:color w:val="000000"/>
                <w:sz w:val="24"/>
                <w:highlight w:val="none"/>
              </w:rPr>
            </w:r>
            <w:r/>
          </w:p>
          <w:p>
            <w:pPr>
              <w:pStyle w:val="1060"/>
              <w:spacing w:line="400" w:lineRule="exact"/>
              <w:widowControl/>
              <w:rPr>
                <w:color w:val="000000"/>
                <w:sz w:val="24"/>
                <w:highlight w:val="none"/>
              </w:rPr>
            </w:pPr>
            <w:r>
              <w:rPr>
                <w:rFonts w:hint="eastAsia"/>
                <w:color w:val="000000"/>
                <w:sz w:val="24"/>
                <w:highlight w:val="none"/>
              </w:rPr>
              <w:t xml:space="preserve">（3）应具备对残肢进行关节活动、肌力协调训练和体能训练的基本设施（设备）及其相关的操作人员，基本设施（设备）包括但不限于股四头肌训练器（椅）、肋木、PT训练床、运动垫等。</w:t>
            </w:r>
            <w:r>
              <w:rPr>
                <w:color w:val="000000"/>
                <w:sz w:val="24"/>
                <w:highlight w:val="none"/>
              </w:rPr>
            </w:r>
            <w:r/>
          </w:p>
          <w:p>
            <w:pPr>
              <w:pStyle w:val="1060"/>
              <w:spacing w:line="400" w:lineRule="exact"/>
              <w:widowControl/>
              <w:rPr>
                <w:color w:val="000000"/>
                <w:sz w:val="24"/>
                <w:highlight w:val="none"/>
              </w:rPr>
            </w:pPr>
            <w:r>
              <w:rPr>
                <w:rFonts w:hint="eastAsia"/>
                <w:color w:val="000000"/>
                <w:sz w:val="24"/>
                <w:highlight w:val="none"/>
              </w:rPr>
              <w:t xml:space="preserve">（4）抽真空成型、打磨修饰等专用设备均应配有换气、除尘、通风设备。对其他可能产生粉尘或有毒有害气体的,应具备防护措施或消除装置，并定期检查。</w:t>
            </w:r>
            <w:r>
              <w:rPr>
                <w:color w:val="000000"/>
                <w:sz w:val="24"/>
                <w:highlight w:val="none"/>
              </w:rPr>
            </w:r>
            <w:r/>
          </w:p>
        </w:tc>
      </w:tr>
      <w:tr>
        <w:trPr>
          <w:trHeight w:val="312"/>
        </w:trPr>
        <w:tc>
          <w:tcPr>
            <w:tcMar>
              <w:top w:w="100" w:type="dxa"/>
              <w:bottom w:w="100" w:type="dxa"/>
            </w:tcMar>
            <w:tcW w:w="513" w:type="dxa"/>
            <w:vAlign w:val="center"/>
            <w:textDirection w:val="lrTb"/>
            <w:noWrap w:val="false"/>
          </w:tcPr>
          <w:p>
            <w:pPr>
              <w:pStyle w:val="1060"/>
              <w:jc w:val="center"/>
              <w:spacing w:line="400" w:lineRule="exact"/>
              <w:widowControl/>
              <w:rPr>
                <w:color w:val="000000"/>
                <w:sz w:val="24"/>
                <w:highlight w:val="none"/>
              </w:rPr>
            </w:pPr>
            <w:r>
              <w:rPr>
                <w:rFonts w:hint="eastAsia"/>
                <w:color w:val="000000"/>
                <w:sz w:val="24"/>
                <w:highlight w:val="none"/>
              </w:rPr>
              <w:t xml:space="preserve">6</w:t>
            </w:r>
            <w:r>
              <w:rPr>
                <w:color w:val="000000"/>
                <w:sz w:val="24"/>
                <w:highlight w:val="none"/>
              </w:rPr>
            </w:r>
            <w:r/>
          </w:p>
        </w:tc>
        <w:tc>
          <w:tcPr>
            <w:tcMar>
              <w:top w:w="100" w:type="dxa"/>
              <w:bottom w:w="100" w:type="dxa"/>
            </w:tcMar>
            <w:tcW w:w="927" w:type="dxa"/>
            <w:vAlign w:val="center"/>
            <w:textDirection w:val="lrTb"/>
            <w:noWrap w:val="false"/>
          </w:tcPr>
          <w:p>
            <w:pPr>
              <w:pStyle w:val="1060"/>
              <w:jc w:val="left"/>
              <w:spacing w:line="400" w:lineRule="exact"/>
              <w:widowControl/>
              <w:rPr>
                <w:color w:val="000000"/>
                <w:sz w:val="24"/>
                <w:highlight w:val="none"/>
              </w:rPr>
            </w:pPr>
            <w:r>
              <w:rPr>
                <w:color w:val="000000"/>
                <w:sz w:val="24"/>
                <w:highlight w:val="none"/>
              </w:rPr>
              <w:t xml:space="preserve">安全生产工作要求</w:t>
            </w:r>
            <w:r>
              <w:rPr>
                <w:color w:val="000000"/>
                <w:sz w:val="24"/>
                <w:highlight w:val="none"/>
              </w:rPr>
            </w:r>
            <w:r/>
          </w:p>
        </w:tc>
        <w:tc>
          <w:tcPr>
            <w:tcMar>
              <w:top w:w="100" w:type="dxa"/>
              <w:bottom w:w="100" w:type="dxa"/>
            </w:tcMar>
            <w:tcW w:w="8300" w:type="dxa"/>
            <w:vAlign w:val="center"/>
            <w:textDirection w:val="lrTb"/>
            <w:noWrap w:val="false"/>
          </w:tcPr>
          <w:p>
            <w:pPr>
              <w:pStyle w:val="1060"/>
              <w:spacing w:line="400" w:lineRule="exact"/>
              <w:rPr>
                <w:color w:val="000000"/>
                <w:sz w:val="24"/>
                <w:highlight w:val="none"/>
              </w:rPr>
            </w:pPr>
            <w:r>
              <w:rPr>
                <w:rFonts w:hint="eastAsia"/>
                <w:color w:val="000000"/>
                <w:sz w:val="24"/>
                <w:highlight w:val="none"/>
              </w:rPr>
              <w:t xml:space="preserve">残疾人辅助器具适配机构应依照安全生产法律法规履行安全生产主体责任，严格落实安全管理措施，有效管控安全生产风险，消除问题隐患等方面存在的问题。采购人将会组织专项督查，实地查看服务机构的安全生产情况。各供应商应根据项目实施情况，按照下列要求，制定相应的安全生产工作方案。</w:t>
            </w:r>
            <w:r>
              <w:rPr>
                <w:color w:val="000000"/>
                <w:sz w:val="24"/>
                <w:highlight w:val="none"/>
              </w:rPr>
            </w:r>
            <w:r/>
          </w:p>
          <w:p>
            <w:pPr>
              <w:pStyle w:val="1060"/>
              <w:spacing w:line="400" w:lineRule="exact"/>
              <w:rPr>
                <w:color w:val="000000"/>
                <w:sz w:val="24"/>
                <w:highlight w:val="none"/>
              </w:rPr>
            </w:pPr>
            <w:r>
              <w:rPr>
                <w:rFonts w:hint="eastAsia"/>
                <w:color w:val="000000"/>
                <w:sz w:val="24"/>
                <w:highlight w:val="none"/>
              </w:rPr>
              <w:t xml:space="preserve">（1）针对各服务机构的重点项目：消防安全制度落实情况，工作人员掌握消防安全知识和基本技能情况，消防重点部位日常管理情况，火灾隐患整改和日常防范措施落实情况；</w:t>
            </w:r>
            <w:r>
              <w:rPr>
                <w:color w:val="000000"/>
                <w:sz w:val="24"/>
                <w:highlight w:val="none"/>
              </w:rPr>
            </w:r>
            <w:r/>
          </w:p>
          <w:p>
            <w:pPr>
              <w:pStyle w:val="1060"/>
              <w:spacing w:line="400" w:lineRule="exact"/>
              <w:rPr>
                <w:color w:val="000000"/>
                <w:sz w:val="24"/>
                <w:highlight w:val="none"/>
              </w:rPr>
            </w:pPr>
            <w:r>
              <w:rPr>
                <w:rFonts w:hint="eastAsia"/>
                <w:color w:val="000000"/>
                <w:sz w:val="24"/>
                <w:highlight w:val="none"/>
              </w:rPr>
              <w:t xml:space="preserve">（2）4项“严禁”：严禁使用未经消防许可或不符合消防技术的建筑物及场所、严禁违规改建、扩建不符合消防安全标准的构筑物，严禁采用夹芯材料燃烧性能低于A级的彩钢板作为室内分格或搭建临时建筑，严禁擅自停用关闭消防设施设备、设置影响疏散逃生和灭火救援的铁栅栏、锁闭堵塞安全出口、占用消防通道和扑救场地，严禁私拉乱接电气线、超负荷用电，严禁使用电炉、热得快等大功率电器；</w:t>
            </w:r>
            <w:r>
              <w:rPr>
                <w:color w:val="000000"/>
                <w:sz w:val="24"/>
                <w:highlight w:val="none"/>
              </w:rPr>
            </w:r>
            <w:r/>
          </w:p>
          <w:p>
            <w:pPr>
              <w:pStyle w:val="1060"/>
              <w:spacing w:line="400" w:lineRule="exact"/>
              <w:rPr>
                <w:color w:val="000000"/>
                <w:sz w:val="24"/>
                <w:highlight w:val="none"/>
              </w:rPr>
            </w:pPr>
            <w:r>
              <w:rPr>
                <w:rFonts w:hint="eastAsia"/>
                <w:color w:val="000000"/>
                <w:sz w:val="24"/>
                <w:highlight w:val="none"/>
              </w:rPr>
              <w:t xml:space="preserve">（3）“三知”：知道建筑物功能布局情况、知道安全出口位置、知道消防器材位置；</w:t>
            </w:r>
            <w:r>
              <w:rPr>
                <w:color w:val="000000"/>
                <w:sz w:val="24"/>
                <w:highlight w:val="none"/>
              </w:rPr>
            </w:r>
            <w:r/>
          </w:p>
          <w:p>
            <w:pPr>
              <w:pStyle w:val="1060"/>
              <w:spacing w:line="400" w:lineRule="exact"/>
              <w:rPr>
                <w:color w:val="000000"/>
                <w:sz w:val="24"/>
                <w:highlight w:val="none"/>
              </w:rPr>
            </w:pPr>
            <w:r>
              <w:rPr>
                <w:rFonts w:hint="eastAsia"/>
                <w:color w:val="000000"/>
                <w:sz w:val="24"/>
                <w:highlight w:val="none"/>
              </w:rPr>
              <w:t xml:space="preserve">（4）“四会”：会使用消防针器材、会报火警、会扑灭初期火灾、会组织人员疏散逃生；</w:t>
            </w:r>
            <w:r>
              <w:rPr>
                <w:color w:val="000000"/>
                <w:sz w:val="24"/>
                <w:highlight w:val="none"/>
              </w:rPr>
            </w:r>
            <w:r/>
          </w:p>
          <w:p>
            <w:pPr>
              <w:pStyle w:val="1060"/>
              <w:spacing w:line="400" w:lineRule="exact"/>
              <w:rPr>
                <w:color w:val="000000"/>
                <w:sz w:val="24"/>
                <w:highlight w:val="none"/>
              </w:rPr>
            </w:pPr>
            <w:r>
              <w:rPr>
                <w:rFonts w:hint="eastAsia"/>
                <w:color w:val="000000"/>
                <w:sz w:val="24"/>
                <w:highlight w:val="none"/>
              </w:rPr>
              <w:t xml:space="preserve">（5）应急管理：每年至少开展一次火灾事故应急演练。</w:t>
            </w:r>
            <w:r>
              <w:rPr>
                <w:color w:val="000000"/>
                <w:sz w:val="24"/>
                <w:highlight w:val="none"/>
              </w:rPr>
            </w:r>
            <w:r/>
          </w:p>
        </w:tc>
      </w:tr>
      <w:tr>
        <w:trPr>
          <w:trHeight w:val="312"/>
        </w:trPr>
        <w:tc>
          <w:tcPr>
            <w:tcMar>
              <w:top w:w="100" w:type="dxa"/>
              <w:bottom w:w="100" w:type="dxa"/>
            </w:tcMar>
            <w:tcW w:w="513" w:type="dxa"/>
            <w:vAlign w:val="center"/>
            <w:textDirection w:val="lrTb"/>
            <w:noWrap w:val="false"/>
          </w:tcPr>
          <w:p>
            <w:pPr>
              <w:pStyle w:val="1060"/>
              <w:jc w:val="center"/>
              <w:spacing w:line="400" w:lineRule="exact"/>
              <w:widowControl/>
              <w:rPr>
                <w:color w:val="000000"/>
                <w:sz w:val="24"/>
                <w:highlight w:val="none"/>
              </w:rPr>
            </w:pPr>
            <w:r>
              <w:rPr>
                <w:rFonts w:hint="eastAsia"/>
                <w:color w:val="000000"/>
                <w:sz w:val="24"/>
                <w:highlight w:val="none"/>
              </w:rPr>
              <w:t xml:space="preserve">7</w:t>
            </w:r>
            <w:r>
              <w:rPr>
                <w:color w:val="000000"/>
                <w:sz w:val="24"/>
                <w:highlight w:val="none"/>
              </w:rPr>
            </w:r>
            <w:r/>
          </w:p>
        </w:tc>
        <w:tc>
          <w:tcPr>
            <w:tcMar>
              <w:top w:w="100" w:type="dxa"/>
              <w:bottom w:w="100" w:type="dxa"/>
            </w:tcMar>
            <w:tcW w:w="927" w:type="dxa"/>
            <w:vAlign w:val="center"/>
            <w:textDirection w:val="lrTb"/>
            <w:noWrap w:val="false"/>
          </w:tcPr>
          <w:p>
            <w:pPr>
              <w:pStyle w:val="1060"/>
              <w:jc w:val="left"/>
              <w:spacing w:line="400" w:lineRule="exact"/>
              <w:widowControl/>
              <w:rPr>
                <w:color w:val="000000"/>
                <w:sz w:val="24"/>
                <w:highlight w:val="none"/>
              </w:rPr>
            </w:pPr>
            <w:r>
              <w:rPr>
                <w:color w:val="000000"/>
                <w:sz w:val="24"/>
                <w:highlight w:val="none"/>
              </w:rPr>
              <w:t xml:space="preserve">综合说明</w:t>
            </w:r>
            <w:r>
              <w:rPr>
                <w:color w:val="000000"/>
                <w:sz w:val="24"/>
                <w:highlight w:val="none"/>
              </w:rPr>
            </w:r>
            <w:r/>
          </w:p>
        </w:tc>
        <w:tc>
          <w:tcPr>
            <w:tcMar>
              <w:top w:w="100" w:type="dxa"/>
              <w:bottom w:w="100" w:type="dxa"/>
            </w:tcMar>
            <w:tcW w:w="8300" w:type="dxa"/>
            <w:vAlign w:val="center"/>
            <w:textDirection w:val="lrTb"/>
            <w:noWrap w:val="false"/>
          </w:tcPr>
          <w:p>
            <w:pPr>
              <w:pStyle w:val="1060"/>
              <w:spacing w:line="400" w:lineRule="exact"/>
              <w:rPr>
                <w:color w:val="000000"/>
                <w:sz w:val="24"/>
                <w:highlight w:val="none"/>
              </w:rPr>
            </w:pPr>
            <w:r>
              <w:rPr>
                <w:rFonts w:hint="eastAsia"/>
                <w:color w:val="000000"/>
                <w:sz w:val="24"/>
                <w:highlight w:val="none"/>
                <w:lang w:eastAsia="en-US"/>
              </w:rPr>
              <w:t xml:space="preserve">（1）</w:t>
            </w:r>
            <w:r>
              <w:rPr>
                <w:rFonts w:hint="eastAsia"/>
                <w:color w:val="000000"/>
                <w:sz w:val="24"/>
                <w:highlight w:val="none"/>
              </w:rPr>
              <w:t xml:space="preserve">服务对象可在</w:t>
            </w:r>
            <w:r>
              <w:rPr>
                <w:rFonts w:hint="eastAsia"/>
                <w:color w:val="000000"/>
                <w:sz w:val="24"/>
                <w:highlight w:val="none"/>
                <w:lang w:eastAsia="en-US"/>
              </w:rPr>
              <w:t xml:space="preserve">入围供应商</w:t>
            </w:r>
            <w:r>
              <w:rPr>
                <w:rFonts w:hint="eastAsia"/>
                <w:color w:val="000000"/>
                <w:sz w:val="24"/>
                <w:highlight w:val="none"/>
              </w:rPr>
              <w:t xml:space="preserve">中自愿选择服务机构，</w:t>
            </w:r>
            <w:r>
              <w:rPr>
                <w:rFonts w:hint="eastAsia"/>
                <w:color w:val="000000"/>
                <w:sz w:val="24"/>
                <w:highlight w:val="none"/>
                <w:lang w:eastAsia="en-US"/>
              </w:rPr>
              <w:t xml:space="preserve">入围供应商</w:t>
            </w:r>
            <w:r>
              <w:rPr>
                <w:rFonts w:hint="eastAsia"/>
                <w:color w:val="000000"/>
                <w:sz w:val="24"/>
                <w:highlight w:val="none"/>
              </w:rPr>
              <w:t xml:space="preserve">不得拒绝或以拖延等形式变相拒绝服务对象只开展补助标准内的适配服务的要求。</w:t>
            </w:r>
            <w:r>
              <w:rPr>
                <w:color w:val="000000"/>
                <w:sz w:val="24"/>
                <w:highlight w:val="none"/>
              </w:rPr>
            </w:r>
            <w:r/>
          </w:p>
          <w:p>
            <w:pPr>
              <w:pStyle w:val="1060"/>
              <w:spacing w:line="400" w:lineRule="exact"/>
              <w:rPr>
                <w:color w:val="000000"/>
                <w:sz w:val="24"/>
                <w:highlight w:val="none"/>
              </w:rPr>
            </w:pPr>
            <w:r>
              <w:rPr>
                <w:rFonts w:hint="eastAsia"/>
                <w:color w:val="000000"/>
                <w:sz w:val="24"/>
                <w:highlight w:val="none"/>
                <w:lang w:eastAsia="en-US"/>
              </w:rPr>
              <w:t xml:space="preserve">（2）入围供应商</w:t>
            </w:r>
            <w:r>
              <w:rPr>
                <w:rFonts w:hint="eastAsia"/>
                <w:color w:val="000000"/>
                <w:sz w:val="24"/>
                <w:highlight w:val="none"/>
              </w:rPr>
              <w:t xml:space="preserve">须按照本征集文件和市残联出台的相关管理办法和服务规范的要求对该采购项目进行服务工作，遵守市残联对残疾人辅助器具适配定点机构的管理要求。</w:t>
            </w:r>
            <w:r>
              <w:rPr>
                <w:color w:val="000000"/>
                <w:sz w:val="24"/>
                <w:highlight w:val="none"/>
              </w:rPr>
            </w:r>
            <w:r/>
          </w:p>
          <w:p>
            <w:pPr>
              <w:pStyle w:val="1060"/>
              <w:spacing w:line="400" w:lineRule="exact"/>
              <w:rPr>
                <w:color w:val="000000"/>
                <w:sz w:val="24"/>
                <w:highlight w:val="none"/>
              </w:rPr>
            </w:pPr>
            <w:r>
              <w:rPr>
                <w:rFonts w:hint="eastAsia"/>
                <w:color w:val="000000"/>
                <w:sz w:val="24"/>
                <w:highlight w:val="none"/>
                <w:lang w:eastAsia="en-US"/>
              </w:rPr>
              <w:t xml:space="preserve">（3）</w:t>
            </w:r>
            <w:r>
              <w:rPr>
                <w:rFonts w:hint="eastAsia"/>
                <w:color w:val="000000"/>
                <w:sz w:val="24"/>
                <w:highlight w:val="none"/>
              </w:rPr>
              <w:t xml:space="preserve">确定成交后不得将本项目或其中任何部分转包给其他单位或个人。</w:t>
            </w:r>
            <w:r>
              <w:rPr>
                <w:color w:val="000000"/>
                <w:sz w:val="24"/>
                <w:highlight w:val="none"/>
              </w:rPr>
            </w:r>
            <w:r/>
          </w:p>
          <w:p>
            <w:pPr>
              <w:pStyle w:val="1060"/>
              <w:spacing w:line="400" w:lineRule="exact"/>
              <w:rPr>
                <w:color w:val="000000"/>
                <w:sz w:val="24"/>
                <w:highlight w:val="none"/>
              </w:rPr>
            </w:pPr>
            <w:r>
              <w:rPr>
                <w:rFonts w:hint="eastAsia"/>
                <w:color w:val="000000"/>
                <w:sz w:val="24"/>
                <w:highlight w:val="none"/>
                <w:lang w:eastAsia="en-US"/>
              </w:rPr>
              <w:t xml:space="preserve">（4）</w:t>
            </w:r>
            <w:r>
              <w:rPr>
                <w:rFonts w:hint="eastAsia"/>
                <w:color w:val="000000"/>
                <w:sz w:val="24"/>
                <w:highlight w:val="none"/>
              </w:rPr>
              <w:t xml:space="preserve">本项目购买残疾人辅助器具适配服务内容，补贴金额为残疾人保障金支付金额。</w:t>
            </w:r>
            <w:r>
              <w:rPr>
                <w:color w:val="000000"/>
                <w:sz w:val="24"/>
                <w:highlight w:val="none"/>
              </w:rPr>
            </w:r>
            <w:r/>
          </w:p>
          <w:p>
            <w:pPr>
              <w:pStyle w:val="1060"/>
              <w:spacing w:line="400" w:lineRule="exact"/>
              <w:rPr>
                <w:color w:val="000000"/>
                <w:sz w:val="24"/>
                <w:highlight w:val="none"/>
              </w:rPr>
            </w:pPr>
            <w:r>
              <w:rPr>
                <w:rFonts w:hint="eastAsia"/>
                <w:color w:val="000000"/>
                <w:sz w:val="24"/>
                <w:highlight w:val="none"/>
                <w:lang w:eastAsia="en-US"/>
              </w:rPr>
              <w:t xml:space="preserve">（5）入围供应商</w:t>
            </w:r>
            <w:r>
              <w:rPr>
                <w:rFonts w:hint="eastAsia"/>
                <w:color w:val="000000"/>
                <w:sz w:val="24"/>
                <w:highlight w:val="none"/>
              </w:rPr>
              <w:t xml:space="preserve">应保证在苏州市残疾人辅助器具适配目录和补贴标准内开展符合本次购买服务要求的服务，超出补贴费用，经服务对象同意后可另行收费。</w:t>
            </w:r>
            <w:r>
              <w:rPr>
                <w:color w:val="000000"/>
                <w:sz w:val="24"/>
                <w:highlight w:val="none"/>
              </w:rPr>
            </w:r>
            <w:r/>
          </w:p>
          <w:p>
            <w:pPr>
              <w:pStyle w:val="1060"/>
              <w:spacing w:line="400" w:lineRule="exact"/>
              <w:rPr>
                <w:color w:val="000000"/>
                <w:sz w:val="24"/>
                <w:highlight w:val="none"/>
              </w:rPr>
            </w:pPr>
            <w:r>
              <w:rPr>
                <w:rFonts w:hint="eastAsia"/>
                <w:color w:val="000000"/>
                <w:sz w:val="24"/>
                <w:highlight w:val="none"/>
                <w:lang w:eastAsia="en-US"/>
              </w:rPr>
              <w:t xml:space="preserve">（6）</w:t>
            </w:r>
            <w:r>
              <w:rPr>
                <w:rFonts w:hint="eastAsia"/>
                <w:color w:val="000000"/>
                <w:sz w:val="24"/>
                <w:highlight w:val="none"/>
              </w:rPr>
              <w:t xml:space="preserve">确定</w:t>
            </w:r>
            <w:r>
              <w:rPr>
                <w:rFonts w:hint="eastAsia"/>
                <w:color w:val="000000"/>
                <w:sz w:val="24"/>
                <w:highlight w:val="none"/>
                <w:lang w:eastAsia="en-US"/>
              </w:rPr>
              <w:t xml:space="preserve">成交</w:t>
            </w:r>
            <w:r>
              <w:rPr>
                <w:rFonts w:hint="eastAsia"/>
                <w:color w:val="000000"/>
                <w:sz w:val="24"/>
                <w:highlight w:val="none"/>
              </w:rPr>
              <w:t xml:space="preserve">后，采购</w:t>
            </w:r>
            <w:r>
              <w:rPr>
                <w:rFonts w:hint="eastAsia"/>
                <w:color w:val="000000"/>
                <w:sz w:val="24"/>
                <w:highlight w:val="none"/>
                <w:lang w:eastAsia="en-US"/>
              </w:rPr>
              <w:t xml:space="preserve">人</w:t>
            </w:r>
            <w:r>
              <w:rPr>
                <w:rFonts w:hint="eastAsia"/>
                <w:color w:val="000000"/>
                <w:sz w:val="24"/>
                <w:highlight w:val="none"/>
              </w:rPr>
              <w:t xml:space="preserve">有权不定期对项目的服务情况进行核查，如果发现</w:t>
            </w:r>
            <w:r>
              <w:rPr>
                <w:rFonts w:hint="eastAsia"/>
                <w:color w:val="000000"/>
                <w:sz w:val="24"/>
                <w:highlight w:val="none"/>
                <w:lang w:eastAsia="en-US"/>
              </w:rPr>
              <w:t xml:space="preserve">入围供应商</w:t>
            </w:r>
            <w:r>
              <w:rPr>
                <w:rFonts w:hint="eastAsia"/>
                <w:color w:val="000000"/>
                <w:sz w:val="24"/>
                <w:highlight w:val="none"/>
              </w:rPr>
              <w:t xml:space="preserve">存在违反本次采购项目要求的，采购</w:t>
            </w:r>
            <w:r>
              <w:rPr>
                <w:rFonts w:hint="eastAsia"/>
                <w:color w:val="000000"/>
                <w:sz w:val="24"/>
                <w:highlight w:val="none"/>
                <w:lang w:eastAsia="en-US"/>
              </w:rPr>
              <w:t xml:space="preserve">人</w:t>
            </w:r>
            <w:r>
              <w:rPr>
                <w:rFonts w:hint="eastAsia"/>
                <w:color w:val="000000"/>
                <w:sz w:val="24"/>
                <w:highlight w:val="none"/>
              </w:rPr>
              <w:t xml:space="preserve">有权中止合同，相关损失由</w:t>
            </w:r>
            <w:r>
              <w:rPr>
                <w:rFonts w:hint="eastAsia"/>
                <w:color w:val="000000"/>
                <w:sz w:val="24"/>
                <w:highlight w:val="none"/>
                <w:lang w:eastAsia="en-US"/>
              </w:rPr>
              <w:t xml:space="preserve">入围供应商</w:t>
            </w:r>
            <w:r>
              <w:rPr>
                <w:rFonts w:hint="eastAsia"/>
                <w:color w:val="000000"/>
                <w:sz w:val="24"/>
                <w:highlight w:val="none"/>
              </w:rPr>
              <w:t xml:space="preserve">承担。</w:t>
            </w:r>
            <w:r>
              <w:rPr>
                <w:color w:val="000000"/>
                <w:sz w:val="24"/>
                <w:highlight w:val="none"/>
              </w:rPr>
            </w:r>
            <w:r/>
          </w:p>
          <w:p>
            <w:pPr>
              <w:pStyle w:val="1060"/>
              <w:spacing w:line="400" w:lineRule="exact"/>
              <w:rPr>
                <w:color w:val="000000"/>
                <w:sz w:val="24"/>
                <w:highlight w:val="none"/>
              </w:rPr>
            </w:pPr>
            <w:r>
              <w:rPr>
                <w:rFonts w:hint="eastAsia"/>
                <w:color w:val="000000"/>
                <w:sz w:val="24"/>
                <w:highlight w:val="none"/>
                <w:lang w:eastAsia="en-US"/>
              </w:rPr>
              <w:t xml:space="preserve">（</w:t>
            </w:r>
            <w:r>
              <w:rPr>
                <w:rFonts w:hint="eastAsia"/>
                <w:color w:val="000000"/>
                <w:sz w:val="24"/>
                <w:highlight w:val="none"/>
              </w:rPr>
              <w:t xml:space="preserve">7</w:t>
            </w:r>
            <w:r>
              <w:rPr>
                <w:rFonts w:hint="eastAsia"/>
                <w:color w:val="000000"/>
                <w:sz w:val="24"/>
                <w:highlight w:val="none"/>
                <w:lang w:eastAsia="en-US"/>
              </w:rPr>
              <w:t xml:space="preserve">）入围供应商</w:t>
            </w:r>
            <w:r>
              <w:rPr>
                <w:rFonts w:hint="eastAsia"/>
                <w:color w:val="000000"/>
                <w:sz w:val="24"/>
                <w:highlight w:val="none"/>
              </w:rPr>
              <w:t xml:space="preserve">必须保证全部响应资料的真实性，如有虚假或对征集文件所要求说明的情况故意隐瞒或虚报，视为不实质性响应征集文件，为无效响应，已</w:t>
            </w:r>
            <w:r>
              <w:rPr>
                <w:rFonts w:hint="eastAsia"/>
                <w:color w:val="000000"/>
                <w:sz w:val="24"/>
                <w:highlight w:val="none"/>
                <w:lang w:eastAsia="en-US"/>
              </w:rPr>
              <w:t xml:space="preserve">成交</w:t>
            </w:r>
            <w:r>
              <w:rPr>
                <w:rFonts w:hint="eastAsia"/>
                <w:color w:val="000000"/>
                <w:sz w:val="24"/>
                <w:highlight w:val="none"/>
              </w:rPr>
              <w:t xml:space="preserve">的将取消</w:t>
            </w:r>
            <w:r>
              <w:rPr>
                <w:rFonts w:hint="eastAsia"/>
                <w:color w:val="000000"/>
                <w:sz w:val="24"/>
                <w:highlight w:val="none"/>
                <w:lang w:eastAsia="en-US"/>
              </w:rPr>
              <w:t xml:space="preserve">成交</w:t>
            </w:r>
            <w:r>
              <w:rPr>
                <w:rFonts w:hint="eastAsia"/>
                <w:color w:val="000000"/>
                <w:sz w:val="24"/>
                <w:highlight w:val="none"/>
              </w:rPr>
              <w:t xml:space="preserve">资格，并按《中华人民共和国政府采购法》第七十七条“提供虚假材料谋取成交相关处理办法”处理。</w:t>
            </w:r>
            <w:r>
              <w:rPr>
                <w:color w:val="000000"/>
                <w:sz w:val="24"/>
                <w:highlight w:val="none"/>
              </w:rPr>
            </w:r>
            <w:r/>
          </w:p>
          <w:p>
            <w:pPr>
              <w:pStyle w:val="1263"/>
              <w:ind w:firstLine="0"/>
              <w:spacing w:line="360" w:lineRule="auto"/>
              <w:rPr>
                <w:rFonts w:hint="eastAsia" w:ascii="Times New Roman" w:hAnsi="Times New Roman" w:cs="Times New Roman"/>
                <w:color w:val="000000"/>
                <w:sz w:val="24"/>
                <w:highlight w:val="none"/>
                <w:lang w:val="en-US"/>
              </w:rPr>
            </w:pPr>
            <w:r>
              <w:rPr>
                <w:rFonts w:hint="eastAsia"/>
                <w:color w:val="000000"/>
                <w:sz w:val="24"/>
                <w:highlight w:val="none"/>
                <w:lang w:eastAsia="en-US"/>
              </w:rPr>
              <w:t xml:space="preserve">（</w:t>
            </w:r>
            <w:r>
              <w:rPr>
                <w:rFonts w:hint="eastAsia"/>
                <w:color w:val="000000"/>
                <w:sz w:val="24"/>
                <w:highlight w:val="none"/>
              </w:rPr>
              <w:t xml:space="preserve">8</w:t>
            </w:r>
            <w:r>
              <w:rPr>
                <w:rFonts w:hint="eastAsia"/>
                <w:color w:val="000000"/>
                <w:sz w:val="24"/>
                <w:highlight w:val="none"/>
                <w:lang w:eastAsia="en-US"/>
              </w:rPr>
              <w:t xml:space="preserve">）</w:t>
            </w:r>
            <w:r>
              <w:rPr>
                <w:rFonts w:hint="eastAsia"/>
                <w:color w:val="000000"/>
                <w:sz w:val="24"/>
                <w:highlight w:val="none"/>
              </w:rPr>
              <w:t xml:space="preserve">费用结算：</w:t>
            </w:r>
            <w:r>
              <w:rPr>
                <w:rFonts w:hint="eastAsia" w:ascii="Times New Roman" w:hAnsi="Times New Roman" w:cs="Times New Roman"/>
                <w:color w:val="000000"/>
                <w:sz w:val="24"/>
                <w:highlight w:val="none"/>
                <w:lang w:val="en-US"/>
              </w:rPr>
              <w:t xml:space="preserve">本项目经费实行据实结算</w:t>
            </w:r>
            <w:r>
              <w:rPr>
                <w:rFonts w:hint="eastAsia" w:ascii="Times New Roman" w:hAnsi="Times New Roman" w:cs="Times New Roman"/>
                <w:color w:val="000000"/>
                <w:sz w:val="24"/>
                <w:highlight w:val="none"/>
                <w:lang w:val="en-US"/>
              </w:rPr>
              <w:t xml:space="preserve">。每季度结束后次月的7个工作日内，供应商需将苏州市残疾人辅助器具申请表、残疾人证复印件、相关证明材料、姑苏区残疾人辅具适配评估表、姑苏区残疾人辅具适配服务签收单、残疾人辅具适配服务现场照片以及姑苏区残疾人辅具适配服务信息汇总表等材料按时提交至采购人。采购人将对上述材料的真实性、完整性以及项目经费金额的准确性进行核查，并开展残疾人辅具适配服务回访调查工作。待材料核查、经费核对及回访调查均确认无误后，供应商需开具符合国家法律规定的发票，采购人将依据苏州市残疾人辅助器具补贴标准，在规定时间内完成经费据实拨付工作。</w:t>
            </w:r>
            <w:r>
              <w:rPr>
                <w:rFonts w:hint="eastAsia" w:ascii="Times New Roman" w:hAnsi="Times New Roman" w:cs="Times New Roman"/>
                <w:color w:val="000000"/>
                <w:sz w:val="24"/>
                <w:highlight w:val="none"/>
                <w:lang w:val="en-US"/>
              </w:rPr>
            </w:r>
            <w:r/>
          </w:p>
          <w:p>
            <w:pPr>
              <w:pStyle w:val="1060"/>
              <w:jc w:val="left"/>
              <w:spacing w:line="400" w:lineRule="exact"/>
              <w:widowControl/>
              <w:rPr>
                <w:color w:val="000000"/>
                <w:highlight w:val="none"/>
              </w:rPr>
            </w:pPr>
            <w:r>
              <w:rPr>
                <w:rFonts w:hint="eastAsia"/>
                <w:color w:val="000000"/>
                <w:sz w:val="24"/>
                <w:highlight w:val="none"/>
              </w:rPr>
              <w:t xml:space="preserve">（9）</w:t>
            </w:r>
            <w:r>
              <w:rPr>
                <w:color w:val="000000"/>
                <w:sz w:val="24"/>
                <w:highlight w:val="none"/>
              </w:rPr>
              <w:t xml:space="preserve">入围供应商</w:t>
            </w:r>
            <w:r>
              <w:rPr>
                <w:rFonts w:hint="eastAsia"/>
                <w:color w:val="000000"/>
                <w:sz w:val="24"/>
                <w:highlight w:val="none"/>
              </w:rPr>
              <w:t xml:space="preserve">必须在“苏州市残疾人辅助器具服务网（https://service.cl.suzhou.com.cn/CDPF_SZ/mall/login）”按采购方要求报送相关数据（后续如有其他业务系统要求供应商填报相关信息的，供应商应按要求执行）。</w:t>
            </w:r>
            <w:r>
              <w:rPr>
                <w:color w:val="000000"/>
                <w:highlight w:val="none"/>
              </w:rPr>
            </w:r>
            <w:r/>
          </w:p>
          <w:p>
            <w:pPr>
              <w:pStyle w:val="1060"/>
              <w:spacing w:line="400" w:lineRule="exact"/>
              <w:rPr>
                <w:color w:val="000000"/>
                <w:sz w:val="24"/>
                <w:highlight w:val="none"/>
              </w:rPr>
            </w:pPr>
            <w:r>
              <w:rPr>
                <w:rFonts w:hint="eastAsia"/>
                <w:color w:val="000000"/>
                <w:sz w:val="24"/>
                <w:highlight w:val="none"/>
                <w:lang w:eastAsia="en-US"/>
              </w:rPr>
              <w:t xml:space="preserve">（</w:t>
            </w:r>
            <w:r>
              <w:rPr>
                <w:rFonts w:hint="eastAsia"/>
                <w:color w:val="000000"/>
                <w:sz w:val="24"/>
                <w:highlight w:val="none"/>
              </w:rPr>
              <w:t xml:space="preserve">10</w:t>
            </w:r>
            <w:r>
              <w:rPr>
                <w:rFonts w:hint="eastAsia"/>
                <w:color w:val="000000"/>
                <w:sz w:val="24"/>
                <w:highlight w:val="none"/>
                <w:lang w:eastAsia="en-US"/>
              </w:rPr>
              <w:t xml:space="preserve">）供应商</w:t>
            </w:r>
            <w:r>
              <w:rPr>
                <w:rFonts w:hint="eastAsia"/>
                <w:color w:val="000000"/>
                <w:sz w:val="24"/>
                <w:highlight w:val="none"/>
              </w:rPr>
              <w:t xml:space="preserve">必须说明其是否响应文件中提出的全部服务内容与要求，如果对其中某些条款不响应时，应在文件中逐条列出，未列出的视同响应。</w:t>
            </w:r>
            <w:r>
              <w:rPr>
                <w:color w:val="000000"/>
                <w:sz w:val="24"/>
                <w:highlight w:val="none"/>
              </w:rPr>
            </w:r>
            <w:r/>
          </w:p>
          <w:p>
            <w:pPr>
              <w:pStyle w:val="1060"/>
              <w:spacing w:line="400" w:lineRule="exact"/>
              <w:rPr>
                <w:color w:val="000000"/>
                <w:sz w:val="24"/>
                <w:highlight w:val="none"/>
              </w:rPr>
            </w:pPr>
            <w:r>
              <w:rPr>
                <w:rFonts w:hint="eastAsia"/>
                <w:color w:val="000000"/>
                <w:sz w:val="24"/>
                <w:highlight w:val="none"/>
                <w:lang w:eastAsia="en-US"/>
              </w:rPr>
              <w:t xml:space="preserve">（</w:t>
            </w:r>
            <w:r>
              <w:rPr>
                <w:rFonts w:hint="eastAsia"/>
                <w:color w:val="000000"/>
                <w:sz w:val="24"/>
                <w:highlight w:val="none"/>
              </w:rPr>
              <w:t xml:space="preserve">11</w:t>
            </w:r>
            <w:r>
              <w:rPr>
                <w:rFonts w:hint="eastAsia"/>
                <w:color w:val="000000"/>
                <w:sz w:val="24"/>
                <w:highlight w:val="none"/>
                <w:lang w:eastAsia="en-US"/>
              </w:rPr>
              <w:t xml:space="preserve">）成交</w:t>
            </w:r>
            <w:r>
              <w:rPr>
                <w:rFonts w:hint="eastAsia"/>
                <w:color w:val="000000"/>
                <w:sz w:val="24"/>
                <w:highlight w:val="none"/>
              </w:rPr>
              <w:t xml:space="preserve">后，采购</w:t>
            </w:r>
            <w:r>
              <w:rPr>
                <w:rFonts w:hint="eastAsia"/>
                <w:color w:val="000000"/>
                <w:sz w:val="24"/>
                <w:highlight w:val="none"/>
                <w:lang w:eastAsia="en-US"/>
              </w:rPr>
              <w:t xml:space="preserve">人</w:t>
            </w:r>
            <w:r>
              <w:rPr>
                <w:rFonts w:hint="eastAsia"/>
                <w:color w:val="000000"/>
                <w:sz w:val="24"/>
                <w:highlight w:val="none"/>
              </w:rPr>
              <w:t xml:space="preserve">将对项目进行监管，监管方案见其他部分。</w:t>
            </w:r>
            <w:r>
              <w:rPr>
                <w:color w:val="000000"/>
                <w:sz w:val="24"/>
                <w:highlight w:val="none"/>
              </w:rPr>
            </w:r>
            <w:r/>
          </w:p>
          <w:p>
            <w:pPr>
              <w:pStyle w:val="1060"/>
              <w:spacing w:line="400" w:lineRule="exact"/>
              <w:rPr>
                <w:color w:val="000000"/>
                <w:highlight w:val="none"/>
              </w:rPr>
            </w:pPr>
            <w:r>
              <w:rPr>
                <w:rFonts w:hint="eastAsia"/>
                <w:color w:val="000000"/>
                <w:sz w:val="24"/>
                <w:highlight w:val="none"/>
              </w:rPr>
              <w:t xml:space="preserve">（12）</w:t>
            </w:r>
            <w:r>
              <w:rPr>
                <w:rFonts w:hint="eastAsia" w:ascii="宋体" w:hAnsi="宋体" w:cs="宋体"/>
                <w:color w:val="000000"/>
                <w:sz w:val="24"/>
                <w:highlight w:val="none"/>
              </w:rPr>
              <w:t xml:space="preserve">成交供应商如为苏州市区外</w:t>
            </w:r>
            <w:r>
              <w:rPr>
                <w:rFonts w:hint="eastAsia"/>
                <w:color w:val="000000"/>
                <w:sz w:val="24"/>
                <w:highlight w:val="none"/>
              </w:rPr>
              <w:t xml:space="preserve">假肢矫形器</w:t>
            </w:r>
            <w:r>
              <w:rPr>
                <w:color w:val="000000"/>
                <w:sz w:val="24"/>
                <w:highlight w:val="none"/>
              </w:rPr>
              <w:t xml:space="preserve">服务</w:t>
            </w:r>
            <w:r>
              <w:rPr>
                <w:rFonts w:hint="eastAsia" w:ascii="宋体" w:hAnsi="宋体" w:cs="宋体"/>
                <w:color w:val="000000"/>
                <w:sz w:val="24"/>
                <w:highlight w:val="none"/>
              </w:rPr>
              <w:t xml:space="preserve">机构，成交后需在30天内在苏州市区内设立符合条件的适配服务场所，采购人将对该成交供应商提供服务的场地进行复核，服务场所符合本采购要求的签订采购合同，如出现与投标文件不一致的或不能满足相关要求，责令整改，</w:t>
            </w:r>
            <w:r>
              <w:rPr>
                <w:rFonts w:hint="eastAsia" w:ascii="Times New Roman" w:hAnsi="Times New Roman" w:cs="Times New Roman"/>
                <w:color w:val="000000"/>
                <w:sz w:val="24"/>
                <w:highlight w:val="none"/>
              </w:rPr>
              <w:t xml:space="preserve">整改期间暂停适配服务，</w:t>
            </w:r>
            <w:r>
              <w:rPr>
                <w:rFonts w:hint="eastAsia" w:ascii="宋体" w:hAnsi="宋体" w:cs="宋体"/>
                <w:color w:val="000000"/>
                <w:sz w:val="24"/>
                <w:highlight w:val="none"/>
              </w:rPr>
              <w:t xml:space="preserve">无法整改或整改不到位的的采购人有权终止框架协议并取消定点资格。</w:t>
            </w:r>
            <w:r>
              <w:rPr>
                <w:color w:val="000000"/>
                <w:highlight w:val="none"/>
              </w:rPr>
            </w:r>
            <w:r/>
          </w:p>
        </w:tc>
      </w:tr>
    </w:tbl>
    <w:p>
      <w:pPr>
        <w:pStyle w:val="106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60"/>
        <w:jc w:val="left"/>
        <w:widowControl/>
        <w:rPr>
          <w:rFonts w:hint="eastAsia" w:ascii="宋体" w:hAnsi="宋体" w:cs="宋体"/>
          <w:b/>
          <w:bCs/>
          <w:color w:val="000000"/>
          <w:sz w:val="24"/>
          <w:highlight w:val="none"/>
        </w:rPr>
      </w:pPr>
      <w:r>
        <w:rPr>
          <w:rFonts w:hint="eastAsia" w:ascii="宋体" w:hAnsi="宋体" w:cs="宋体"/>
          <w:b/>
          <w:bCs/>
          <w:color w:val="000000"/>
          <w:sz w:val="24"/>
          <w:highlight w:val="none"/>
        </w:rPr>
        <w:br w:type="page" w:clear="all"/>
      </w:r>
      <w:r>
        <w:rPr>
          <w:rFonts w:hint="eastAsia" w:ascii="宋体" w:hAnsi="宋体" w:cs="宋体"/>
          <w:b/>
          <w:bCs/>
          <w:color w:val="000000"/>
          <w:sz w:val="24"/>
          <w:highlight w:val="none"/>
        </w:rPr>
      </w:r>
      <w:r/>
    </w:p>
    <w:p>
      <w:pPr>
        <w:pStyle w:val="1060"/>
        <w:ind w:firstLine="482"/>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第三包：残疾人其他辅助器具适配服务（包括轮椅代步类、助行类、生活护理类、导盲信息类、康复类、安全类辅具以及家庭无障碍改造等）</w:t>
      </w:r>
      <w:r>
        <w:rPr>
          <w:rFonts w:hint="eastAsia" w:ascii="宋体" w:hAnsi="宋体" w:cs="宋体"/>
          <w:b/>
          <w:bCs/>
          <w:color w:val="000000"/>
          <w:sz w:val="24"/>
          <w:highlight w:val="none"/>
        </w:rPr>
      </w:r>
      <w:r/>
    </w:p>
    <w:tbl>
      <w:tblPr>
        <w:tblW w:w="974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513"/>
        <w:gridCol w:w="852"/>
        <w:gridCol w:w="8375"/>
      </w:tblGrid>
      <w:tr>
        <w:trPr/>
        <w:tc>
          <w:tcPr>
            <w:tcMar>
              <w:top w:w="100" w:type="dxa"/>
              <w:bottom w:w="100" w:type="dxa"/>
            </w:tcMar>
            <w:tcW w:w="513" w:type="dxa"/>
            <w:vAlign w:val="center"/>
            <w:textDirection w:val="lrTb"/>
            <w:noWrap w:val="false"/>
          </w:tcPr>
          <w:p>
            <w:pPr>
              <w:pStyle w:val="1060"/>
              <w:jc w:val="center"/>
              <w:spacing w:line="400" w:lineRule="exact"/>
              <w:widowControl/>
              <w:rPr>
                <w:color w:val="000000"/>
                <w:sz w:val="24"/>
                <w:highlight w:val="none"/>
              </w:rPr>
            </w:pPr>
            <w:r>
              <w:rPr>
                <w:color w:val="000000"/>
                <w:sz w:val="24"/>
                <w:highlight w:val="none"/>
              </w:rPr>
              <w:t xml:space="preserve">序号</w:t>
            </w:r>
            <w:r>
              <w:rPr>
                <w:color w:val="000000"/>
                <w:sz w:val="24"/>
                <w:highlight w:val="none"/>
              </w:rPr>
            </w:r>
            <w:r/>
          </w:p>
        </w:tc>
        <w:tc>
          <w:tcPr>
            <w:tcMar>
              <w:top w:w="100" w:type="dxa"/>
              <w:bottom w:w="100" w:type="dxa"/>
            </w:tcMar>
            <w:tcW w:w="852" w:type="dxa"/>
            <w:vAlign w:val="center"/>
            <w:textDirection w:val="lrTb"/>
            <w:noWrap w:val="false"/>
          </w:tcPr>
          <w:p>
            <w:pPr>
              <w:pStyle w:val="1060"/>
              <w:jc w:val="center"/>
              <w:spacing w:line="400" w:lineRule="exact"/>
              <w:widowControl/>
              <w:rPr>
                <w:color w:val="000000"/>
                <w:sz w:val="24"/>
                <w:highlight w:val="none"/>
              </w:rPr>
            </w:pPr>
            <w:r>
              <w:rPr>
                <w:color w:val="000000"/>
                <w:sz w:val="24"/>
                <w:highlight w:val="none"/>
              </w:rPr>
              <w:t xml:space="preserve">名称</w:t>
            </w:r>
            <w:r>
              <w:rPr>
                <w:color w:val="000000"/>
                <w:sz w:val="24"/>
                <w:highlight w:val="none"/>
              </w:rPr>
            </w:r>
            <w:r/>
          </w:p>
        </w:tc>
        <w:tc>
          <w:tcPr>
            <w:tcMar>
              <w:top w:w="100" w:type="dxa"/>
              <w:bottom w:w="100" w:type="dxa"/>
            </w:tcMar>
            <w:tcW w:w="8375" w:type="dxa"/>
            <w:vAlign w:val="center"/>
            <w:textDirection w:val="lrTb"/>
            <w:noWrap w:val="false"/>
          </w:tcPr>
          <w:p>
            <w:pPr>
              <w:pStyle w:val="1060"/>
              <w:jc w:val="center"/>
              <w:spacing w:line="400" w:lineRule="exact"/>
              <w:widowControl/>
              <w:rPr>
                <w:color w:val="000000"/>
                <w:sz w:val="24"/>
                <w:highlight w:val="none"/>
              </w:rPr>
            </w:pPr>
            <w:r>
              <w:rPr>
                <w:color w:val="000000"/>
                <w:sz w:val="24"/>
                <w:highlight w:val="none"/>
              </w:rPr>
              <w:t xml:space="preserve">内容</w:t>
            </w:r>
            <w:r>
              <w:rPr>
                <w:color w:val="000000"/>
                <w:sz w:val="24"/>
                <w:highlight w:val="none"/>
              </w:rPr>
            </w:r>
            <w:r/>
          </w:p>
        </w:tc>
      </w:tr>
      <w:tr>
        <w:trPr/>
        <w:tc>
          <w:tcPr>
            <w:tcMar>
              <w:top w:w="100" w:type="dxa"/>
              <w:bottom w:w="100" w:type="dxa"/>
            </w:tcMar>
            <w:tcW w:w="513" w:type="dxa"/>
            <w:vAlign w:val="center"/>
            <w:vMerge w:val="restart"/>
            <w:textDirection w:val="lrTb"/>
            <w:noWrap w:val="false"/>
          </w:tcPr>
          <w:p>
            <w:pPr>
              <w:pStyle w:val="1060"/>
              <w:jc w:val="center"/>
              <w:spacing w:line="400" w:lineRule="exact"/>
              <w:widowControl/>
              <w:rPr>
                <w:color w:val="000000"/>
                <w:sz w:val="24"/>
                <w:highlight w:val="none"/>
              </w:rPr>
            </w:pPr>
            <w:r>
              <w:rPr>
                <w:color w:val="000000"/>
                <w:sz w:val="24"/>
                <w:highlight w:val="none"/>
              </w:rPr>
              <w:t xml:space="preserve">1</w:t>
            </w:r>
            <w:r>
              <w:rPr>
                <w:color w:val="000000"/>
                <w:sz w:val="24"/>
                <w:highlight w:val="none"/>
              </w:rPr>
            </w:r>
            <w:r/>
          </w:p>
        </w:tc>
        <w:tc>
          <w:tcPr>
            <w:tcMar>
              <w:top w:w="100" w:type="dxa"/>
              <w:bottom w:w="100" w:type="dxa"/>
            </w:tcMar>
            <w:tcW w:w="852" w:type="dxa"/>
            <w:vAlign w:val="center"/>
            <w:vMerge w:val="restart"/>
            <w:textDirection w:val="lrTb"/>
            <w:noWrap w:val="false"/>
          </w:tcPr>
          <w:p>
            <w:pPr>
              <w:pStyle w:val="1060"/>
              <w:jc w:val="left"/>
              <w:spacing w:line="400" w:lineRule="exact"/>
              <w:widowControl/>
              <w:rPr>
                <w:color w:val="000000"/>
                <w:sz w:val="24"/>
                <w:highlight w:val="none"/>
              </w:rPr>
            </w:pPr>
            <w:r>
              <w:rPr>
                <w:color w:val="000000"/>
                <w:sz w:val="24"/>
                <w:highlight w:val="none"/>
              </w:rPr>
              <w:t xml:space="preserve">项目概况</w:t>
            </w:r>
            <w:r>
              <w:rPr>
                <w:color w:val="000000"/>
                <w:sz w:val="24"/>
                <w:highlight w:val="none"/>
              </w:rPr>
            </w:r>
            <w:r/>
          </w:p>
        </w:tc>
        <w:tc>
          <w:tcPr>
            <w:tcMar>
              <w:top w:w="100" w:type="dxa"/>
              <w:bottom w:w="100" w:type="dxa"/>
            </w:tcMar>
            <w:tcW w:w="8375" w:type="dxa"/>
            <w:vAlign w:val="center"/>
            <w:textDirection w:val="lrTb"/>
            <w:noWrap w:val="false"/>
          </w:tcPr>
          <w:p>
            <w:pPr>
              <w:pStyle w:val="1060"/>
              <w:jc w:val="left"/>
              <w:spacing w:line="400" w:lineRule="exact"/>
              <w:widowControl/>
              <w:rPr>
                <w:color w:val="000000"/>
                <w:sz w:val="24"/>
                <w:highlight w:val="none"/>
              </w:rPr>
            </w:pPr>
            <w:r>
              <w:rPr>
                <w:color w:val="000000"/>
                <w:sz w:val="24"/>
                <w:highlight w:val="none"/>
              </w:rPr>
              <w:t xml:space="preserve">根据现有</w:t>
            </w:r>
            <w:r>
              <w:rPr>
                <w:rFonts w:hint="eastAsia"/>
                <w:color w:val="000000"/>
                <w:sz w:val="24"/>
                <w:szCs w:val="21"/>
                <w:highlight w:val="none"/>
              </w:rPr>
              <w:t xml:space="preserve">苏州市姑苏区</w:t>
            </w:r>
            <w:r>
              <w:rPr>
                <w:color w:val="000000"/>
                <w:sz w:val="24"/>
                <w:highlight w:val="none"/>
              </w:rPr>
              <w:t xml:space="preserve">残疾人辅具（</w:t>
            </w:r>
            <w:r>
              <w:rPr>
                <w:rFonts w:hint="eastAsia" w:ascii="宋体" w:hAnsi="宋体" w:cs="宋体"/>
                <w:color w:val="000000"/>
                <w:sz w:val="24"/>
                <w:highlight w:val="none"/>
              </w:rPr>
              <w:t xml:space="preserve">包括轮椅代步类、助行类、生活护理类、导盲信息类、康复类、安全类辅具以及家庭无障碍改造等</w:t>
            </w:r>
            <w:r>
              <w:rPr>
                <w:bCs/>
                <w:color w:val="000000"/>
                <w:sz w:val="24"/>
                <w:highlight w:val="none"/>
              </w:rPr>
              <w:t xml:space="preserve">）</w:t>
            </w:r>
            <w:r>
              <w:rPr>
                <w:color w:val="000000"/>
                <w:sz w:val="24"/>
                <w:highlight w:val="none"/>
              </w:rPr>
              <w:t xml:space="preserve">服务需求状况，</w:t>
            </w:r>
            <w:r>
              <w:rPr>
                <w:rFonts w:hint="eastAsia"/>
                <w:color w:val="000000"/>
                <w:sz w:val="24"/>
                <w:highlight w:val="none"/>
              </w:rPr>
              <w:t xml:space="preserve">苏州市姑苏区残疾人联合会</w:t>
            </w:r>
            <w:r>
              <w:rPr>
                <w:color w:val="000000"/>
                <w:sz w:val="24"/>
                <w:highlight w:val="none"/>
              </w:rPr>
              <w:t xml:space="preserve">拟选择符合条件的机构作为</w:t>
            </w:r>
            <w:r>
              <w:rPr>
                <w:rFonts w:hint="eastAsia"/>
                <w:color w:val="000000"/>
                <w:sz w:val="24"/>
                <w:highlight w:val="none"/>
              </w:rPr>
              <w:t xml:space="preserve">苏州市姑苏区</w:t>
            </w:r>
            <w:r>
              <w:rPr>
                <w:color w:val="000000"/>
                <w:sz w:val="24"/>
                <w:highlight w:val="none"/>
              </w:rPr>
              <w:t xml:space="preserve">残疾人</w:t>
            </w:r>
            <w:r>
              <w:rPr>
                <w:rFonts w:hint="eastAsia"/>
                <w:color w:val="000000"/>
                <w:sz w:val="24"/>
                <w:highlight w:val="none"/>
              </w:rPr>
              <w:t xml:space="preserve">其他辅具（</w:t>
            </w:r>
            <w:r>
              <w:rPr>
                <w:rFonts w:hint="eastAsia" w:ascii="宋体" w:hAnsi="宋体" w:cs="宋体"/>
                <w:color w:val="000000"/>
                <w:sz w:val="24"/>
                <w:highlight w:val="none"/>
              </w:rPr>
              <w:t xml:space="preserve">包括轮椅代步类、助行类、生活护理类、导盲信息类、康复类、安全类辅具以及家庭无障碍改造等</w:t>
            </w:r>
            <w:r>
              <w:rPr>
                <w:rFonts w:hint="eastAsia"/>
                <w:color w:val="000000"/>
                <w:sz w:val="24"/>
                <w:highlight w:val="none"/>
              </w:rPr>
              <w:t xml:space="preserve">）</w:t>
            </w:r>
            <w:r>
              <w:rPr>
                <w:color w:val="000000"/>
                <w:sz w:val="24"/>
                <w:highlight w:val="none"/>
              </w:rPr>
              <w:t xml:space="preserve">定点适配服务机构，为</w:t>
            </w:r>
            <w:r>
              <w:rPr>
                <w:rFonts w:hint="eastAsia"/>
                <w:color w:val="000000"/>
                <w:sz w:val="24"/>
                <w:highlight w:val="none"/>
              </w:rPr>
              <w:t xml:space="preserve">苏州市姑苏区</w:t>
            </w:r>
            <w:r>
              <w:rPr>
                <w:color w:val="000000"/>
                <w:sz w:val="24"/>
                <w:highlight w:val="none"/>
              </w:rPr>
              <w:t xml:space="preserve">籍持证残疾人、18周岁以下残疾儿童、</w:t>
            </w:r>
            <w:r>
              <w:rPr>
                <w:rFonts w:hint="eastAsia"/>
                <w:color w:val="000000"/>
                <w:sz w:val="24"/>
                <w:highlight w:val="none"/>
              </w:rPr>
              <w:t xml:space="preserve">在校</w:t>
            </w:r>
            <w:r>
              <w:rPr>
                <w:color w:val="000000"/>
                <w:sz w:val="24"/>
                <w:highlight w:val="none"/>
              </w:rPr>
              <w:t xml:space="preserve">残疾学生开展其他类辅具适配服务。</w:t>
            </w:r>
            <w:r>
              <w:rPr>
                <w:rFonts w:hint="eastAsia"/>
                <w:color w:val="000000"/>
                <w:sz w:val="24"/>
                <w:highlight w:val="none"/>
              </w:rPr>
              <w:t xml:space="preserve">服务</w:t>
            </w:r>
            <w:r>
              <w:rPr>
                <w:color w:val="000000"/>
                <w:sz w:val="24"/>
                <w:highlight w:val="none"/>
              </w:rPr>
              <w:t xml:space="preserve">对象可在</w:t>
            </w:r>
            <w:r>
              <w:rPr>
                <w:rFonts w:hint="eastAsia"/>
                <w:color w:val="000000"/>
                <w:sz w:val="24"/>
                <w:szCs w:val="21"/>
                <w:highlight w:val="none"/>
              </w:rPr>
              <w:t xml:space="preserve">苏州市姑苏区残疾人联合会</w:t>
            </w:r>
            <w:r>
              <w:rPr>
                <w:rFonts w:hint="eastAsia"/>
                <w:bCs/>
                <w:color w:val="000000"/>
                <w:sz w:val="24"/>
                <w:highlight w:val="none"/>
              </w:rPr>
              <w:t xml:space="preserve">采购</w:t>
            </w:r>
            <w:r>
              <w:rPr>
                <w:bCs/>
                <w:color w:val="000000"/>
                <w:sz w:val="24"/>
                <w:highlight w:val="none"/>
              </w:rPr>
              <w:t xml:space="preserve">的其他类辅具</w:t>
            </w:r>
            <w:r>
              <w:rPr>
                <w:rFonts w:hint="eastAsia"/>
                <w:bCs/>
                <w:color w:val="000000"/>
                <w:sz w:val="24"/>
                <w:highlight w:val="none"/>
              </w:rPr>
              <w:t xml:space="preserve">定点适配机构</w:t>
            </w:r>
            <w:r>
              <w:rPr>
                <w:color w:val="000000"/>
                <w:sz w:val="24"/>
                <w:highlight w:val="none"/>
              </w:rPr>
              <w:t xml:space="preserve">进行</w:t>
            </w:r>
            <w:r>
              <w:rPr>
                <w:rFonts w:hint="eastAsia"/>
                <w:color w:val="000000"/>
                <w:sz w:val="24"/>
                <w:highlight w:val="none"/>
              </w:rPr>
              <w:t xml:space="preserve">适配</w:t>
            </w:r>
            <w:r>
              <w:rPr>
                <w:color w:val="000000"/>
                <w:sz w:val="24"/>
                <w:highlight w:val="none"/>
              </w:rPr>
              <w:t xml:space="preserve">服务。</w:t>
            </w:r>
            <w:r>
              <w:rPr>
                <w:color w:val="000000"/>
                <w:sz w:val="24"/>
                <w:highlight w:val="none"/>
              </w:rPr>
            </w:r>
            <w:r/>
          </w:p>
        </w:tc>
      </w:tr>
      <w:tr>
        <w:trPr/>
        <w:tc>
          <w:tcPr>
            <w:tcMar>
              <w:top w:w="100" w:type="dxa"/>
              <w:bottom w:w="100" w:type="dxa"/>
            </w:tcMar>
            <w:tcW w:w="513" w:type="dxa"/>
            <w:vAlign w:val="center"/>
            <w:textDirection w:val="lrTb"/>
            <w:noWrap w:val="false"/>
          </w:tcPr>
          <w:p>
            <w:pPr>
              <w:pStyle w:val="1060"/>
              <w:jc w:val="center"/>
              <w:spacing w:line="400" w:lineRule="exact"/>
              <w:widowControl/>
              <w:rPr>
                <w:color w:val="000000"/>
                <w:sz w:val="24"/>
                <w:highlight w:val="none"/>
              </w:rPr>
            </w:pPr>
            <w:r>
              <w:rPr>
                <w:color w:val="000000"/>
                <w:sz w:val="24"/>
                <w:highlight w:val="none"/>
              </w:rPr>
              <w:t xml:space="preserve">2</w:t>
            </w:r>
            <w:r>
              <w:rPr>
                <w:color w:val="000000"/>
                <w:sz w:val="24"/>
                <w:highlight w:val="none"/>
              </w:rPr>
            </w:r>
            <w:r/>
          </w:p>
        </w:tc>
        <w:tc>
          <w:tcPr>
            <w:tcMar>
              <w:top w:w="100" w:type="dxa"/>
              <w:bottom w:w="100" w:type="dxa"/>
            </w:tcMar>
            <w:tcW w:w="852" w:type="dxa"/>
            <w:vAlign w:val="center"/>
            <w:textDirection w:val="lrTb"/>
            <w:noWrap w:val="false"/>
          </w:tcPr>
          <w:p>
            <w:pPr>
              <w:pStyle w:val="1060"/>
              <w:jc w:val="left"/>
              <w:spacing w:line="400" w:lineRule="exact"/>
              <w:widowControl/>
              <w:rPr>
                <w:color w:val="000000"/>
                <w:sz w:val="24"/>
                <w:highlight w:val="none"/>
              </w:rPr>
            </w:pPr>
            <w:r>
              <w:rPr>
                <w:color w:val="000000"/>
                <w:sz w:val="24"/>
                <w:highlight w:val="none"/>
              </w:rPr>
              <w:t xml:space="preserve">服务对象</w:t>
            </w:r>
            <w:r>
              <w:rPr>
                <w:color w:val="000000"/>
                <w:sz w:val="24"/>
                <w:highlight w:val="none"/>
              </w:rPr>
            </w:r>
            <w:r/>
          </w:p>
        </w:tc>
        <w:tc>
          <w:tcPr>
            <w:tcMar>
              <w:top w:w="100" w:type="dxa"/>
              <w:bottom w:w="100" w:type="dxa"/>
            </w:tcMar>
            <w:tcW w:w="8375" w:type="dxa"/>
            <w:vAlign w:val="center"/>
            <w:textDirection w:val="lrTb"/>
            <w:noWrap w:val="false"/>
          </w:tcPr>
          <w:p>
            <w:pPr>
              <w:pStyle w:val="1060"/>
              <w:jc w:val="left"/>
              <w:spacing w:line="400" w:lineRule="exact"/>
              <w:widowControl/>
              <w:rPr>
                <w:color w:val="000000"/>
                <w:sz w:val="24"/>
                <w:highlight w:val="none"/>
              </w:rPr>
            </w:pPr>
            <w:r>
              <w:rPr>
                <w:color w:val="000000"/>
                <w:sz w:val="24"/>
                <w:highlight w:val="none"/>
              </w:rPr>
              <w:t xml:space="preserve">本项目所对应的适配服务对象：</w:t>
            </w:r>
            <w:r>
              <w:rPr>
                <w:color w:val="000000"/>
                <w:sz w:val="24"/>
                <w:highlight w:val="none"/>
              </w:rPr>
            </w:r>
            <w:r/>
          </w:p>
          <w:p>
            <w:pPr>
              <w:pStyle w:val="1060"/>
              <w:numPr>
                <w:ilvl w:val="0"/>
                <w:numId w:val="4"/>
              </w:numPr>
              <w:jc w:val="left"/>
              <w:spacing w:line="400" w:lineRule="exact"/>
              <w:widowControl/>
              <w:rPr>
                <w:color w:val="000000"/>
                <w:sz w:val="24"/>
                <w:highlight w:val="none"/>
              </w:rPr>
            </w:pPr>
            <w:r>
              <w:rPr>
                <w:rFonts w:hint="eastAsia"/>
                <w:color w:val="000000"/>
                <w:sz w:val="24"/>
                <w:szCs w:val="21"/>
                <w:highlight w:val="none"/>
              </w:rPr>
              <w:t xml:space="preserve">苏州市姑苏区</w:t>
            </w:r>
            <w:r>
              <w:rPr>
                <w:color w:val="000000"/>
                <w:sz w:val="24"/>
                <w:highlight w:val="none"/>
              </w:rPr>
              <w:t xml:space="preserve">户籍的持证残疾人</w:t>
            </w:r>
            <w:r>
              <w:rPr>
                <w:rFonts w:hint="eastAsia"/>
                <w:color w:val="000000"/>
                <w:sz w:val="24"/>
                <w:highlight w:val="none"/>
              </w:rPr>
              <w:t xml:space="preserve">；</w:t>
            </w:r>
            <w:r>
              <w:rPr>
                <w:color w:val="000000"/>
                <w:sz w:val="24"/>
                <w:highlight w:val="none"/>
              </w:rPr>
            </w:r>
            <w:r/>
          </w:p>
          <w:p>
            <w:pPr>
              <w:pStyle w:val="1060"/>
              <w:jc w:val="left"/>
              <w:spacing w:line="400" w:lineRule="exact"/>
              <w:widowControl/>
              <w:rPr>
                <w:color w:val="000000"/>
                <w:sz w:val="24"/>
                <w:highlight w:val="none"/>
              </w:rPr>
            </w:pPr>
            <w:r>
              <w:rPr>
                <w:color w:val="000000"/>
                <w:sz w:val="24"/>
                <w:highlight w:val="none"/>
              </w:rPr>
              <w:t xml:space="preserve">（2）18周岁以下残疾儿童或</w:t>
            </w:r>
            <w:r>
              <w:rPr>
                <w:rFonts w:hint="eastAsia"/>
                <w:color w:val="000000"/>
                <w:sz w:val="24"/>
                <w:highlight w:val="none"/>
              </w:rPr>
              <w:t xml:space="preserve">在校</w:t>
            </w:r>
            <w:r>
              <w:rPr>
                <w:color w:val="000000"/>
                <w:sz w:val="24"/>
                <w:highlight w:val="none"/>
              </w:rPr>
              <w:t xml:space="preserve">残疾学生，由</w:t>
            </w:r>
            <w:r>
              <w:rPr>
                <w:rFonts w:hint="eastAsia"/>
                <w:color w:val="000000"/>
                <w:sz w:val="24"/>
                <w:highlight w:val="none"/>
              </w:rPr>
              <w:t xml:space="preserve">国内三级以上</w:t>
            </w:r>
            <w:r>
              <w:rPr>
                <w:color w:val="000000"/>
                <w:sz w:val="24"/>
                <w:highlight w:val="none"/>
              </w:rPr>
              <w:t xml:space="preserve">专业医疗机构出具医学诊断证明书、病</w:t>
            </w:r>
            <w:r>
              <w:rPr>
                <w:rFonts w:hint="eastAsia"/>
                <w:color w:val="000000"/>
                <w:sz w:val="24"/>
                <w:highlight w:val="none"/>
              </w:rPr>
              <w:t xml:space="preserve">历</w:t>
            </w:r>
            <w:r>
              <w:rPr>
                <w:color w:val="000000"/>
                <w:sz w:val="24"/>
                <w:highlight w:val="none"/>
              </w:rPr>
              <w:t xml:space="preserve">等，自开具之日起1年内有效。</w:t>
            </w:r>
            <w:r>
              <w:rPr>
                <w:color w:val="000000"/>
                <w:sz w:val="24"/>
                <w:highlight w:val="none"/>
              </w:rPr>
            </w:r>
            <w:r/>
          </w:p>
          <w:p>
            <w:pPr>
              <w:pStyle w:val="1060"/>
              <w:jc w:val="left"/>
              <w:spacing w:line="400" w:lineRule="exact"/>
              <w:widowControl/>
              <w:rPr>
                <w:color w:val="000000"/>
                <w:sz w:val="24"/>
                <w:highlight w:val="none"/>
              </w:rPr>
            </w:pPr>
            <w:r>
              <w:rPr>
                <w:color w:val="000000"/>
                <w:sz w:val="24"/>
                <w:highlight w:val="none"/>
              </w:rPr>
              <w:t xml:space="preserve">注：</w:t>
            </w:r>
            <w:r>
              <w:rPr>
                <w:rFonts w:hint="eastAsia"/>
                <w:color w:val="000000"/>
                <w:sz w:val="24"/>
                <w:highlight w:val="none"/>
              </w:rPr>
              <w:t xml:space="preserve">户口本、残疾人证、医学诊断证明（含病历）等</w:t>
            </w:r>
            <w:r>
              <w:rPr>
                <w:color w:val="000000"/>
                <w:sz w:val="24"/>
                <w:highlight w:val="none"/>
              </w:rPr>
              <w:t xml:space="preserve">是享受救助政策的重要凭证。</w:t>
            </w:r>
            <w:r>
              <w:rPr>
                <w:color w:val="000000"/>
                <w:sz w:val="24"/>
                <w:highlight w:val="none"/>
              </w:rPr>
            </w:r>
            <w:r/>
          </w:p>
        </w:tc>
      </w:tr>
      <w:tr>
        <w:trPr>
          <w:trHeight w:val="552"/>
        </w:trPr>
        <w:tc>
          <w:tcPr>
            <w:tcMar>
              <w:top w:w="100" w:type="dxa"/>
              <w:bottom w:w="100" w:type="dxa"/>
            </w:tcMar>
            <w:tcW w:w="513" w:type="dxa"/>
            <w:vAlign w:val="center"/>
            <w:vMerge w:val="restart"/>
            <w:textDirection w:val="lrTb"/>
            <w:noWrap w:val="false"/>
          </w:tcPr>
          <w:p>
            <w:pPr>
              <w:pStyle w:val="1060"/>
              <w:jc w:val="center"/>
              <w:spacing w:line="400" w:lineRule="exact"/>
              <w:widowControl/>
              <w:rPr>
                <w:color w:val="000000"/>
                <w:sz w:val="24"/>
                <w:highlight w:val="none"/>
              </w:rPr>
            </w:pPr>
            <w:r>
              <w:rPr>
                <w:color w:val="000000"/>
                <w:sz w:val="24"/>
                <w:highlight w:val="none"/>
              </w:rPr>
              <w:t xml:space="preserve">3</w:t>
            </w:r>
            <w:r>
              <w:rPr>
                <w:color w:val="000000"/>
                <w:sz w:val="24"/>
                <w:highlight w:val="none"/>
              </w:rPr>
            </w:r>
            <w:r/>
          </w:p>
        </w:tc>
        <w:tc>
          <w:tcPr>
            <w:tcMar>
              <w:top w:w="100" w:type="dxa"/>
              <w:bottom w:w="100" w:type="dxa"/>
            </w:tcMar>
            <w:tcW w:w="852" w:type="dxa"/>
            <w:vAlign w:val="center"/>
            <w:vMerge w:val="restart"/>
            <w:textDirection w:val="lrTb"/>
            <w:noWrap w:val="false"/>
          </w:tcPr>
          <w:p>
            <w:pPr>
              <w:pStyle w:val="1060"/>
              <w:jc w:val="left"/>
              <w:spacing w:line="400" w:lineRule="exact"/>
              <w:widowControl/>
              <w:rPr>
                <w:color w:val="000000"/>
                <w:sz w:val="24"/>
                <w:highlight w:val="none"/>
              </w:rPr>
            </w:pPr>
            <w:r>
              <w:rPr>
                <w:color w:val="000000"/>
                <w:sz w:val="24"/>
                <w:highlight w:val="none"/>
              </w:rPr>
              <w:t xml:space="preserve">服务目标与内容</w:t>
            </w:r>
            <w:r>
              <w:rPr>
                <w:color w:val="000000"/>
                <w:sz w:val="24"/>
                <w:highlight w:val="none"/>
              </w:rPr>
            </w:r>
            <w:r/>
          </w:p>
        </w:tc>
        <w:tc>
          <w:tcPr>
            <w:tcMar>
              <w:top w:w="100" w:type="dxa"/>
              <w:bottom w:w="100" w:type="dxa"/>
            </w:tcMar>
            <w:tcW w:w="8375" w:type="dxa"/>
            <w:vAlign w:val="center"/>
            <w:textDirection w:val="lrTb"/>
            <w:noWrap w:val="false"/>
          </w:tcPr>
          <w:p>
            <w:pPr>
              <w:pStyle w:val="1060"/>
              <w:jc w:val="left"/>
              <w:spacing w:line="400" w:lineRule="exact"/>
              <w:widowControl/>
              <w:rPr>
                <w:b/>
                <w:bCs/>
                <w:color w:val="000000"/>
                <w:sz w:val="24"/>
                <w:highlight w:val="none"/>
              </w:rPr>
            </w:pPr>
            <w:r>
              <w:rPr>
                <w:color w:val="000000"/>
                <w:sz w:val="24"/>
                <w:highlight w:val="none"/>
              </w:rPr>
              <w:t xml:space="preserve">3.1 服务流程、内容与标准</w:t>
            </w:r>
            <w:r>
              <w:rPr>
                <w:b/>
                <w:bCs/>
                <w:color w:val="000000"/>
                <w:sz w:val="24"/>
                <w:highlight w:val="none"/>
              </w:rPr>
            </w:r>
            <w:r/>
          </w:p>
        </w:tc>
      </w:tr>
      <w:tr>
        <w:trPr>
          <w:trHeight w:val="548"/>
        </w:trPr>
        <w:tc>
          <w:tcPr>
            <w:tcMar>
              <w:top w:w="100" w:type="dxa"/>
              <w:bottom w:w="100" w:type="dxa"/>
            </w:tcMar>
            <w:tcW w:w="513" w:type="dxa"/>
            <w:vAlign w:val="center"/>
            <w:vMerge w:val="continue"/>
            <w:textDirection w:val="lrTb"/>
            <w:noWrap w:val="false"/>
          </w:tcPr>
          <w:p>
            <w:pPr>
              <w:pStyle w:val="1060"/>
              <w:jc w:val="center"/>
              <w:spacing w:line="400" w:lineRule="exact"/>
              <w:widowControl/>
              <w:rPr>
                <w:color w:val="000000"/>
                <w:sz w:val="24"/>
                <w:highlight w:val="none"/>
              </w:rPr>
            </w:pPr>
            <w:r>
              <w:rPr>
                <w:color w:val="000000"/>
                <w:sz w:val="24"/>
                <w:highlight w:val="none"/>
              </w:rPr>
            </w:r>
            <w:r/>
          </w:p>
        </w:tc>
        <w:tc>
          <w:tcPr>
            <w:tcMar>
              <w:top w:w="100" w:type="dxa"/>
              <w:bottom w:w="100" w:type="dxa"/>
            </w:tcMar>
            <w:tcW w:w="852" w:type="dxa"/>
            <w:vAlign w:val="center"/>
            <w:vMerge w:val="continue"/>
            <w:textDirection w:val="lrTb"/>
            <w:noWrap w:val="false"/>
          </w:tcPr>
          <w:p>
            <w:pPr>
              <w:pStyle w:val="1060"/>
              <w:jc w:val="left"/>
              <w:spacing w:line="400" w:lineRule="exact"/>
              <w:widowControl/>
              <w:rPr>
                <w:color w:val="000000"/>
                <w:sz w:val="24"/>
                <w:highlight w:val="none"/>
              </w:rPr>
            </w:pPr>
            <w:r>
              <w:rPr>
                <w:color w:val="000000"/>
                <w:sz w:val="24"/>
                <w:highlight w:val="none"/>
              </w:rPr>
            </w:r>
            <w:r/>
          </w:p>
        </w:tc>
        <w:tc>
          <w:tcPr>
            <w:tcMar>
              <w:top w:w="100" w:type="dxa"/>
              <w:bottom w:w="100" w:type="dxa"/>
            </w:tcMar>
            <w:tcW w:w="8375" w:type="dxa"/>
            <w:vAlign w:val="center"/>
            <w:textDirection w:val="lrTb"/>
            <w:noWrap w:val="false"/>
          </w:tcPr>
          <w:p>
            <w:pPr>
              <w:pStyle w:val="1060"/>
              <w:jc w:val="left"/>
              <w:spacing w:line="400" w:lineRule="exact"/>
              <w:widowControl/>
              <w:rPr>
                <w:color w:val="000000"/>
                <w:sz w:val="24"/>
                <w:highlight w:val="none"/>
                <w:u w:val="single"/>
              </w:rPr>
            </w:pPr>
            <w:r>
              <w:rPr>
                <w:rFonts w:hint="eastAsia" w:ascii="Times New Roman" w:hAnsi="Times New Roman" w:cs="Times New Roman"/>
                <w:color w:val="000000"/>
                <w:sz w:val="24"/>
                <w:highlight w:val="none"/>
              </w:rPr>
              <w:t xml:space="preserve">按本购买服务要求及苏州市残疾人联合会公布的《关于优化〈苏州市残疾人辅助器具适配补贴实施办法〉的通知》（苏残字〔2024〕50号）执行</w:t>
            </w:r>
            <w:r>
              <w:rPr>
                <w:rFonts w:hint="eastAsia"/>
                <w:color w:val="000000"/>
                <w:sz w:val="24"/>
                <w:highlight w:val="none"/>
              </w:rPr>
              <w:t xml:space="preserve">（后续如对应文件有调整，以最新版文件为准）。采购人与供应商的补助结付标准参照上述文件与</w:t>
            </w:r>
            <w:r>
              <w:rPr>
                <w:rFonts w:hint="eastAsia"/>
                <w:color w:val="000000"/>
                <w:sz w:val="24"/>
                <w:szCs w:val="21"/>
                <w:highlight w:val="none"/>
              </w:rPr>
              <w:t xml:space="preserve">《关于印发〈2023年苏州市残疾人辅助器具适配产品目录〉的通知》（苏残字〔2023〕38号）</w:t>
            </w:r>
            <w:r>
              <w:rPr>
                <w:rFonts w:hint="eastAsia"/>
                <w:color w:val="000000"/>
                <w:sz w:val="24"/>
                <w:highlight w:val="none"/>
              </w:rPr>
              <w:t xml:space="preserve">（</w:t>
            </w:r>
            <w:r>
              <w:rPr>
                <w:rFonts w:hint="eastAsia" w:ascii="宋体" w:hAnsi="宋体" w:cs="宋体"/>
                <w:color w:val="000000"/>
                <w:sz w:val="24"/>
                <w:highlight w:val="none"/>
              </w:rPr>
              <w:t xml:space="preserve">后续如上述目录出现调整，则以调整后的目录定价执行)</w:t>
            </w:r>
            <w:r>
              <w:rPr>
                <w:rFonts w:hint="eastAsia"/>
                <w:color w:val="000000"/>
                <w:sz w:val="24"/>
                <w:highlight w:val="none"/>
              </w:rPr>
              <w:t xml:space="preserve">执行，以采购人审核通过的符合补助费用据实支付。</w:t>
            </w:r>
            <w:r>
              <w:rPr>
                <w:color w:val="000000"/>
                <w:sz w:val="24"/>
                <w:highlight w:val="none"/>
                <w:u w:val="single"/>
              </w:rPr>
            </w:r>
            <w:r/>
          </w:p>
        </w:tc>
      </w:tr>
      <w:tr>
        <w:trPr>
          <w:trHeight w:val="548"/>
        </w:trPr>
        <w:tc>
          <w:tcPr>
            <w:tcMar>
              <w:top w:w="100" w:type="dxa"/>
              <w:bottom w:w="100" w:type="dxa"/>
            </w:tcMar>
            <w:tcW w:w="513" w:type="dxa"/>
            <w:vAlign w:val="center"/>
            <w:vMerge w:val="continue"/>
            <w:textDirection w:val="lrTb"/>
            <w:noWrap w:val="false"/>
          </w:tcPr>
          <w:p>
            <w:pPr>
              <w:pStyle w:val="1060"/>
              <w:jc w:val="center"/>
              <w:spacing w:line="400" w:lineRule="exact"/>
              <w:widowControl/>
              <w:rPr>
                <w:color w:val="000000"/>
                <w:sz w:val="24"/>
                <w:highlight w:val="none"/>
              </w:rPr>
            </w:pPr>
            <w:r>
              <w:rPr>
                <w:color w:val="000000"/>
                <w:sz w:val="24"/>
                <w:highlight w:val="none"/>
              </w:rPr>
            </w:r>
            <w:r/>
          </w:p>
        </w:tc>
        <w:tc>
          <w:tcPr>
            <w:tcMar>
              <w:top w:w="100" w:type="dxa"/>
              <w:bottom w:w="100" w:type="dxa"/>
            </w:tcMar>
            <w:tcW w:w="852" w:type="dxa"/>
            <w:vAlign w:val="center"/>
            <w:vMerge w:val="continue"/>
            <w:textDirection w:val="lrTb"/>
            <w:noWrap w:val="false"/>
          </w:tcPr>
          <w:p>
            <w:pPr>
              <w:pStyle w:val="1060"/>
              <w:jc w:val="left"/>
              <w:spacing w:line="400" w:lineRule="exact"/>
              <w:widowControl/>
              <w:rPr>
                <w:color w:val="000000"/>
                <w:sz w:val="24"/>
                <w:highlight w:val="none"/>
              </w:rPr>
            </w:pPr>
            <w:r>
              <w:rPr>
                <w:color w:val="000000"/>
                <w:sz w:val="24"/>
                <w:highlight w:val="none"/>
              </w:rPr>
            </w:r>
            <w:r/>
          </w:p>
        </w:tc>
        <w:tc>
          <w:tcPr>
            <w:tcMar>
              <w:top w:w="100" w:type="dxa"/>
              <w:bottom w:w="100" w:type="dxa"/>
            </w:tcMar>
            <w:tcW w:w="8375" w:type="dxa"/>
            <w:vAlign w:val="center"/>
            <w:textDirection w:val="lrTb"/>
            <w:noWrap w:val="false"/>
          </w:tcPr>
          <w:p>
            <w:pPr>
              <w:pStyle w:val="1060"/>
              <w:spacing w:line="440" w:lineRule="exact"/>
              <w:rPr>
                <w:color w:val="000000"/>
                <w:sz w:val="24"/>
                <w:highlight w:val="none"/>
              </w:rPr>
            </w:pPr>
            <w:r>
              <w:rPr>
                <w:color w:val="000000"/>
                <w:sz w:val="24"/>
                <w:highlight w:val="none"/>
              </w:rPr>
              <w:t xml:space="preserve">3.2 服务</w:t>
            </w:r>
            <w:r>
              <w:rPr>
                <w:rFonts w:hint="eastAsia"/>
                <w:color w:val="000000"/>
                <w:sz w:val="24"/>
                <w:highlight w:val="none"/>
              </w:rPr>
              <w:t xml:space="preserve">要求</w:t>
            </w:r>
            <w:r>
              <w:rPr>
                <w:color w:val="000000"/>
                <w:sz w:val="24"/>
                <w:highlight w:val="none"/>
              </w:rPr>
            </w:r>
            <w:r/>
          </w:p>
        </w:tc>
      </w:tr>
      <w:tr>
        <w:trPr>
          <w:trHeight w:val="548"/>
        </w:trPr>
        <w:tc>
          <w:tcPr>
            <w:tcMar>
              <w:top w:w="100" w:type="dxa"/>
              <w:bottom w:w="100" w:type="dxa"/>
            </w:tcMar>
            <w:tcW w:w="513" w:type="dxa"/>
            <w:vAlign w:val="center"/>
            <w:vMerge w:val="continue"/>
            <w:textDirection w:val="lrTb"/>
            <w:noWrap w:val="false"/>
          </w:tcPr>
          <w:p>
            <w:pPr>
              <w:pStyle w:val="1060"/>
              <w:jc w:val="center"/>
              <w:spacing w:line="400" w:lineRule="exact"/>
              <w:widowControl/>
              <w:rPr>
                <w:color w:val="000000"/>
                <w:sz w:val="24"/>
                <w:highlight w:val="none"/>
              </w:rPr>
            </w:pPr>
            <w:r>
              <w:rPr>
                <w:color w:val="000000"/>
                <w:sz w:val="24"/>
                <w:highlight w:val="none"/>
              </w:rPr>
            </w:r>
            <w:r/>
          </w:p>
        </w:tc>
        <w:tc>
          <w:tcPr>
            <w:tcMar>
              <w:top w:w="100" w:type="dxa"/>
              <w:bottom w:w="100" w:type="dxa"/>
            </w:tcMar>
            <w:tcW w:w="852" w:type="dxa"/>
            <w:vAlign w:val="center"/>
            <w:vMerge w:val="continue"/>
            <w:textDirection w:val="lrTb"/>
            <w:noWrap w:val="false"/>
          </w:tcPr>
          <w:p>
            <w:pPr>
              <w:pStyle w:val="1060"/>
              <w:jc w:val="left"/>
              <w:spacing w:line="400" w:lineRule="exact"/>
              <w:widowControl/>
              <w:rPr>
                <w:color w:val="000000"/>
                <w:sz w:val="24"/>
                <w:highlight w:val="none"/>
              </w:rPr>
            </w:pPr>
            <w:r>
              <w:rPr>
                <w:color w:val="000000"/>
                <w:sz w:val="24"/>
                <w:highlight w:val="none"/>
              </w:rPr>
            </w:r>
            <w:r/>
          </w:p>
        </w:tc>
        <w:tc>
          <w:tcPr>
            <w:tcMar>
              <w:top w:w="100" w:type="dxa"/>
              <w:bottom w:w="100" w:type="dxa"/>
            </w:tcMar>
            <w:tcW w:w="8375" w:type="dxa"/>
            <w:vAlign w:val="center"/>
            <w:textDirection w:val="lrTb"/>
            <w:noWrap w:val="false"/>
          </w:tcPr>
          <w:p>
            <w:pPr>
              <w:pStyle w:val="106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根据申请人的身体功能和辅具适配需求，实施“一人一案”的辅具适配评估，在残疾人选定具体辅具产品后，定点服务机构需要在3个工作日内完成下单采购工作，并在产品到货后5个工作日内进行辅具的上门配发、使用指导等服务；同时按规定做好建立台账、信息系统录入以及后续维保工作。</w:t>
            </w:r>
            <w:r>
              <w:rPr>
                <w:rFonts w:hint="eastAsia" w:ascii="宋体" w:hAnsi="宋体" w:cs="宋体"/>
                <w:color w:val="000000"/>
                <w:sz w:val="24"/>
                <w:highlight w:val="none"/>
              </w:rPr>
            </w:r>
            <w:r/>
          </w:p>
          <w:p>
            <w:pPr>
              <w:pStyle w:val="106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（2）销售的残疾人辅助器具必须属于《中国康复辅助器具目录》（2026年版）范围内的产品。</w:t>
            </w:r>
            <w:r>
              <w:rPr>
                <w:rFonts w:hint="eastAsia" w:ascii="宋体" w:hAnsi="宋体" w:cs="宋体"/>
                <w:color w:val="000000"/>
                <w:sz w:val="24"/>
                <w:highlight w:val="none"/>
              </w:rPr>
            </w:r>
            <w:r/>
          </w:p>
          <w:p>
            <w:pPr>
              <w:pStyle w:val="106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（3）供应商能提供《关于印发〈2023年苏州市残疾人辅助器具适配产品目录〉的通知》（苏残字〔2023〕38号）</w:t>
            </w:r>
            <w:r>
              <w:rPr>
                <w:rFonts w:hint="eastAsia"/>
                <w:color w:val="000000"/>
                <w:sz w:val="24"/>
                <w:highlight w:val="none"/>
              </w:rPr>
              <w:t xml:space="preserve">（</w:t>
            </w:r>
            <w:r>
              <w:rPr>
                <w:rFonts w:hint="eastAsia" w:ascii="Times New Roman" w:hAnsi="Times New Roman" w:cs="Times New Roman"/>
                <w:color w:val="000000"/>
                <w:sz w:val="24"/>
                <w:highlight w:val="none"/>
              </w:rPr>
              <w:t xml:space="preserve">后续如上述目录出现调整，则以调整后的目录定价执行</w:t>
            </w:r>
            <w:r>
              <w:rPr>
                <w:rFonts w:hint="eastAsia"/>
                <w:color w:val="000000"/>
                <w:sz w:val="24"/>
                <w:highlight w:val="none"/>
              </w:rPr>
              <w:t xml:space="preserve">）</w:t>
            </w:r>
            <w:r>
              <w:rPr>
                <w:rFonts w:hint="eastAsia" w:ascii="宋体" w:hAnsi="宋体" w:cs="宋体"/>
                <w:color w:val="000000"/>
                <w:sz w:val="24"/>
                <w:highlight w:val="none"/>
              </w:rPr>
              <w:t xml:space="preserve">的其他辅具（</w:t>
            </w:r>
            <w:r>
              <w:rPr>
                <w:rFonts w:hint="eastAsia" w:ascii="宋体" w:hAnsi="宋体" w:cs="宋体"/>
                <w:bCs/>
                <w:color w:val="000000"/>
                <w:sz w:val="24"/>
                <w:highlight w:val="none"/>
              </w:rPr>
              <w:t xml:space="preserve">包括轮椅代步类、助行类、生活护理类、光学和电子助视器类、导盲信息类、康复类、安全类等）</w:t>
            </w:r>
            <w:r>
              <w:rPr>
                <w:rFonts w:hint="eastAsia" w:ascii="宋体" w:hAnsi="宋体" w:cs="宋体"/>
                <w:color w:val="000000"/>
                <w:sz w:val="24"/>
                <w:highlight w:val="none"/>
              </w:rPr>
              <w:t xml:space="preserve">所有产品。</w:t>
            </w:r>
            <w:r>
              <w:rPr>
                <w:rFonts w:hint="eastAsia" w:ascii="宋体" w:hAnsi="宋体" w:cs="宋体"/>
                <w:color w:val="000000"/>
                <w:sz w:val="24"/>
                <w:highlight w:val="none"/>
              </w:rPr>
            </w:r>
            <w:r/>
          </w:p>
          <w:p>
            <w:pPr>
              <w:pStyle w:val="1060"/>
              <w:spacing w:line="440" w:lineRule="exact"/>
              <w:rPr>
                <w:rFonts w:hint="eastAsia"/>
                <w:color w:val="000000"/>
                <w:sz w:val="24"/>
                <w:szCs w:val="21"/>
                <w:highlight w:val="none"/>
              </w:rPr>
            </w:pPr>
            <w:r>
              <w:rPr>
                <w:rFonts w:hint="eastAsia" w:ascii="宋体" w:hAnsi="宋体" w:cs="宋体"/>
                <w:color w:val="000000"/>
                <w:sz w:val="24"/>
                <w:highlight w:val="none"/>
              </w:rPr>
              <w:t xml:space="preserve">（4）服务机构应满足残疾人对于其他辅具适配需求，如果残疾人确需要选择《关于印发〈2023年苏州市残疾人辅助器具适配产品目录〉的通知》（苏残字〔2023〕38号）</w:t>
            </w:r>
            <w:r>
              <w:rPr>
                <w:rFonts w:hint="eastAsia"/>
                <w:color w:val="000000"/>
                <w:sz w:val="24"/>
                <w:highlight w:val="none"/>
              </w:rPr>
              <w:t xml:space="preserve">（</w:t>
            </w:r>
            <w:r>
              <w:rPr>
                <w:rFonts w:hint="eastAsia" w:ascii="Times New Roman" w:hAnsi="Times New Roman" w:cs="Times New Roman"/>
                <w:color w:val="000000"/>
                <w:sz w:val="24"/>
                <w:highlight w:val="none"/>
              </w:rPr>
              <w:t xml:space="preserve">后续如上述目录出现调整，则以调整后的目录定价执行</w:t>
            </w:r>
            <w:r>
              <w:rPr>
                <w:rFonts w:hint="eastAsia"/>
                <w:color w:val="000000"/>
                <w:sz w:val="24"/>
                <w:highlight w:val="none"/>
              </w:rPr>
              <w:t xml:space="preserve">）</w:t>
            </w:r>
            <w:r>
              <w:rPr>
                <w:rFonts w:hint="eastAsia" w:ascii="宋体" w:hAnsi="宋体" w:cs="宋体"/>
                <w:color w:val="000000"/>
                <w:sz w:val="24"/>
                <w:highlight w:val="none"/>
              </w:rPr>
              <w:t xml:space="preserve">以外的辅具，</w:t>
            </w:r>
            <w:r>
              <w:rPr>
                <w:rFonts w:hint="eastAsia"/>
                <w:color w:val="000000"/>
                <w:sz w:val="24"/>
                <w:szCs w:val="21"/>
                <w:highlight w:val="none"/>
              </w:rPr>
              <w:t xml:space="preserve">供应商应事先向姑苏区残疾人联合会报送所能提供的全部目录外辅助器具产品清单，批准通过后方可提供相应产品。目录外产品适配价（含服务费）不得高于同期其他任何渠道售价，并结合本项目公益属性给予公益价格折扣。同品牌同型号的目录外产品适配价须与向姑苏区残联的报送价一致。</w:t>
            </w:r>
            <w:r>
              <w:rPr>
                <w:rFonts w:hint="eastAsia"/>
                <w:color w:val="000000"/>
                <w:sz w:val="24"/>
                <w:szCs w:val="21"/>
                <w:highlight w:val="none"/>
              </w:rPr>
            </w:r>
            <w:r/>
          </w:p>
          <w:p>
            <w:pPr>
              <w:pStyle w:val="106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（5）残疾人需要适配《关于印发〈2023年苏州市残疾人辅助器具适配产品目录〉的通知》（苏残字〔2023〕38号）</w:t>
            </w:r>
            <w:r>
              <w:rPr>
                <w:rFonts w:hint="eastAsia"/>
                <w:color w:val="000000"/>
                <w:sz w:val="24"/>
                <w:highlight w:val="none"/>
              </w:rPr>
              <w:t xml:space="preserve">（</w:t>
            </w:r>
            <w:r>
              <w:rPr>
                <w:rFonts w:hint="eastAsia" w:ascii="Times New Roman" w:hAnsi="Times New Roman" w:cs="Times New Roman"/>
                <w:color w:val="000000"/>
                <w:sz w:val="24"/>
                <w:highlight w:val="none"/>
              </w:rPr>
              <w:t xml:space="preserve">后续如上述目录出现调整，则以调整后的目录定价执行</w:t>
            </w:r>
            <w:r>
              <w:rPr>
                <w:rFonts w:hint="eastAsia"/>
                <w:color w:val="000000"/>
                <w:sz w:val="24"/>
                <w:highlight w:val="none"/>
              </w:rPr>
              <w:t xml:space="preserve">）</w:t>
            </w:r>
            <w:r>
              <w:rPr>
                <w:rFonts w:hint="eastAsia" w:ascii="宋体" w:hAnsi="宋体" w:cs="宋体"/>
                <w:color w:val="000000"/>
                <w:sz w:val="24"/>
                <w:highlight w:val="none"/>
              </w:rPr>
              <w:t xml:space="preserve">以外的辅具，供应商未按上述要求上报审批，姑苏区残联有权拒付该辅具涉及的补助费用，并由供应商赔偿残疾人因此造成的一切损失。</w:t>
            </w:r>
            <w:r>
              <w:rPr>
                <w:rFonts w:hint="eastAsia" w:ascii="宋体" w:hAnsi="宋体" w:cs="宋体"/>
                <w:color w:val="000000"/>
                <w:sz w:val="24"/>
                <w:highlight w:val="none"/>
              </w:rPr>
            </w:r>
            <w:r/>
          </w:p>
          <w:p>
            <w:pPr>
              <w:pStyle w:val="1162"/>
              <w:ind w:left="0" w:firstLine="0"/>
              <w:spacing w:after="0"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供应商所响应产品若属于医疗器械管理范畴，应严格遵守国家《医疗器械监督管理条例》相关规定。供应商响应的医疗器械若含有第二类医疗器械的，供应商应持有“医疗器械经营备案凭证”或“食品药品生产经营许可证”；若含有第三类医疗器械的，供应商应持有“医疗器械经营许可证”或“食品药品生产经营许可证”。供应商为响应产品的生产企业，应有第一类医疗器械的“医疗器械生产备案凭证”，第二、三类医疗器械的 “有效期内的医疗器械生产许可证”。</w:t>
            </w:r>
            <w:r>
              <w:rPr>
                <w:rFonts w:hint="eastAsia" w:ascii="宋体" w:hAnsi="宋体" w:cs="宋体"/>
                <w:color w:val="000000"/>
                <w:sz w:val="24"/>
                <w:szCs w:val="24"/>
                <w:highlight w:val="none"/>
              </w:rPr>
            </w:r>
            <w:r/>
          </w:p>
          <w:p>
            <w:pPr>
              <w:pStyle w:val="1060"/>
              <w:spacing w:line="440" w:lineRule="exact"/>
              <w:rPr>
                <w:color w:val="000000"/>
                <w:sz w:val="24"/>
                <w:highlight w:val="none"/>
              </w:rPr>
            </w:pPr>
            <w:r>
              <w:rPr>
                <w:rFonts w:hint="eastAsia" w:ascii="宋体" w:hAnsi="宋体" w:cs="宋体"/>
                <w:color w:val="000000"/>
                <w:sz w:val="24"/>
                <w:highlight w:val="none"/>
              </w:rPr>
              <w:t xml:space="preserve">供应商提供的产品必须持有质量检测机构出具的质量检测报告，确保来源安全、可靠且能持续供应。</w:t>
            </w:r>
            <w:r>
              <w:rPr>
                <w:color w:val="000000"/>
                <w:sz w:val="24"/>
                <w:highlight w:val="none"/>
              </w:rPr>
            </w:r>
            <w:r/>
          </w:p>
        </w:tc>
      </w:tr>
      <w:tr>
        <w:trPr>
          <w:trHeight w:val="20"/>
        </w:trPr>
        <w:tc>
          <w:tcPr>
            <w:tcMar>
              <w:top w:w="100" w:type="dxa"/>
              <w:bottom w:w="100" w:type="dxa"/>
            </w:tcMar>
            <w:tcW w:w="513" w:type="dxa"/>
            <w:vAlign w:val="center"/>
            <w:vMerge w:val="restart"/>
            <w:textDirection w:val="lrTb"/>
            <w:noWrap w:val="false"/>
          </w:tcPr>
          <w:p>
            <w:pPr>
              <w:pStyle w:val="1060"/>
              <w:jc w:val="center"/>
              <w:spacing w:line="400" w:lineRule="exact"/>
              <w:widowControl/>
              <w:rPr>
                <w:color w:val="000000"/>
                <w:sz w:val="24"/>
                <w:highlight w:val="none"/>
              </w:rPr>
            </w:pPr>
            <w:r>
              <w:rPr>
                <w:color w:val="000000"/>
                <w:sz w:val="24"/>
                <w:highlight w:val="none"/>
              </w:rPr>
              <w:t xml:space="preserve">4</w:t>
            </w:r>
            <w:r>
              <w:rPr>
                <w:color w:val="000000"/>
                <w:sz w:val="24"/>
                <w:highlight w:val="none"/>
              </w:rPr>
            </w:r>
            <w:r/>
          </w:p>
        </w:tc>
        <w:tc>
          <w:tcPr>
            <w:tcMar>
              <w:top w:w="100" w:type="dxa"/>
              <w:bottom w:w="100" w:type="dxa"/>
            </w:tcMar>
            <w:tcW w:w="852" w:type="dxa"/>
            <w:vAlign w:val="center"/>
            <w:vMerge w:val="restart"/>
            <w:textDirection w:val="lrTb"/>
            <w:noWrap w:val="false"/>
          </w:tcPr>
          <w:p>
            <w:pPr>
              <w:pStyle w:val="1060"/>
              <w:jc w:val="left"/>
              <w:spacing w:line="400" w:lineRule="exact"/>
              <w:widowControl/>
              <w:rPr>
                <w:color w:val="000000"/>
                <w:sz w:val="24"/>
                <w:highlight w:val="none"/>
              </w:rPr>
            </w:pPr>
            <w:r>
              <w:rPr>
                <w:color w:val="000000"/>
                <w:sz w:val="24"/>
                <w:highlight w:val="none"/>
              </w:rPr>
              <w:t xml:space="preserve">服务</w:t>
            </w:r>
            <w:r>
              <w:rPr>
                <w:color w:val="000000"/>
                <w:sz w:val="24"/>
                <w:highlight w:val="none"/>
                <w:lang w:eastAsia="en-US"/>
              </w:rPr>
              <w:t xml:space="preserve">管理</w:t>
            </w:r>
            <w:r>
              <w:rPr>
                <w:color w:val="000000"/>
                <w:sz w:val="24"/>
                <w:highlight w:val="none"/>
              </w:rPr>
            </w:r>
            <w:r/>
          </w:p>
        </w:tc>
        <w:tc>
          <w:tcPr>
            <w:tcMar>
              <w:top w:w="100" w:type="dxa"/>
              <w:bottom w:w="100" w:type="dxa"/>
            </w:tcMar>
            <w:tcW w:w="8375" w:type="dxa"/>
            <w:vAlign w:val="center"/>
            <w:textDirection w:val="lrTb"/>
            <w:noWrap w:val="false"/>
          </w:tcPr>
          <w:p>
            <w:pPr>
              <w:pStyle w:val="1060"/>
              <w:jc w:val="left"/>
              <w:spacing w:line="400" w:lineRule="exact"/>
              <w:widowControl/>
              <w:rPr>
                <w:color w:val="000000"/>
                <w:sz w:val="24"/>
                <w:highlight w:val="none"/>
              </w:rPr>
            </w:pPr>
            <w:r>
              <w:rPr>
                <w:color w:val="000000"/>
                <w:sz w:val="24"/>
                <w:highlight w:val="none"/>
              </w:rPr>
              <w:t xml:space="preserve">4.1 质量控制</w:t>
            </w:r>
            <w:r>
              <w:rPr>
                <w:color w:val="000000"/>
                <w:sz w:val="24"/>
                <w:highlight w:val="none"/>
              </w:rPr>
            </w:r>
            <w:r/>
          </w:p>
        </w:tc>
      </w:tr>
      <w:tr>
        <w:trPr>
          <w:trHeight w:val="46"/>
        </w:trPr>
        <w:tc>
          <w:tcPr>
            <w:tcMar>
              <w:top w:w="100" w:type="dxa"/>
              <w:bottom w:w="100" w:type="dxa"/>
            </w:tcMar>
            <w:tcW w:w="513" w:type="dxa"/>
            <w:vAlign w:val="center"/>
            <w:vMerge w:val="continue"/>
            <w:textDirection w:val="lrTb"/>
            <w:noWrap w:val="false"/>
          </w:tcPr>
          <w:p>
            <w:pPr>
              <w:pStyle w:val="1060"/>
              <w:jc w:val="center"/>
              <w:spacing w:line="400" w:lineRule="exact"/>
              <w:widowControl/>
              <w:rPr>
                <w:color w:val="000000"/>
                <w:sz w:val="24"/>
                <w:highlight w:val="none"/>
              </w:rPr>
            </w:pPr>
            <w:r>
              <w:rPr>
                <w:color w:val="000000"/>
                <w:sz w:val="24"/>
                <w:highlight w:val="none"/>
              </w:rPr>
            </w:r>
            <w:r/>
          </w:p>
        </w:tc>
        <w:tc>
          <w:tcPr>
            <w:tcMar>
              <w:top w:w="100" w:type="dxa"/>
              <w:bottom w:w="100" w:type="dxa"/>
            </w:tcMar>
            <w:tcW w:w="852" w:type="dxa"/>
            <w:vAlign w:val="center"/>
            <w:vMerge w:val="continue"/>
            <w:textDirection w:val="lrTb"/>
            <w:noWrap w:val="false"/>
          </w:tcPr>
          <w:p>
            <w:pPr>
              <w:pStyle w:val="1060"/>
              <w:jc w:val="left"/>
              <w:spacing w:line="400" w:lineRule="exact"/>
              <w:widowControl/>
              <w:rPr>
                <w:color w:val="000000"/>
                <w:sz w:val="24"/>
                <w:highlight w:val="none"/>
              </w:rPr>
            </w:pPr>
            <w:r>
              <w:rPr>
                <w:color w:val="000000"/>
                <w:sz w:val="24"/>
                <w:highlight w:val="none"/>
              </w:rPr>
            </w:r>
            <w:r/>
          </w:p>
        </w:tc>
        <w:tc>
          <w:tcPr>
            <w:tcMar>
              <w:top w:w="100" w:type="dxa"/>
              <w:bottom w:w="100" w:type="dxa"/>
            </w:tcMar>
            <w:tcW w:w="8375" w:type="dxa"/>
            <w:vAlign w:val="center"/>
            <w:textDirection w:val="lrTb"/>
            <w:noWrap w:val="false"/>
          </w:tcPr>
          <w:p>
            <w:pPr>
              <w:pStyle w:val="1060"/>
              <w:spacing w:line="440" w:lineRule="exact"/>
              <w:rPr>
                <w:color w:val="000000"/>
                <w:sz w:val="24"/>
                <w:highlight w:val="none"/>
              </w:rPr>
            </w:pPr>
            <w:r>
              <w:rPr>
                <w:color w:val="000000"/>
                <w:sz w:val="24"/>
                <w:highlight w:val="none"/>
              </w:rPr>
              <w:t xml:space="preserve">（1）有需求服务对象辅具需求评估、适配服务建档率100%；</w:t>
            </w:r>
            <w:r>
              <w:rPr>
                <w:color w:val="000000"/>
                <w:sz w:val="24"/>
                <w:highlight w:val="none"/>
              </w:rPr>
            </w:r>
            <w:r/>
          </w:p>
          <w:p>
            <w:pPr>
              <w:pStyle w:val="1060"/>
              <w:spacing w:line="440" w:lineRule="exact"/>
              <w:rPr>
                <w:color w:val="000000"/>
                <w:sz w:val="24"/>
                <w:highlight w:val="none"/>
              </w:rPr>
            </w:pPr>
            <w:r>
              <w:rPr>
                <w:color w:val="000000"/>
                <w:sz w:val="24"/>
                <w:highlight w:val="none"/>
              </w:rPr>
              <w:t xml:space="preserve">（</w:t>
            </w:r>
            <w:r>
              <w:rPr>
                <w:rFonts w:hint="eastAsia"/>
                <w:color w:val="000000"/>
                <w:sz w:val="24"/>
                <w:highlight w:val="none"/>
              </w:rPr>
              <w:t xml:space="preserve">2</w:t>
            </w:r>
            <w:r>
              <w:rPr>
                <w:color w:val="000000"/>
                <w:sz w:val="24"/>
                <w:highlight w:val="none"/>
              </w:rPr>
              <w:t xml:space="preserve">）满意度达9</w:t>
            </w:r>
            <w:r>
              <w:rPr>
                <w:rFonts w:hint="eastAsia"/>
                <w:color w:val="000000"/>
                <w:sz w:val="24"/>
                <w:highlight w:val="none"/>
              </w:rPr>
              <w:t xml:space="preserve">5</w:t>
            </w:r>
            <w:r>
              <w:rPr>
                <w:color w:val="000000"/>
                <w:sz w:val="24"/>
                <w:highlight w:val="none"/>
              </w:rPr>
              <w:t xml:space="preserve">%以上。</w:t>
            </w:r>
            <w:r>
              <w:rPr>
                <w:color w:val="000000"/>
                <w:sz w:val="24"/>
                <w:highlight w:val="none"/>
              </w:rPr>
            </w:r>
            <w:r/>
          </w:p>
        </w:tc>
      </w:tr>
      <w:tr>
        <w:trPr/>
        <w:tc>
          <w:tcPr>
            <w:tcMar>
              <w:top w:w="100" w:type="dxa"/>
              <w:bottom w:w="100" w:type="dxa"/>
            </w:tcMar>
            <w:tcW w:w="513" w:type="dxa"/>
            <w:vAlign w:val="center"/>
            <w:vMerge w:val="continue"/>
            <w:textDirection w:val="lrTb"/>
            <w:noWrap w:val="false"/>
          </w:tcPr>
          <w:p>
            <w:pPr>
              <w:pStyle w:val="1060"/>
              <w:jc w:val="center"/>
              <w:spacing w:line="400" w:lineRule="exact"/>
              <w:widowControl/>
              <w:rPr>
                <w:color w:val="000000"/>
                <w:sz w:val="24"/>
                <w:highlight w:val="none"/>
              </w:rPr>
            </w:pPr>
            <w:r>
              <w:rPr>
                <w:color w:val="000000"/>
                <w:sz w:val="24"/>
                <w:highlight w:val="none"/>
              </w:rPr>
            </w:r>
            <w:r/>
          </w:p>
        </w:tc>
        <w:tc>
          <w:tcPr>
            <w:tcMar>
              <w:top w:w="100" w:type="dxa"/>
              <w:bottom w:w="100" w:type="dxa"/>
            </w:tcMar>
            <w:tcW w:w="852" w:type="dxa"/>
            <w:vAlign w:val="center"/>
            <w:vMerge w:val="continue"/>
            <w:textDirection w:val="lrTb"/>
            <w:noWrap w:val="false"/>
          </w:tcPr>
          <w:p>
            <w:pPr>
              <w:pStyle w:val="1060"/>
              <w:jc w:val="left"/>
              <w:spacing w:line="400" w:lineRule="exact"/>
              <w:widowControl/>
              <w:rPr>
                <w:color w:val="000000"/>
                <w:sz w:val="24"/>
                <w:highlight w:val="none"/>
              </w:rPr>
            </w:pPr>
            <w:r>
              <w:rPr>
                <w:color w:val="000000"/>
                <w:sz w:val="24"/>
                <w:highlight w:val="none"/>
              </w:rPr>
            </w:r>
            <w:r/>
          </w:p>
        </w:tc>
        <w:tc>
          <w:tcPr>
            <w:tcMar>
              <w:top w:w="100" w:type="dxa"/>
              <w:bottom w:w="100" w:type="dxa"/>
            </w:tcMar>
            <w:tcW w:w="8375" w:type="dxa"/>
            <w:vAlign w:val="center"/>
            <w:textDirection w:val="lrTb"/>
            <w:noWrap w:val="false"/>
          </w:tcPr>
          <w:p>
            <w:pPr>
              <w:pStyle w:val="1060"/>
              <w:jc w:val="left"/>
              <w:spacing w:line="400" w:lineRule="exact"/>
              <w:widowControl/>
              <w:rPr>
                <w:color w:val="000000"/>
                <w:sz w:val="24"/>
                <w:highlight w:val="none"/>
              </w:rPr>
            </w:pPr>
            <w:r>
              <w:rPr>
                <w:color w:val="000000"/>
                <w:sz w:val="24"/>
                <w:highlight w:val="none"/>
              </w:rPr>
              <w:t xml:space="preserve">4.2 </w:t>
            </w:r>
            <w:r>
              <w:rPr>
                <w:color w:val="000000"/>
                <w:sz w:val="24"/>
                <w:highlight w:val="none"/>
                <w:lang w:eastAsia="en-US"/>
              </w:rPr>
              <w:t xml:space="preserve">档案管理</w:t>
            </w:r>
            <w:r>
              <w:rPr>
                <w:color w:val="000000"/>
                <w:sz w:val="24"/>
                <w:highlight w:val="none"/>
              </w:rPr>
            </w:r>
            <w:r/>
          </w:p>
        </w:tc>
      </w:tr>
      <w:tr>
        <w:trPr/>
        <w:tc>
          <w:tcPr>
            <w:tcMar>
              <w:top w:w="100" w:type="dxa"/>
              <w:bottom w:w="100" w:type="dxa"/>
            </w:tcMar>
            <w:tcW w:w="513" w:type="dxa"/>
            <w:vAlign w:val="center"/>
            <w:vMerge w:val="continue"/>
            <w:textDirection w:val="lrTb"/>
            <w:noWrap w:val="false"/>
          </w:tcPr>
          <w:p>
            <w:pPr>
              <w:pStyle w:val="1060"/>
              <w:jc w:val="center"/>
              <w:spacing w:line="400" w:lineRule="exact"/>
              <w:widowControl/>
              <w:rPr>
                <w:color w:val="000000"/>
                <w:sz w:val="24"/>
                <w:highlight w:val="none"/>
              </w:rPr>
            </w:pPr>
            <w:r>
              <w:rPr>
                <w:color w:val="000000"/>
                <w:sz w:val="24"/>
                <w:highlight w:val="none"/>
              </w:rPr>
            </w:r>
            <w:r/>
          </w:p>
        </w:tc>
        <w:tc>
          <w:tcPr>
            <w:tcMar>
              <w:top w:w="100" w:type="dxa"/>
              <w:bottom w:w="100" w:type="dxa"/>
            </w:tcMar>
            <w:tcW w:w="852" w:type="dxa"/>
            <w:vAlign w:val="center"/>
            <w:vMerge w:val="continue"/>
            <w:textDirection w:val="lrTb"/>
            <w:noWrap w:val="false"/>
          </w:tcPr>
          <w:p>
            <w:pPr>
              <w:pStyle w:val="1060"/>
              <w:jc w:val="left"/>
              <w:spacing w:line="400" w:lineRule="exact"/>
              <w:widowControl/>
              <w:rPr>
                <w:color w:val="000000"/>
                <w:sz w:val="24"/>
                <w:highlight w:val="none"/>
              </w:rPr>
            </w:pPr>
            <w:r>
              <w:rPr>
                <w:color w:val="000000"/>
                <w:sz w:val="24"/>
                <w:highlight w:val="none"/>
              </w:rPr>
            </w:r>
            <w:r/>
          </w:p>
        </w:tc>
        <w:tc>
          <w:tcPr>
            <w:tcMar>
              <w:top w:w="100" w:type="dxa"/>
              <w:bottom w:w="100" w:type="dxa"/>
            </w:tcMar>
            <w:tcW w:w="8375" w:type="dxa"/>
            <w:vAlign w:val="center"/>
            <w:textDirection w:val="lrTb"/>
            <w:noWrap w:val="false"/>
          </w:tcPr>
          <w:p>
            <w:pPr>
              <w:pStyle w:val="1060"/>
              <w:spacing w:line="440" w:lineRule="exact"/>
              <w:rPr>
                <w:color w:val="000000"/>
                <w:sz w:val="24"/>
                <w:highlight w:val="none"/>
              </w:rPr>
            </w:pPr>
            <w:r>
              <w:rPr>
                <w:color w:val="000000"/>
                <w:sz w:val="24"/>
                <w:highlight w:val="none"/>
              </w:rPr>
              <w:t xml:space="preserve">（1）为接受辅具适配服务对象</w:t>
            </w:r>
            <w:r>
              <w:rPr>
                <w:rFonts w:hint="eastAsia"/>
                <w:color w:val="000000"/>
                <w:sz w:val="24"/>
                <w:highlight w:val="none"/>
              </w:rPr>
              <w:t xml:space="preserve">建立服务档案（一人一档，完成服务对象每次服务的记录，做好适配前评估和测定、配发后使用指导、适应性训练、售后服务等记录，保存适配照片）。</w:t>
            </w:r>
            <w:r>
              <w:rPr>
                <w:color w:val="000000"/>
                <w:sz w:val="24"/>
                <w:highlight w:val="none"/>
              </w:rPr>
            </w:r>
            <w:r/>
          </w:p>
          <w:p>
            <w:pPr>
              <w:pStyle w:val="1060"/>
              <w:spacing w:line="400" w:lineRule="exact"/>
              <w:rPr>
                <w:color w:val="000000"/>
                <w:sz w:val="24"/>
                <w:highlight w:val="none"/>
              </w:rPr>
            </w:pPr>
            <w:r>
              <w:rPr>
                <w:color w:val="000000"/>
                <w:sz w:val="24"/>
                <w:highlight w:val="none"/>
              </w:rPr>
              <w:t xml:space="preserve">（</w:t>
            </w:r>
            <w:r>
              <w:rPr>
                <w:rFonts w:hint="eastAsia"/>
                <w:color w:val="000000"/>
                <w:sz w:val="24"/>
                <w:highlight w:val="none"/>
              </w:rPr>
              <w:t xml:space="preserve">2</w:t>
            </w:r>
            <w:r>
              <w:rPr>
                <w:color w:val="000000"/>
                <w:sz w:val="24"/>
                <w:highlight w:val="none"/>
              </w:rPr>
              <w:t xml:space="preserve">）及时配合</w:t>
            </w:r>
            <w:r>
              <w:rPr>
                <w:color w:val="000000"/>
                <w:sz w:val="24"/>
                <w:highlight w:val="none"/>
                <w:lang w:eastAsia="en-US"/>
              </w:rPr>
              <w:t xml:space="preserve">采购人</w:t>
            </w:r>
            <w:r>
              <w:rPr>
                <w:color w:val="000000"/>
                <w:sz w:val="24"/>
                <w:highlight w:val="none"/>
              </w:rPr>
              <w:t xml:space="preserve">完成相关记录的采集。</w:t>
            </w:r>
            <w:r>
              <w:rPr>
                <w:color w:val="000000"/>
                <w:sz w:val="24"/>
                <w:highlight w:val="none"/>
              </w:rPr>
            </w:r>
            <w:r/>
          </w:p>
        </w:tc>
      </w:tr>
      <w:tr>
        <w:trPr/>
        <w:tc>
          <w:tcPr>
            <w:tcMar>
              <w:top w:w="100" w:type="dxa"/>
              <w:bottom w:w="100" w:type="dxa"/>
            </w:tcMar>
            <w:tcW w:w="513" w:type="dxa"/>
            <w:vAlign w:val="center"/>
            <w:vMerge w:val="continue"/>
            <w:textDirection w:val="lrTb"/>
            <w:noWrap w:val="false"/>
          </w:tcPr>
          <w:p>
            <w:pPr>
              <w:pStyle w:val="1060"/>
              <w:jc w:val="center"/>
              <w:spacing w:line="400" w:lineRule="exact"/>
              <w:widowControl/>
              <w:rPr>
                <w:color w:val="000000"/>
                <w:sz w:val="24"/>
                <w:highlight w:val="none"/>
              </w:rPr>
            </w:pPr>
            <w:r>
              <w:rPr>
                <w:color w:val="000000"/>
                <w:sz w:val="24"/>
                <w:highlight w:val="none"/>
              </w:rPr>
            </w:r>
            <w:r/>
          </w:p>
        </w:tc>
        <w:tc>
          <w:tcPr>
            <w:tcMar>
              <w:top w:w="100" w:type="dxa"/>
              <w:bottom w:w="100" w:type="dxa"/>
            </w:tcMar>
            <w:tcW w:w="852" w:type="dxa"/>
            <w:vAlign w:val="center"/>
            <w:vMerge w:val="continue"/>
            <w:textDirection w:val="lrTb"/>
            <w:noWrap w:val="false"/>
          </w:tcPr>
          <w:p>
            <w:pPr>
              <w:pStyle w:val="1060"/>
              <w:jc w:val="left"/>
              <w:spacing w:line="400" w:lineRule="exact"/>
              <w:widowControl/>
              <w:rPr>
                <w:color w:val="000000"/>
                <w:sz w:val="24"/>
                <w:highlight w:val="none"/>
              </w:rPr>
            </w:pPr>
            <w:r>
              <w:rPr>
                <w:color w:val="000000"/>
                <w:sz w:val="24"/>
                <w:highlight w:val="none"/>
              </w:rPr>
            </w:r>
            <w:r/>
          </w:p>
        </w:tc>
        <w:tc>
          <w:tcPr>
            <w:tcMar>
              <w:top w:w="100" w:type="dxa"/>
              <w:bottom w:w="100" w:type="dxa"/>
            </w:tcMar>
            <w:tcW w:w="8375" w:type="dxa"/>
            <w:vAlign w:val="center"/>
            <w:textDirection w:val="lrTb"/>
            <w:noWrap w:val="false"/>
          </w:tcPr>
          <w:p>
            <w:pPr>
              <w:pStyle w:val="1060"/>
              <w:jc w:val="left"/>
              <w:spacing w:line="400" w:lineRule="exact"/>
              <w:widowControl/>
              <w:rPr>
                <w:color w:val="000000"/>
                <w:sz w:val="24"/>
                <w:highlight w:val="none"/>
              </w:rPr>
            </w:pPr>
            <w:r>
              <w:rPr>
                <w:color w:val="000000"/>
                <w:sz w:val="24"/>
                <w:highlight w:val="none"/>
              </w:rPr>
              <w:t xml:space="preserve">4.3售后服务</w:t>
            </w:r>
            <w:r>
              <w:rPr>
                <w:color w:val="000000"/>
                <w:sz w:val="24"/>
                <w:highlight w:val="none"/>
              </w:rPr>
            </w:r>
            <w:r/>
          </w:p>
        </w:tc>
      </w:tr>
      <w:tr>
        <w:trPr>
          <w:trHeight w:val="90"/>
        </w:trPr>
        <w:tc>
          <w:tcPr>
            <w:tcMar>
              <w:top w:w="100" w:type="dxa"/>
              <w:bottom w:w="100" w:type="dxa"/>
            </w:tcMar>
            <w:tcW w:w="513" w:type="dxa"/>
            <w:vAlign w:val="center"/>
            <w:vMerge w:val="continue"/>
            <w:textDirection w:val="lrTb"/>
            <w:noWrap w:val="false"/>
          </w:tcPr>
          <w:p>
            <w:pPr>
              <w:pStyle w:val="1060"/>
              <w:jc w:val="center"/>
              <w:spacing w:line="400" w:lineRule="exact"/>
              <w:widowControl/>
              <w:rPr>
                <w:color w:val="000000"/>
                <w:sz w:val="24"/>
                <w:highlight w:val="none"/>
              </w:rPr>
            </w:pPr>
            <w:r>
              <w:rPr>
                <w:color w:val="000000"/>
                <w:sz w:val="24"/>
                <w:highlight w:val="none"/>
              </w:rPr>
            </w:r>
            <w:r/>
          </w:p>
        </w:tc>
        <w:tc>
          <w:tcPr>
            <w:tcMar>
              <w:top w:w="100" w:type="dxa"/>
              <w:bottom w:w="100" w:type="dxa"/>
            </w:tcMar>
            <w:tcW w:w="852" w:type="dxa"/>
            <w:vAlign w:val="center"/>
            <w:vMerge w:val="continue"/>
            <w:textDirection w:val="lrTb"/>
            <w:noWrap w:val="false"/>
          </w:tcPr>
          <w:p>
            <w:pPr>
              <w:pStyle w:val="1060"/>
              <w:jc w:val="left"/>
              <w:spacing w:line="400" w:lineRule="exact"/>
              <w:widowControl/>
              <w:rPr>
                <w:color w:val="000000"/>
                <w:sz w:val="24"/>
                <w:highlight w:val="none"/>
              </w:rPr>
            </w:pPr>
            <w:r>
              <w:rPr>
                <w:color w:val="000000"/>
                <w:sz w:val="24"/>
                <w:highlight w:val="none"/>
              </w:rPr>
            </w:r>
            <w:r/>
          </w:p>
        </w:tc>
        <w:tc>
          <w:tcPr>
            <w:tcMar>
              <w:top w:w="100" w:type="dxa"/>
              <w:bottom w:w="100" w:type="dxa"/>
            </w:tcMar>
            <w:tcW w:w="8375" w:type="dxa"/>
            <w:vAlign w:val="center"/>
            <w:textDirection w:val="lrTb"/>
            <w:noWrap w:val="false"/>
          </w:tcPr>
          <w:p>
            <w:pPr>
              <w:pStyle w:val="1060"/>
              <w:jc w:val="left"/>
              <w:spacing w:line="400" w:lineRule="exact"/>
              <w:rPr>
                <w:color w:val="000000"/>
                <w:sz w:val="24"/>
                <w:highlight w:val="none"/>
              </w:rPr>
            </w:pPr>
            <w:r>
              <w:rPr>
                <w:color w:val="000000"/>
                <w:sz w:val="24"/>
                <w:highlight w:val="none"/>
              </w:rPr>
              <w:t xml:space="preserve">（1）提供1小时内响应，2小时内向服务对象提供维修等服务；</w:t>
            </w:r>
            <w:r>
              <w:rPr>
                <w:color w:val="000000"/>
                <w:sz w:val="24"/>
                <w:highlight w:val="none"/>
              </w:rPr>
            </w:r>
            <w:r/>
          </w:p>
          <w:p>
            <w:pPr>
              <w:pStyle w:val="1060"/>
              <w:jc w:val="left"/>
              <w:spacing w:line="400" w:lineRule="exact"/>
              <w:rPr>
                <w:color w:val="000000"/>
                <w:sz w:val="24"/>
                <w:highlight w:val="none"/>
              </w:rPr>
            </w:pPr>
            <w:r>
              <w:rPr>
                <w:color w:val="000000"/>
                <w:sz w:val="24"/>
                <w:highlight w:val="none"/>
              </w:rPr>
              <w:t xml:space="preserve">（2）提供1年以上免费维保服务（按产品维保期限定）；</w:t>
            </w:r>
            <w:r>
              <w:rPr>
                <w:color w:val="000000"/>
                <w:sz w:val="24"/>
                <w:highlight w:val="none"/>
              </w:rPr>
            </w:r>
            <w:r/>
          </w:p>
          <w:p>
            <w:pPr>
              <w:pStyle w:val="1060"/>
              <w:jc w:val="left"/>
              <w:spacing w:line="400" w:lineRule="exact"/>
              <w:rPr>
                <w:color w:val="000000"/>
                <w:sz w:val="24"/>
                <w:highlight w:val="none"/>
              </w:rPr>
            </w:pPr>
            <w:r>
              <w:rPr>
                <w:color w:val="000000"/>
                <w:sz w:val="24"/>
                <w:highlight w:val="none"/>
              </w:rPr>
              <w:t xml:space="preserve">（3）提供免费维保期外的优惠维修等服务。</w:t>
            </w:r>
            <w:r>
              <w:rPr>
                <w:color w:val="000000"/>
                <w:sz w:val="24"/>
                <w:highlight w:val="none"/>
              </w:rPr>
            </w:r>
            <w:r/>
          </w:p>
        </w:tc>
      </w:tr>
      <w:tr>
        <w:trPr>
          <w:trHeight w:val="160"/>
        </w:trPr>
        <w:tc>
          <w:tcPr>
            <w:tcMar>
              <w:top w:w="100" w:type="dxa"/>
              <w:bottom w:w="100" w:type="dxa"/>
            </w:tcMar>
            <w:tcW w:w="513" w:type="dxa"/>
            <w:vAlign w:val="center"/>
            <w:vMerge w:val="continue"/>
            <w:textDirection w:val="lrTb"/>
            <w:noWrap w:val="false"/>
          </w:tcPr>
          <w:p>
            <w:pPr>
              <w:pStyle w:val="1060"/>
              <w:jc w:val="center"/>
              <w:spacing w:line="400" w:lineRule="exact"/>
              <w:widowControl/>
              <w:rPr>
                <w:color w:val="000000"/>
                <w:sz w:val="24"/>
                <w:highlight w:val="none"/>
              </w:rPr>
            </w:pPr>
            <w:r>
              <w:rPr>
                <w:color w:val="000000"/>
                <w:sz w:val="24"/>
                <w:highlight w:val="none"/>
              </w:rPr>
            </w:r>
            <w:r/>
          </w:p>
        </w:tc>
        <w:tc>
          <w:tcPr>
            <w:tcMar>
              <w:top w:w="100" w:type="dxa"/>
              <w:bottom w:w="100" w:type="dxa"/>
            </w:tcMar>
            <w:tcW w:w="852" w:type="dxa"/>
            <w:vAlign w:val="center"/>
            <w:vMerge w:val="continue"/>
            <w:textDirection w:val="lrTb"/>
            <w:noWrap w:val="false"/>
          </w:tcPr>
          <w:p>
            <w:pPr>
              <w:pStyle w:val="1060"/>
              <w:jc w:val="left"/>
              <w:spacing w:line="400" w:lineRule="exact"/>
              <w:widowControl/>
              <w:rPr>
                <w:color w:val="000000"/>
                <w:sz w:val="24"/>
                <w:highlight w:val="none"/>
              </w:rPr>
            </w:pPr>
            <w:r>
              <w:rPr>
                <w:color w:val="000000"/>
                <w:sz w:val="24"/>
                <w:highlight w:val="none"/>
              </w:rPr>
            </w:r>
            <w:r/>
          </w:p>
        </w:tc>
        <w:tc>
          <w:tcPr>
            <w:tcMar>
              <w:top w:w="100" w:type="dxa"/>
              <w:bottom w:w="100" w:type="dxa"/>
            </w:tcMar>
            <w:tcW w:w="8375" w:type="dxa"/>
            <w:vAlign w:val="center"/>
            <w:textDirection w:val="lrTb"/>
            <w:noWrap w:val="false"/>
          </w:tcPr>
          <w:p>
            <w:pPr>
              <w:pStyle w:val="1060"/>
              <w:jc w:val="left"/>
              <w:spacing w:line="400" w:lineRule="exact"/>
              <w:rPr>
                <w:color w:val="000000"/>
                <w:sz w:val="24"/>
                <w:highlight w:val="none"/>
              </w:rPr>
            </w:pPr>
            <w:r>
              <w:rPr>
                <w:color w:val="000000"/>
                <w:sz w:val="24"/>
                <w:highlight w:val="none"/>
              </w:rPr>
              <w:t xml:space="preserve">4.4 支持性服务</w:t>
            </w:r>
            <w:r>
              <w:rPr>
                <w:color w:val="000000"/>
                <w:sz w:val="24"/>
                <w:highlight w:val="none"/>
              </w:rPr>
            </w:r>
            <w:r/>
          </w:p>
        </w:tc>
      </w:tr>
      <w:tr>
        <w:trPr>
          <w:trHeight w:val="160"/>
        </w:trPr>
        <w:tc>
          <w:tcPr>
            <w:tcMar>
              <w:top w:w="100" w:type="dxa"/>
              <w:bottom w:w="100" w:type="dxa"/>
            </w:tcMar>
            <w:tcW w:w="513" w:type="dxa"/>
            <w:vAlign w:val="center"/>
            <w:vMerge w:val="continue"/>
            <w:textDirection w:val="lrTb"/>
            <w:noWrap w:val="false"/>
          </w:tcPr>
          <w:p>
            <w:pPr>
              <w:pStyle w:val="1060"/>
              <w:jc w:val="center"/>
              <w:spacing w:line="400" w:lineRule="exact"/>
              <w:widowControl/>
              <w:rPr>
                <w:color w:val="000000"/>
                <w:sz w:val="24"/>
                <w:highlight w:val="none"/>
              </w:rPr>
            </w:pPr>
            <w:r>
              <w:rPr>
                <w:color w:val="000000"/>
                <w:sz w:val="24"/>
                <w:highlight w:val="none"/>
              </w:rPr>
            </w:r>
            <w:r/>
          </w:p>
        </w:tc>
        <w:tc>
          <w:tcPr>
            <w:tcMar>
              <w:top w:w="100" w:type="dxa"/>
              <w:bottom w:w="100" w:type="dxa"/>
            </w:tcMar>
            <w:tcW w:w="852" w:type="dxa"/>
            <w:vAlign w:val="center"/>
            <w:vMerge w:val="continue"/>
            <w:textDirection w:val="lrTb"/>
            <w:noWrap w:val="false"/>
          </w:tcPr>
          <w:p>
            <w:pPr>
              <w:pStyle w:val="1060"/>
              <w:jc w:val="left"/>
              <w:spacing w:line="400" w:lineRule="exact"/>
              <w:widowControl/>
              <w:rPr>
                <w:color w:val="000000"/>
                <w:sz w:val="24"/>
                <w:highlight w:val="none"/>
              </w:rPr>
            </w:pPr>
            <w:r>
              <w:rPr>
                <w:color w:val="000000"/>
                <w:sz w:val="24"/>
                <w:highlight w:val="none"/>
              </w:rPr>
            </w:r>
            <w:r/>
          </w:p>
        </w:tc>
        <w:tc>
          <w:tcPr>
            <w:tcMar>
              <w:top w:w="100" w:type="dxa"/>
              <w:bottom w:w="100" w:type="dxa"/>
            </w:tcMar>
            <w:tcW w:w="8375" w:type="dxa"/>
            <w:vAlign w:val="center"/>
            <w:textDirection w:val="lrTb"/>
            <w:noWrap w:val="false"/>
          </w:tcPr>
          <w:p>
            <w:pPr>
              <w:pStyle w:val="1060"/>
              <w:jc w:val="left"/>
              <w:spacing w:line="400" w:lineRule="exact"/>
              <w:rPr>
                <w:color w:val="000000"/>
                <w:sz w:val="24"/>
                <w:highlight w:val="none"/>
              </w:rPr>
            </w:pPr>
            <w:r>
              <w:rPr>
                <w:rFonts w:ascii="Times New Roman" w:hAnsi="Times New Roman" w:cs="Times New Roman"/>
                <w:color w:val="000000"/>
                <w:sz w:val="24"/>
                <w:highlight w:val="none"/>
              </w:rPr>
              <w:t xml:space="preserve">结合全国“肢残人活动日”、“全国助残日”等专题日，举办或参与公益活动，每年不少于</w:t>
            </w:r>
            <w:r>
              <w:rPr>
                <w:rFonts w:hint="eastAsia" w:ascii="Times New Roman" w:hAnsi="Times New Roman" w:cs="Times New Roman"/>
                <w:color w:val="000000"/>
                <w:sz w:val="24"/>
                <w:highlight w:val="none"/>
              </w:rPr>
              <w:t xml:space="preserve">2</w:t>
            </w:r>
            <w:r>
              <w:rPr>
                <w:rFonts w:ascii="Times New Roman" w:hAnsi="Times New Roman" w:cs="Times New Roman"/>
                <w:color w:val="000000"/>
                <w:sz w:val="24"/>
                <w:highlight w:val="none"/>
              </w:rPr>
              <w:t xml:space="preserve">次</w:t>
            </w:r>
            <w:r>
              <w:rPr>
                <w:rFonts w:hint="eastAsia"/>
                <w:color w:val="000000"/>
                <w:sz w:val="24"/>
                <w:highlight w:val="none"/>
              </w:rPr>
              <w:t xml:space="preserve">：</w:t>
            </w:r>
            <w:r>
              <w:rPr>
                <w:rFonts w:hint="eastAsia" w:ascii="宋体" w:hAnsi="宋体" w:cs="宋体"/>
                <w:color w:val="000000"/>
                <w:sz w:val="24"/>
                <w:highlight w:val="none"/>
              </w:rPr>
              <w:t xml:space="preserve">并在新媒体平台推送宣传内容，年度刊发或提供相关宣传文稿不少于 2 篇。</w:t>
            </w:r>
            <w:r>
              <w:rPr>
                <w:color w:val="000000"/>
                <w:sz w:val="24"/>
                <w:highlight w:val="none"/>
              </w:rPr>
            </w:r>
            <w:r/>
          </w:p>
        </w:tc>
      </w:tr>
      <w:tr>
        <w:trPr>
          <w:trHeight w:val="160"/>
        </w:trPr>
        <w:tc>
          <w:tcPr>
            <w:tcMar>
              <w:top w:w="100" w:type="dxa"/>
              <w:bottom w:w="100" w:type="dxa"/>
            </w:tcMar>
            <w:tcW w:w="513" w:type="dxa"/>
            <w:vAlign w:val="center"/>
            <w:vMerge w:val="continue"/>
            <w:textDirection w:val="lrTb"/>
            <w:noWrap w:val="false"/>
          </w:tcPr>
          <w:p>
            <w:pPr>
              <w:pStyle w:val="1060"/>
              <w:jc w:val="center"/>
              <w:spacing w:line="400" w:lineRule="exact"/>
              <w:widowControl/>
              <w:rPr>
                <w:color w:val="000000"/>
                <w:sz w:val="24"/>
                <w:highlight w:val="none"/>
              </w:rPr>
            </w:pPr>
            <w:r>
              <w:rPr>
                <w:color w:val="000000"/>
                <w:sz w:val="24"/>
                <w:highlight w:val="none"/>
              </w:rPr>
            </w:r>
            <w:r/>
          </w:p>
        </w:tc>
        <w:tc>
          <w:tcPr>
            <w:tcMar>
              <w:top w:w="100" w:type="dxa"/>
              <w:bottom w:w="100" w:type="dxa"/>
            </w:tcMar>
            <w:tcW w:w="852" w:type="dxa"/>
            <w:vAlign w:val="center"/>
            <w:vMerge w:val="continue"/>
            <w:textDirection w:val="lrTb"/>
            <w:noWrap w:val="false"/>
          </w:tcPr>
          <w:p>
            <w:pPr>
              <w:pStyle w:val="1060"/>
              <w:jc w:val="left"/>
              <w:spacing w:line="400" w:lineRule="exact"/>
              <w:widowControl/>
              <w:rPr>
                <w:color w:val="000000"/>
                <w:sz w:val="24"/>
                <w:highlight w:val="none"/>
              </w:rPr>
            </w:pPr>
            <w:r>
              <w:rPr>
                <w:color w:val="000000"/>
                <w:sz w:val="24"/>
                <w:highlight w:val="none"/>
              </w:rPr>
            </w:r>
            <w:r/>
          </w:p>
        </w:tc>
        <w:tc>
          <w:tcPr>
            <w:tcMar>
              <w:top w:w="100" w:type="dxa"/>
              <w:bottom w:w="100" w:type="dxa"/>
            </w:tcMar>
            <w:tcW w:w="8375" w:type="dxa"/>
            <w:vAlign w:val="center"/>
            <w:textDirection w:val="lrTb"/>
            <w:noWrap w:val="false"/>
          </w:tcPr>
          <w:p>
            <w:pPr>
              <w:pStyle w:val="1060"/>
              <w:jc w:val="left"/>
              <w:spacing w:line="400" w:lineRule="exact"/>
              <w:widowControl/>
              <w:rPr>
                <w:color w:val="000000"/>
                <w:sz w:val="24"/>
                <w:highlight w:val="none"/>
              </w:rPr>
            </w:pPr>
            <w:r>
              <w:rPr>
                <w:color w:val="000000"/>
                <w:sz w:val="24"/>
                <w:szCs w:val="22"/>
                <w:highlight w:val="none"/>
              </w:rPr>
              <w:t xml:space="preserve">4.5 管理制度</w:t>
            </w:r>
            <w:r>
              <w:rPr>
                <w:color w:val="000000"/>
                <w:sz w:val="24"/>
                <w:highlight w:val="none"/>
              </w:rPr>
            </w:r>
            <w:r/>
          </w:p>
        </w:tc>
      </w:tr>
      <w:tr>
        <w:trPr>
          <w:trHeight w:val="400"/>
        </w:trPr>
        <w:tc>
          <w:tcPr>
            <w:tcMar>
              <w:top w:w="100" w:type="dxa"/>
              <w:bottom w:w="100" w:type="dxa"/>
            </w:tcMar>
            <w:tcW w:w="513" w:type="dxa"/>
            <w:vAlign w:val="center"/>
            <w:vMerge w:val="continue"/>
            <w:textDirection w:val="lrTb"/>
            <w:noWrap w:val="false"/>
          </w:tcPr>
          <w:p>
            <w:pPr>
              <w:pStyle w:val="1060"/>
              <w:jc w:val="center"/>
              <w:spacing w:line="400" w:lineRule="exact"/>
              <w:widowControl/>
              <w:rPr>
                <w:color w:val="000000"/>
                <w:sz w:val="24"/>
                <w:highlight w:val="none"/>
              </w:rPr>
            </w:pPr>
            <w:r>
              <w:rPr>
                <w:color w:val="000000"/>
                <w:sz w:val="24"/>
                <w:highlight w:val="none"/>
              </w:rPr>
            </w:r>
            <w:r/>
          </w:p>
        </w:tc>
        <w:tc>
          <w:tcPr>
            <w:tcMar>
              <w:top w:w="100" w:type="dxa"/>
              <w:bottom w:w="100" w:type="dxa"/>
            </w:tcMar>
            <w:tcW w:w="852" w:type="dxa"/>
            <w:vAlign w:val="center"/>
            <w:vMerge w:val="continue"/>
            <w:textDirection w:val="lrTb"/>
            <w:noWrap w:val="false"/>
          </w:tcPr>
          <w:p>
            <w:pPr>
              <w:pStyle w:val="1060"/>
              <w:jc w:val="left"/>
              <w:spacing w:line="400" w:lineRule="exact"/>
              <w:widowControl/>
              <w:rPr>
                <w:color w:val="000000"/>
                <w:sz w:val="24"/>
                <w:highlight w:val="none"/>
              </w:rPr>
            </w:pPr>
            <w:r>
              <w:rPr>
                <w:color w:val="000000"/>
                <w:sz w:val="24"/>
                <w:highlight w:val="none"/>
              </w:rPr>
            </w:r>
            <w:r/>
          </w:p>
        </w:tc>
        <w:tc>
          <w:tcPr>
            <w:tcMar>
              <w:top w:w="100" w:type="dxa"/>
              <w:bottom w:w="100" w:type="dxa"/>
            </w:tcMar>
            <w:tcW w:w="8375" w:type="dxa"/>
            <w:vAlign w:val="center"/>
            <w:textDirection w:val="lrTb"/>
            <w:noWrap w:val="false"/>
          </w:tcPr>
          <w:p>
            <w:pPr>
              <w:pStyle w:val="1060"/>
              <w:jc w:val="left"/>
              <w:spacing w:line="400" w:lineRule="exact"/>
              <w:widowControl/>
              <w:rPr>
                <w:color w:val="000000"/>
                <w:sz w:val="24"/>
                <w:highlight w:val="none"/>
              </w:rPr>
            </w:pPr>
            <w:r>
              <w:rPr>
                <w:color w:val="000000"/>
                <w:sz w:val="24"/>
                <w:highlight w:val="none"/>
              </w:rPr>
              <w:t xml:space="preserve">供应商针对本项目服务内容制定的管理制度包含但不限于人力资源管理（含岗位职责）、财务管理制度（含固定资产管理制度）、业务管理制度、突发事件应急预案（含安全、消防等）、信息管理（含信息安全、舆情处置等）、服务项目档案管理制度等。</w:t>
            </w:r>
            <w:r>
              <w:rPr>
                <w:color w:val="000000"/>
                <w:sz w:val="24"/>
                <w:highlight w:val="none"/>
              </w:rPr>
            </w:r>
            <w:r/>
          </w:p>
        </w:tc>
      </w:tr>
      <w:tr>
        <w:trPr/>
        <w:tc>
          <w:tcPr>
            <w:tcMar>
              <w:top w:w="100" w:type="dxa"/>
              <w:bottom w:w="100" w:type="dxa"/>
            </w:tcMar>
            <w:tcW w:w="513" w:type="dxa"/>
            <w:vAlign w:val="center"/>
            <w:vMerge w:val="restart"/>
            <w:textDirection w:val="lrTb"/>
            <w:noWrap w:val="false"/>
          </w:tcPr>
          <w:p>
            <w:pPr>
              <w:pStyle w:val="1060"/>
              <w:jc w:val="center"/>
              <w:spacing w:line="400" w:lineRule="exact"/>
              <w:widowControl/>
              <w:rPr>
                <w:color w:val="000000"/>
                <w:sz w:val="24"/>
                <w:highlight w:val="none"/>
              </w:rPr>
            </w:pPr>
            <w:r>
              <w:rPr>
                <w:color w:val="000000"/>
                <w:sz w:val="24"/>
                <w:highlight w:val="none"/>
              </w:rPr>
              <w:t xml:space="preserve">5</w:t>
            </w:r>
            <w:r>
              <w:rPr>
                <w:color w:val="000000"/>
                <w:sz w:val="24"/>
                <w:highlight w:val="none"/>
              </w:rPr>
            </w:r>
            <w:r/>
          </w:p>
        </w:tc>
        <w:tc>
          <w:tcPr>
            <w:tcMar>
              <w:top w:w="100" w:type="dxa"/>
              <w:bottom w:w="100" w:type="dxa"/>
            </w:tcMar>
            <w:tcW w:w="852" w:type="dxa"/>
            <w:vAlign w:val="center"/>
            <w:vMerge w:val="restart"/>
            <w:textDirection w:val="lrTb"/>
            <w:noWrap w:val="false"/>
          </w:tcPr>
          <w:p>
            <w:pPr>
              <w:pStyle w:val="1060"/>
              <w:jc w:val="left"/>
              <w:spacing w:line="400" w:lineRule="exact"/>
              <w:widowControl/>
              <w:rPr>
                <w:color w:val="000000"/>
                <w:sz w:val="24"/>
                <w:highlight w:val="none"/>
              </w:rPr>
            </w:pPr>
            <w:r>
              <w:rPr>
                <w:color w:val="000000"/>
                <w:sz w:val="24"/>
                <w:highlight w:val="none"/>
              </w:rPr>
              <w:t xml:space="preserve">机构建设</w:t>
            </w:r>
            <w:r>
              <w:rPr>
                <w:color w:val="000000"/>
                <w:sz w:val="24"/>
                <w:highlight w:val="none"/>
              </w:rPr>
            </w:r>
            <w:r/>
          </w:p>
        </w:tc>
        <w:tc>
          <w:tcPr>
            <w:tcMar>
              <w:top w:w="100" w:type="dxa"/>
              <w:bottom w:w="100" w:type="dxa"/>
            </w:tcMar>
            <w:tcW w:w="8375" w:type="dxa"/>
            <w:vAlign w:val="center"/>
            <w:textDirection w:val="lrTb"/>
            <w:noWrap w:val="false"/>
          </w:tcPr>
          <w:p>
            <w:pPr>
              <w:pStyle w:val="1060"/>
              <w:spacing w:line="400" w:lineRule="exact"/>
              <w:rPr>
                <w:i/>
                <w:iCs/>
                <w:color w:val="000000"/>
                <w:sz w:val="24"/>
                <w:szCs w:val="32"/>
                <w:highlight w:val="none"/>
                <w:u w:val="single"/>
              </w:rPr>
            </w:pPr>
            <w:r>
              <w:rPr>
                <w:color w:val="000000"/>
                <w:sz w:val="24"/>
                <w:highlight w:val="none"/>
              </w:rPr>
              <w:t xml:space="preserve">5.1 场地建设</w:t>
            </w:r>
            <w:r>
              <w:rPr>
                <w:i/>
                <w:iCs/>
                <w:color w:val="000000"/>
                <w:sz w:val="24"/>
                <w:szCs w:val="32"/>
                <w:highlight w:val="none"/>
                <w:u w:val="single"/>
              </w:rPr>
            </w:r>
            <w:r/>
          </w:p>
        </w:tc>
      </w:tr>
      <w:tr>
        <w:trPr>
          <w:trHeight w:val="600"/>
        </w:trPr>
        <w:tc>
          <w:tcPr>
            <w:tcMar>
              <w:top w:w="100" w:type="dxa"/>
              <w:bottom w:w="100" w:type="dxa"/>
            </w:tcMar>
            <w:tcW w:w="513" w:type="dxa"/>
            <w:vAlign w:val="center"/>
            <w:vMerge w:val="continue"/>
            <w:textDirection w:val="lrTb"/>
            <w:noWrap w:val="false"/>
          </w:tcPr>
          <w:p>
            <w:pPr>
              <w:pStyle w:val="1060"/>
              <w:jc w:val="center"/>
              <w:spacing w:line="400" w:lineRule="exact"/>
              <w:widowControl/>
              <w:rPr>
                <w:color w:val="000000"/>
                <w:sz w:val="24"/>
                <w:highlight w:val="none"/>
              </w:rPr>
            </w:pPr>
            <w:r>
              <w:rPr>
                <w:color w:val="000000"/>
                <w:sz w:val="24"/>
                <w:highlight w:val="none"/>
              </w:rPr>
            </w:r>
            <w:r/>
          </w:p>
        </w:tc>
        <w:tc>
          <w:tcPr>
            <w:tcMar>
              <w:top w:w="100" w:type="dxa"/>
              <w:bottom w:w="100" w:type="dxa"/>
            </w:tcMar>
            <w:tcW w:w="852" w:type="dxa"/>
            <w:vAlign w:val="center"/>
            <w:vMerge w:val="continue"/>
            <w:textDirection w:val="lrTb"/>
            <w:noWrap w:val="false"/>
          </w:tcPr>
          <w:p>
            <w:pPr>
              <w:pStyle w:val="1060"/>
              <w:jc w:val="left"/>
              <w:spacing w:line="400" w:lineRule="exact"/>
              <w:widowControl/>
              <w:rPr>
                <w:i/>
                <w:color w:val="000000"/>
                <w:sz w:val="24"/>
                <w:highlight w:val="none"/>
                <w:u w:val="single"/>
              </w:rPr>
            </w:pPr>
            <w:r>
              <w:rPr>
                <w:i/>
                <w:color w:val="000000"/>
                <w:sz w:val="24"/>
                <w:highlight w:val="none"/>
                <w:u w:val="single"/>
              </w:rPr>
            </w:r>
            <w:r/>
          </w:p>
        </w:tc>
        <w:tc>
          <w:tcPr>
            <w:tcMar>
              <w:top w:w="100" w:type="dxa"/>
              <w:bottom w:w="100" w:type="dxa"/>
            </w:tcMar>
            <w:tcW w:w="8375" w:type="dxa"/>
            <w:vAlign w:val="center"/>
            <w:textDirection w:val="lrTb"/>
            <w:noWrap w:val="false"/>
          </w:tcPr>
          <w:p>
            <w:pPr>
              <w:pStyle w:val="1060"/>
              <w:jc w:val="left"/>
              <w:spacing w:line="400" w:lineRule="exact"/>
              <w:widowControl/>
              <w:rPr>
                <w:color w:val="000000"/>
                <w:sz w:val="24"/>
                <w:highlight w:val="none"/>
              </w:rPr>
            </w:pPr>
            <w:r>
              <w:rPr>
                <w:rFonts w:hint="eastAsia"/>
                <w:color w:val="000000"/>
                <w:sz w:val="24"/>
                <w:highlight w:val="none"/>
              </w:rPr>
              <w:t xml:space="preserve">（1）取得消防合格证书；</w:t>
            </w:r>
            <w:r>
              <w:rPr>
                <w:color w:val="000000"/>
                <w:sz w:val="24"/>
                <w:highlight w:val="none"/>
              </w:rPr>
            </w:r>
            <w:r/>
          </w:p>
          <w:p>
            <w:pPr>
              <w:pStyle w:val="1060"/>
              <w:jc w:val="left"/>
              <w:spacing w:line="400" w:lineRule="exact"/>
              <w:widowControl/>
              <w:rPr>
                <w:i/>
                <w:iCs/>
                <w:color w:val="000000"/>
                <w:sz w:val="24"/>
                <w:highlight w:val="none"/>
                <w:u w:val="single"/>
              </w:rPr>
            </w:pPr>
            <w:r>
              <w:rPr>
                <w:rFonts w:hint="eastAsia"/>
                <w:color w:val="000000"/>
                <w:sz w:val="24"/>
                <w:highlight w:val="none"/>
              </w:rPr>
              <w:t xml:space="preserve">（2）具有开展残疾人其他辅助器具适配服务工作的场地设施；</w:t>
            </w:r>
            <w:r>
              <w:rPr>
                <w:i/>
                <w:iCs/>
                <w:color w:val="000000"/>
                <w:sz w:val="24"/>
                <w:highlight w:val="none"/>
                <w:u w:val="single"/>
              </w:rPr>
            </w:r>
            <w:r/>
          </w:p>
        </w:tc>
      </w:tr>
      <w:tr>
        <w:trPr>
          <w:trHeight w:val="1175"/>
        </w:trPr>
        <w:tc>
          <w:tcPr>
            <w:tcMar>
              <w:top w:w="100" w:type="dxa"/>
              <w:bottom w:w="100" w:type="dxa"/>
            </w:tcMar>
            <w:tcW w:w="513" w:type="dxa"/>
            <w:vAlign w:val="center"/>
            <w:vMerge w:val="continue"/>
            <w:textDirection w:val="lrTb"/>
            <w:noWrap w:val="false"/>
          </w:tcPr>
          <w:p>
            <w:pPr>
              <w:pStyle w:val="1060"/>
              <w:jc w:val="center"/>
              <w:spacing w:line="400" w:lineRule="exact"/>
              <w:widowControl/>
              <w:rPr>
                <w:color w:val="000000"/>
                <w:sz w:val="24"/>
                <w:highlight w:val="none"/>
              </w:rPr>
            </w:pPr>
            <w:r>
              <w:rPr>
                <w:color w:val="000000"/>
                <w:sz w:val="24"/>
                <w:highlight w:val="none"/>
              </w:rPr>
            </w:r>
            <w:r/>
          </w:p>
        </w:tc>
        <w:tc>
          <w:tcPr>
            <w:tcMar>
              <w:top w:w="100" w:type="dxa"/>
              <w:bottom w:w="100" w:type="dxa"/>
            </w:tcMar>
            <w:tcW w:w="852" w:type="dxa"/>
            <w:vAlign w:val="center"/>
            <w:vMerge w:val="continue"/>
            <w:textDirection w:val="lrTb"/>
            <w:noWrap w:val="false"/>
          </w:tcPr>
          <w:p>
            <w:pPr>
              <w:pStyle w:val="1060"/>
              <w:jc w:val="left"/>
              <w:spacing w:line="400" w:lineRule="exact"/>
              <w:widowControl/>
              <w:rPr>
                <w:i/>
                <w:color w:val="000000"/>
                <w:sz w:val="24"/>
                <w:highlight w:val="none"/>
                <w:u w:val="single"/>
              </w:rPr>
            </w:pPr>
            <w:r>
              <w:rPr>
                <w:i/>
                <w:color w:val="000000"/>
                <w:sz w:val="24"/>
                <w:highlight w:val="none"/>
                <w:u w:val="single"/>
              </w:rPr>
            </w:r>
            <w:r/>
          </w:p>
        </w:tc>
        <w:tc>
          <w:tcPr>
            <w:tcMar>
              <w:top w:w="100" w:type="dxa"/>
              <w:bottom w:w="100" w:type="dxa"/>
            </w:tcMar>
            <w:tcW w:w="8375" w:type="dxa"/>
            <w:vAlign w:val="center"/>
            <w:textDirection w:val="lrTb"/>
            <w:noWrap w:val="false"/>
          </w:tcPr>
          <w:p>
            <w:pPr>
              <w:pStyle w:val="1060"/>
              <w:jc w:val="left"/>
              <w:spacing w:line="400" w:lineRule="exact"/>
              <w:widowControl/>
              <w:rPr>
                <w:color w:val="000000"/>
                <w:sz w:val="24"/>
                <w:highlight w:val="none"/>
              </w:rPr>
            </w:pPr>
            <w:r>
              <w:rPr>
                <w:color w:val="000000"/>
                <w:sz w:val="24"/>
                <w:highlight w:val="none"/>
              </w:rPr>
              <w:t xml:space="preserve">有辅助器具产品展示厅、评估适配室、产品体验区、产品库房</w:t>
            </w:r>
            <w:r>
              <w:rPr>
                <w:rFonts w:hint="eastAsia"/>
                <w:color w:val="000000"/>
                <w:sz w:val="24"/>
                <w:highlight w:val="none"/>
              </w:rPr>
              <w:t xml:space="preserve">、辅助器具个性化体验间、无障碍设计室</w:t>
            </w:r>
            <w:r>
              <w:rPr>
                <w:color w:val="000000"/>
                <w:sz w:val="24"/>
                <w:highlight w:val="none"/>
              </w:rPr>
              <w:t xml:space="preserve">及相关配套服务设施。</w:t>
            </w:r>
            <w:r>
              <w:rPr>
                <w:rFonts w:hint="eastAsia"/>
                <w:color w:val="000000"/>
                <w:sz w:val="24"/>
                <w:highlight w:val="none"/>
              </w:rPr>
              <w:t xml:space="preserve">建筑面积不少于300㎡，且</w:t>
            </w:r>
            <w:r>
              <w:rPr>
                <w:color w:val="000000"/>
                <w:sz w:val="24"/>
                <w:highlight w:val="none"/>
              </w:rPr>
              <w:t xml:space="preserve">业务用房面积不少</w:t>
            </w:r>
            <w:r>
              <w:rPr>
                <w:color w:val="000000"/>
                <w:sz w:val="24"/>
                <w:highlight w:val="none"/>
                <w:lang w:eastAsia="en-US"/>
              </w:rPr>
              <w:t xml:space="preserve">于建筑总面</w:t>
            </w:r>
            <w:r>
              <w:rPr>
                <w:rFonts w:hint="eastAsia"/>
                <w:color w:val="000000"/>
                <w:sz w:val="24"/>
                <w:highlight w:val="none"/>
              </w:rPr>
              <w:t xml:space="preserve">积</w:t>
            </w:r>
            <w:r>
              <w:rPr>
                <w:color w:val="000000"/>
                <w:sz w:val="24"/>
                <w:highlight w:val="none"/>
                <w:lang w:eastAsia="en-US"/>
              </w:rPr>
              <w:t xml:space="preserve">的</w:t>
            </w:r>
            <w:r>
              <w:rPr>
                <w:color w:val="000000"/>
                <w:sz w:val="24"/>
                <w:highlight w:val="none"/>
              </w:rPr>
              <w:t xml:space="preserve">7</w:t>
            </w:r>
            <w:r>
              <w:rPr>
                <w:color w:val="000000"/>
                <w:sz w:val="24"/>
                <w:highlight w:val="none"/>
                <w:lang w:eastAsia="en-US"/>
              </w:rPr>
              <w:t xml:space="preserve">0%</w:t>
            </w:r>
            <w:r>
              <w:rPr>
                <w:color w:val="000000"/>
                <w:sz w:val="24"/>
                <w:highlight w:val="none"/>
              </w:rPr>
              <w:t xml:space="preserve">。</w:t>
            </w:r>
            <w:r>
              <w:rPr>
                <w:color w:val="000000"/>
                <w:sz w:val="24"/>
                <w:highlight w:val="none"/>
              </w:rPr>
            </w:r>
            <w:r/>
          </w:p>
        </w:tc>
      </w:tr>
      <w:tr>
        <w:trPr>
          <w:trHeight w:val="117"/>
        </w:trPr>
        <w:tc>
          <w:tcPr>
            <w:tcMar>
              <w:top w:w="100" w:type="dxa"/>
              <w:bottom w:w="100" w:type="dxa"/>
            </w:tcMar>
            <w:tcW w:w="513" w:type="dxa"/>
            <w:vAlign w:val="center"/>
            <w:vMerge w:val="continue"/>
            <w:textDirection w:val="lrTb"/>
            <w:noWrap w:val="false"/>
          </w:tcPr>
          <w:p>
            <w:pPr>
              <w:pStyle w:val="1060"/>
              <w:jc w:val="center"/>
              <w:spacing w:line="400" w:lineRule="exact"/>
              <w:widowControl/>
              <w:rPr>
                <w:color w:val="000000"/>
                <w:sz w:val="24"/>
                <w:highlight w:val="none"/>
              </w:rPr>
            </w:pPr>
            <w:r>
              <w:rPr>
                <w:color w:val="000000"/>
                <w:sz w:val="24"/>
                <w:highlight w:val="none"/>
              </w:rPr>
            </w:r>
            <w:r/>
          </w:p>
        </w:tc>
        <w:tc>
          <w:tcPr>
            <w:tcMar>
              <w:top w:w="100" w:type="dxa"/>
              <w:bottom w:w="100" w:type="dxa"/>
            </w:tcMar>
            <w:tcW w:w="852" w:type="dxa"/>
            <w:vAlign w:val="center"/>
            <w:vMerge w:val="continue"/>
            <w:textDirection w:val="lrTb"/>
            <w:noWrap w:val="false"/>
          </w:tcPr>
          <w:p>
            <w:pPr>
              <w:pStyle w:val="1060"/>
              <w:jc w:val="left"/>
              <w:spacing w:line="400" w:lineRule="exact"/>
              <w:widowControl/>
              <w:rPr>
                <w:i/>
                <w:color w:val="000000"/>
                <w:sz w:val="24"/>
                <w:highlight w:val="none"/>
                <w:u w:val="single"/>
              </w:rPr>
            </w:pPr>
            <w:r>
              <w:rPr>
                <w:i/>
                <w:color w:val="000000"/>
                <w:sz w:val="24"/>
                <w:highlight w:val="none"/>
                <w:u w:val="single"/>
              </w:rPr>
            </w:r>
            <w:r/>
          </w:p>
        </w:tc>
        <w:tc>
          <w:tcPr>
            <w:tcMar>
              <w:top w:w="100" w:type="dxa"/>
              <w:bottom w:w="100" w:type="dxa"/>
            </w:tcMar>
            <w:tcW w:w="8375" w:type="dxa"/>
            <w:vAlign w:val="center"/>
            <w:textDirection w:val="lrTb"/>
            <w:noWrap w:val="false"/>
          </w:tcPr>
          <w:p>
            <w:pPr>
              <w:pStyle w:val="1060"/>
              <w:spacing w:line="400" w:lineRule="exact"/>
              <w:rPr>
                <w:i/>
                <w:iCs/>
                <w:color w:val="000000"/>
                <w:sz w:val="24"/>
                <w:highlight w:val="none"/>
                <w:u w:val="single"/>
              </w:rPr>
            </w:pPr>
            <w:r>
              <w:rPr>
                <w:color w:val="000000"/>
                <w:sz w:val="24"/>
                <w:highlight w:val="none"/>
              </w:rPr>
              <w:t xml:space="preserve">5.2 环境要求</w:t>
            </w:r>
            <w:r>
              <w:rPr>
                <w:i/>
                <w:iCs/>
                <w:color w:val="000000"/>
                <w:sz w:val="24"/>
                <w:highlight w:val="none"/>
                <w:u w:val="single"/>
              </w:rPr>
            </w:r>
            <w:r/>
          </w:p>
        </w:tc>
      </w:tr>
      <w:tr>
        <w:trPr>
          <w:trHeight w:val="117"/>
        </w:trPr>
        <w:tc>
          <w:tcPr>
            <w:tcMar>
              <w:top w:w="100" w:type="dxa"/>
              <w:bottom w:w="100" w:type="dxa"/>
            </w:tcMar>
            <w:tcW w:w="513" w:type="dxa"/>
            <w:vAlign w:val="center"/>
            <w:vMerge w:val="continue"/>
            <w:textDirection w:val="lrTb"/>
            <w:noWrap w:val="false"/>
          </w:tcPr>
          <w:p>
            <w:pPr>
              <w:pStyle w:val="1060"/>
              <w:jc w:val="center"/>
              <w:spacing w:line="400" w:lineRule="exact"/>
              <w:widowControl/>
              <w:rPr>
                <w:color w:val="000000"/>
                <w:sz w:val="24"/>
                <w:highlight w:val="none"/>
              </w:rPr>
            </w:pPr>
            <w:r>
              <w:rPr>
                <w:color w:val="000000"/>
                <w:sz w:val="24"/>
                <w:highlight w:val="none"/>
              </w:rPr>
            </w:r>
            <w:r/>
          </w:p>
        </w:tc>
        <w:tc>
          <w:tcPr>
            <w:tcMar>
              <w:top w:w="100" w:type="dxa"/>
              <w:bottom w:w="100" w:type="dxa"/>
            </w:tcMar>
            <w:tcW w:w="852" w:type="dxa"/>
            <w:vAlign w:val="center"/>
            <w:vMerge w:val="continue"/>
            <w:textDirection w:val="lrTb"/>
            <w:noWrap w:val="false"/>
          </w:tcPr>
          <w:p>
            <w:pPr>
              <w:pStyle w:val="1060"/>
              <w:jc w:val="left"/>
              <w:spacing w:line="400" w:lineRule="exact"/>
              <w:widowControl/>
              <w:rPr>
                <w:i/>
                <w:color w:val="000000"/>
                <w:sz w:val="24"/>
                <w:highlight w:val="none"/>
                <w:u w:val="single"/>
              </w:rPr>
            </w:pPr>
            <w:r>
              <w:rPr>
                <w:i/>
                <w:color w:val="000000"/>
                <w:sz w:val="24"/>
                <w:highlight w:val="none"/>
                <w:u w:val="single"/>
              </w:rPr>
            </w:r>
            <w:r/>
          </w:p>
        </w:tc>
        <w:tc>
          <w:tcPr>
            <w:tcMar>
              <w:top w:w="100" w:type="dxa"/>
              <w:bottom w:w="100" w:type="dxa"/>
            </w:tcMar>
            <w:tcW w:w="8375" w:type="dxa"/>
            <w:vAlign w:val="center"/>
            <w:textDirection w:val="lrTb"/>
            <w:noWrap w:val="false"/>
          </w:tcPr>
          <w:p>
            <w:pPr>
              <w:pStyle w:val="1060"/>
              <w:spacing w:line="400" w:lineRule="exact"/>
              <w:widowControl/>
              <w:rPr>
                <w:color w:val="000000"/>
                <w:sz w:val="24"/>
                <w:highlight w:val="none"/>
              </w:rPr>
            </w:pPr>
            <w:r>
              <w:rPr>
                <w:color w:val="000000"/>
                <w:sz w:val="24"/>
                <w:highlight w:val="none"/>
              </w:rPr>
              <w:t xml:space="preserve">（1）有独立、安全、相对稳定的房屋，并设置在安全区域内；</w:t>
            </w:r>
            <w:r>
              <w:rPr>
                <w:color w:val="000000"/>
                <w:sz w:val="24"/>
                <w:highlight w:val="none"/>
              </w:rPr>
            </w:r>
            <w:r/>
          </w:p>
          <w:p>
            <w:pPr>
              <w:pStyle w:val="1060"/>
              <w:spacing w:line="400" w:lineRule="exact"/>
              <w:widowControl/>
              <w:rPr>
                <w:color w:val="000000"/>
                <w:sz w:val="24"/>
                <w:highlight w:val="none"/>
              </w:rPr>
            </w:pPr>
            <w:r>
              <w:rPr>
                <w:color w:val="000000"/>
                <w:sz w:val="24"/>
                <w:highlight w:val="none"/>
              </w:rPr>
              <w:t xml:space="preserve">（2）周边交通便捷，有多条公交线路可达；</w:t>
            </w:r>
            <w:r>
              <w:rPr>
                <w:color w:val="000000"/>
                <w:sz w:val="24"/>
                <w:highlight w:val="none"/>
              </w:rPr>
            </w:r>
            <w:r/>
          </w:p>
          <w:p>
            <w:pPr>
              <w:pStyle w:val="1060"/>
              <w:spacing w:line="400" w:lineRule="exact"/>
              <w:widowControl/>
              <w:rPr>
                <w:color w:val="000000"/>
                <w:sz w:val="24"/>
                <w:highlight w:val="none"/>
              </w:rPr>
            </w:pPr>
            <w:r>
              <w:rPr>
                <w:color w:val="000000"/>
                <w:sz w:val="24"/>
                <w:highlight w:val="none"/>
              </w:rPr>
              <w:t xml:space="preserve">（3）</w:t>
            </w:r>
            <w:r>
              <w:rPr>
                <w:rFonts w:hint="eastAsia"/>
                <w:color w:val="000000"/>
                <w:sz w:val="24"/>
                <w:highlight w:val="none"/>
              </w:rPr>
              <w:t xml:space="preserve">有必要的无障碍设施。</w:t>
            </w:r>
            <w:r>
              <w:rPr>
                <w:color w:val="000000"/>
                <w:sz w:val="24"/>
                <w:highlight w:val="none"/>
              </w:rPr>
            </w:r>
            <w:r/>
          </w:p>
        </w:tc>
      </w:tr>
      <w:tr>
        <w:trPr>
          <w:trHeight w:val="312"/>
        </w:trPr>
        <w:tc>
          <w:tcPr>
            <w:tcMar>
              <w:top w:w="100" w:type="dxa"/>
              <w:bottom w:w="100" w:type="dxa"/>
            </w:tcMar>
            <w:tcW w:w="513" w:type="dxa"/>
            <w:vAlign w:val="center"/>
            <w:textDirection w:val="lrTb"/>
            <w:noWrap w:val="false"/>
          </w:tcPr>
          <w:p>
            <w:pPr>
              <w:pStyle w:val="1060"/>
              <w:jc w:val="center"/>
              <w:spacing w:line="400" w:lineRule="exact"/>
              <w:widowControl/>
              <w:rPr>
                <w:color w:val="000000"/>
                <w:sz w:val="24"/>
                <w:highlight w:val="none"/>
              </w:rPr>
            </w:pPr>
            <w:r>
              <w:rPr>
                <w:rFonts w:hint="eastAsia"/>
                <w:color w:val="000000"/>
                <w:sz w:val="24"/>
                <w:highlight w:val="none"/>
              </w:rPr>
              <w:t xml:space="preserve">6</w:t>
            </w:r>
            <w:r>
              <w:rPr>
                <w:color w:val="000000"/>
                <w:sz w:val="24"/>
                <w:highlight w:val="none"/>
              </w:rPr>
            </w:r>
            <w:r/>
          </w:p>
        </w:tc>
        <w:tc>
          <w:tcPr>
            <w:tcMar>
              <w:top w:w="100" w:type="dxa"/>
              <w:bottom w:w="100" w:type="dxa"/>
            </w:tcMar>
            <w:tcW w:w="852" w:type="dxa"/>
            <w:vAlign w:val="center"/>
            <w:textDirection w:val="lrTb"/>
            <w:noWrap w:val="false"/>
          </w:tcPr>
          <w:p>
            <w:pPr>
              <w:pStyle w:val="1060"/>
              <w:jc w:val="left"/>
              <w:spacing w:line="400" w:lineRule="exact"/>
              <w:widowControl/>
              <w:rPr>
                <w:color w:val="000000"/>
                <w:sz w:val="24"/>
                <w:highlight w:val="none"/>
              </w:rPr>
            </w:pPr>
            <w:r>
              <w:rPr>
                <w:color w:val="000000"/>
                <w:sz w:val="24"/>
                <w:highlight w:val="none"/>
              </w:rPr>
              <w:t xml:space="preserve">安全生产工作要求</w:t>
            </w:r>
            <w:r>
              <w:rPr>
                <w:color w:val="000000"/>
                <w:sz w:val="24"/>
                <w:highlight w:val="none"/>
              </w:rPr>
            </w:r>
            <w:r/>
          </w:p>
        </w:tc>
        <w:tc>
          <w:tcPr>
            <w:tcMar>
              <w:top w:w="100" w:type="dxa"/>
              <w:bottom w:w="100" w:type="dxa"/>
            </w:tcMar>
            <w:tcW w:w="8375" w:type="dxa"/>
            <w:vAlign w:val="center"/>
            <w:textDirection w:val="lrTb"/>
            <w:noWrap w:val="false"/>
          </w:tcPr>
          <w:p>
            <w:pPr>
              <w:pStyle w:val="1060"/>
              <w:spacing w:line="400" w:lineRule="exact"/>
              <w:rPr>
                <w:color w:val="000000"/>
                <w:sz w:val="24"/>
                <w:highlight w:val="none"/>
              </w:rPr>
            </w:pPr>
            <w:r>
              <w:rPr>
                <w:color w:val="000000"/>
                <w:sz w:val="24"/>
                <w:highlight w:val="none"/>
              </w:rPr>
              <w:t xml:space="preserve">残疾人辅助器具适配机构应依照安全生产法律法规履行安全生产主体责任，严格落实安全管理措施，有效管控安全生产风险，消除问题隐患等方面存在的问题。采购人将会组织专项督查，实地查看服务机构的安全生产情况。各供应商应根据项目实施情况，按照下列要求，制定相应的安全生产工作方案。</w:t>
            </w:r>
            <w:r>
              <w:rPr>
                <w:color w:val="000000"/>
                <w:sz w:val="24"/>
                <w:highlight w:val="none"/>
              </w:rPr>
            </w:r>
            <w:r/>
          </w:p>
          <w:p>
            <w:pPr>
              <w:pStyle w:val="1060"/>
              <w:spacing w:line="400" w:lineRule="exact"/>
              <w:rPr>
                <w:color w:val="000000"/>
                <w:sz w:val="24"/>
                <w:highlight w:val="none"/>
              </w:rPr>
            </w:pPr>
            <w:r>
              <w:rPr>
                <w:color w:val="000000"/>
                <w:sz w:val="24"/>
                <w:highlight w:val="none"/>
              </w:rPr>
              <w:t xml:space="preserve">（1）针对各服务机构的重点项目：消防安全制度落实情况，工作人员掌握消防安全知识和基本技能情况，消防重点部位日常管理情况，火灾隐患整改和日常防范措施落实情况；</w:t>
            </w:r>
            <w:r>
              <w:rPr>
                <w:color w:val="000000"/>
                <w:sz w:val="24"/>
                <w:highlight w:val="none"/>
              </w:rPr>
            </w:r>
            <w:r/>
          </w:p>
          <w:p>
            <w:pPr>
              <w:pStyle w:val="1060"/>
              <w:spacing w:line="400" w:lineRule="exact"/>
              <w:rPr>
                <w:color w:val="000000"/>
                <w:sz w:val="24"/>
                <w:highlight w:val="none"/>
              </w:rPr>
            </w:pPr>
            <w:r>
              <w:rPr>
                <w:color w:val="000000"/>
                <w:sz w:val="24"/>
                <w:highlight w:val="none"/>
              </w:rPr>
              <w:t xml:space="preserve">（2）4项“严禁”：严禁使用未经消防许可或不符合消防技术的建筑物及场所、严禁违规改建、扩建不符合消防安全标准的构筑物，严禁采用夹芯材料燃烧性能低于A级的彩钢板作为室内分格或搭建临时建筑，严禁擅自停用关闭消防设施设备、设置影响疏散逃生和灭火救援的铁栅栏、锁闭堵塞安全出口、占用消防通道和扑救场地，严禁私拉乱接电气线、超负荷用电，严禁使用电炉、热得快等大功率电器；</w:t>
            </w:r>
            <w:r>
              <w:rPr>
                <w:color w:val="000000"/>
                <w:sz w:val="24"/>
                <w:highlight w:val="none"/>
              </w:rPr>
            </w:r>
            <w:r/>
          </w:p>
          <w:p>
            <w:pPr>
              <w:pStyle w:val="1060"/>
              <w:spacing w:line="400" w:lineRule="exact"/>
              <w:rPr>
                <w:color w:val="000000"/>
                <w:sz w:val="24"/>
                <w:highlight w:val="none"/>
              </w:rPr>
            </w:pPr>
            <w:r>
              <w:rPr>
                <w:color w:val="000000"/>
                <w:sz w:val="24"/>
                <w:highlight w:val="none"/>
              </w:rPr>
              <w:t xml:space="preserve">（3）“三知”：知道建筑物功能布局情况、知道安全出口位置、知道消防器材位置；</w:t>
            </w:r>
            <w:r>
              <w:rPr>
                <w:color w:val="000000"/>
                <w:sz w:val="24"/>
                <w:highlight w:val="none"/>
              </w:rPr>
            </w:r>
            <w:r/>
          </w:p>
          <w:p>
            <w:pPr>
              <w:pStyle w:val="1060"/>
              <w:spacing w:line="400" w:lineRule="exact"/>
              <w:rPr>
                <w:color w:val="000000"/>
                <w:sz w:val="24"/>
                <w:highlight w:val="none"/>
              </w:rPr>
            </w:pPr>
            <w:r>
              <w:rPr>
                <w:color w:val="000000"/>
                <w:sz w:val="24"/>
                <w:highlight w:val="none"/>
              </w:rPr>
              <w:t xml:space="preserve">（4）“四会”：会使用消防针器材、会报火警、会扑灭初期火灾、会组织人员疏散逃生；</w:t>
            </w:r>
            <w:r>
              <w:rPr>
                <w:color w:val="000000"/>
                <w:sz w:val="24"/>
                <w:highlight w:val="none"/>
              </w:rPr>
            </w:r>
            <w:r/>
          </w:p>
          <w:p>
            <w:pPr>
              <w:pStyle w:val="1060"/>
              <w:spacing w:line="400" w:lineRule="exact"/>
              <w:rPr>
                <w:color w:val="000000"/>
                <w:sz w:val="24"/>
                <w:highlight w:val="none"/>
              </w:rPr>
            </w:pPr>
            <w:r>
              <w:rPr>
                <w:color w:val="000000"/>
                <w:sz w:val="24"/>
                <w:highlight w:val="none"/>
              </w:rPr>
              <w:t xml:space="preserve">（5）应急管理：每年至少开展一次火灾事故应急演练。</w:t>
            </w:r>
            <w:r>
              <w:rPr>
                <w:color w:val="000000"/>
                <w:sz w:val="24"/>
                <w:highlight w:val="none"/>
              </w:rPr>
            </w:r>
            <w:r/>
          </w:p>
        </w:tc>
      </w:tr>
      <w:tr>
        <w:trPr>
          <w:trHeight w:val="312"/>
        </w:trPr>
        <w:tc>
          <w:tcPr>
            <w:tcMar>
              <w:top w:w="100" w:type="dxa"/>
              <w:bottom w:w="100" w:type="dxa"/>
            </w:tcMar>
            <w:tcW w:w="513" w:type="dxa"/>
            <w:vAlign w:val="center"/>
            <w:textDirection w:val="lrTb"/>
            <w:noWrap w:val="false"/>
          </w:tcPr>
          <w:p>
            <w:pPr>
              <w:pStyle w:val="1060"/>
              <w:jc w:val="center"/>
              <w:spacing w:line="400" w:lineRule="exact"/>
              <w:widowControl/>
              <w:rPr>
                <w:color w:val="000000"/>
                <w:sz w:val="24"/>
                <w:highlight w:val="none"/>
              </w:rPr>
            </w:pPr>
            <w:r>
              <w:rPr>
                <w:rFonts w:hint="eastAsia"/>
                <w:color w:val="000000"/>
                <w:sz w:val="24"/>
                <w:highlight w:val="none"/>
              </w:rPr>
              <w:t xml:space="preserve">7</w:t>
            </w:r>
            <w:r>
              <w:rPr>
                <w:color w:val="000000"/>
                <w:sz w:val="24"/>
                <w:highlight w:val="none"/>
              </w:rPr>
            </w:r>
            <w:r/>
          </w:p>
        </w:tc>
        <w:tc>
          <w:tcPr>
            <w:tcMar>
              <w:top w:w="100" w:type="dxa"/>
              <w:bottom w:w="100" w:type="dxa"/>
            </w:tcMar>
            <w:tcW w:w="852" w:type="dxa"/>
            <w:vAlign w:val="center"/>
            <w:textDirection w:val="lrTb"/>
            <w:noWrap w:val="false"/>
          </w:tcPr>
          <w:p>
            <w:pPr>
              <w:pStyle w:val="1060"/>
              <w:jc w:val="left"/>
              <w:spacing w:line="400" w:lineRule="exact"/>
              <w:widowControl/>
              <w:rPr>
                <w:color w:val="000000"/>
                <w:sz w:val="24"/>
                <w:highlight w:val="none"/>
              </w:rPr>
            </w:pPr>
            <w:r>
              <w:rPr>
                <w:color w:val="000000"/>
                <w:sz w:val="24"/>
                <w:highlight w:val="none"/>
              </w:rPr>
              <w:t xml:space="preserve">综合说明</w:t>
            </w:r>
            <w:r>
              <w:rPr>
                <w:color w:val="000000"/>
                <w:sz w:val="24"/>
                <w:highlight w:val="none"/>
              </w:rPr>
            </w:r>
            <w:r/>
          </w:p>
        </w:tc>
        <w:tc>
          <w:tcPr>
            <w:tcMar>
              <w:top w:w="100" w:type="dxa"/>
              <w:bottom w:w="100" w:type="dxa"/>
            </w:tcMar>
            <w:tcW w:w="8375" w:type="dxa"/>
            <w:vAlign w:val="center"/>
            <w:textDirection w:val="lrTb"/>
            <w:noWrap w:val="false"/>
          </w:tcPr>
          <w:p>
            <w:pPr>
              <w:pStyle w:val="1060"/>
              <w:spacing w:line="400" w:lineRule="exact"/>
              <w:rPr>
                <w:color w:val="000000"/>
                <w:sz w:val="24"/>
                <w:highlight w:val="none"/>
              </w:rPr>
            </w:pPr>
            <w:r>
              <w:rPr>
                <w:color w:val="000000"/>
                <w:sz w:val="24"/>
                <w:highlight w:val="none"/>
                <w:lang w:eastAsia="en-US"/>
              </w:rPr>
              <w:t xml:space="preserve">（1）</w:t>
            </w:r>
            <w:r>
              <w:rPr>
                <w:color w:val="000000"/>
                <w:sz w:val="24"/>
                <w:highlight w:val="none"/>
              </w:rPr>
              <w:t xml:space="preserve">服务对象可在</w:t>
            </w:r>
            <w:r>
              <w:rPr>
                <w:color w:val="000000"/>
                <w:sz w:val="24"/>
                <w:highlight w:val="none"/>
                <w:lang w:eastAsia="en-US"/>
              </w:rPr>
              <w:t xml:space="preserve">入围供应商</w:t>
            </w:r>
            <w:r>
              <w:rPr>
                <w:color w:val="000000"/>
                <w:sz w:val="24"/>
                <w:highlight w:val="none"/>
              </w:rPr>
              <w:t xml:space="preserve">中自愿选择</w:t>
            </w:r>
            <w:r>
              <w:rPr>
                <w:rFonts w:hint="eastAsia"/>
                <w:color w:val="000000"/>
                <w:sz w:val="24"/>
                <w:highlight w:val="none"/>
              </w:rPr>
              <w:t xml:space="preserve">服务机构</w:t>
            </w:r>
            <w:r>
              <w:rPr>
                <w:color w:val="000000"/>
                <w:sz w:val="24"/>
                <w:highlight w:val="none"/>
              </w:rPr>
              <w:t xml:space="preserve">形式，</w:t>
            </w:r>
            <w:r>
              <w:rPr>
                <w:color w:val="000000"/>
                <w:sz w:val="24"/>
                <w:highlight w:val="none"/>
                <w:lang w:eastAsia="en-US"/>
              </w:rPr>
              <w:t xml:space="preserve">入围供应商</w:t>
            </w:r>
            <w:r>
              <w:rPr>
                <w:color w:val="000000"/>
                <w:sz w:val="24"/>
                <w:highlight w:val="none"/>
              </w:rPr>
              <w:t xml:space="preserve">不得拒绝或以拖延等形式变相拒绝服务对象只开展补助标准内的</w:t>
            </w:r>
            <w:r>
              <w:rPr>
                <w:rFonts w:hint="eastAsia"/>
                <w:color w:val="000000"/>
                <w:sz w:val="24"/>
                <w:highlight w:val="none"/>
              </w:rPr>
              <w:t xml:space="preserve">适配</w:t>
            </w:r>
            <w:r>
              <w:rPr>
                <w:color w:val="000000"/>
                <w:sz w:val="24"/>
                <w:highlight w:val="none"/>
              </w:rPr>
              <w:t xml:space="preserve">服务的要求。</w:t>
            </w:r>
            <w:r>
              <w:rPr>
                <w:color w:val="000000"/>
                <w:sz w:val="24"/>
                <w:highlight w:val="none"/>
              </w:rPr>
            </w:r>
            <w:r/>
          </w:p>
          <w:p>
            <w:pPr>
              <w:pStyle w:val="1060"/>
              <w:spacing w:line="400" w:lineRule="exact"/>
              <w:rPr>
                <w:color w:val="000000"/>
                <w:sz w:val="24"/>
                <w:highlight w:val="none"/>
              </w:rPr>
            </w:pPr>
            <w:r>
              <w:rPr>
                <w:color w:val="000000"/>
                <w:sz w:val="24"/>
                <w:highlight w:val="none"/>
                <w:lang w:eastAsia="en-US"/>
              </w:rPr>
              <w:t xml:space="preserve">（2）入围供应商</w:t>
            </w:r>
            <w:r>
              <w:rPr>
                <w:color w:val="000000"/>
                <w:sz w:val="24"/>
                <w:highlight w:val="none"/>
              </w:rPr>
              <w:t xml:space="preserve">须按照本</w:t>
            </w:r>
            <w:r>
              <w:rPr>
                <w:rFonts w:hint="eastAsia"/>
                <w:color w:val="000000"/>
                <w:sz w:val="24"/>
                <w:highlight w:val="none"/>
              </w:rPr>
              <w:t xml:space="preserve">征集</w:t>
            </w:r>
            <w:r>
              <w:rPr>
                <w:color w:val="000000"/>
                <w:sz w:val="24"/>
                <w:highlight w:val="none"/>
              </w:rPr>
              <w:t xml:space="preserve">文件和市残联出台的相关管理办法和服务规范的要求对该采购项目进行服务工作，遵守市残联对</w:t>
            </w:r>
            <w:r>
              <w:rPr>
                <w:rFonts w:hint="eastAsia"/>
                <w:color w:val="000000"/>
                <w:sz w:val="24"/>
                <w:highlight w:val="none"/>
              </w:rPr>
              <w:t xml:space="preserve">残疾人辅助器具适配定点机构</w:t>
            </w:r>
            <w:r>
              <w:rPr>
                <w:color w:val="000000"/>
                <w:sz w:val="24"/>
                <w:highlight w:val="none"/>
              </w:rPr>
              <w:t xml:space="preserve">的管理要求。</w:t>
            </w:r>
            <w:r>
              <w:rPr>
                <w:color w:val="000000"/>
                <w:sz w:val="24"/>
                <w:highlight w:val="none"/>
              </w:rPr>
            </w:r>
            <w:r/>
          </w:p>
          <w:p>
            <w:pPr>
              <w:pStyle w:val="1060"/>
              <w:spacing w:line="400" w:lineRule="exact"/>
              <w:rPr>
                <w:color w:val="000000"/>
                <w:sz w:val="24"/>
                <w:highlight w:val="none"/>
              </w:rPr>
            </w:pPr>
            <w:r>
              <w:rPr>
                <w:color w:val="000000"/>
                <w:sz w:val="24"/>
                <w:highlight w:val="none"/>
                <w:lang w:eastAsia="en-US"/>
              </w:rPr>
              <w:t xml:space="preserve">（3）</w:t>
            </w:r>
            <w:r>
              <w:rPr>
                <w:color w:val="000000"/>
                <w:sz w:val="24"/>
                <w:highlight w:val="none"/>
              </w:rPr>
              <w:t xml:space="preserve">确定成交后不得将本项目或其中任何部分转包给其他单位或个人。</w:t>
            </w:r>
            <w:r>
              <w:rPr>
                <w:color w:val="000000"/>
                <w:sz w:val="24"/>
                <w:highlight w:val="none"/>
              </w:rPr>
            </w:r>
            <w:r/>
          </w:p>
          <w:p>
            <w:pPr>
              <w:pStyle w:val="1060"/>
              <w:spacing w:line="400" w:lineRule="exact"/>
              <w:rPr>
                <w:color w:val="000000"/>
                <w:sz w:val="24"/>
                <w:highlight w:val="none"/>
              </w:rPr>
            </w:pPr>
            <w:r>
              <w:rPr>
                <w:color w:val="000000"/>
                <w:sz w:val="24"/>
                <w:highlight w:val="none"/>
                <w:lang w:eastAsia="en-US"/>
              </w:rPr>
              <w:t xml:space="preserve">（4）</w:t>
            </w:r>
            <w:r>
              <w:rPr>
                <w:color w:val="000000"/>
                <w:sz w:val="24"/>
                <w:highlight w:val="none"/>
              </w:rPr>
              <w:t xml:space="preserve">本项目购买残疾人辅助器具适配服务内容，补贴金额为残疾人保障金支付金额。</w:t>
            </w:r>
            <w:r>
              <w:rPr>
                <w:color w:val="000000"/>
                <w:sz w:val="24"/>
                <w:highlight w:val="none"/>
              </w:rPr>
            </w:r>
            <w:r/>
          </w:p>
          <w:p>
            <w:pPr>
              <w:pStyle w:val="1060"/>
              <w:spacing w:line="400" w:lineRule="exact"/>
              <w:rPr>
                <w:color w:val="000000"/>
                <w:sz w:val="24"/>
                <w:highlight w:val="none"/>
              </w:rPr>
            </w:pPr>
            <w:r>
              <w:rPr>
                <w:color w:val="000000"/>
                <w:sz w:val="24"/>
                <w:highlight w:val="none"/>
                <w:lang w:eastAsia="en-US"/>
              </w:rPr>
              <w:t xml:space="preserve">（5）入围供应商</w:t>
            </w:r>
            <w:r>
              <w:rPr>
                <w:color w:val="000000"/>
                <w:sz w:val="24"/>
                <w:highlight w:val="none"/>
              </w:rPr>
              <w:t xml:space="preserve">应保证在</w:t>
            </w:r>
            <w:r>
              <w:rPr>
                <w:rFonts w:hint="eastAsia"/>
                <w:color w:val="000000"/>
                <w:sz w:val="24"/>
                <w:highlight w:val="none"/>
              </w:rPr>
              <w:t xml:space="preserve">苏州</w:t>
            </w:r>
            <w:r>
              <w:rPr>
                <w:color w:val="000000"/>
                <w:sz w:val="24"/>
                <w:highlight w:val="none"/>
              </w:rPr>
              <w:t xml:space="preserve">市残疾人辅助器具适配目录和补贴标准内开展符合本次购买服务要求的服务，超出补贴费用，经服务对象同意后可另行收费。</w:t>
            </w:r>
            <w:r>
              <w:rPr>
                <w:color w:val="000000"/>
                <w:sz w:val="24"/>
                <w:highlight w:val="none"/>
              </w:rPr>
            </w:r>
            <w:r/>
          </w:p>
          <w:p>
            <w:pPr>
              <w:pStyle w:val="1060"/>
              <w:spacing w:line="400" w:lineRule="exact"/>
              <w:rPr>
                <w:color w:val="000000"/>
                <w:sz w:val="24"/>
                <w:highlight w:val="none"/>
              </w:rPr>
            </w:pPr>
            <w:r>
              <w:rPr>
                <w:color w:val="000000"/>
                <w:sz w:val="24"/>
                <w:highlight w:val="none"/>
                <w:lang w:eastAsia="en-US"/>
              </w:rPr>
              <w:t xml:space="preserve">（6）</w:t>
            </w:r>
            <w:r>
              <w:rPr>
                <w:color w:val="000000"/>
                <w:sz w:val="24"/>
                <w:highlight w:val="none"/>
              </w:rPr>
              <w:t xml:space="preserve">确定</w:t>
            </w:r>
            <w:r>
              <w:rPr>
                <w:color w:val="000000"/>
                <w:sz w:val="24"/>
                <w:highlight w:val="none"/>
                <w:lang w:eastAsia="en-US"/>
              </w:rPr>
              <w:t xml:space="preserve">成交</w:t>
            </w:r>
            <w:r>
              <w:rPr>
                <w:color w:val="000000"/>
                <w:sz w:val="24"/>
                <w:highlight w:val="none"/>
              </w:rPr>
              <w:t xml:space="preserve">后，采购</w:t>
            </w:r>
            <w:r>
              <w:rPr>
                <w:color w:val="000000"/>
                <w:sz w:val="24"/>
                <w:highlight w:val="none"/>
                <w:lang w:eastAsia="en-US"/>
              </w:rPr>
              <w:t xml:space="preserve">人</w:t>
            </w:r>
            <w:r>
              <w:rPr>
                <w:color w:val="000000"/>
                <w:sz w:val="24"/>
                <w:highlight w:val="none"/>
              </w:rPr>
              <w:t xml:space="preserve">有权不定期对项目的服务情况进行核查，如果发现</w:t>
            </w:r>
            <w:r>
              <w:rPr>
                <w:color w:val="000000"/>
                <w:sz w:val="24"/>
                <w:highlight w:val="none"/>
                <w:lang w:eastAsia="en-US"/>
              </w:rPr>
              <w:t xml:space="preserve">入围供应商</w:t>
            </w:r>
            <w:r>
              <w:rPr>
                <w:color w:val="000000"/>
                <w:sz w:val="24"/>
                <w:highlight w:val="none"/>
              </w:rPr>
              <w:t xml:space="preserve">存在违反本次采购项目要求的，采购</w:t>
            </w:r>
            <w:r>
              <w:rPr>
                <w:color w:val="000000"/>
                <w:sz w:val="24"/>
                <w:highlight w:val="none"/>
                <w:lang w:eastAsia="en-US"/>
              </w:rPr>
              <w:t xml:space="preserve">人</w:t>
            </w:r>
            <w:r>
              <w:rPr>
                <w:color w:val="000000"/>
                <w:sz w:val="24"/>
                <w:highlight w:val="none"/>
              </w:rPr>
              <w:t xml:space="preserve">有权中止合同，相关损失由</w:t>
            </w:r>
            <w:r>
              <w:rPr>
                <w:color w:val="000000"/>
                <w:sz w:val="24"/>
                <w:highlight w:val="none"/>
                <w:lang w:eastAsia="en-US"/>
              </w:rPr>
              <w:t xml:space="preserve">入围供应商</w:t>
            </w:r>
            <w:r>
              <w:rPr>
                <w:color w:val="000000"/>
                <w:sz w:val="24"/>
                <w:highlight w:val="none"/>
              </w:rPr>
              <w:t xml:space="preserve">承担。</w:t>
            </w:r>
            <w:r>
              <w:rPr>
                <w:color w:val="000000"/>
                <w:sz w:val="24"/>
                <w:highlight w:val="none"/>
              </w:rPr>
            </w:r>
            <w:r/>
          </w:p>
          <w:p>
            <w:pPr>
              <w:pStyle w:val="1060"/>
              <w:spacing w:line="400" w:lineRule="exact"/>
              <w:rPr>
                <w:color w:val="000000"/>
                <w:sz w:val="24"/>
                <w:highlight w:val="none"/>
              </w:rPr>
            </w:pPr>
            <w:r>
              <w:rPr>
                <w:color w:val="000000"/>
                <w:sz w:val="24"/>
                <w:highlight w:val="none"/>
                <w:lang w:eastAsia="en-US"/>
              </w:rPr>
              <w:t xml:space="preserve">（</w:t>
            </w:r>
            <w:r>
              <w:rPr>
                <w:color w:val="000000"/>
                <w:sz w:val="24"/>
                <w:highlight w:val="none"/>
              </w:rPr>
              <w:t xml:space="preserve">7</w:t>
            </w:r>
            <w:r>
              <w:rPr>
                <w:color w:val="000000"/>
                <w:sz w:val="24"/>
                <w:highlight w:val="none"/>
                <w:lang w:eastAsia="en-US"/>
              </w:rPr>
              <w:t xml:space="preserve">）入围供应商</w:t>
            </w:r>
            <w:r>
              <w:rPr>
                <w:color w:val="000000"/>
                <w:sz w:val="24"/>
                <w:highlight w:val="none"/>
              </w:rPr>
              <w:t xml:space="preserve">必须保证全部响应资料的真实性，如有虚假或对</w:t>
            </w:r>
            <w:r>
              <w:rPr>
                <w:rFonts w:hint="eastAsia"/>
                <w:color w:val="000000"/>
                <w:sz w:val="24"/>
                <w:highlight w:val="none"/>
              </w:rPr>
              <w:t xml:space="preserve">征集</w:t>
            </w:r>
            <w:r>
              <w:rPr>
                <w:color w:val="000000"/>
                <w:sz w:val="24"/>
                <w:highlight w:val="none"/>
              </w:rPr>
              <w:t xml:space="preserve">文件所要求说明的情况故意隐瞒或虚报，视为不实质性响应</w:t>
            </w:r>
            <w:r>
              <w:rPr>
                <w:rFonts w:hint="eastAsia"/>
                <w:color w:val="000000"/>
                <w:sz w:val="24"/>
                <w:highlight w:val="none"/>
              </w:rPr>
              <w:t xml:space="preserve">征集</w:t>
            </w:r>
            <w:r>
              <w:rPr>
                <w:color w:val="000000"/>
                <w:sz w:val="24"/>
                <w:highlight w:val="none"/>
              </w:rPr>
              <w:t xml:space="preserve">文件，为无效响应，已</w:t>
            </w:r>
            <w:r>
              <w:rPr>
                <w:color w:val="000000"/>
                <w:sz w:val="24"/>
                <w:highlight w:val="none"/>
                <w:lang w:eastAsia="en-US"/>
              </w:rPr>
              <w:t xml:space="preserve">成交</w:t>
            </w:r>
            <w:r>
              <w:rPr>
                <w:color w:val="000000"/>
                <w:sz w:val="24"/>
                <w:highlight w:val="none"/>
              </w:rPr>
              <w:t xml:space="preserve">的将取消</w:t>
            </w:r>
            <w:r>
              <w:rPr>
                <w:color w:val="000000"/>
                <w:sz w:val="24"/>
                <w:highlight w:val="none"/>
                <w:lang w:eastAsia="en-US"/>
              </w:rPr>
              <w:t xml:space="preserve">成交</w:t>
            </w:r>
            <w:r>
              <w:rPr>
                <w:color w:val="000000"/>
                <w:sz w:val="24"/>
                <w:highlight w:val="none"/>
              </w:rPr>
              <w:t xml:space="preserve">资格，并按《中华人民共和国政府采购法》第七十七条“提供虚假材料谋取成交相关处理办法”处理。</w:t>
            </w:r>
            <w:r>
              <w:rPr>
                <w:color w:val="000000"/>
                <w:sz w:val="24"/>
                <w:highlight w:val="none"/>
              </w:rPr>
            </w:r>
            <w:r/>
          </w:p>
          <w:p>
            <w:pPr>
              <w:pStyle w:val="1263"/>
              <w:ind w:firstLine="0"/>
              <w:spacing w:line="360" w:lineRule="auto"/>
              <w:rPr>
                <w:rFonts w:hint="eastAsia" w:ascii="宋体" w:hAnsi="宋体" w:cs="宋体"/>
                <w:color w:val="000000"/>
                <w:sz w:val="24"/>
                <w:highlight w:val="none"/>
              </w:rPr>
            </w:pPr>
            <w:r>
              <w:rPr>
                <w:color w:val="000000"/>
                <w:sz w:val="24"/>
                <w:highlight w:val="none"/>
                <w:lang w:eastAsia="en-US"/>
              </w:rPr>
              <w:t xml:space="preserve">（</w:t>
            </w:r>
            <w:r>
              <w:rPr>
                <w:color w:val="000000"/>
                <w:sz w:val="24"/>
                <w:highlight w:val="none"/>
              </w:rPr>
              <w:t xml:space="preserve">8</w:t>
            </w:r>
            <w:r>
              <w:rPr>
                <w:color w:val="000000"/>
                <w:sz w:val="24"/>
                <w:highlight w:val="none"/>
                <w:lang w:eastAsia="en-US"/>
              </w:rPr>
              <w:t xml:space="preserve">）</w:t>
            </w:r>
            <w:r>
              <w:rPr>
                <w:color w:val="000000"/>
                <w:sz w:val="24"/>
                <w:highlight w:val="none"/>
              </w:rPr>
              <w:t xml:space="preserve">费用结算：</w:t>
            </w:r>
            <w:r>
              <w:rPr>
                <w:rFonts w:hint="eastAsia" w:ascii="Times New Roman" w:hAnsi="Times New Roman" w:cs="Times New Roman"/>
                <w:color w:val="000000"/>
                <w:sz w:val="24"/>
                <w:highlight w:val="none"/>
                <w:lang w:val="en-US"/>
              </w:rPr>
              <w:t xml:space="preserve">本项目经费实行据实结算。每季度结束后次月的7个工作日内，供应商需将苏州市残疾人辅助器具申请表、残疾人证复印件、相关证明材料、姑苏区残疾人辅具适配服务签收单、残疾人辅具适配服务现场照片以及姑苏区残疾人辅具适配服务信息汇总表等材料按时提交至采购人。采购人将对上述材料的真实性、完整性以及项目经费金额的准确性进行核查，并开展残疾人辅具适配服务回访调查工作。待材料核查、经费核对及回访调查均确认无误后，供应商需开具符合国家法律规定的发票，采购人将依据苏州市残疾人辅助器具补贴标准，在规定时间内完成经费据实拨付工作。</w:t>
            </w:r>
            <w:r>
              <w:rPr>
                <w:rFonts w:hint="eastAsia" w:ascii="宋体" w:hAnsi="宋体" w:cs="宋体"/>
                <w:color w:val="000000"/>
                <w:sz w:val="24"/>
                <w:highlight w:val="none"/>
              </w:rPr>
            </w:r>
            <w:r/>
          </w:p>
          <w:p>
            <w:pPr>
              <w:pStyle w:val="1060"/>
              <w:jc w:val="left"/>
              <w:spacing w:line="400" w:lineRule="exact"/>
              <w:widowControl/>
              <w:rPr>
                <w:rFonts w:ascii="Times New Roman" w:hAnsi="Times New Roman" w:cs="Times New Roman"/>
                <w:color w:val="000000"/>
                <w:sz w:val="24"/>
                <w:highlight w:val="none"/>
              </w:rPr>
            </w:pPr>
            <w:r>
              <w:rPr>
                <w:rFonts w:hint="eastAsia" w:ascii="Times New Roman" w:hAnsi="Times New Roman" w:cs="Times New Roman"/>
                <w:color w:val="000000"/>
                <w:sz w:val="24"/>
                <w:highlight w:val="none"/>
              </w:rPr>
              <w:t xml:space="preserve">（9）</w:t>
            </w:r>
            <w:r>
              <w:rPr>
                <w:rFonts w:ascii="Times New Roman" w:hAnsi="Times New Roman" w:cs="Times New Roman"/>
                <w:color w:val="000000"/>
                <w:sz w:val="24"/>
                <w:highlight w:val="none"/>
              </w:rPr>
              <w:t xml:space="preserve">入围供应商</w:t>
            </w:r>
            <w:r>
              <w:rPr>
                <w:rFonts w:hint="eastAsia" w:ascii="Times New Roman" w:hAnsi="Times New Roman" w:cs="Times New Roman"/>
                <w:color w:val="000000"/>
                <w:sz w:val="24"/>
                <w:highlight w:val="none"/>
              </w:rPr>
              <w:t xml:space="preserve">必须在“苏州市残疾人辅助器具服务网（https://service.cl.suzhou.com.cn/CDPF_SZ/mall/login）”按采购方要求报送相关数据</w:t>
            </w:r>
            <w:r>
              <w:rPr>
                <w:rFonts w:hint="eastAsia"/>
                <w:color w:val="000000"/>
                <w:sz w:val="24"/>
                <w:highlight w:val="none"/>
              </w:rPr>
              <w:t xml:space="preserve">（后续如有其他业务系统要求供应商填报相关信息的，供应商应按要求执行）</w:t>
            </w:r>
            <w:r>
              <w:rPr>
                <w:rFonts w:hint="eastAsia" w:ascii="Times New Roman" w:hAnsi="Times New Roman" w:cs="Times New Roman"/>
                <w:color w:val="000000"/>
                <w:sz w:val="24"/>
                <w:highlight w:val="none"/>
              </w:rPr>
              <w:t xml:space="preserve">。</w:t>
            </w:r>
            <w:r>
              <w:rPr>
                <w:rFonts w:ascii="Times New Roman" w:hAnsi="Times New Roman" w:cs="Times New Roman"/>
                <w:color w:val="000000"/>
                <w:sz w:val="24"/>
                <w:highlight w:val="none"/>
              </w:rPr>
            </w:r>
            <w:r/>
          </w:p>
          <w:p>
            <w:pPr>
              <w:pStyle w:val="1060"/>
              <w:spacing w:line="400" w:lineRule="exact"/>
              <w:rPr>
                <w:color w:val="000000"/>
                <w:sz w:val="24"/>
                <w:highlight w:val="none"/>
              </w:rPr>
            </w:pPr>
            <w:r>
              <w:rPr>
                <w:rFonts w:ascii="Times New Roman" w:hAnsi="Times New Roman" w:cs="Times New Roman"/>
                <w:color w:val="000000"/>
                <w:sz w:val="24"/>
                <w:highlight w:val="none"/>
                <w:lang w:eastAsia="en-US"/>
              </w:rPr>
              <w:t xml:space="preserve">（</w:t>
            </w:r>
            <w:r>
              <w:rPr>
                <w:rFonts w:hint="eastAsia" w:ascii="Times New Roman" w:hAnsi="Times New Roman" w:cs="Times New Roman"/>
                <w:color w:val="000000"/>
                <w:sz w:val="24"/>
                <w:highlight w:val="none"/>
              </w:rPr>
              <w:t xml:space="preserve">10</w:t>
            </w:r>
            <w:r>
              <w:rPr>
                <w:rFonts w:ascii="Times New Roman" w:hAnsi="Times New Roman" w:cs="Times New Roman"/>
                <w:color w:val="000000"/>
                <w:sz w:val="24"/>
                <w:highlight w:val="none"/>
                <w:lang w:eastAsia="en-US"/>
              </w:rPr>
              <w:t xml:space="preserve">）供应</w:t>
            </w:r>
            <w:r>
              <w:rPr>
                <w:color w:val="000000"/>
                <w:sz w:val="24"/>
                <w:highlight w:val="none"/>
                <w:lang w:eastAsia="en-US"/>
              </w:rPr>
              <w:t xml:space="preserve">商</w:t>
            </w:r>
            <w:r>
              <w:rPr>
                <w:color w:val="000000"/>
                <w:sz w:val="24"/>
                <w:highlight w:val="none"/>
              </w:rPr>
              <w:t xml:space="preserve">必须说明其是否响应文件中提出的全部服务内容与要求，如果</w:t>
            </w:r>
            <w:r>
              <w:rPr>
                <w:rFonts w:hint="eastAsia"/>
                <w:color w:val="000000"/>
                <w:sz w:val="24"/>
                <w:highlight w:val="none"/>
              </w:rPr>
              <w:t xml:space="preserve">对</w:t>
            </w:r>
            <w:r>
              <w:rPr>
                <w:color w:val="000000"/>
                <w:sz w:val="24"/>
                <w:highlight w:val="none"/>
              </w:rPr>
              <w:t xml:space="preserve">其中某些条款不响应时，应在文件中逐条列出，未列出的视同响应。</w:t>
            </w:r>
            <w:r>
              <w:rPr>
                <w:color w:val="000000"/>
                <w:sz w:val="24"/>
                <w:highlight w:val="none"/>
              </w:rPr>
            </w:r>
            <w:r/>
          </w:p>
          <w:p>
            <w:pPr>
              <w:pStyle w:val="1060"/>
              <w:spacing w:line="400" w:lineRule="exact"/>
              <w:rPr>
                <w:color w:val="000000"/>
                <w:sz w:val="24"/>
                <w:highlight w:val="none"/>
              </w:rPr>
            </w:pPr>
            <w:r>
              <w:rPr>
                <w:color w:val="000000"/>
                <w:sz w:val="24"/>
                <w:highlight w:val="none"/>
                <w:lang w:eastAsia="en-US"/>
              </w:rPr>
              <w:t xml:space="preserve">（</w:t>
            </w:r>
            <w:r>
              <w:rPr>
                <w:rFonts w:hint="eastAsia"/>
                <w:color w:val="000000"/>
                <w:sz w:val="24"/>
                <w:highlight w:val="none"/>
              </w:rPr>
              <w:t xml:space="preserve">11</w:t>
            </w:r>
            <w:r>
              <w:rPr>
                <w:color w:val="000000"/>
                <w:sz w:val="24"/>
                <w:highlight w:val="none"/>
                <w:lang w:eastAsia="en-US"/>
              </w:rPr>
              <w:t xml:space="preserve">）成交</w:t>
            </w:r>
            <w:r>
              <w:rPr>
                <w:color w:val="000000"/>
                <w:sz w:val="24"/>
                <w:highlight w:val="none"/>
              </w:rPr>
              <w:t xml:space="preserve">后，采购</w:t>
            </w:r>
            <w:r>
              <w:rPr>
                <w:color w:val="000000"/>
                <w:sz w:val="24"/>
                <w:highlight w:val="none"/>
                <w:lang w:eastAsia="en-US"/>
              </w:rPr>
              <w:t xml:space="preserve">人</w:t>
            </w:r>
            <w:r>
              <w:rPr>
                <w:color w:val="000000"/>
                <w:sz w:val="24"/>
                <w:highlight w:val="none"/>
              </w:rPr>
              <w:t xml:space="preserve">将对项目进行监管，监管方案见</w:t>
            </w:r>
            <w:r>
              <w:rPr>
                <w:rFonts w:hint="eastAsia"/>
                <w:color w:val="000000"/>
                <w:sz w:val="24"/>
                <w:highlight w:val="none"/>
              </w:rPr>
              <w:t xml:space="preserve">其他部分</w:t>
            </w:r>
            <w:r>
              <w:rPr>
                <w:color w:val="000000"/>
                <w:sz w:val="24"/>
                <w:highlight w:val="none"/>
              </w:rPr>
              <w:t xml:space="preserve">。</w:t>
            </w:r>
            <w:r>
              <w:rPr>
                <w:color w:val="000000"/>
                <w:sz w:val="24"/>
                <w:highlight w:val="none"/>
              </w:rPr>
            </w:r>
            <w:r/>
          </w:p>
          <w:p>
            <w:pPr>
              <w:pStyle w:val="1060"/>
              <w:spacing w:line="400" w:lineRule="exact"/>
              <w:rPr>
                <w:color w:val="000000"/>
                <w:highlight w:val="none"/>
              </w:rPr>
            </w:pPr>
            <w:r>
              <w:rPr>
                <w:color w:val="000000"/>
                <w:sz w:val="24"/>
                <w:highlight w:val="none"/>
              </w:rPr>
              <w:t xml:space="preserve">（</w:t>
            </w:r>
            <w:r>
              <w:rPr>
                <w:rFonts w:hint="eastAsia"/>
                <w:color w:val="000000"/>
                <w:sz w:val="24"/>
                <w:highlight w:val="none"/>
              </w:rPr>
              <w:t xml:space="preserve">12</w:t>
            </w:r>
            <w:r>
              <w:rPr>
                <w:color w:val="000000"/>
                <w:sz w:val="24"/>
                <w:highlight w:val="none"/>
              </w:rPr>
              <w:t xml:space="preserve">）</w:t>
            </w:r>
            <w:r>
              <w:rPr>
                <w:rFonts w:hint="eastAsia" w:ascii="宋体" w:hAnsi="宋体" w:cs="宋体"/>
                <w:color w:val="000000"/>
                <w:sz w:val="24"/>
                <w:highlight w:val="none"/>
              </w:rPr>
              <w:t xml:space="preserve">成交供应商如为苏州市区外其他辅助器具适配服务机构，成交后需在30天内在苏州市区内</w:t>
            </w:r>
            <w:bookmarkStart w:id="189" w:name="_Hlk192515139"/>
            <w:r>
              <w:rPr>
                <w:rFonts w:hint="eastAsia" w:ascii="宋体" w:hAnsi="宋体" w:cs="宋体"/>
                <w:color w:val="000000"/>
                <w:sz w:val="24"/>
                <w:highlight w:val="none"/>
              </w:rPr>
              <w:t xml:space="preserve">设立符合条件的适配服务场所</w:t>
            </w:r>
            <w:bookmarkEnd w:id="189"/>
            <w:r>
              <w:rPr>
                <w:rFonts w:hint="eastAsia" w:ascii="宋体" w:hAnsi="宋体" w:cs="宋体"/>
                <w:color w:val="000000"/>
                <w:sz w:val="24"/>
                <w:highlight w:val="none"/>
              </w:rPr>
              <w:t xml:space="preserve">，采购人将对该成交供应商提供服务的场地进行复核，服务场所符合本采购要求的签订采购合同，如出现与投标文件不一致的或不能满足相关要求，责令整改，</w:t>
            </w:r>
            <w:r>
              <w:rPr>
                <w:rFonts w:hint="eastAsia" w:ascii="Times New Roman" w:hAnsi="Times New Roman" w:cs="Times New Roman"/>
                <w:color w:val="000000"/>
                <w:sz w:val="24"/>
                <w:highlight w:val="none"/>
              </w:rPr>
              <w:t xml:space="preserve">整改期间暂停适配服务，</w:t>
            </w:r>
            <w:r>
              <w:rPr>
                <w:rFonts w:hint="eastAsia" w:ascii="宋体" w:hAnsi="宋体" w:cs="宋体"/>
                <w:color w:val="000000"/>
                <w:sz w:val="24"/>
                <w:highlight w:val="none"/>
              </w:rPr>
              <w:t xml:space="preserve">无法整改或整改不到位的的采购人有权终止框架协议并取消定点资格。</w:t>
            </w:r>
            <w:r>
              <w:rPr>
                <w:color w:val="000000"/>
                <w:highlight w:val="none"/>
              </w:rPr>
            </w:r>
            <w:r/>
          </w:p>
        </w:tc>
      </w:tr>
    </w:tbl>
    <w:p>
      <w:pPr>
        <w:pStyle w:val="1205"/>
        <w:ind w:firstLine="482"/>
        <w:jc w:val="left"/>
        <w:rPr>
          <w:rFonts w:hint="eastAsia" w:eastAsia="宋体" w:cs="宋体"/>
          <w:b/>
          <w:color w:val="000000"/>
          <w:sz w:val="24"/>
          <w:szCs w:val="24"/>
          <w:highlight w:val="none"/>
        </w:rPr>
      </w:pPr>
      <w:r>
        <w:rPr>
          <w:rFonts w:hint="eastAsia" w:eastAsia="宋体" w:cs="宋体"/>
          <w:b/>
          <w:color w:val="000000"/>
          <w:sz w:val="24"/>
          <w:szCs w:val="24"/>
          <w:highlight w:val="none"/>
        </w:rPr>
        <w:t xml:space="preserve">三、信用记录</w:t>
      </w:r>
      <w:r>
        <w:rPr>
          <w:rFonts w:hint="eastAsia" w:eastAsia="宋体" w:cs="宋体"/>
          <w:b/>
          <w:color w:val="000000"/>
          <w:sz w:val="24"/>
          <w:szCs w:val="24"/>
          <w:highlight w:val="none"/>
        </w:rPr>
      </w:r>
      <w:r/>
    </w:p>
    <w:p>
      <w:pPr>
        <w:pStyle w:val="1060"/>
        <w:ind w:firstLine="480"/>
        <w:jc w:val="left"/>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根据政府采购法及相关法规，以及苏州市财政局《关于印发苏州市市级政府采购信用记录查询和使用工作试行办法的通知》（苏财购（2017）11号）文件的规定，我们将依法对供应商进行信用查询，凡经确认不符合政府采购相关法律法规规定的，将拒绝其参与政府采购活动。</w:t>
      </w:r>
      <w:r>
        <w:rPr>
          <w:rFonts w:hint="eastAsia" w:ascii="宋体" w:hAnsi="宋体" w:cs="宋体"/>
          <w:bCs/>
          <w:color w:val="000000"/>
          <w:sz w:val="24"/>
          <w:highlight w:val="none"/>
        </w:rPr>
      </w:r>
      <w:r/>
    </w:p>
    <w:p>
      <w:pPr>
        <w:pStyle w:val="1060"/>
        <w:ind w:firstLine="480"/>
        <w:jc w:val="left"/>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1、查询截止时点：投标文件递交截止时间。</w:t>
      </w:r>
      <w:r>
        <w:rPr>
          <w:rFonts w:hint="eastAsia" w:ascii="宋体" w:hAnsi="宋体" w:cs="宋体"/>
          <w:bCs/>
          <w:color w:val="000000"/>
          <w:sz w:val="24"/>
          <w:highlight w:val="none"/>
        </w:rPr>
      </w:r>
      <w:r/>
    </w:p>
    <w:p>
      <w:pPr>
        <w:pStyle w:val="1060"/>
        <w:ind w:firstLine="480"/>
        <w:jc w:val="left"/>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2、查询渠道：</w:t>
      </w:r>
      <w:r>
        <w:rPr>
          <w:rFonts w:hint="eastAsia" w:ascii="宋体" w:hAnsi="宋体" w:cs="宋体"/>
          <w:bCs/>
          <w:color w:val="000000"/>
          <w:sz w:val="24"/>
          <w:highlight w:val="none"/>
        </w:rPr>
      </w:r>
      <w:r/>
    </w:p>
    <w:p>
      <w:pPr>
        <w:pStyle w:val="1060"/>
        <w:ind w:firstLine="480"/>
        <w:jc w:val="left"/>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采购代理机构会在接收响应文件截止时间后，登录“苏采云”系统可一键链接至“信用中国”查询供应商的信用信息。</w:t>
      </w:r>
      <w:r>
        <w:rPr>
          <w:rFonts w:hint="eastAsia" w:ascii="宋体" w:hAnsi="宋体" w:cs="宋体"/>
          <w:bCs/>
          <w:color w:val="000000"/>
          <w:sz w:val="24"/>
          <w:highlight w:val="none"/>
        </w:rPr>
      </w:r>
      <w:r/>
    </w:p>
    <w:p>
      <w:pPr>
        <w:pStyle w:val="1060"/>
        <w:ind w:firstLine="480"/>
        <w:jc w:val="left"/>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3、查询证据留存方式：</w:t>
      </w:r>
      <w:r>
        <w:rPr>
          <w:rFonts w:hint="eastAsia" w:ascii="宋体" w:hAnsi="宋体" w:cs="宋体"/>
          <w:bCs/>
          <w:color w:val="000000"/>
          <w:sz w:val="24"/>
          <w:highlight w:val="none"/>
        </w:rPr>
      </w:r>
      <w:r/>
    </w:p>
    <w:p>
      <w:pPr>
        <w:pStyle w:val="1060"/>
        <w:ind w:firstLine="480"/>
        <w:jc w:val="left"/>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对存在失信信息的供应商，采购代理机构工作人员应根据评审小组确认的失信信息，登陆到来源网站页面进行复核并打印，作为证据留存。</w:t>
      </w:r>
      <w:r>
        <w:rPr>
          <w:rFonts w:hint="eastAsia" w:ascii="宋体" w:hAnsi="宋体" w:cs="宋体"/>
          <w:bCs/>
          <w:color w:val="000000"/>
          <w:sz w:val="24"/>
          <w:highlight w:val="none"/>
        </w:rPr>
      </w:r>
      <w:r/>
    </w:p>
    <w:p>
      <w:pPr>
        <w:pStyle w:val="1060"/>
        <w:ind w:firstLine="480"/>
        <w:jc w:val="left"/>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4、信用记录使用规则：</w:t>
      </w:r>
      <w:r>
        <w:rPr>
          <w:rFonts w:hint="eastAsia" w:ascii="宋体" w:hAnsi="宋体" w:cs="宋体"/>
          <w:bCs/>
          <w:color w:val="000000"/>
          <w:sz w:val="24"/>
          <w:highlight w:val="none"/>
        </w:rPr>
      </w:r>
      <w:r/>
    </w:p>
    <w:p>
      <w:pPr>
        <w:pStyle w:val="1060"/>
        <w:ind w:firstLine="480"/>
        <w:jc w:val="left"/>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评标小组在对供应商进行资格性审查时，应根据信用查询结果对供应商的不良信用记录逐项甄别确认。按照《中华人民共和国政府采购法》第二十二条规定，下列信用记录属于应依法拒绝供应商参加政府采购的失信信息：</w:t>
      </w:r>
      <w:r>
        <w:rPr>
          <w:rFonts w:hint="eastAsia" w:ascii="宋体" w:hAnsi="宋体" w:cs="宋体"/>
          <w:bCs/>
          <w:color w:val="000000"/>
          <w:sz w:val="24"/>
          <w:highlight w:val="none"/>
        </w:rPr>
      </w:r>
      <w:r/>
    </w:p>
    <w:p>
      <w:pPr>
        <w:pStyle w:val="1060"/>
        <w:ind w:firstLine="480"/>
        <w:jc w:val="left"/>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4.1政府采购严重违法记录，即供应商被全国各级财政部门列入“政府采购严重违法失信行为记录名单”，且在处罚有效期内的。</w:t>
      </w:r>
      <w:r>
        <w:rPr>
          <w:rFonts w:hint="eastAsia" w:ascii="宋体" w:hAnsi="宋体" w:cs="宋体"/>
          <w:bCs/>
          <w:color w:val="000000"/>
          <w:sz w:val="24"/>
          <w:highlight w:val="none"/>
        </w:rPr>
      </w:r>
      <w:r/>
    </w:p>
    <w:p>
      <w:pPr>
        <w:pStyle w:val="1060"/>
        <w:ind w:firstLine="480"/>
        <w:jc w:val="left"/>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4.2财政部门与法院、工商、税务等部门联合惩戒的失信信息，包括：</w:t>
      </w:r>
      <w:r>
        <w:rPr>
          <w:rFonts w:hint="eastAsia" w:ascii="宋体" w:hAnsi="宋体" w:cs="宋体"/>
          <w:bCs/>
          <w:color w:val="000000"/>
          <w:sz w:val="24"/>
          <w:highlight w:val="none"/>
        </w:rPr>
      </w:r>
      <w:r/>
    </w:p>
    <w:p>
      <w:pPr>
        <w:pStyle w:val="1060"/>
        <w:ind w:firstLine="480"/>
        <w:jc w:val="left"/>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（1）被列入失信被执行人名单；</w:t>
      </w:r>
      <w:r>
        <w:rPr>
          <w:rFonts w:hint="eastAsia" w:ascii="宋体" w:hAnsi="宋体" w:cs="宋体"/>
          <w:bCs/>
          <w:color w:val="000000"/>
          <w:sz w:val="24"/>
          <w:highlight w:val="none"/>
        </w:rPr>
      </w:r>
      <w:r/>
    </w:p>
    <w:p>
      <w:pPr>
        <w:pStyle w:val="1060"/>
        <w:ind w:firstLine="480"/>
        <w:jc w:val="left"/>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（2）被列入重大税收违法案件当事人名单；</w:t>
      </w:r>
      <w:r>
        <w:rPr>
          <w:rFonts w:hint="eastAsia" w:ascii="宋体" w:hAnsi="宋体" w:cs="宋体"/>
          <w:bCs/>
          <w:color w:val="000000"/>
          <w:sz w:val="24"/>
          <w:highlight w:val="none"/>
        </w:rPr>
      </w:r>
      <w:r/>
    </w:p>
    <w:p>
      <w:pPr>
        <w:pStyle w:val="1060"/>
        <w:ind w:firstLine="480"/>
        <w:jc w:val="left"/>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3）企业经营异常名录中被责令停产停业、暂扣或者吊销许可证或者执照，或者对经营活动中的违法行为处以较大数额罚款（“较大数额罚款”认定为200万元以上的罚款，法律、行政法规以及国务院有关部门明确规定相关领域“较大数额罚款”标准高于200万元的，从其规定）的信用记录。处罚生效日至递交（响应）文件日未满三年的。</w:t>
      </w:r>
      <w:r>
        <w:rPr>
          <w:rFonts w:hint="eastAsia" w:ascii="宋体" w:hAnsi="宋体" w:cs="宋体"/>
          <w:bCs/>
          <w:color w:val="000000"/>
          <w:sz w:val="24"/>
          <w:highlight w:val="none"/>
        </w:rPr>
      </w:r>
      <w:r/>
    </w:p>
    <w:p>
      <w:pPr>
        <w:pStyle w:val="1060"/>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060"/>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060"/>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060"/>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060"/>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060"/>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060"/>
        <w:rPr>
          <w:rFonts w:hint="eastAsia" w:ascii="宋体" w:hAnsi="宋体" w:cs="宋体"/>
          <w:b/>
          <w:bCs/>
          <w:color w:val="000000"/>
          <w:sz w:val="24"/>
          <w:highlight w:val="none"/>
        </w:rPr>
      </w:pPr>
      <w:r/>
      <w:bookmarkEnd w:id="180"/>
      <w:r/>
      <w:bookmarkEnd w:id="181"/>
      <w:r/>
      <w:bookmarkEnd w:id="182"/>
      <w:r/>
      <w:bookmarkEnd w:id="183"/>
      <w:r/>
      <w:bookmarkEnd w:id="184"/>
      <w:r/>
      <w:bookmarkEnd w:id="185"/>
      <w:r/>
      <w:bookmarkEnd w:id="186"/>
      <w:r/>
      <w:bookmarkEnd w:id="187"/>
      <w:r/>
      <w:bookmarkStart w:id="190" w:name="_Toc7397"/>
      <w:r/>
      <w:bookmarkStart w:id="191" w:name="_Toc136507760"/>
      <w:r/>
      <w:bookmarkStart w:id="192" w:name="_Toc4111"/>
      <w:r/>
      <w:bookmarkStart w:id="193" w:name="_Toc1896"/>
      <w:r/>
      <w:bookmarkStart w:id="194" w:name="_Toc26582"/>
      <w:r/>
      <w:bookmarkStart w:id="195" w:name="_Toc27102"/>
      <w:r/>
      <w:bookmarkStart w:id="196" w:name="_Toc32694"/>
      <w:r/>
      <w:bookmarkStart w:id="197" w:name="_Toc15127"/>
      <w:r/>
      <w:bookmarkStart w:id="198" w:name="_Toc505"/>
      <w:r/>
      <w:bookmarkStart w:id="199" w:name="_Toc27924"/>
      <w:r/>
      <w:bookmarkStart w:id="200" w:name="_Toc288"/>
      <w:r>
        <w:rPr>
          <w:rFonts w:hint="eastAsia" w:ascii="宋体" w:hAnsi="宋体" w:cs="宋体"/>
          <w:b/>
          <w:bCs/>
          <w:color w:val="000000"/>
          <w:sz w:val="24"/>
          <w:highlight w:val="none"/>
        </w:rPr>
      </w:r>
      <w:r/>
    </w:p>
    <w:p>
      <w:pPr>
        <w:pStyle w:val="1060"/>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205"/>
        <w:ind w:firstLine="482"/>
        <w:jc w:val="left"/>
        <w:spacing w:before="46" w:after="46"/>
        <w:rPr>
          <w:rFonts w:hint="eastAsia" w:eastAsia="宋体" w:cs="宋体"/>
          <w:b/>
          <w:color w:val="000000"/>
          <w:sz w:val="24"/>
          <w:szCs w:val="24"/>
          <w:highlight w:val="none"/>
        </w:rPr>
      </w:pPr>
      <w:r>
        <w:rPr>
          <w:rFonts w:hint="eastAsia" w:eastAsia="宋体" w:cs="宋体"/>
          <w:b/>
          <w:bCs/>
          <w:color w:val="000000"/>
          <w:sz w:val="24"/>
          <w:highlight w:val="none"/>
        </w:rPr>
        <w:br w:type="page" w:clear="all"/>
      </w:r>
      <w:r>
        <w:rPr>
          <w:rFonts w:hint="eastAsia" w:eastAsia="宋体" w:cs="宋体"/>
          <w:b/>
          <w:color w:val="000000"/>
          <w:sz w:val="24"/>
          <w:szCs w:val="24"/>
          <w:highlight w:val="none"/>
        </w:rPr>
        <w:t xml:space="preserve">四、相关监管、考核内容及附件：</w:t>
      </w:r>
      <w:r>
        <w:rPr>
          <w:rFonts w:hint="eastAsia" w:eastAsia="宋体" w:cs="宋体"/>
          <w:b/>
          <w:color w:val="000000"/>
          <w:sz w:val="24"/>
          <w:szCs w:val="24"/>
          <w:highlight w:val="none"/>
        </w:rPr>
      </w:r>
      <w:r/>
    </w:p>
    <w:p>
      <w:pPr>
        <w:pStyle w:val="1060"/>
        <w:jc w:val="center"/>
        <w:widowControl/>
        <w:rPr>
          <w:rFonts w:hint="eastAsia" w:ascii="宋体" w:hAnsi="宋体" w:cs="宋体"/>
          <w:b/>
          <w:color w:val="000000"/>
          <w:sz w:val="30"/>
          <w:szCs w:val="30"/>
          <w:highlight w:val="none"/>
        </w:rPr>
      </w:pPr>
      <w:r>
        <w:rPr>
          <w:rFonts w:hint="eastAsia" w:ascii="宋体" w:hAnsi="宋体" w:cs="宋体"/>
          <w:b/>
          <w:color w:val="000000"/>
          <w:sz w:val="30"/>
          <w:szCs w:val="30"/>
          <w:highlight w:val="none"/>
        </w:rPr>
        <w:t xml:space="preserve">监管方案</w:t>
      </w:r>
      <w:r>
        <w:rPr>
          <w:rFonts w:hint="eastAsia" w:ascii="宋体" w:hAnsi="宋体" w:cs="宋体"/>
          <w:b/>
          <w:color w:val="000000"/>
          <w:sz w:val="30"/>
          <w:szCs w:val="30"/>
          <w:highlight w:val="none"/>
        </w:rPr>
      </w:r>
      <w:r/>
    </w:p>
    <w:p>
      <w:pPr>
        <w:pStyle w:val="1060"/>
        <w:contextualSpacing/>
        <w:ind w:left="160"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一、监管方</w:t>
      </w:r>
      <w:r>
        <w:rPr>
          <w:rFonts w:hint="eastAsia" w:ascii="宋体" w:hAnsi="宋体" w:cs="宋体"/>
          <w:color w:val="000000"/>
          <w:sz w:val="24"/>
          <w:highlight w:val="none"/>
        </w:rPr>
      </w:r>
      <w:r/>
    </w:p>
    <w:p>
      <w:pPr>
        <w:pStyle w:val="1060"/>
        <w:contextualSpacing/>
        <w:ind w:left="160"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本项目第一监管方为合同甲方（苏州市姑苏区残疾人联合会），对乙方的服务情况进行监管，对该项目的监管结果负责。</w:t>
      </w:r>
      <w:r>
        <w:rPr>
          <w:rFonts w:hint="eastAsia" w:ascii="宋体" w:hAnsi="宋体" w:cs="宋体"/>
          <w:color w:val="000000"/>
          <w:sz w:val="24"/>
          <w:highlight w:val="none"/>
        </w:rPr>
      </w:r>
      <w:r/>
    </w:p>
    <w:p>
      <w:pPr>
        <w:pStyle w:val="1060"/>
        <w:numPr>
          <w:ilvl w:val="0"/>
          <w:numId w:val="5"/>
        </w:numPr>
        <w:contextualSpacing/>
        <w:ind w:left="160"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监管内容</w:t>
      </w:r>
      <w:r>
        <w:rPr>
          <w:rFonts w:hint="eastAsia" w:ascii="宋体" w:hAnsi="宋体" w:cs="宋体"/>
          <w:color w:val="000000"/>
          <w:sz w:val="24"/>
          <w:highlight w:val="none"/>
        </w:rPr>
      </w:r>
      <w:r/>
    </w:p>
    <w:p>
      <w:pPr>
        <w:pStyle w:val="1060"/>
        <w:contextualSpacing/>
        <w:ind w:left="160"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1、《关于印发苏州市残疾人辅助器具适配服务定点机构负面行为清单（试行）的通知》（苏残字〔2024〕45号）（后续如对应文件有调整，以最新版文件为准）；</w:t>
      </w:r>
      <w:r>
        <w:rPr>
          <w:rFonts w:hint="eastAsia" w:ascii="宋体" w:hAnsi="宋体" w:cs="宋体"/>
          <w:color w:val="000000"/>
          <w:sz w:val="24"/>
          <w:highlight w:val="none"/>
        </w:rPr>
      </w:r>
      <w:r/>
    </w:p>
    <w:p>
      <w:pPr>
        <w:pStyle w:val="1060"/>
        <w:contextualSpacing/>
        <w:ind w:left="160"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2、以本征集文件为依据，监督检查项目的服务场地、服务人员、服务内容、服务质量等与项目书是否一致；</w:t>
      </w:r>
      <w:r>
        <w:rPr>
          <w:rFonts w:hint="eastAsia" w:ascii="宋体" w:hAnsi="宋体" w:cs="宋体"/>
          <w:color w:val="000000"/>
          <w:sz w:val="24"/>
          <w:highlight w:val="none"/>
        </w:rPr>
      </w:r>
      <w:r/>
    </w:p>
    <w:p>
      <w:pPr>
        <w:pStyle w:val="1060"/>
        <w:contextualSpacing/>
        <w:ind w:left="160"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3、对辅具适配服务对象基础信息填报进行审核；</w:t>
      </w:r>
      <w:r>
        <w:rPr>
          <w:rFonts w:hint="eastAsia" w:ascii="宋体" w:hAnsi="宋体" w:cs="宋体"/>
          <w:color w:val="000000"/>
          <w:sz w:val="24"/>
          <w:highlight w:val="none"/>
        </w:rPr>
      </w:r>
      <w:r/>
    </w:p>
    <w:p>
      <w:pPr>
        <w:pStyle w:val="1060"/>
        <w:contextualSpacing/>
        <w:ind w:left="160"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4、对辅具适配服务档案、服务费用清单进行审核；</w:t>
      </w:r>
      <w:r>
        <w:rPr>
          <w:rFonts w:hint="eastAsia" w:ascii="宋体" w:hAnsi="宋体" w:cs="宋体"/>
          <w:color w:val="000000"/>
          <w:sz w:val="24"/>
          <w:highlight w:val="none"/>
        </w:rPr>
      </w:r>
      <w:r/>
    </w:p>
    <w:p>
      <w:pPr>
        <w:pStyle w:val="1060"/>
        <w:contextualSpacing/>
        <w:ind w:left="160"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5、对服务机构报送服务对象的适配服务真实性进行审查；</w:t>
      </w:r>
      <w:r>
        <w:rPr>
          <w:rFonts w:hint="eastAsia" w:ascii="宋体" w:hAnsi="宋体" w:cs="宋体"/>
          <w:color w:val="000000"/>
          <w:sz w:val="24"/>
          <w:highlight w:val="none"/>
        </w:rPr>
      </w:r>
      <w:r/>
    </w:p>
    <w:p>
      <w:pPr>
        <w:pStyle w:val="1060"/>
        <w:contextualSpacing/>
        <w:ind w:left="160"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6、对服务机构进行指导、检查。</w:t>
      </w:r>
      <w:r>
        <w:rPr>
          <w:rFonts w:hint="eastAsia" w:ascii="宋体" w:hAnsi="宋体" w:cs="宋体"/>
          <w:color w:val="000000"/>
          <w:sz w:val="24"/>
          <w:highlight w:val="none"/>
        </w:rPr>
      </w:r>
      <w:r/>
    </w:p>
    <w:p>
      <w:pPr>
        <w:pStyle w:val="1060"/>
        <w:contextualSpacing/>
        <w:ind w:left="160"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三、监管方式：</w:t>
      </w:r>
      <w:r>
        <w:rPr>
          <w:rFonts w:hint="eastAsia" w:ascii="宋体" w:hAnsi="宋体" w:cs="宋体"/>
          <w:color w:val="000000"/>
          <w:sz w:val="24"/>
          <w:highlight w:val="none"/>
        </w:rPr>
      </w:r>
      <w:r/>
    </w:p>
    <w:p>
      <w:pPr>
        <w:pStyle w:val="1060"/>
        <w:contextualSpacing/>
        <w:ind w:left="160"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1、档案监管</w:t>
      </w:r>
      <w:r>
        <w:rPr>
          <w:rFonts w:hint="eastAsia" w:ascii="宋体" w:hAnsi="宋体" w:cs="宋体"/>
          <w:color w:val="000000"/>
          <w:sz w:val="24"/>
          <w:highlight w:val="none"/>
        </w:rPr>
      </w:r>
      <w:r/>
    </w:p>
    <w:p>
      <w:pPr>
        <w:pStyle w:val="1060"/>
        <w:contextualSpacing/>
        <w:ind w:left="160"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工作内容：对项目档案进行跟踪和监测，内容包括为接受辅具适配服务对象建立服务档案（一人一档，完成对服务对象每次服务的记录，制定评估表格，做好适配前评估和测定、辅具签收（同步留存签收影像）、辅具配发后使用指导、适应性训练、售后服务等记录、填写好《辅具适配服务签收单》），要求资料保存完整、数据准确。</w:t>
      </w:r>
      <w:r>
        <w:rPr>
          <w:rFonts w:hint="eastAsia" w:ascii="宋体" w:hAnsi="宋体" w:cs="宋体"/>
          <w:color w:val="000000"/>
          <w:sz w:val="24"/>
          <w:highlight w:val="none"/>
        </w:rPr>
      </w:r>
      <w:r/>
    </w:p>
    <w:p>
      <w:pPr>
        <w:pStyle w:val="1060"/>
        <w:contextualSpacing/>
        <w:ind w:left="160"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工作形式：抽查或现场检查档案资料。</w:t>
      </w:r>
      <w:r>
        <w:rPr>
          <w:rFonts w:hint="eastAsia" w:ascii="宋体" w:hAnsi="宋体" w:cs="宋体"/>
          <w:color w:val="000000"/>
          <w:sz w:val="24"/>
          <w:highlight w:val="none"/>
        </w:rPr>
      </w:r>
      <w:r/>
    </w:p>
    <w:p>
      <w:pPr>
        <w:pStyle w:val="1060"/>
        <w:contextualSpacing/>
        <w:ind w:left="160"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2、线上监管</w:t>
      </w:r>
      <w:r>
        <w:rPr>
          <w:rFonts w:hint="eastAsia" w:ascii="宋体" w:hAnsi="宋体" w:cs="宋体"/>
          <w:color w:val="000000"/>
          <w:sz w:val="24"/>
          <w:highlight w:val="none"/>
        </w:rPr>
      </w:r>
      <w:r/>
    </w:p>
    <w:p>
      <w:pPr>
        <w:pStyle w:val="1060"/>
        <w:contextualSpacing/>
        <w:ind w:left="160"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工作内容：通过苏州市残疾人辅助器具服务网等对服务进行线上监管，监管内容包括：每个服务对象的基本信息资料、评估及适配记录，以及在接受服务过程中的照片信息等。</w:t>
      </w:r>
      <w:r>
        <w:rPr>
          <w:rFonts w:hint="eastAsia" w:ascii="宋体" w:hAnsi="宋体" w:cs="宋体"/>
          <w:color w:val="000000"/>
          <w:sz w:val="24"/>
          <w:highlight w:val="none"/>
        </w:rPr>
      </w:r>
      <w:r/>
    </w:p>
    <w:p>
      <w:pPr>
        <w:pStyle w:val="1060"/>
        <w:contextualSpacing/>
        <w:ind w:left="160"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工作形式：线上监管。</w:t>
      </w:r>
      <w:r>
        <w:rPr>
          <w:rFonts w:hint="eastAsia" w:ascii="宋体" w:hAnsi="宋体" w:cs="宋体"/>
          <w:color w:val="000000"/>
          <w:sz w:val="24"/>
          <w:highlight w:val="none"/>
        </w:rPr>
      </w:r>
      <w:r/>
    </w:p>
    <w:p>
      <w:pPr>
        <w:pStyle w:val="1060"/>
        <w:contextualSpacing/>
        <w:ind w:left="160"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3、满意度调查</w:t>
      </w:r>
      <w:r>
        <w:rPr>
          <w:rFonts w:hint="eastAsia" w:ascii="宋体" w:hAnsi="宋体" w:cs="宋体"/>
          <w:color w:val="000000"/>
          <w:sz w:val="24"/>
          <w:highlight w:val="none"/>
        </w:rPr>
      </w:r>
      <w:r/>
    </w:p>
    <w:p>
      <w:pPr>
        <w:pStyle w:val="1060"/>
        <w:contextualSpacing/>
        <w:ind w:left="160"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工作内容：对服务对象进行残疾人辅具适配服务工作回访。</w:t>
      </w:r>
      <w:r>
        <w:rPr>
          <w:rFonts w:hint="eastAsia" w:ascii="宋体" w:hAnsi="宋体" w:cs="宋体"/>
          <w:color w:val="000000"/>
          <w:sz w:val="24"/>
          <w:highlight w:val="none"/>
        </w:rPr>
      </w:r>
      <w:r/>
    </w:p>
    <w:p>
      <w:pPr>
        <w:pStyle w:val="1060"/>
        <w:contextualSpacing/>
        <w:ind w:left="160"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工作形式：电话抽查或现场调查访问。</w:t>
      </w:r>
      <w:r>
        <w:rPr>
          <w:rFonts w:hint="eastAsia" w:ascii="宋体" w:hAnsi="宋体" w:cs="宋体"/>
          <w:color w:val="000000"/>
          <w:sz w:val="24"/>
          <w:highlight w:val="none"/>
        </w:rPr>
      </w:r>
      <w:r/>
    </w:p>
    <w:p>
      <w:pPr>
        <w:pStyle w:val="1060"/>
        <w:contextualSpacing/>
        <w:ind w:left="160"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工作形式：线下监管。</w:t>
      </w:r>
      <w:r>
        <w:rPr>
          <w:rFonts w:hint="eastAsia" w:ascii="宋体" w:hAnsi="宋体" w:cs="宋体"/>
          <w:color w:val="000000"/>
          <w:sz w:val="24"/>
          <w:highlight w:val="none"/>
        </w:rPr>
      </w:r>
      <w:r/>
    </w:p>
    <w:p>
      <w:pPr>
        <w:pStyle w:val="1060"/>
        <w:contextualSpacing/>
        <w:ind w:left="160"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 4、现场监管</w:t>
      </w:r>
      <w:r>
        <w:rPr>
          <w:rFonts w:hint="eastAsia" w:ascii="宋体" w:hAnsi="宋体" w:cs="宋体"/>
          <w:color w:val="000000"/>
          <w:sz w:val="24"/>
          <w:highlight w:val="none"/>
        </w:rPr>
      </w:r>
      <w:r/>
    </w:p>
    <w:p>
      <w:pPr>
        <w:pStyle w:val="1060"/>
        <w:contextualSpacing/>
        <w:ind w:left="160"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工作内容：对场地设施设备、服务人员、服务对象、服务进行情况、服务质量等进行监管。</w:t>
      </w:r>
      <w:r>
        <w:rPr>
          <w:rFonts w:hint="eastAsia" w:ascii="宋体" w:hAnsi="宋体" w:cs="宋体"/>
          <w:color w:val="000000"/>
          <w:sz w:val="24"/>
          <w:highlight w:val="none"/>
        </w:rPr>
      </w:r>
      <w:r/>
    </w:p>
    <w:p>
      <w:pPr>
        <w:pStyle w:val="1060"/>
        <w:contextualSpacing/>
        <w:ind w:left="160"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工作形式：到达服务现场进行监管。</w:t>
      </w:r>
      <w:r>
        <w:rPr>
          <w:rFonts w:hint="eastAsia" w:ascii="宋体" w:hAnsi="宋体" w:cs="宋体"/>
          <w:color w:val="000000"/>
          <w:sz w:val="24"/>
          <w:highlight w:val="none"/>
        </w:rPr>
      </w:r>
      <w:r/>
    </w:p>
    <w:p>
      <w:pPr>
        <w:pStyle w:val="1060"/>
        <w:contextualSpacing/>
        <w:ind w:left="160"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5、处理服务对象的投诉</w:t>
      </w:r>
      <w:r>
        <w:rPr>
          <w:rFonts w:hint="eastAsia" w:ascii="宋体" w:hAnsi="宋体" w:cs="宋体"/>
          <w:color w:val="000000"/>
          <w:sz w:val="24"/>
          <w:highlight w:val="none"/>
        </w:rPr>
      </w:r>
      <w:r/>
    </w:p>
    <w:p>
      <w:pPr>
        <w:pStyle w:val="1060"/>
        <w:contextualSpacing/>
        <w:ind w:left="160"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工作内容：处理本区域户籍的服务对象对服务机构的投诉。</w:t>
      </w:r>
      <w:r>
        <w:rPr>
          <w:rFonts w:hint="eastAsia" w:ascii="宋体" w:hAnsi="宋体" w:cs="宋体"/>
          <w:color w:val="000000"/>
          <w:sz w:val="24"/>
          <w:highlight w:val="none"/>
        </w:rPr>
      </w:r>
      <w:r/>
    </w:p>
    <w:p>
      <w:pPr>
        <w:pStyle w:val="1060"/>
        <w:contextualSpacing/>
        <w:ind w:left="160"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工作形式：要求被投诉机构在一周内提供有效答复，同时递交书面报告；并且核实投诉相关情况，做出相应回复与处理。</w:t>
      </w:r>
      <w:r>
        <w:rPr>
          <w:rFonts w:hint="eastAsia" w:ascii="宋体" w:hAnsi="宋体" w:cs="宋体"/>
          <w:color w:val="000000"/>
          <w:sz w:val="24"/>
          <w:highlight w:val="none"/>
        </w:rPr>
      </w:r>
      <w:r/>
    </w:p>
    <w:p>
      <w:pPr>
        <w:pStyle w:val="1060"/>
        <w:contextualSpacing/>
        <w:ind w:left="160"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6、安全生产检查</w:t>
      </w:r>
      <w:r>
        <w:rPr>
          <w:rFonts w:hint="eastAsia" w:ascii="宋体" w:hAnsi="宋体" w:cs="宋体"/>
          <w:color w:val="000000"/>
          <w:sz w:val="24"/>
          <w:highlight w:val="none"/>
        </w:rPr>
      </w:r>
      <w:r/>
    </w:p>
    <w:p>
      <w:pPr>
        <w:pStyle w:val="1060"/>
        <w:contextualSpacing/>
        <w:ind w:left="160"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工作内容：针对服务机构的安全生产工作，包括重点项目、4项“严禁”、“三知”、“四会”、应急管理的实施情况进行监督检查。</w:t>
      </w:r>
      <w:r>
        <w:rPr>
          <w:rFonts w:hint="eastAsia" w:ascii="宋体" w:hAnsi="宋体" w:cs="宋体"/>
          <w:color w:val="000000"/>
          <w:sz w:val="24"/>
          <w:highlight w:val="none"/>
        </w:rPr>
      </w:r>
      <w:r/>
    </w:p>
    <w:p>
      <w:pPr>
        <w:pStyle w:val="1060"/>
        <w:contextualSpacing/>
        <w:ind w:left="160"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工作形式：组织专项督查，实地查看服务机构的安全生产情况。</w:t>
      </w:r>
      <w:r>
        <w:rPr>
          <w:rFonts w:hint="eastAsia" w:ascii="宋体" w:hAnsi="宋体" w:cs="宋体"/>
          <w:color w:val="000000"/>
          <w:sz w:val="24"/>
          <w:highlight w:val="none"/>
        </w:rPr>
      </w:r>
      <w:r/>
    </w:p>
    <w:p>
      <w:pPr>
        <w:pStyle w:val="1060"/>
        <w:contextualSpacing/>
        <w:ind w:left="160"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以上监管方式，甲方可根据实际情况自行选择或调整。</w:t>
      </w:r>
      <w:r>
        <w:rPr>
          <w:rFonts w:hint="eastAsia" w:ascii="宋体" w:hAnsi="宋体" w:cs="宋体"/>
          <w:color w:val="000000"/>
          <w:sz w:val="24"/>
          <w:highlight w:val="none"/>
        </w:rPr>
      </w:r>
      <w:r/>
    </w:p>
    <w:p>
      <w:pPr>
        <w:pStyle w:val="1060"/>
        <w:jc w:val="center"/>
        <w:widowControl/>
        <w:rPr>
          <w:rFonts w:hint="eastAsia" w:ascii="宋体" w:hAnsi="宋体" w:cs="宋体"/>
          <w:color w:val="000000"/>
          <w:sz w:val="36"/>
          <w:szCs w:val="36"/>
          <w:highlight w:val="none"/>
        </w:rPr>
      </w:pPr>
      <w:r>
        <w:rPr>
          <w:rFonts w:hint="eastAsia" w:ascii="宋体" w:hAnsi="宋体" w:cs="宋体"/>
          <w:color w:val="000000"/>
          <w:sz w:val="36"/>
          <w:szCs w:val="36"/>
          <w:highlight w:val="none"/>
        </w:rPr>
      </w:r>
      <w:r/>
    </w:p>
    <w:p>
      <w:pPr>
        <w:pStyle w:val="1060"/>
        <w:jc w:val="center"/>
        <w:widowControl/>
        <w:rPr>
          <w:rFonts w:hint="eastAsia" w:ascii="宋体" w:hAnsi="宋体" w:cs="宋体"/>
          <w:color w:val="000000"/>
          <w:sz w:val="36"/>
          <w:szCs w:val="36"/>
          <w:highlight w:val="none"/>
        </w:rPr>
      </w:pPr>
      <w:r>
        <w:rPr>
          <w:rFonts w:hint="eastAsia" w:ascii="宋体" w:hAnsi="宋体" w:cs="宋体"/>
          <w:color w:val="000000"/>
          <w:sz w:val="36"/>
          <w:szCs w:val="36"/>
          <w:highlight w:val="none"/>
        </w:rPr>
      </w:r>
      <w:r/>
    </w:p>
    <w:p>
      <w:pPr>
        <w:pStyle w:val="1060"/>
        <w:jc w:val="center"/>
        <w:widowControl/>
        <w:rPr>
          <w:rFonts w:hint="eastAsia" w:ascii="宋体" w:hAnsi="宋体" w:cs="宋体"/>
          <w:color w:val="000000"/>
          <w:sz w:val="36"/>
          <w:szCs w:val="36"/>
          <w:highlight w:val="none"/>
        </w:rPr>
      </w:pPr>
      <w:r>
        <w:rPr>
          <w:rFonts w:hint="eastAsia" w:ascii="宋体" w:hAnsi="宋体" w:cs="宋体"/>
          <w:color w:val="000000"/>
          <w:sz w:val="36"/>
          <w:szCs w:val="36"/>
          <w:highlight w:val="none"/>
        </w:rPr>
      </w:r>
      <w:r/>
    </w:p>
    <w:p>
      <w:pPr>
        <w:pStyle w:val="1060"/>
        <w:jc w:val="center"/>
        <w:widowControl/>
        <w:rPr>
          <w:rFonts w:hint="eastAsia" w:ascii="宋体" w:hAnsi="宋体" w:cs="宋体"/>
          <w:color w:val="000000"/>
          <w:sz w:val="36"/>
          <w:szCs w:val="36"/>
          <w:highlight w:val="none"/>
        </w:rPr>
      </w:pPr>
      <w:r>
        <w:rPr>
          <w:rFonts w:hint="eastAsia" w:ascii="宋体" w:hAnsi="宋体" w:cs="宋体"/>
          <w:color w:val="000000"/>
          <w:sz w:val="36"/>
          <w:szCs w:val="36"/>
          <w:highlight w:val="none"/>
        </w:rPr>
      </w:r>
      <w:r/>
    </w:p>
    <w:p>
      <w:pPr>
        <w:pStyle w:val="1060"/>
        <w:jc w:val="center"/>
        <w:widowControl/>
        <w:rPr>
          <w:rFonts w:hint="eastAsia" w:ascii="宋体" w:hAnsi="宋体" w:cs="宋体"/>
          <w:color w:val="000000"/>
          <w:sz w:val="36"/>
          <w:szCs w:val="36"/>
          <w:highlight w:val="none"/>
        </w:rPr>
      </w:pPr>
      <w:r>
        <w:rPr>
          <w:rFonts w:hint="eastAsia" w:ascii="宋体" w:hAnsi="宋体" w:cs="宋体"/>
          <w:color w:val="000000"/>
          <w:sz w:val="36"/>
          <w:szCs w:val="36"/>
          <w:highlight w:val="none"/>
        </w:rPr>
      </w:r>
      <w:r/>
    </w:p>
    <w:p>
      <w:pPr>
        <w:pStyle w:val="1060"/>
        <w:jc w:val="center"/>
        <w:widowControl/>
        <w:rPr>
          <w:rFonts w:hint="eastAsia" w:ascii="宋体" w:hAnsi="宋体" w:cs="宋体"/>
          <w:color w:val="000000"/>
          <w:sz w:val="36"/>
          <w:szCs w:val="36"/>
          <w:highlight w:val="none"/>
        </w:rPr>
      </w:pPr>
      <w:r>
        <w:rPr>
          <w:rFonts w:hint="eastAsia" w:ascii="宋体" w:hAnsi="宋体" w:cs="宋体"/>
          <w:color w:val="000000"/>
          <w:sz w:val="36"/>
          <w:szCs w:val="36"/>
          <w:highlight w:val="none"/>
        </w:rPr>
      </w:r>
      <w:r/>
    </w:p>
    <w:p>
      <w:pPr>
        <w:pStyle w:val="1060"/>
        <w:jc w:val="center"/>
        <w:widowControl/>
        <w:rPr>
          <w:rFonts w:hint="eastAsia" w:ascii="宋体" w:hAnsi="宋体" w:cs="宋体"/>
          <w:color w:val="000000"/>
          <w:sz w:val="36"/>
          <w:szCs w:val="36"/>
          <w:highlight w:val="none"/>
        </w:rPr>
      </w:pPr>
      <w:r>
        <w:rPr>
          <w:rFonts w:hint="eastAsia" w:ascii="宋体" w:hAnsi="宋体" w:cs="宋体"/>
          <w:color w:val="000000"/>
          <w:sz w:val="36"/>
          <w:szCs w:val="36"/>
          <w:highlight w:val="none"/>
        </w:rPr>
      </w:r>
      <w:r/>
    </w:p>
    <w:p>
      <w:pPr>
        <w:pStyle w:val="1060"/>
        <w:jc w:val="center"/>
        <w:widowControl/>
        <w:rPr>
          <w:rFonts w:hint="eastAsia" w:ascii="宋体" w:hAnsi="宋体" w:cs="宋体"/>
          <w:color w:val="000000"/>
          <w:sz w:val="36"/>
          <w:szCs w:val="36"/>
          <w:highlight w:val="none"/>
        </w:rPr>
      </w:pPr>
      <w:r>
        <w:rPr>
          <w:rFonts w:hint="eastAsia" w:ascii="宋体" w:hAnsi="宋体" w:cs="宋体"/>
          <w:color w:val="000000"/>
          <w:sz w:val="36"/>
          <w:szCs w:val="36"/>
          <w:highlight w:val="none"/>
        </w:rPr>
      </w:r>
      <w:r/>
    </w:p>
    <w:p>
      <w:pPr>
        <w:pStyle w:val="1060"/>
        <w:jc w:val="center"/>
        <w:widowControl/>
        <w:rPr>
          <w:rFonts w:hint="eastAsia" w:ascii="宋体" w:hAnsi="宋体" w:cs="宋体"/>
          <w:color w:val="000000"/>
          <w:sz w:val="36"/>
          <w:szCs w:val="36"/>
          <w:highlight w:val="none"/>
        </w:rPr>
      </w:pPr>
      <w:r>
        <w:rPr>
          <w:rFonts w:hint="eastAsia" w:ascii="宋体" w:hAnsi="宋体" w:cs="宋体"/>
          <w:color w:val="000000"/>
          <w:sz w:val="36"/>
          <w:szCs w:val="36"/>
          <w:highlight w:val="none"/>
        </w:rPr>
      </w:r>
      <w:r/>
    </w:p>
    <w:p>
      <w:pPr>
        <w:pStyle w:val="1060"/>
        <w:jc w:val="center"/>
        <w:widowControl/>
        <w:rPr>
          <w:rFonts w:hint="eastAsia" w:ascii="宋体" w:hAnsi="宋体" w:cs="宋体"/>
          <w:color w:val="000000"/>
          <w:sz w:val="36"/>
          <w:szCs w:val="36"/>
          <w:highlight w:val="none"/>
        </w:rPr>
      </w:pPr>
      <w:r>
        <w:rPr>
          <w:rFonts w:hint="eastAsia" w:ascii="宋体" w:hAnsi="宋体" w:cs="宋体"/>
          <w:color w:val="000000"/>
          <w:sz w:val="36"/>
          <w:szCs w:val="36"/>
          <w:highlight w:val="none"/>
        </w:rPr>
      </w:r>
      <w:r/>
    </w:p>
    <w:p>
      <w:pPr>
        <w:pStyle w:val="1060"/>
        <w:jc w:val="center"/>
        <w:widowControl/>
        <w:rPr>
          <w:rFonts w:hint="eastAsia" w:ascii="宋体" w:hAnsi="宋体" w:cs="宋体"/>
          <w:color w:val="000000"/>
          <w:sz w:val="36"/>
          <w:szCs w:val="36"/>
          <w:highlight w:val="none"/>
        </w:rPr>
      </w:pPr>
      <w:r>
        <w:rPr>
          <w:rFonts w:hint="eastAsia" w:ascii="宋体" w:hAnsi="宋体" w:cs="宋体"/>
          <w:color w:val="000000"/>
          <w:sz w:val="36"/>
          <w:szCs w:val="36"/>
          <w:highlight w:val="none"/>
        </w:rPr>
      </w:r>
      <w:r/>
    </w:p>
    <w:p>
      <w:pPr>
        <w:pStyle w:val="1060"/>
        <w:jc w:val="center"/>
        <w:widowControl/>
        <w:rPr>
          <w:rFonts w:hint="eastAsia" w:ascii="宋体" w:hAnsi="宋体" w:cs="宋体"/>
          <w:color w:val="000000"/>
          <w:sz w:val="36"/>
          <w:szCs w:val="36"/>
          <w:highlight w:val="none"/>
        </w:rPr>
      </w:pPr>
      <w:r>
        <w:rPr>
          <w:rFonts w:hint="eastAsia" w:ascii="宋体" w:hAnsi="宋体" w:cs="宋体"/>
          <w:color w:val="000000"/>
          <w:sz w:val="36"/>
          <w:szCs w:val="36"/>
          <w:highlight w:val="none"/>
        </w:rPr>
      </w:r>
      <w:r/>
    </w:p>
    <w:p>
      <w:pPr>
        <w:pStyle w:val="1060"/>
        <w:jc w:val="center"/>
        <w:widowControl/>
        <w:rPr>
          <w:rFonts w:hint="eastAsia" w:ascii="宋体" w:hAnsi="宋体" w:cs="宋体"/>
          <w:color w:val="000000"/>
          <w:sz w:val="36"/>
          <w:szCs w:val="36"/>
          <w:highlight w:val="none"/>
        </w:rPr>
      </w:pPr>
      <w:r>
        <w:rPr>
          <w:rFonts w:hint="eastAsia" w:ascii="宋体" w:hAnsi="宋体" w:cs="宋体"/>
          <w:color w:val="000000"/>
          <w:sz w:val="36"/>
          <w:szCs w:val="36"/>
          <w:highlight w:val="none"/>
        </w:rPr>
      </w:r>
      <w:r/>
    </w:p>
    <w:p>
      <w:pPr>
        <w:pStyle w:val="1060"/>
        <w:jc w:val="center"/>
        <w:widowControl/>
        <w:rPr>
          <w:rFonts w:hint="eastAsia" w:ascii="宋体" w:hAnsi="宋体" w:cs="宋体"/>
          <w:color w:val="000000"/>
          <w:sz w:val="36"/>
          <w:szCs w:val="36"/>
          <w:highlight w:val="none"/>
        </w:rPr>
      </w:pPr>
      <w:r>
        <w:rPr>
          <w:rFonts w:hint="eastAsia" w:ascii="宋体" w:hAnsi="宋体" w:cs="宋体"/>
          <w:color w:val="000000"/>
          <w:sz w:val="36"/>
          <w:szCs w:val="36"/>
          <w:highlight w:val="none"/>
        </w:rPr>
      </w:r>
      <w:r/>
    </w:p>
    <w:p>
      <w:pPr>
        <w:pStyle w:val="1205"/>
        <w:ind w:firstLine="482"/>
        <w:jc w:val="left"/>
        <w:spacing w:before="46" w:after="46"/>
        <w:rPr>
          <w:rFonts w:hint="eastAsia" w:eastAsia="宋体" w:cs="宋体"/>
          <w:b/>
          <w:color w:val="000000"/>
          <w:sz w:val="24"/>
          <w:szCs w:val="24"/>
          <w:highlight w:val="none"/>
        </w:rPr>
      </w:pPr>
      <w:r>
        <w:rPr>
          <w:rFonts w:hint="eastAsia" w:eastAsia="宋体" w:cs="宋体"/>
          <w:b/>
          <w:color w:val="000000"/>
          <w:sz w:val="24"/>
          <w:szCs w:val="24"/>
          <w:highlight w:val="none"/>
        </w:rPr>
      </w:r>
      <w:r/>
    </w:p>
    <w:p>
      <w:pPr>
        <w:pStyle w:val="1205"/>
        <w:ind w:firstLine="0"/>
        <w:jc w:val="left"/>
        <w:spacing w:before="46" w:after="46"/>
        <w:rPr>
          <w:rFonts w:hint="eastAsia" w:eastAsia="宋体" w:cs="宋体"/>
          <w:b/>
          <w:color w:val="000000"/>
          <w:sz w:val="24"/>
          <w:szCs w:val="24"/>
          <w:highlight w:val="none"/>
        </w:rPr>
      </w:pPr>
      <w:r>
        <w:rPr>
          <w:rFonts w:hint="eastAsia" w:eastAsia="宋体" w:cs="宋体"/>
          <w:b/>
          <w:color w:val="000000"/>
          <w:sz w:val="24"/>
          <w:szCs w:val="24"/>
          <w:highlight w:val="none"/>
        </w:rPr>
        <w:t xml:space="preserve">五、关于印发苏州市残疾人辅助器具适配服务定点机构负面行为清单（试行）的通知</w:t>
      </w:r>
      <w:r>
        <w:rPr>
          <w:rFonts w:hint="eastAsia" w:eastAsia="宋体" w:cs="宋体"/>
          <w:b/>
          <w:color w:val="000000"/>
          <w:sz w:val="24"/>
          <w:szCs w:val="24"/>
          <w:highlight w:val="none"/>
        </w:rPr>
      </w:r>
      <w:r/>
    </w:p>
    <w:p>
      <w:pPr>
        <w:pStyle w:val="1060"/>
        <w:jc w:val="center"/>
        <w:widowControl/>
        <w:rPr>
          <w:rFonts w:hint="eastAsia" w:ascii="宋体" w:hAnsi="宋体" w:cs="宋体"/>
          <w:color w:val="000000"/>
          <w:sz w:val="36"/>
          <w:szCs w:val="36"/>
          <w:highlight w:val="none"/>
        </w:rPr>
      </w:pPr>
      <w:r>
        <w:rPr>
          <w:rFonts w:hint="eastAsia" w:ascii="宋体" w:hAnsi="宋体" w:cs="宋体"/>
          <w:color w:val="000000"/>
          <w:sz w:val="36"/>
          <w:szCs w:val="36"/>
          <w:highlight w:val="none"/>
        </w:rPr>
        <mc:AlternateContent>
          <mc:Choice Requires="wpg">
            <w:drawing>
              <wp:inline xmlns:wp="http://schemas.openxmlformats.org/drawingml/2006/wordprocessingDrawing" distT="0" distB="0" distL="0" distR="0">
                <wp:extent cx="5705475" cy="8058150"/>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5705475" cy="80581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49.2pt;height:634.5pt;mso-wrap-distance-left:0.0pt;mso-wrap-distance-top:0.0pt;mso-wrap-distance-right:0.0pt;mso-wrap-distance-bottom:0.0pt;" stroked="f">
                <v:path textboxrect="0,0,0,0"/>
                <v:imagedata r:id="rId18" o:title=""/>
              </v:shape>
            </w:pict>
          </mc:Fallback>
        </mc:AlternateContent>
      </w:r>
      <w:r>
        <w:rPr>
          <w:rFonts w:hint="eastAsia" w:ascii="宋体" w:hAnsi="宋体" w:cs="宋体"/>
          <w:color w:val="000000"/>
          <w:sz w:val="36"/>
          <w:szCs w:val="36"/>
          <w:highlight w:val="none"/>
        </w:rPr>
      </w:r>
      <w:r/>
    </w:p>
    <w:p>
      <w:pPr>
        <w:pStyle w:val="1060"/>
        <w:jc w:val="center"/>
        <w:widowControl/>
        <w:rPr>
          <w:rFonts w:hint="eastAsia" w:ascii="宋体" w:hAnsi="宋体" w:cs="宋体"/>
          <w:color w:val="000000"/>
          <w:sz w:val="36"/>
          <w:szCs w:val="36"/>
          <w:highlight w:val="none"/>
        </w:rPr>
      </w:pPr>
      <w:r>
        <w:rPr>
          <w:rFonts w:hint="eastAsia" w:ascii="宋体" w:hAnsi="宋体" w:cs="宋体"/>
          <w:color w:val="000000"/>
          <w:sz w:val="36"/>
          <w:szCs w:val="36"/>
          <w:highlight w:val="none"/>
        </w:rPr>
        <mc:AlternateContent>
          <mc:Choice Requires="wpg">
            <w:drawing>
              <wp:inline xmlns:wp="http://schemas.openxmlformats.org/drawingml/2006/wordprocessingDrawing" distT="0" distB="0" distL="0" distR="0">
                <wp:extent cx="5762625" cy="7658100"/>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5762625" cy="76581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53.8pt;height:603.0pt;mso-wrap-distance-left:0.0pt;mso-wrap-distance-top:0.0pt;mso-wrap-distance-right:0.0pt;mso-wrap-distance-bottom:0.0pt;" stroked="f">
                <v:path textboxrect="0,0,0,0"/>
                <v:imagedata r:id="rId19" o:title=""/>
              </v:shape>
            </w:pict>
          </mc:Fallback>
        </mc:AlternateContent>
      </w:r>
      <w:r>
        <w:rPr>
          <w:rFonts w:hint="eastAsia" w:ascii="宋体" w:hAnsi="宋体" w:cs="宋体"/>
          <w:color w:val="000000"/>
          <w:sz w:val="36"/>
          <w:szCs w:val="36"/>
          <w:highlight w:val="none"/>
        </w:rPr>
      </w:r>
      <w:r/>
    </w:p>
    <w:p>
      <w:pPr>
        <w:pStyle w:val="1060"/>
        <w:jc w:val="center"/>
        <w:widowControl/>
        <w:rPr>
          <w:rFonts w:hint="eastAsia" w:ascii="宋体" w:hAnsi="宋体" w:cs="宋体"/>
          <w:color w:val="000000"/>
          <w:sz w:val="36"/>
          <w:szCs w:val="36"/>
          <w:highlight w:val="none"/>
        </w:rPr>
      </w:pPr>
      <w:r>
        <w:rPr>
          <w:rFonts w:hint="eastAsia" w:ascii="宋体" w:hAnsi="宋体" w:cs="宋体"/>
          <w:color w:val="000000"/>
          <w:sz w:val="36"/>
          <w:szCs w:val="36"/>
          <w:highlight w:val="none"/>
        </w:rPr>
        <mc:AlternateContent>
          <mc:Choice Requires="wpg">
            <w:drawing>
              <wp:inline xmlns:wp="http://schemas.openxmlformats.org/drawingml/2006/wordprocessingDrawing" distT="0" distB="0" distL="0" distR="0">
                <wp:extent cx="5695950" cy="8020050"/>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5695950" cy="80200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48.5pt;height:631.5pt;mso-wrap-distance-left:0.0pt;mso-wrap-distance-top:0.0pt;mso-wrap-distance-right:0.0pt;mso-wrap-distance-bottom:0.0pt;" stroked="f">
                <v:path textboxrect="0,0,0,0"/>
                <v:imagedata r:id="rId20" o:title=""/>
              </v:shape>
            </w:pict>
          </mc:Fallback>
        </mc:AlternateContent>
      </w:r>
      <w:r>
        <w:rPr>
          <w:rFonts w:hint="eastAsia" w:ascii="宋体" w:hAnsi="宋体" w:cs="宋体"/>
          <w:color w:val="000000"/>
          <w:sz w:val="36"/>
          <w:szCs w:val="36"/>
          <w:highlight w:val="none"/>
        </w:rPr>
      </w:r>
      <w:r/>
    </w:p>
    <w:p>
      <w:pPr>
        <w:pStyle w:val="1061"/>
        <w:jc w:val="center"/>
        <w:tabs>
          <w:tab w:val="left" w:pos="200" w:leader="none"/>
        </w:tabs>
        <w:rPr>
          <w:rFonts w:hint="eastAsia" w:ascii="宋体" w:hAnsi="宋体" w:cs="宋体"/>
          <w:color w:val="000000"/>
          <w:sz w:val="36"/>
          <w:szCs w:val="36"/>
          <w:highlight w:val="none"/>
        </w:rPr>
      </w:pPr>
      <w:r>
        <w:rPr>
          <w:rFonts w:hint="eastAsia" w:ascii="宋体" w:hAnsi="宋体" w:cs="宋体"/>
          <w:color w:val="000000"/>
          <w:sz w:val="36"/>
          <w:szCs w:val="36"/>
          <w:highlight w:val="none"/>
        </w:rPr>
        <mc:AlternateContent>
          <mc:Choice Requires="wpg">
            <w:drawing>
              <wp:inline xmlns:wp="http://schemas.openxmlformats.org/drawingml/2006/wordprocessingDrawing" distT="0" distB="0" distL="0" distR="0">
                <wp:extent cx="5743575" cy="7820025"/>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5743575" cy="78200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52.2pt;height:615.8pt;mso-wrap-distance-left:0.0pt;mso-wrap-distance-top:0.0pt;mso-wrap-distance-right:0.0pt;mso-wrap-distance-bottom:0.0pt;" stroked="f">
                <v:path textboxrect="0,0,0,0"/>
                <v:imagedata r:id="rId21" o:title=""/>
              </v:shape>
            </w:pict>
          </mc:Fallback>
        </mc:AlternateContent>
      </w:r>
      <w:r>
        <w:rPr>
          <w:rFonts w:hint="eastAsia" w:ascii="宋体" w:hAnsi="宋体" w:cs="宋体"/>
          <w:color w:val="000000"/>
          <w:sz w:val="36"/>
          <w:szCs w:val="36"/>
          <w:highlight w:val="none"/>
        </w:rPr>
      </w:r>
      <w:r/>
    </w:p>
    <w:p>
      <w:pPr>
        <w:pStyle w:val="1205"/>
        <w:ind w:firstLine="0"/>
        <w:jc w:val="left"/>
        <w:spacing w:before="46" w:after="46"/>
        <w:rPr>
          <w:rFonts w:hint="eastAsia" w:eastAsia="宋体" w:cs="宋体"/>
          <w:b/>
          <w:color w:val="000000"/>
          <w:sz w:val="24"/>
          <w:szCs w:val="24"/>
          <w:highlight w:val="none"/>
        </w:rPr>
      </w:pPr>
      <w:r>
        <w:rPr>
          <w:rFonts w:hint="eastAsia" w:eastAsia="宋体" w:cs="宋体"/>
          <w:color w:val="000000"/>
          <w:sz w:val="36"/>
          <w:szCs w:val="36"/>
          <w:highlight w:val="none"/>
        </w:rPr>
        <w:br w:type="page" w:clear="all"/>
      </w:r>
      <w:r>
        <w:rPr>
          <w:rFonts w:hint="eastAsia" w:eastAsia="宋体" w:cs="宋体"/>
          <w:b/>
          <w:color w:val="000000"/>
          <w:sz w:val="24"/>
          <w:szCs w:val="24"/>
          <w:highlight w:val="none"/>
        </w:rPr>
        <w:t xml:space="preserve">六、关于优化《苏州市残疾人辅助器具适配补贴实施办法》的通知</w:t>
      </w:r>
      <w:r>
        <w:rPr>
          <w:rFonts w:hint="eastAsia" w:eastAsia="宋体" w:cs="宋体"/>
          <w:b/>
          <w:color w:val="000000"/>
          <w:sz w:val="24"/>
          <w:szCs w:val="24"/>
          <w:highlight w:val="none"/>
        </w:rPr>
      </w:r>
      <w:r/>
    </w:p>
    <w:p>
      <w:pPr>
        <w:pStyle w:val="1061"/>
        <w:jc w:val="center"/>
        <w:tabs>
          <w:tab w:val="left" w:pos="200" w:leader="none"/>
        </w:tabs>
        <w:rPr>
          <w:rFonts w:hint="eastAsia" w:ascii="宋体" w:hAnsi="宋体" w:cs="宋体"/>
          <w:color w:val="000000"/>
          <w:sz w:val="36"/>
          <w:szCs w:val="36"/>
          <w:highlight w:val="none"/>
        </w:rPr>
      </w:pPr>
      <w:r>
        <w:rPr>
          <w:rFonts w:hint="eastAsia" w:ascii="宋体" w:hAnsi="宋体" w:cs="宋体"/>
          <w:color w:val="000000"/>
          <w:sz w:val="36"/>
          <w:szCs w:val="36"/>
          <w:highlight w:val="none"/>
        </w:rPr>
        <mc:AlternateContent>
          <mc:Choice Requires="wpg">
            <w:drawing>
              <wp:inline xmlns:wp="http://schemas.openxmlformats.org/drawingml/2006/wordprocessingDrawing" distT="0" distB="0" distL="0" distR="0">
                <wp:extent cx="5762625" cy="7962900"/>
                <wp:effectExtent l="0" t="0" r="0" b="0"/>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5762625" cy="79629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453.8pt;height:627.0pt;mso-wrap-distance-left:0.0pt;mso-wrap-distance-top:0.0pt;mso-wrap-distance-right:0.0pt;mso-wrap-distance-bottom:0.0pt;" stroked="f">
                <v:path textboxrect="0,0,0,0"/>
                <v:imagedata r:id="rId22" o:title=""/>
              </v:shape>
            </w:pict>
          </mc:Fallback>
        </mc:AlternateContent>
      </w:r>
      <w:r>
        <w:rPr>
          <w:rFonts w:hint="eastAsia" w:ascii="宋体" w:hAnsi="宋体" w:cs="宋体"/>
          <w:color w:val="000000"/>
          <w:sz w:val="36"/>
          <w:szCs w:val="36"/>
          <w:highlight w:val="none"/>
        </w:rPr>
      </w:r>
      <w:r/>
    </w:p>
    <w:p>
      <w:pPr>
        <w:pStyle w:val="1061"/>
        <w:jc w:val="center"/>
        <w:tabs>
          <w:tab w:val="left" w:pos="200" w:leader="none"/>
        </w:tabs>
        <w:rPr>
          <w:rFonts w:hint="eastAsia" w:ascii="宋体" w:hAnsi="宋体" w:cs="宋体"/>
          <w:color w:val="000000"/>
          <w:sz w:val="36"/>
          <w:szCs w:val="36"/>
          <w:highlight w:val="none"/>
        </w:rPr>
      </w:pPr>
      <w:r>
        <w:rPr>
          <w:rFonts w:hint="eastAsia" w:ascii="宋体" w:hAnsi="宋体" w:cs="宋体"/>
          <w:color w:val="000000"/>
          <w:sz w:val="36"/>
          <w:szCs w:val="36"/>
          <w:highlight w:val="none"/>
        </w:rPr>
        <w:br w:type="page" w:clear="all"/>
      </w:r>
      <w:r>
        <w:rPr>
          <w:rFonts w:hint="eastAsia" w:ascii="宋体" w:hAnsi="宋体" w:cs="宋体"/>
          <w:color w:val="000000"/>
          <w:sz w:val="36"/>
          <w:szCs w:val="36"/>
          <w:highlight w:val="none"/>
        </w:rPr>
        <mc:AlternateContent>
          <mc:Choice Requires="wpg">
            <w:drawing>
              <wp:inline xmlns:wp="http://schemas.openxmlformats.org/drawingml/2006/wordprocessingDrawing" distT="0" distB="0" distL="0" distR="0">
                <wp:extent cx="5743575" cy="7696200"/>
                <wp:effectExtent l="0" t="0" r="0" b="0"/>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5743575" cy="76962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452.2pt;height:606.0pt;mso-wrap-distance-left:0.0pt;mso-wrap-distance-top:0.0pt;mso-wrap-distance-right:0.0pt;mso-wrap-distance-bottom:0.0pt;" stroked="f">
                <v:path textboxrect="0,0,0,0"/>
                <v:imagedata r:id="rId23" o:title=""/>
              </v:shape>
            </w:pict>
          </mc:Fallback>
        </mc:AlternateContent>
      </w:r>
      <w:r>
        <w:rPr>
          <w:rFonts w:hint="eastAsia" w:ascii="宋体" w:hAnsi="宋体" w:cs="宋体"/>
          <w:color w:val="000000"/>
          <w:sz w:val="36"/>
          <w:szCs w:val="36"/>
          <w:highlight w:val="none"/>
        </w:rPr>
      </w:r>
      <w:r/>
    </w:p>
    <w:p>
      <w:pPr>
        <w:pStyle w:val="1061"/>
        <w:jc w:val="center"/>
        <w:tabs>
          <w:tab w:val="left" w:pos="200" w:leader="none"/>
        </w:tabs>
        <w:rPr>
          <w:rFonts w:hint="eastAsia" w:ascii="宋体" w:hAnsi="宋体" w:cs="宋体"/>
          <w:color w:val="000000"/>
          <w:sz w:val="36"/>
          <w:szCs w:val="36"/>
          <w:highlight w:val="none"/>
        </w:rPr>
      </w:pPr>
      <w:r>
        <w:rPr>
          <w:rFonts w:hint="eastAsia" w:ascii="宋体" w:hAnsi="宋体" w:cs="宋体"/>
          <w:color w:val="000000"/>
          <w:sz w:val="36"/>
          <w:szCs w:val="36"/>
          <w:highlight w:val="none"/>
        </w:rPr>
        <w:br w:type="page" w:clear="all"/>
      </w:r>
      <w:r>
        <w:rPr>
          <w:rFonts w:hint="eastAsia" w:ascii="宋体" w:hAnsi="宋体" w:cs="宋体"/>
          <w:color w:val="000000"/>
          <w:sz w:val="36"/>
          <w:szCs w:val="36"/>
          <w:highlight w:val="none"/>
        </w:rPr>
        <mc:AlternateContent>
          <mc:Choice Requires="wpg">
            <w:drawing>
              <wp:inline xmlns:wp="http://schemas.openxmlformats.org/drawingml/2006/wordprocessingDrawing" distT="0" distB="0" distL="0" distR="0">
                <wp:extent cx="5705475" cy="8001000"/>
                <wp:effectExtent l="0" t="0" r="0" b="0"/>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5705475" cy="8001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449.2pt;height:630.0pt;mso-wrap-distance-left:0.0pt;mso-wrap-distance-top:0.0pt;mso-wrap-distance-right:0.0pt;mso-wrap-distance-bottom:0.0pt;" stroked="f">
                <v:path textboxrect="0,0,0,0"/>
                <v:imagedata r:id="rId24" o:title=""/>
              </v:shape>
            </w:pict>
          </mc:Fallback>
        </mc:AlternateContent>
      </w:r>
      <w:r>
        <w:rPr>
          <w:rFonts w:hint="eastAsia" w:ascii="宋体" w:hAnsi="宋体" w:cs="宋体"/>
          <w:color w:val="000000"/>
          <w:sz w:val="36"/>
          <w:szCs w:val="36"/>
          <w:highlight w:val="none"/>
        </w:rPr>
      </w:r>
      <w:r/>
    </w:p>
    <w:p>
      <w:pPr>
        <w:pStyle w:val="1061"/>
        <w:jc w:val="center"/>
        <w:tabs>
          <w:tab w:val="left" w:pos="200" w:leader="none"/>
        </w:tabs>
        <w:rPr>
          <w:rFonts w:hint="eastAsia" w:ascii="宋体" w:hAnsi="宋体" w:cs="宋体"/>
          <w:color w:val="000000"/>
          <w:sz w:val="36"/>
          <w:szCs w:val="36"/>
          <w:highlight w:val="none"/>
        </w:rPr>
      </w:pPr>
      <w:r>
        <w:rPr>
          <w:rFonts w:hint="eastAsia" w:ascii="宋体" w:hAnsi="宋体" w:cs="宋体"/>
          <w:color w:val="000000"/>
          <w:sz w:val="36"/>
          <w:szCs w:val="36"/>
          <w:highlight w:val="none"/>
        </w:rPr>
      </w:r>
      <w:r/>
    </w:p>
    <w:p>
      <w:pPr>
        <w:pStyle w:val="1061"/>
        <w:jc w:val="center"/>
        <w:tabs>
          <w:tab w:val="left" w:pos="200" w:leader="none"/>
        </w:tabs>
        <w:rPr>
          <w:rFonts w:hint="eastAsia" w:ascii="宋体" w:hAnsi="宋体" w:cs="宋体"/>
          <w:color w:val="000000"/>
          <w:sz w:val="36"/>
          <w:szCs w:val="36"/>
          <w:highlight w:val="none"/>
        </w:rPr>
      </w:pPr>
      <w:r>
        <w:rPr>
          <w:rFonts w:hint="eastAsia" w:ascii="宋体" w:hAnsi="宋体" w:cs="宋体"/>
          <w:color w:val="000000"/>
          <w:sz w:val="36"/>
          <w:szCs w:val="36"/>
          <w:highlight w:val="none"/>
        </w:rPr>
        <w:br w:type="page" w:clear="all"/>
      </w:r>
      <w:r>
        <w:rPr>
          <w:rFonts w:hint="eastAsia" w:ascii="宋体" w:hAnsi="宋体" w:cs="宋体"/>
          <w:color w:val="000000"/>
          <w:sz w:val="36"/>
          <w:szCs w:val="36"/>
          <w:highlight w:val="none"/>
        </w:rPr>
        <mc:AlternateContent>
          <mc:Choice Requires="wpg">
            <w:drawing>
              <wp:inline xmlns:wp="http://schemas.openxmlformats.org/drawingml/2006/wordprocessingDrawing" distT="0" distB="0" distL="0" distR="0">
                <wp:extent cx="5715000" cy="7781925"/>
                <wp:effectExtent l="0" t="0" r="0" b="0"/>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5715000" cy="77819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450.0pt;height:612.8pt;mso-wrap-distance-left:0.0pt;mso-wrap-distance-top:0.0pt;mso-wrap-distance-right:0.0pt;mso-wrap-distance-bottom:0.0pt;" stroked="f">
                <v:path textboxrect="0,0,0,0"/>
                <v:imagedata r:id="rId25" o:title=""/>
              </v:shape>
            </w:pict>
          </mc:Fallback>
        </mc:AlternateContent>
      </w:r>
      <w:r>
        <w:rPr>
          <w:rFonts w:hint="eastAsia" w:ascii="宋体" w:hAnsi="宋体" w:cs="宋体"/>
          <w:color w:val="000000"/>
          <w:sz w:val="36"/>
          <w:szCs w:val="36"/>
          <w:highlight w:val="none"/>
        </w:rPr>
      </w:r>
      <w:r/>
    </w:p>
    <w:p>
      <w:pPr>
        <w:pStyle w:val="1061"/>
        <w:jc w:val="center"/>
        <w:tabs>
          <w:tab w:val="left" w:pos="200" w:leader="none"/>
        </w:tabs>
        <w:rPr>
          <w:rFonts w:hint="eastAsia" w:ascii="宋体" w:hAnsi="宋体" w:cs="宋体"/>
          <w:color w:val="000000"/>
          <w:sz w:val="36"/>
          <w:szCs w:val="36"/>
          <w:highlight w:val="none"/>
        </w:rPr>
      </w:pPr>
      <w:r>
        <w:rPr>
          <w:rFonts w:hint="eastAsia" w:ascii="宋体" w:hAnsi="宋体" w:cs="宋体"/>
          <w:color w:val="000000"/>
          <w:sz w:val="36"/>
          <w:szCs w:val="36"/>
          <w:highlight w:val="none"/>
        </w:rPr>
        <w:br w:type="page" w:clear="all"/>
      </w:r>
      <w:r>
        <w:rPr>
          <w:rFonts w:hint="eastAsia" w:ascii="宋体" w:hAnsi="宋体" w:cs="宋体"/>
          <w:color w:val="000000"/>
          <w:sz w:val="36"/>
          <w:szCs w:val="36"/>
          <w:highlight w:val="none"/>
        </w:rPr>
        <mc:AlternateContent>
          <mc:Choice Requires="wpg">
            <w:drawing>
              <wp:inline xmlns:wp="http://schemas.openxmlformats.org/drawingml/2006/wordprocessingDrawing" distT="0" distB="0" distL="0" distR="0">
                <wp:extent cx="5724525" cy="7943850"/>
                <wp:effectExtent l="0" t="0" r="0" b="0"/>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5724524" cy="79438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450.8pt;height:625.5pt;mso-wrap-distance-left:0.0pt;mso-wrap-distance-top:0.0pt;mso-wrap-distance-right:0.0pt;mso-wrap-distance-bottom:0.0pt;" stroked="f">
                <v:path textboxrect="0,0,0,0"/>
                <v:imagedata r:id="rId26" o:title=""/>
              </v:shape>
            </w:pict>
          </mc:Fallback>
        </mc:AlternateContent>
      </w:r>
      <w:r>
        <w:rPr>
          <w:rFonts w:hint="eastAsia" w:ascii="宋体" w:hAnsi="宋体" w:cs="宋体"/>
          <w:color w:val="000000"/>
          <w:sz w:val="36"/>
          <w:szCs w:val="36"/>
          <w:highlight w:val="none"/>
        </w:rPr>
      </w:r>
      <w:r/>
    </w:p>
    <w:p>
      <w:pPr>
        <w:pStyle w:val="1061"/>
        <w:jc w:val="center"/>
        <w:tabs>
          <w:tab w:val="left" w:pos="200" w:leader="none"/>
        </w:tabs>
        <w:rPr>
          <w:rFonts w:hint="eastAsia" w:ascii="宋体" w:hAnsi="宋体" w:cs="宋体"/>
          <w:color w:val="000000"/>
          <w:sz w:val="36"/>
          <w:szCs w:val="36"/>
          <w:highlight w:val="none"/>
        </w:rPr>
      </w:pPr>
      <w:r>
        <w:rPr>
          <w:rFonts w:hint="eastAsia" w:ascii="宋体" w:hAnsi="宋体" w:cs="宋体"/>
          <w:color w:val="000000"/>
          <w:sz w:val="36"/>
          <w:szCs w:val="36"/>
          <w:highlight w:val="none"/>
        </w:rPr>
        <w:br w:type="page" w:clear="all"/>
      </w:r>
      <w:r>
        <w:rPr>
          <w:rFonts w:hint="eastAsia" w:ascii="宋体" w:hAnsi="宋体" w:cs="宋体"/>
          <w:color w:val="000000"/>
          <w:sz w:val="36"/>
          <w:szCs w:val="36"/>
          <w:highlight w:val="none"/>
        </w:rPr>
        <mc:AlternateContent>
          <mc:Choice Requires="wpg">
            <w:drawing>
              <wp:inline xmlns:wp="http://schemas.openxmlformats.org/drawingml/2006/wordprocessingDrawing" distT="0" distB="0" distL="0" distR="0">
                <wp:extent cx="5657850" cy="7896225"/>
                <wp:effectExtent l="0" t="0" r="0" b="0"/>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5657850" cy="78962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445.5pt;height:621.8pt;mso-wrap-distance-left:0.0pt;mso-wrap-distance-top:0.0pt;mso-wrap-distance-right:0.0pt;mso-wrap-distance-bottom:0.0pt;" stroked="f">
                <v:path textboxrect="0,0,0,0"/>
                <v:imagedata r:id="rId27" o:title=""/>
              </v:shape>
            </w:pict>
          </mc:Fallback>
        </mc:AlternateContent>
      </w:r>
      <w:r>
        <w:rPr>
          <w:rFonts w:hint="eastAsia" w:ascii="宋体" w:hAnsi="宋体" w:cs="宋体"/>
          <w:color w:val="000000"/>
          <w:sz w:val="36"/>
          <w:szCs w:val="36"/>
          <w:highlight w:val="none"/>
        </w:rPr>
      </w:r>
      <w:r/>
    </w:p>
    <w:p>
      <w:pPr>
        <w:pStyle w:val="1061"/>
        <w:jc w:val="center"/>
        <w:tabs>
          <w:tab w:val="left" w:pos="200" w:leader="none"/>
        </w:tabs>
        <w:rPr>
          <w:rFonts w:hint="eastAsia" w:ascii="宋体" w:hAnsi="宋体" w:cs="宋体"/>
          <w:color w:val="000000"/>
          <w:sz w:val="36"/>
          <w:szCs w:val="36"/>
          <w:highlight w:val="none"/>
          <w:lang w:eastAsia="zh-CN"/>
        </w:rPr>
      </w:pPr>
      <w:r>
        <w:rPr>
          <w:rFonts w:hint="eastAsia" w:ascii="宋体" w:hAnsi="宋体" w:cs="宋体"/>
          <w:color w:val="000000"/>
          <w:sz w:val="36"/>
          <w:szCs w:val="36"/>
          <w:highlight w:val="none"/>
        </w:rPr>
        <w:br w:type="page" w:clear="all"/>
      </w:r>
      <w:r>
        <w:rPr>
          <w:rFonts w:hint="eastAsia" w:ascii="宋体" w:hAnsi="宋体" w:cs="宋体"/>
          <w:color w:val="000000"/>
          <w:sz w:val="36"/>
          <w:szCs w:val="36"/>
          <w:highlight w:val="none"/>
          <w:lang w:eastAsia="zh-CN"/>
        </w:rPr>
        <mc:AlternateContent>
          <mc:Choice Requires="wpg">
            <w:drawing>
              <wp:inline xmlns:wp="http://schemas.openxmlformats.org/drawingml/2006/wordprocessingDrawing" distT="0" distB="0" distL="0" distR="0">
                <wp:extent cx="5753100" cy="7839075"/>
                <wp:effectExtent l="0" t="0" r="0" b="0"/>
                <wp:docPr id="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
                        <a:stretch/>
                      </pic:blipFill>
                      <pic:spPr bwMode="auto">
                        <a:xfrm>
                          <a:off x="0" y="0"/>
                          <a:ext cx="5753100" cy="78390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453.0pt;height:617.2pt;mso-wrap-distance-left:0.0pt;mso-wrap-distance-top:0.0pt;mso-wrap-distance-right:0.0pt;mso-wrap-distance-bottom:0.0pt;" stroked="f">
                <v:path textboxrect="0,0,0,0"/>
                <v:imagedata r:id="rId28" o:title=""/>
              </v:shape>
            </w:pict>
          </mc:Fallback>
        </mc:AlternateContent>
      </w:r>
      <w:r>
        <w:rPr>
          <w:rFonts w:hint="eastAsia" w:ascii="宋体" w:hAnsi="宋体" w:cs="宋体"/>
          <w:color w:val="000000"/>
          <w:sz w:val="36"/>
          <w:szCs w:val="36"/>
          <w:highlight w:val="none"/>
          <w:lang w:eastAsia="zh-CN"/>
        </w:rPr>
      </w:r>
      <w:r/>
    </w:p>
    <w:p>
      <w:pPr>
        <w:pStyle w:val="1061"/>
        <w:jc w:val="center"/>
        <w:tabs>
          <w:tab w:val="left" w:pos="200" w:leader="none"/>
        </w:tabs>
        <w:rPr>
          <w:rFonts w:hint="eastAsia" w:ascii="宋体" w:hAnsi="宋体" w:cs="宋体"/>
          <w:color w:val="000000"/>
          <w:sz w:val="36"/>
          <w:szCs w:val="36"/>
          <w:highlight w:val="none"/>
        </w:rPr>
      </w:pPr>
      <w:r>
        <w:rPr>
          <w:rFonts w:hint="eastAsia" w:ascii="宋体" w:hAnsi="宋体" w:cs="宋体"/>
          <w:color w:val="000000"/>
          <w:sz w:val="36"/>
          <w:szCs w:val="36"/>
          <w:highlight w:val="none"/>
        </w:rPr>
        <w:br w:type="page" w:clear="all"/>
      </w:r>
      <w:r>
        <w:rPr>
          <w:rFonts w:hint="eastAsia" w:ascii="宋体" w:hAnsi="宋体" w:cs="宋体"/>
          <w:color w:val="000000"/>
          <w:sz w:val="36"/>
          <w:szCs w:val="36"/>
          <w:highlight w:val="none"/>
        </w:rPr>
        <mc:AlternateContent>
          <mc:Choice Requires="wpg">
            <w:drawing>
              <wp:inline xmlns:wp="http://schemas.openxmlformats.org/drawingml/2006/wordprocessingDrawing" distT="0" distB="0" distL="0" distR="0">
                <wp:extent cx="5781675" cy="7953375"/>
                <wp:effectExtent l="0" t="0" r="0" b="0"/>
                <wp:docPr id="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
                        <a:stretch/>
                      </pic:blipFill>
                      <pic:spPr bwMode="auto">
                        <a:xfrm>
                          <a:off x="0" y="0"/>
                          <a:ext cx="5781675" cy="79533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455.2pt;height:626.2pt;mso-wrap-distance-left:0.0pt;mso-wrap-distance-top:0.0pt;mso-wrap-distance-right:0.0pt;mso-wrap-distance-bottom:0.0pt;" stroked="f">
                <v:path textboxrect="0,0,0,0"/>
                <v:imagedata r:id="rId29" o:title=""/>
              </v:shape>
            </w:pict>
          </mc:Fallback>
        </mc:AlternateContent>
      </w:r>
      <w:r>
        <w:rPr>
          <w:rFonts w:hint="eastAsia" w:ascii="宋体" w:hAnsi="宋体" w:cs="宋体"/>
          <w:color w:val="000000"/>
          <w:sz w:val="36"/>
          <w:szCs w:val="36"/>
          <w:highlight w:val="none"/>
        </w:rPr>
      </w:r>
      <w:r/>
    </w:p>
    <w:p>
      <w:pPr>
        <w:pStyle w:val="1061"/>
        <w:jc w:val="center"/>
        <w:tabs>
          <w:tab w:val="left" w:pos="200" w:leader="none"/>
        </w:tabs>
        <w:rPr>
          <w:rFonts w:hint="eastAsia" w:ascii="宋体" w:hAnsi="宋体" w:cs="宋体"/>
          <w:color w:val="000000"/>
          <w:highlight w:val="none"/>
        </w:rPr>
      </w:pPr>
      <w:r>
        <w:rPr>
          <w:rFonts w:hint="eastAsia" w:ascii="宋体" w:hAnsi="宋体" w:cs="宋体"/>
          <w:color w:val="000000"/>
          <w:sz w:val="36"/>
          <w:szCs w:val="36"/>
          <w:highlight w:val="none"/>
        </w:rPr>
        <w:br w:type="page" w:clear="all"/>
      </w:r>
      <w:r>
        <w:rPr>
          <w:rFonts w:hint="eastAsia" w:ascii="宋体" w:hAnsi="宋体" w:cs="宋体"/>
          <w:color w:val="000000"/>
          <w:sz w:val="36"/>
          <w:szCs w:val="36"/>
          <w:highlight w:val="none"/>
        </w:rPr>
        <mc:AlternateContent>
          <mc:Choice Requires="wpg">
            <w:drawing>
              <wp:inline xmlns:wp="http://schemas.openxmlformats.org/drawingml/2006/wordprocessingDrawing" distT="0" distB="0" distL="0" distR="0">
                <wp:extent cx="5753100" cy="7848600"/>
                <wp:effectExtent l="0" t="0" r="0" b="0"/>
                <wp:docPr id="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0"/>
                        <a:stretch/>
                      </pic:blipFill>
                      <pic:spPr bwMode="auto">
                        <a:xfrm>
                          <a:off x="0" y="0"/>
                          <a:ext cx="5753100" cy="784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453.0pt;height:618.0pt;mso-wrap-distance-left:0.0pt;mso-wrap-distance-top:0.0pt;mso-wrap-distance-right:0.0pt;mso-wrap-distance-bottom:0.0pt;" stroked="f">
                <v:path textboxrect="0,0,0,0"/>
                <v:imagedata r:id="rId30" o:title=""/>
              </v:shape>
            </w:pict>
          </mc:Fallback>
        </mc:AlternateContent>
      </w:r>
      <w:r>
        <w:rPr>
          <w:rFonts w:hint="eastAsia" w:ascii="宋体" w:hAnsi="宋体" w:cs="宋体"/>
          <w:color w:val="000000"/>
          <w:sz w:val="36"/>
          <w:szCs w:val="36"/>
          <w:highlight w:val="none"/>
          <w:lang w:val="en-US" w:eastAsia="zh-CN"/>
        </w:rPr>
        <w:t xml:space="preserve">  </w:t>
      </w:r>
      <w:bookmarkStart w:id="201" w:name="_Toc22540"/>
      <w:r/>
      <w:bookmarkStart w:id="202" w:name="_Toc19875"/>
      <w:r/>
      <w:bookmarkStart w:id="203" w:name="_Toc20081"/>
      <w:r/>
      <w:bookmarkStart w:id="204" w:name="_Toc10557"/>
      <w:r/>
      <w:bookmarkStart w:id="205" w:name="_Toc5042"/>
      <w:r/>
      <w:bookmarkStart w:id="206" w:name="_Toc15838"/>
      <w:r/>
      <w:bookmarkStart w:id="207" w:name="_Toc3186"/>
      <w:r/>
      <w:bookmarkStart w:id="208" w:name="_Toc30941"/>
      <w:r/>
      <w:bookmarkStart w:id="209" w:name="_Toc27765"/>
      <w:r/>
      <w:bookmarkStart w:id="210" w:name="_Toc15081"/>
      <w:r/>
      <w:bookmarkStart w:id="211" w:name="_Toc4324"/>
      <w:r/>
      <w:bookmarkStart w:id="212" w:name="_Toc2689"/>
      <w:r/>
      <w:bookmarkStart w:id="213" w:name="_Toc31108"/>
      <w:r>
        <w:rPr>
          <w:rFonts w:hint="eastAsia" w:ascii="宋体" w:hAnsi="宋体" w:cs="宋体"/>
          <w:color w:val="000000"/>
          <w:highlight w:val="none"/>
        </w:rPr>
        <w:t xml:space="preserve">第</w:t>
      </w:r>
      <w:r>
        <w:rPr>
          <w:rFonts w:hint="eastAsia" w:ascii="宋体" w:hAnsi="宋体" w:cs="宋体"/>
          <w:color w:val="000000"/>
          <w:highlight w:val="none"/>
          <w:lang w:eastAsia="zh-CN"/>
        </w:rPr>
        <w:t xml:space="preserve">五</w:t>
      </w:r>
      <w:r>
        <w:rPr>
          <w:rFonts w:hint="eastAsia" w:ascii="宋体" w:hAnsi="宋体" w:cs="宋体"/>
          <w:color w:val="000000"/>
          <w:highlight w:val="none"/>
        </w:rPr>
        <w:t xml:space="preserve">章  </w:t>
      </w:r>
      <w:r>
        <w:rPr>
          <w:rFonts w:hint="eastAsia" w:ascii="宋体" w:hAnsi="宋体" w:cs="宋体"/>
          <w:color w:val="000000"/>
          <w:highlight w:val="none"/>
          <w:lang w:eastAsia="zh-CN"/>
        </w:rPr>
        <w:t xml:space="preserve">框架协议文本</w:t>
      </w:r>
      <w:bookmarkEnd w:id="190"/>
      <w:r/>
      <w:bookmarkEnd w:id="191"/>
      <w:r/>
      <w:bookmarkEnd w:id="192"/>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rPr>
          <w:rFonts w:hint="eastAsia" w:ascii="宋体" w:hAnsi="宋体" w:cs="宋体"/>
          <w:color w:val="000000"/>
          <w:highlight w:val="none"/>
        </w:rPr>
      </w:r>
      <w:r/>
    </w:p>
    <w:p>
      <w:pPr>
        <w:pStyle w:val="1060"/>
        <w:spacing w:line="530" w:lineRule="exact"/>
        <w:widowControl/>
        <w:rPr>
          <w:rFonts w:hint="eastAsia" w:ascii="宋体" w:hAnsi="宋体" w:cs="宋体"/>
          <w:color w:val="000000"/>
          <w:sz w:val="24"/>
          <w:highlight w:val="none"/>
        </w:rPr>
      </w:pPr>
      <w:r/>
      <w:bookmarkStart w:id="214" w:name="_Toc513029243"/>
      <w:r/>
      <w:bookmarkStart w:id="215" w:name="_Toc16938559"/>
      <w:r/>
      <w:bookmarkStart w:id="216" w:name="_Toc20823315"/>
      <w:r>
        <w:rPr>
          <w:rFonts w:hint="eastAsia" w:ascii="宋体" w:hAnsi="宋体" w:cs="宋体"/>
          <w:color w:val="000000"/>
          <w:sz w:val="24"/>
          <w:highlight w:val="none"/>
        </w:rPr>
        <w:t xml:space="preserve">项目名称：</w:t>
      </w:r>
      <w:r>
        <w:rPr>
          <w:rFonts w:hint="eastAsia" w:ascii="宋体" w:hAnsi="宋体" w:cs="宋体"/>
          <w:color w:val="000000"/>
          <w:sz w:val="24"/>
          <w:highlight w:val="none"/>
        </w:rPr>
        <w:t xml:space="preserve">苏州市姑苏区残疾人辅助器具适配服务</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1060"/>
        <w:spacing w:line="53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lang w:eastAsia="zh-CN"/>
        </w:rPr>
        <w:t xml:space="preserve">JSZC-320508-SZHT-K2026-0005</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1060"/>
        <w:jc w:val="left"/>
        <w:spacing w:line="530" w:lineRule="exact"/>
        <w:rPr>
          <w:rFonts w:hint="eastAsia" w:ascii="宋体" w:hAnsi="宋体" w:cs="宋体"/>
          <w:b/>
          <w:color w:val="000000"/>
          <w:sz w:val="24"/>
          <w:highlight w:val="none"/>
          <w:u w:val="single"/>
        </w:rPr>
      </w:pPr>
      <w:r>
        <w:rPr>
          <w:rFonts w:hint="eastAsia" w:ascii="宋体" w:hAnsi="宋体" w:cs="宋体"/>
          <w:b/>
          <w:color w:val="000000"/>
          <w:sz w:val="24"/>
          <w:highlight w:val="none"/>
        </w:rPr>
        <w:t xml:space="preserve">甲方（采购人）：</w:t>
      </w:r>
      <w:r>
        <w:rPr>
          <w:rFonts w:hint="eastAsia" w:ascii="宋体" w:hAnsi="宋体" w:cs="宋体"/>
          <w:b/>
          <w:color w:val="000000"/>
          <w:sz w:val="24"/>
          <w:highlight w:val="none"/>
          <w:u w:val="single"/>
        </w:rPr>
        <w:t xml:space="preserve">苏州市姑苏区残疾人联合会</w:t>
      </w:r>
      <w:r>
        <w:rPr>
          <w:rFonts w:hint="eastAsia" w:ascii="宋体" w:hAnsi="宋体" w:cs="宋体"/>
          <w:b/>
          <w:color w:val="000000"/>
          <w:sz w:val="24"/>
          <w:highlight w:val="none"/>
          <w:u w:val="single"/>
        </w:rPr>
      </w:r>
      <w:r/>
    </w:p>
    <w:p>
      <w:pPr>
        <w:pStyle w:val="1060"/>
        <w:jc w:val="left"/>
        <w:spacing w:line="530" w:lineRule="exact"/>
        <w:rPr>
          <w:rFonts w:hint="eastAsia" w:ascii="宋体" w:hAnsi="宋体" w:cs="宋体"/>
          <w:b/>
          <w:color w:val="000000"/>
          <w:sz w:val="28"/>
          <w:szCs w:val="28"/>
          <w:highlight w:val="none"/>
        </w:rPr>
      </w:pPr>
      <w:r>
        <w:rPr>
          <w:rFonts w:hint="eastAsia" w:ascii="宋体" w:hAnsi="宋体" w:cs="宋体"/>
          <w:b/>
          <w:color w:val="000000"/>
          <w:sz w:val="24"/>
          <w:highlight w:val="none"/>
        </w:rPr>
        <w:t xml:space="preserve">乙方（入围供应商）：</w:t>
      </w:r>
      <w:r>
        <w:rPr>
          <w:rFonts w:hint="eastAsia" w:ascii="宋体" w:hAnsi="宋体" w:cs="宋体"/>
          <w:b/>
          <w:color w:val="000000"/>
          <w:sz w:val="24"/>
          <w:highlight w:val="none"/>
          <w:u w:val="single"/>
        </w:rPr>
        <w:t xml:space="preserve">                    </w:t>
      </w:r>
      <w:r>
        <w:rPr>
          <w:rFonts w:hint="eastAsia" w:ascii="宋体" w:hAnsi="宋体" w:cs="宋体"/>
          <w:b/>
          <w:color w:val="000000"/>
          <w:sz w:val="24"/>
          <w:highlight w:val="none"/>
        </w:rPr>
        <w:t xml:space="preserve">   </w:t>
      </w:r>
      <w:r>
        <w:rPr>
          <w:rFonts w:hint="eastAsia" w:ascii="宋体" w:hAnsi="宋体" w:cs="宋体"/>
          <w:b/>
          <w:color w:val="000000"/>
          <w:sz w:val="28"/>
          <w:szCs w:val="28"/>
          <w:highlight w:val="none"/>
        </w:rPr>
        <w:t xml:space="preserve">               </w:t>
      </w:r>
      <w:r>
        <w:rPr>
          <w:rFonts w:hint="eastAsia" w:ascii="宋体" w:hAnsi="宋体" w:cs="宋体"/>
          <w:b/>
          <w:color w:val="000000"/>
          <w:sz w:val="28"/>
          <w:szCs w:val="28"/>
          <w:highlight w:val="none"/>
        </w:rPr>
      </w:r>
      <w:r/>
    </w:p>
    <w:p>
      <w:pPr>
        <w:pStyle w:val="1060"/>
        <w:ind w:firstLine="480"/>
        <w:spacing w:line="530" w:lineRule="exact"/>
        <w:rPr>
          <w:rFonts w:hint="eastAsia" w:ascii="宋体" w:hAnsi="宋体" w:cs="宋体"/>
          <w:color w:val="000000"/>
          <w:sz w:val="24"/>
          <w:highlight w:val="none"/>
        </w:rPr>
      </w:pPr>
      <w:r>
        <w:rPr>
          <w:rFonts w:hint="eastAsia" w:ascii="宋体" w:hAnsi="宋体" w:cs="宋体"/>
          <w:color w:val="000000"/>
          <w:sz w:val="24"/>
          <w:highlight w:val="none"/>
        </w:rPr>
        <w:t xml:space="preserve">甲乙双方按照苏州恒泰招投标咨询服务有限公司</w:t>
      </w:r>
      <w:r>
        <w:rPr>
          <w:rFonts w:hint="eastAsia" w:ascii="宋体" w:hAnsi="宋体" w:cs="宋体"/>
          <w:color w:val="000000"/>
          <w:sz w:val="24"/>
          <w:highlight w:val="none"/>
          <w:u w:val="single"/>
          <w:lang w:eastAsia="zh-CN"/>
        </w:rPr>
        <w:t xml:space="preserve">JSZC-320508-SZHT-K2026-0005</w:t>
      </w:r>
      <w:r>
        <w:rPr>
          <w:rFonts w:hint="eastAsia" w:ascii="宋体" w:hAnsi="宋体" w:cs="宋体"/>
          <w:color w:val="000000"/>
          <w:sz w:val="24"/>
          <w:highlight w:val="none"/>
          <w:u w:val="single"/>
        </w:rPr>
        <w:t xml:space="preserve">苏州市姑苏区残疾人辅助器具适配服务项目</w:t>
      </w:r>
      <w:r>
        <w:rPr>
          <w:rFonts w:hint="eastAsia" w:ascii="宋体" w:hAnsi="宋体" w:cs="宋体"/>
          <w:color w:val="000000"/>
          <w:sz w:val="24"/>
          <w:highlight w:val="none"/>
        </w:rPr>
        <w:t xml:space="preserve">的采购结果，签署本文本。</w:t>
      </w:r>
      <w:r>
        <w:rPr>
          <w:rFonts w:hint="eastAsia" w:ascii="宋体" w:hAnsi="宋体" w:cs="宋体"/>
          <w:color w:val="000000"/>
          <w:sz w:val="24"/>
          <w:highlight w:val="none"/>
        </w:rPr>
      </w:r>
      <w:r/>
    </w:p>
    <w:p>
      <w:pPr>
        <w:pStyle w:val="1060"/>
        <w:ind w:firstLine="482"/>
        <w:spacing w:line="530" w:lineRule="exact"/>
        <w:rPr>
          <w:rFonts w:hint="eastAsia" w:ascii="宋体" w:hAnsi="宋体" w:cs="宋体"/>
          <w:b/>
          <w:color w:val="000000"/>
          <w:sz w:val="24"/>
          <w:highlight w:val="none"/>
        </w:rPr>
      </w:pPr>
      <w:r/>
      <w:bookmarkEnd w:id="114"/>
      <w:r/>
      <w:bookmarkEnd w:id="115"/>
      <w:r/>
      <w:bookmarkEnd w:id="193"/>
      <w:r/>
      <w:bookmarkEnd w:id="194"/>
      <w:r/>
      <w:bookmarkEnd w:id="195"/>
      <w:r/>
      <w:bookmarkEnd w:id="196"/>
      <w:r/>
      <w:bookmarkEnd w:id="197"/>
      <w:r/>
      <w:bookmarkEnd w:id="198"/>
      <w:r/>
      <w:bookmarkEnd w:id="199"/>
      <w:r/>
      <w:bookmarkEnd w:id="200"/>
      <w:r/>
      <w:bookmarkEnd w:id="214"/>
      <w:r/>
      <w:bookmarkEnd w:id="215"/>
      <w:r/>
      <w:bookmarkEnd w:id="216"/>
      <w:r>
        <w:rPr>
          <w:rFonts w:hint="eastAsia" w:ascii="宋体" w:hAnsi="宋体" w:cs="宋体"/>
          <w:b/>
          <w:color w:val="000000"/>
          <w:sz w:val="24"/>
          <w:highlight w:val="none"/>
        </w:rPr>
        <w:t xml:space="preserve">一、项目基本情况</w:t>
      </w:r>
      <w:r>
        <w:rPr>
          <w:rFonts w:hint="eastAsia" w:ascii="宋体" w:hAnsi="宋体" w:cs="宋体"/>
          <w:b/>
          <w:color w:val="000000"/>
          <w:sz w:val="24"/>
          <w:highlight w:val="none"/>
        </w:rPr>
      </w:r>
      <w:r/>
    </w:p>
    <w:p>
      <w:pPr>
        <w:pStyle w:val="1060"/>
        <w:ind w:firstLine="480"/>
        <w:spacing w:line="530" w:lineRule="exact"/>
        <w:rPr>
          <w:rFonts w:hint="eastAsia" w:ascii="宋体" w:hAnsi="宋体" w:cs="宋体"/>
          <w:color w:val="000000"/>
          <w:sz w:val="24"/>
          <w:highlight w:val="none"/>
        </w:rPr>
      </w:pPr>
      <w:r>
        <w:rPr>
          <w:rFonts w:hint="eastAsia" w:ascii="宋体" w:hAnsi="宋体" w:cs="宋体"/>
          <w:color w:val="000000"/>
          <w:sz w:val="24"/>
          <w:highlight w:val="none"/>
        </w:rPr>
        <w:t xml:space="preserve">1、采购需求：详见征集文件需求。</w:t>
      </w:r>
      <w:r>
        <w:rPr>
          <w:rFonts w:hint="eastAsia" w:ascii="宋体" w:hAnsi="宋体" w:cs="宋体"/>
          <w:color w:val="000000"/>
          <w:sz w:val="24"/>
          <w:highlight w:val="none"/>
        </w:rPr>
      </w:r>
      <w:r/>
    </w:p>
    <w:p>
      <w:pPr>
        <w:pStyle w:val="1060"/>
        <w:ind w:firstLine="480"/>
        <w:spacing w:line="530" w:lineRule="exact"/>
        <w:rPr>
          <w:rFonts w:hint="eastAsia" w:ascii="宋体" w:hAnsi="宋体" w:cs="宋体"/>
          <w:color w:val="000000"/>
          <w:sz w:val="24"/>
          <w:highlight w:val="none"/>
        </w:rPr>
      </w:pPr>
      <w:r>
        <w:rPr>
          <w:rFonts w:hint="eastAsia" w:ascii="宋体" w:hAnsi="宋体" w:cs="宋体"/>
          <w:color w:val="000000"/>
          <w:sz w:val="24"/>
          <w:highlight w:val="none"/>
        </w:rPr>
        <w:t xml:space="preserve">2、服务最高限制单价：详见征集文件需求。</w:t>
      </w:r>
      <w:r>
        <w:rPr>
          <w:rFonts w:hint="eastAsia" w:ascii="宋体" w:hAnsi="宋体" w:cs="宋体"/>
          <w:color w:val="000000"/>
          <w:sz w:val="24"/>
          <w:highlight w:val="none"/>
        </w:rPr>
      </w:r>
      <w:r/>
    </w:p>
    <w:p>
      <w:pPr>
        <w:pStyle w:val="1060"/>
        <w:ind w:firstLine="480"/>
        <w:spacing w:line="530" w:lineRule="exact"/>
        <w:rPr>
          <w:rFonts w:hint="eastAsia" w:ascii="宋体" w:hAnsi="宋体" w:cs="宋体"/>
          <w:color w:val="000000"/>
          <w:sz w:val="24"/>
          <w:highlight w:val="none"/>
        </w:rPr>
      </w:pPr>
      <w:r>
        <w:rPr>
          <w:rFonts w:hint="eastAsia" w:ascii="宋体" w:hAnsi="宋体" w:cs="宋体"/>
          <w:color w:val="000000"/>
          <w:sz w:val="24"/>
          <w:highlight w:val="none"/>
        </w:rPr>
        <w:t xml:space="preserve">3、适用本次框架协议的采购人：</w:t>
      </w:r>
      <w:r>
        <w:rPr>
          <w:rFonts w:hint="eastAsia" w:ascii="宋体" w:hAnsi="宋体" w:cs="宋体"/>
          <w:bCs/>
          <w:color w:val="000000"/>
          <w:sz w:val="24"/>
          <w:highlight w:val="none"/>
        </w:rPr>
        <w:t xml:space="preserve">苏州市姑苏区残疾人联合会。</w:t>
      </w:r>
      <w:r>
        <w:rPr>
          <w:rFonts w:hint="eastAsia" w:ascii="宋体" w:hAnsi="宋体" w:cs="宋体"/>
          <w:color w:val="000000"/>
          <w:sz w:val="24"/>
          <w:highlight w:val="none"/>
        </w:rPr>
      </w:r>
      <w:r/>
    </w:p>
    <w:p>
      <w:pPr>
        <w:pStyle w:val="1060"/>
        <w:ind w:firstLine="480"/>
        <w:spacing w:line="530" w:lineRule="exact"/>
        <w:rPr>
          <w:rFonts w:hint="eastAsia" w:ascii="宋体" w:hAnsi="宋体" w:cs="宋体"/>
          <w:color w:val="000000"/>
          <w:sz w:val="24"/>
          <w:highlight w:val="none"/>
        </w:rPr>
      </w:pPr>
      <w:r>
        <w:rPr>
          <w:rFonts w:hint="eastAsia" w:ascii="宋体" w:hAnsi="宋体" w:cs="宋体"/>
          <w:color w:val="000000"/>
          <w:sz w:val="24"/>
          <w:highlight w:val="none"/>
        </w:rPr>
        <w:t xml:space="preserve">4、履行合同的地域范围：见征集文件（具体由采购人指定）。</w:t>
      </w:r>
      <w:r>
        <w:rPr>
          <w:rFonts w:hint="eastAsia" w:ascii="宋体" w:hAnsi="宋体" w:cs="宋体"/>
          <w:color w:val="000000"/>
          <w:sz w:val="24"/>
          <w:highlight w:val="none"/>
        </w:rPr>
      </w:r>
      <w:r/>
    </w:p>
    <w:p>
      <w:pPr>
        <w:pStyle w:val="1060"/>
        <w:ind w:firstLine="482"/>
        <w:spacing w:line="53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二、本框架协议由下列文件组成</w:t>
      </w:r>
      <w:r>
        <w:rPr>
          <w:rFonts w:hint="eastAsia" w:ascii="宋体" w:hAnsi="宋体" w:cs="宋体"/>
          <w:b/>
          <w:color w:val="000000"/>
          <w:sz w:val="24"/>
          <w:highlight w:val="none"/>
        </w:rPr>
      </w:r>
      <w:r/>
    </w:p>
    <w:p>
      <w:pPr>
        <w:pStyle w:val="1060"/>
        <w:ind w:firstLine="480"/>
        <w:spacing w:line="530" w:lineRule="exact"/>
        <w:rPr>
          <w:rFonts w:hint="eastAsia" w:ascii="宋体" w:hAnsi="宋体" w:cs="宋体"/>
          <w:color w:val="000000"/>
          <w:sz w:val="24"/>
          <w:highlight w:val="none"/>
        </w:rPr>
      </w:pPr>
      <w:r>
        <w:rPr>
          <w:rFonts w:hint="eastAsia" w:ascii="宋体" w:hAnsi="宋体" w:cs="宋体"/>
          <w:color w:val="000000"/>
          <w:sz w:val="24"/>
          <w:highlight w:val="none"/>
        </w:rPr>
        <w:t xml:space="preserve">1、征集文件；</w:t>
      </w:r>
      <w:r>
        <w:rPr>
          <w:rFonts w:hint="eastAsia" w:ascii="宋体" w:hAnsi="宋体" w:cs="宋体"/>
          <w:color w:val="000000"/>
          <w:sz w:val="24"/>
          <w:highlight w:val="none"/>
        </w:rPr>
      </w:r>
      <w:r/>
    </w:p>
    <w:p>
      <w:pPr>
        <w:pStyle w:val="1060"/>
        <w:ind w:firstLine="480"/>
        <w:spacing w:line="530" w:lineRule="exact"/>
        <w:rPr>
          <w:rFonts w:hint="eastAsia" w:ascii="宋体" w:hAnsi="宋体" w:cs="宋体"/>
          <w:color w:val="000000"/>
          <w:sz w:val="24"/>
          <w:highlight w:val="none"/>
        </w:rPr>
      </w:pPr>
      <w:r>
        <w:rPr>
          <w:rFonts w:hint="eastAsia" w:ascii="宋体" w:hAnsi="宋体" w:cs="宋体"/>
          <w:color w:val="000000"/>
          <w:sz w:val="24"/>
          <w:highlight w:val="none"/>
        </w:rPr>
        <w:t xml:space="preserve">2、入围供应商的响应文件；</w:t>
      </w:r>
      <w:r>
        <w:rPr>
          <w:rFonts w:hint="eastAsia" w:ascii="宋体" w:hAnsi="宋体" w:cs="宋体"/>
          <w:color w:val="000000"/>
          <w:sz w:val="24"/>
          <w:highlight w:val="none"/>
        </w:rPr>
      </w:r>
      <w:r/>
    </w:p>
    <w:p>
      <w:pPr>
        <w:pStyle w:val="1060"/>
        <w:ind w:firstLine="480"/>
        <w:spacing w:line="530" w:lineRule="exact"/>
        <w:rPr>
          <w:rFonts w:hint="eastAsia" w:ascii="宋体" w:hAnsi="宋体" w:cs="宋体"/>
          <w:color w:val="000000"/>
          <w:sz w:val="24"/>
          <w:highlight w:val="none"/>
        </w:rPr>
      </w:pPr>
      <w:r>
        <w:rPr>
          <w:rFonts w:hint="eastAsia" w:ascii="宋体" w:hAnsi="宋体" w:cs="宋体"/>
          <w:color w:val="000000"/>
          <w:sz w:val="24"/>
          <w:highlight w:val="none"/>
        </w:rPr>
        <w:t xml:space="preserve">3、入围通知书；</w:t>
      </w:r>
      <w:r>
        <w:rPr>
          <w:rFonts w:hint="eastAsia" w:ascii="宋体" w:hAnsi="宋体" w:cs="宋体"/>
          <w:color w:val="000000"/>
          <w:sz w:val="24"/>
          <w:highlight w:val="none"/>
        </w:rPr>
      </w:r>
      <w:r/>
    </w:p>
    <w:p>
      <w:pPr>
        <w:pStyle w:val="1060"/>
        <w:ind w:firstLine="480"/>
        <w:spacing w:line="530" w:lineRule="exact"/>
        <w:rPr>
          <w:rFonts w:hint="eastAsia" w:ascii="宋体" w:hAnsi="宋体" w:cs="宋体"/>
          <w:color w:val="000000"/>
          <w:sz w:val="24"/>
          <w:highlight w:val="none"/>
        </w:rPr>
      </w:pPr>
      <w:r>
        <w:rPr>
          <w:rFonts w:hint="eastAsia" w:ascii="宋体" w:hAnsi="宋体" w:cs="宋体"/>
          <w:color w:val="000000"/>
          <w:sz w:val="24"/>
          <w:highlight w:val="none"/>
        </w:rPr>
        <w:t xml:space="preserve">4、入围供应商在评审过程中做出的书面澄清或承诺；</w:t>
      </w:r>
      <w:r>
        <w:rPr>
          <w:rFonts w:hint="eastAsia" w:ascii="宋体" w:hAnsi="宋体" w:cs="宋体"/>
          <w:color w:val="000000"/>
          <w:sz w:val="24"/>
          <w:highlight w:val="none"/>
        </w:rPr>
      </w:r>
      <w:r/>
    </w:p>
    <w:p>
      <w:pPr>
        <w:pStyle w:val="1060"/>
        <w:ind w:firstLine="480"/>
        <w:spacing w:line="530" w:lineRule="exact"/>
        <w:rPr>
          <w:rFonts w:hint="eastAsia" w:ascii="宋体" w:hAnsi="宋体" w:cs="宋体"/>
          <w:color w:val="000000"/>
          <w:sz w:val="24"/>
          <w:highlight w:val="none"/>
        </w:rPr>
      </w:pPr>
      <w:r>
        <w:rPr>
          <w:rFonts w:hint="eastAsia" w:ascii="宋体" w:hAnsi="宋体" w:cs="宋体"/>
          <w:color w:val="000000"/>
          <w:sz w:val="24"/>
          <w:highlight w:val="none"/>
        </w:rPr>
        <w:t xml:space="preserve">5、本框架协议条款及附件。</w:t>
      </w:r>
      <w:r>
        <w:rPr>
          <w:rFonts w:hint="eastAsia" w:ascii="宋体" w:hAnsi="宋体" w:cs="宋体"/>
          <w:color w:val="000000"/>
          <w:sz w:val="24"/>
          <w:highlight w:val="none"/>
        </w:rPr>
      </w:r>
      <w:r/>
    </w:p>
    <w:p>
      <w:pPr>
        <w:pStyle w:val="1060"/>
        <w:ind w:firstLine="482"/>
        <w:spacing w:line="53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三、第一阶段入围服务的相关信息</w:t>
      </w:r>
      <w:r>
        <w:rPr>
          <w:rFonts w:hint="eastAsia" w:ascii="宋体" w:hAnsi="宋体" w:cs="宋体"/>
          <w:b/>
          <w:color w:val="000000"/>
          <w:sz w:val="24"/>
          <w:highlight w:val="none"/>
        </w:rPr>
      </w:r>
      <w:r/>
    </w:p>
    <w:p>
      <w:pPr>
        <w:pStyle w:val="1060"/>
        <w:ind w:firstLine="480"/>
        <w:spacing w:line="530" w:lineRule="exact"/>
        <w:rPr>
          <w:rFonts w:hint="eastAsia" w:ascii="宋体" w:hAnsi="宋体" w:cs="宋体"/>
          <w:color w:val="000000"/>
          <w:sz w:val="24"/>
          <w:highlight w:val="none"/>
        </w:rPr>
      </w:pPr>
      <w:r>
        <w:rPr>
          <w:rFonts w:hint="eastAsia" w:ascii="宋体" w:hAnsi="宋体" w:cs="宋体"/>
          <w:color w:val="000000"/>
          <w:sz w:val="24"/>
          <w:highlight w:val="none"/>
        </w:rPr>
        <w:t xml:space="preserve">1、入围服务详细技术规格：见第</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包响应文件。</w:t>
      </w:r>
      <w:r>
        <w:rPr>
          <w:rFonts w:hint="eastAsia" w:ascii="宋体" w:hAnsi="宋体" w:cs="宋体"/>
          <w:color w:val="000000"/>
          <w:sz w:val="24"/>
          <w:highlight w:val="none"/>
        </w:rPr>
      </w:r>
      <w:r/>
    </w:p>
    <w:p>
      <w:pPr>
        <w:pStyle w:val="1060"/>
        <w:ind w:firstLine="480"/>
        <w:spacing w:line="530" w:lineRule="exact"/>
        <w:rPr>
          <w:rFonts w:hint="eastAsia" w:ascii="宋体" w:hAnsi="宋体" w:cs="宋体"/>
          <w:color w:val="000000"/>
          <w:sz w:val="24"/>
          <w:highlight w:val="none"/>
        </w:rPr>
      </w:pPr>
      <w:r>
        <w:rPr>
          <w:rFonts w:hint="eastAsia" w:ascii="宋体" w:hAnsi="宋体" w:cs="宋体"/>
          <w:color w:val="000000"/>
          <w:sz w:val="24"/>
          <w:highlight w:val="none"/>
        </w:rPr>
        <w:t xml:space="preserve">2、服务标准：见征集文件及对应响应文件。</w:t>
      </w:r>
      <w:r>
        <w:rPr>
          <w:rFonts w:hint="eastAsia" w:ascii="宋体" w:hAnsi="宋体" w:cs="宋体"/>
          <w:color w:val="000000"/>
          <w:sz w:val="24"/>
          <w:highlight w:val="none"/>
        </w:rPr>
      </w:r>
      <w:r/>
    </w:p>
    <w:p>
      <w:pPr>
        <w:pStyle w:val="1060"/>
        <w:ind w:firstLine="480"/>
        <w:spacing w:line="530" w:lineRule="exact"/>
        <w:rPr>
          <w:rFonts w:hint="eastAsia" w:ascii="宋体" w:hAnsi="宋体" w:cs="宋体"/>
          <w:color w:val="000000"/>
          <w:sz w:val="24"/>
          <w:highlight w:val="none"/>
        </w:rPr>
      </w:pPr>
      <w:r>
        <w:rPr>
          <w:rFonts w:hint="eastAsia" w:ascii="宋体" w:hAnsi="宋体" w:cs="宋体"/>
          <w:color w:val="000000"/>
          <w:sz w:val="24"/>
          <w:highlight w:val="none"/>
        </w:rPr>
        <w:t xml:space="preserve">3、服务协议价格：根据《关于印发〈2023年苏州市残疾人辅助器具适配产品目录〉的通知》（苏残字〔2023〕38号）(后续如上述目录出现调整，则以调整后的目录定价执行)和</w:t>
      </w:r>
      <w:r>
        <w:rPr>
          <w:rFonts w:hint="eastAsia"/>
          <w:color w:val="000000"/>
          <w:sz w:val="24"/>
          <w:highlight w:val="none"/>
        </w:rPr>
        <w:t xml:space="preserve">《关于优化〈苏州市残疾人辅助器具适配补贴实施办法〉的通知》（苏残字〔2024〕50号）</w:t>
      </w:r>
      <w:r>
        <w:rPr>
          <w:rFonts w:hint="eastAsia" w:ascii="宋体" w:hAnsi="宋体" w:cs="宋体"/>
          <w:color w:val="000000"/>
          <w:sz w:val="24"/>
          <w:highlight w:val="none"/>
        </w:rPr>
        <w:t xml:space="preserve">（后续如对应文件有调整，以最新版文件为准）相关补助标准执行。</w:t>
      </w:r>
      <w:r>
        <w:rPr>
          <w:rFonts w:hint="eastAsia" w:ascii="宋体" w:hAnsi="宋体" w:cs="宋体"/>
          <w:color w:val="000000"/>
          <w:sz w:val="24"/>
          <w:highlight w:val="none"/>
        </w:rPr>
      </w:r>
      <w:r/>
    </w:p>
    <w:p>
      <w:pPr>
        <w:pStyle w:val="1060"/>
        <w:ind w:firstLine="480"/>
        <w:spacing w:line="510" w:lineRule="exact"/>
        <w:rPr>
          <w:rFonts w:ascii="宋体" w:hAnsi="宋体" w:cs="宋体"/>
          <w:color w:val="000000"/>
          <w:sz w:val="24"/>
          <w:highlight w:val="none"/>
        </w:rPr>
      </w:pPr>
      <w:r>
        <w:rPr>
          <w:rFonts w:hint="eastAsia" w:ascii="宋体" w:hAnsi="宋体" w:cs="宋体"/>
          <w:color w:val="000000"/>
          <w:sz w:val="24"/>
          <w:highlight w:val="none"/>
        </w:rPr>
        <w:t xml:space="preserve">4、价格调整机制：如遇以下情形之一，确需调整价格的，双方可遵循本机制协商调整：</w:t>
      </w:r>
      <w:r>
        <w:rPr>
          <w:rFonts w:ascii="宋体" w:hAnsi="宋体" w:cs="宋体"/>
          <w:color w:val="000000"/>
          <w:sz w:val="24"/>
          <w:highlight w:val="none"/>
        </w:rPr>
      </w:r>
      <w:r/>
    </w:p>
    <w:p>
      <w:pPr>
        <w:pStyle w:val="1060"/>
        <w:ind w:firstLine="480"/>
        <w:spacing w:line="510" w:lineRule="exact"/>
        <w:rPr>
          <w:rFonts w:ascii="宋体" w:hAnsi="宋体" w:cs="宋体"/>
          <w:color w:val="000000"/>
          <w:sz w:val="24"/>
          <w:highlight w:val="none"/>
        </w:rPr>
      </w:pPr>
      <w:r>
        <w:rPr>
          <w:rFonts w:hint="eastAsia" w:ascii="宋体" w:hAnsi="宋体" w:cs="宋体"/>
          <w:color w:val="000000"/>
          <w:sz w:val="24"/>
          <w:highlight w:val="none"/>
        </w:rPr>
        <w:t xml:space="preserve">（1）国家或地方政府颁布新的法律、法规、行业标准，导致产品生产成本或服务提供成本发生重大变化的；</w:t>
      </w:r>
      <w:r>
        <w:rPr>
          <w:rFonts w:ascii="宋体" w:hAnsi="宋体" w:cs="宋体"/>
          <w:color w:val="000000"/>
          <w:sz w:val="24"/>
          <w:highlight w:val="none"/>
        </w:rPr>
      </w:r>
      <w:r/>
    </w:p>
    <w:p>
      <w:pPr>
        <w:pStyle w:val="1060"/>
        <w:ind w:firstLine="480"/>
        <w:spacing w:line="510" w:lineRule="exact"/>
        <w:rPr>
          <w:rFonts w:hint="eastAsia" w:ascii="宋体" w:hAnsi="宋体" w:cs="宋体"/>
          <w:b/>
          <w:color w:val="000000"/>
          <w:sz w:val="24"/>
          <w:highlight w:val="none"/>
        </w:rPr>
      </w:pPr>
      <w:r>
        <w:rPr>
          <w:rFonts w:hint="eastAsia" w:ascii="宋体" w:hAnsi="宋体" w:cs="宋体"/>
          <w:color w:val="000000"/>
          <w:sz w:val="24"/>
          <w:highlight w:val="none"/>
        </w:rPr>
        <w:t xml:space="preserve">（2）采购人或其上级机关发布新的、替代性的产品目录或补助标准。</w:t>
      </w:r>
      <w:r>
        <w:rPr>
          <w:rFonts w:hint="eastAsia" w:ascii="宋体" w:hAnsi="宋体" w:cs="宋体"/>
          <w:b/>
          <w:color w:val="000000"/>
          <w:sz w:val="24"/>
          <w:highlight w:val="none"/>
        </w:rPr>
      </w:r>
      <w:r/>
    </w:p>
    <w:p>
      <w:pPr>
        <w:pStyle w:val="1060"/>
        <w:ind w:firstLine="482"/>
        <w:spacing w:line="53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四、确定第二阶段成交供应商的方式</w:t>
      </w:r>
      <w:r>
        <w:rPr>
          <w:rFonts w:hint="eastAsia" w:ascii="宋体" w:hAnsi="宋体" w:cs="宋体"/>
          <w:b/>
          <w:color w:val="000000"/>
          <w:sz w:val="24"/>
          <w:highlight w:val="none"/>
        </w:rPr>
      </w:r>
      <w:r/>
    </w:p>
    <w:p>
      <w:pPr>
        <w:pStyle w:val="1060"/>
        <w:ind w:firstLine="480"/>
        <w:spacing w:line="510" w:lineRule="exact"/>
        <w:rPr>
          <w:rFonts w:hint="eastAsia" w:ascii="宋体" w:hAnsi="宋体" w:cs="宋体"/>
          <w:color w:val="000000"/>
          <w:sz w:val="24"/>
          <w:highlight w:val="none"/>
        </w:rPr>
      </w:pPr>
      <w:r>
        <w:rPr>
          <w:rFonts w:hint="eastAsia" w:ascii="宋体" w:hAnsi="宋体" w:cs="宋体"/>
          <w:color w:val="000000"/>
          <w:sz w:val="24"/>
          <w:highlight w:val="none"/>
        </w:rPr>
        <w:t xml:space="preserve">采用直接选定方式。由采购人对适配机构就适配服务场所严格审核，并确定场所具备适配条件后，依据适配机构的服务质量以及服务便利性、用户评价等因素，从第一阶段入围供应商中直接选定。</w:t>
      </w:r>
      <w:r>
        <w:rPr>
          <w:rFonts w:hint="eastAsia" w:ascii="宋体" w:hAnsi="宋体" w:cs="宋体"/>
          <w:color w:val="000000"/>
          <w:sz w:val="24"/>
          <w:highlight w:val="none"/>
        </w:rPr>
      </w:r>
      <w:r/>
    </w:p>
    <w:p>
      <w:pPr>
        <w:pStyle w:val="1060"/>
        <w:ind w:firstLine="480"/>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五、资金支付（本项目支付方式支持数字人民币方式）</w:t>
      </w:r>
      <w:r>
        <w:rPr>
          <w:rFonts w:hint="eastAsia" w:ascii="宋体" w:hAnsi="宋体" w:cs="宋体"/>
          <w:b/>
          <w:color w:val="000000"/>
          <w:sz w:val="24"/>
          <w:highlight w:val="none"/>
        </w:rPr>
      </w:r>
      <w:r/>
    </w:p>
    <w:p>
      <w:pPr>
        <w:pStyle w:val="1263"/>
        <w:spacing w:line="360" w:lineRule="auto"/>
        <w:rPr>
          <w:rFonts w:hint="eastAsia"/>
          <w:color w:val="000000"/>
          <w:sz w:val="24"/>
          <w:highlight w:val="none"/>
          <w:lang w:val="en-US"/>
        </w:rPr>
      </w:pPr>
      <w:r>
        <w:rPr>
          <w:rFonts w:hint="eastAsia"/>
          <w:color w:val="000000"/>
          <w:sz w:val="24"/>
          <w:highlight w:val="none"/>
          <w:lang w:val="en-US"/>
        </w:rPr>
        <w:t xml:space="preserve">本项目经费实行据实结算。每季度结束后次月的7个工作日内，供应商需将苏州市残疾人辅助器具申请表、残疾人证复印件、相关证明材料、姑苏区残疾人辅具适配服务签收单、残疾人辅具适配服务现场照片以及姑苏区残疾人辅具适配服务信息汇总表等材料按时提交至采购人。采购人将对上述材料的真实性、完整性以及项目经费金额的准确性进行核查，并开展残疾人辅具适配服务回访调查工作。待材料核查、经费核对及回访调查均确认无误后，供应商需开具符合国家法律规定的发票，采购人将依据苏州市残疾人辅助器具补贴标准，在规定时间内完成经费据实拨付工作。</w:t>
      </w:r>
      <w:r>
        <w:rPr>
          <w:rFonts w:hint="eastAsia"/>
          <w:color w:val="000000"/>
          <w:sz w:val="24"/>
          <w:highlight w:val="none"/>
          <w:lang w:val="en-US"/>
        </w:rPr>
      </w:r>
      <w:r/>
    </w:p>
    <w:p>
      <w:pPr>
        <w:pStyle w:val="1060"/>
        <w:ind w:firstLine="480"/>
        <w:jc w:val="left"/>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六、框架协议期限</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6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第一包：2026年11月1日起至2028年10月31日。</w:t>
      </w:r>
      <w:r>
        <w:rPr>
          <w:rFonts w:hint="eastAsia" w:ascii="宋体" w:hAnsi="宋体" w:cs="宋体"/>
          <w:color w:val="000000"/>
          <w:sz w:val="24"/>
          <w:highlight w:val="none"/>
        </w:rPr>
      </w:r>
      <w:r/>
    </w:p>
    <w:p>
      <w:pPr>
        <w:pStyle w:val="106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第二包：2027年2月1日起至2028年10月31日。</w:t>
      </w:r>
      <w:r>
        <w:rPr>
          <w:rFonts w:hint="eastAsia" w:ascii="宋体" w:hAnsi="宋体" w:cs="宋体"/>
          <w:color w:val="000000"/>
          <w:sz w:val="24"/>
          <w:highlight w:val="none"/>
        </w:rPr>
      </w:r>
      <w:r/>
    </w:p>
    <w:p>
      <w:pPr>
        <w:pStyle w:val="1060"/>
        <w:ind w:firstLine="480"/>
        <w:jc w:val="left"/>
        <w:spacing w:line="360" w:lineRule="auto"/>
        <w:rPr>
          <w:rFonts w:hint="eastAsia"/>
          <w:color w:val="000000"/>
          <w:highlight w:val="none"/>
        </w:rPr>
      </w:pPr>
      <w:r>
        <w:rPr>
          <w:rFonts w:hint="eastAsia" w:ascii="宋体" w:hAnsi="宋体" w:cs="宋体"/>
          <w:color w:val="000000"/>
          <w:sz w:val="24"/>
          <w:highlight w:val="none"/>
        </w:rPr>
        <w:t xml:space="preserve">第三包：2026年11月1日起至2028年10月31日。 </w:t>
      </w:r>
      <w:r>
        <w:rPr>
          <w:rFonts w:hint="eastAsia"/>
          <w:color w:val="000000"/>
          <w:highlight w:val="none"/>
        </w:rPr>
      </w:r>
      <w:r/>
    </w:p>
    <w:p>
      <w:pPr>
        <w:pStyle w:val="1060"/>
        <w:ind w:firstLine="482"/>
        <w:spacing w:line="53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七、入围供应商的清退和补充规则</w:t>
      </w:r>
      <w:r>
        <w:rPr>
          <w:rFonts w:hint="eastAsia" w:ascii="宋体" w:hAnsi="宋体" w:cs="宋体"/>
          <w:b/>
          <w:color w:val="000000"/>
          <w:sz w:val="24"/>
          <w:highlight w:val="none"/>
        </w:rPr>
      </w:r>
      <w:r/>
    </w:p>
    <w:p>
      <w:pPr>
        <w:pStyle w:val="1060"/>
        <w:ind w:firstLine="482"/>
        <w:spacing w:line="53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1、清退规则</w:t>
      </w:r>
      <w:r>
        <w:rPr>
          <w:rFonts w:hint="eastAsia" w:ascii="宋体" w:hAnsi="宋体" w:cs="宋体"/>
          <w:b/>
          <w:color w:val="000000"/>
          <w:sz w:val="24"/>
          <w:highlight w:val="none"/>
        </w:rPr>
      </w:r>
      <w:r/>
    </w:p>
    <w:p>
      <w:pPr>
        <w:pStyle w:val="1060"/>
        <w:ind w:firstLine="480"/>
        <w:spacing w:line="530" w:lineRule="exact"/>
        <w:rPr>
          <w:rFonts w:hint="eastAsia" w:ascii="宋体" w:hAnsi="宋体" w:cs="宋体"/>
          <w:color w:val="000000"/>
          <w:sz w:val="24"/>
          <w:highlight w:val="none"/>
        </w:rPr>
      </w:pPr>
      <w:r>
        <w:rPr>
          <w:rFonts w:hint="eastAsia" w:ascii="宋体" w:hAnsi="宋体" w:cs="宋体"/>
          <w:color w:val="000000"/>
          <w:sz w:val="24"/>
          <w:highlight w:val="none"/>
        </w:rPr>
        <w:t xml:space="preserve">入围供应商存在《政府采购框架协议采购方式管理暂行办法》第十九条规定情形的，尚未签订框架协议的，取消其入围资格；已经签订框架协议的，解除与其签订的框架协议。</w:t>
      </w:r>
      <w:r>
        <w:rPr>
          <w:rFonts w:hint="eastAsia" w:ascii="宋体" w:hAnsi="宋体" w:cs="宋体"/>
          <w:color w:val="000000"/>
          <w:sz w:val="24"/>
          <w:highlight w:val="none"/>
        </w:rPr>
      </w:r>
      <w:r/>
    </w:p>
    <w:p>
      <w:pPr>
        <w:pStyle w:val="1060"/>
        <w:ind w:firstLine="480"/>
        <w:spacing w:line="530" w:lineRule="exact"/>
        <w:rPr>
          <w:rFonts w:hint="eastAsia" w:ascii="宋体" w:hAnsi="宋体" w:cs="宋体"/>
          <w:color w:val="000000"/>
          <w:sz w:val="24"/>
          <w:highlight w:val="none"/>
        </w:rPr>
      </w:pPr>
      <w:r>
        <w:rPr>
          <w:rFonts w:hint="eastAsia" w:ascii="宋体" w:hAnsi="宋体" w:cs="宋体"/>
          <w:color w:val="000000"/>
          <w:sz w:val="24"/>
          <w:highlight w:val="none"/>
        </w:rPr>
        <w:t xml:space="preserve">被取消入围资格或者被解除框架协议的供应商不得参加同一封闭式框架协议补充征集。 </w:t>
      </w:r>
      <w:r>
        <w:rPr>
          <w:rFonts w:hint="eastAsia" w:ascii="宋体" w:hAnsi="宋体" w:cs="宋体"/>
          <w:color w:val="000000"/>
          <w:sz w:val="24"/>
          <w:highlight w:val="none"/>
        </w:rPr>
      </w:r>
      <w:r/>
    </w:p>
    <w:p>
      <w:pPr>
        <w:pStyle w:val="1060"/>
        <w:ind w:firstLine="482"/>
        <w:spacing w:line="53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2、补充规则</w:t>
      </w:r>
      <w:r>
        <w:rPr>
          <w:rFonts w:hint="eastAsia" w:ascii="宋体" w:hAnsi="宋体" w:cs="宋体"/>
          <w:b/>
          <w:color w:val="000000"/>
          <w:sz w:val="24"/>
          <w:highlight w:val="none"/>
        </w:rPr>
      </w:r>
      <w:r/>
    </w:p>
    <w:p>
      <w:pPr>
        <w:pStyle w:val="1060"/>
        <w:ind w:firstLine="480"/>
        <w:spacing w:line="530" w:lineRule="exact"/>
        <w:rPr>
          <w:rFonts w:hint="eastAsia" w:ascii="宋体" w:hAnsi="宋体" w:cs="宋体"/>
          <w:color w:val="000000"/>
          <w:sz w:val="24"/>
          <w:highlight w:val="none"/>
        </w:rPr>
      </w:pPr>
      <w:r>
        <w:rPr>
          <w:rFonts w:hint="eastAsia" w:ascii="宋体" w:hAnsi="宋体" w:cs="宋体"/>
          <w:color w:val="000000"/>
          <w:sz w:val="24"/>
          <w:highlight w:val="none"/>
        </w:rPr>
        <w:t xml:space="preserve">如出现剩余入围供应商不足入围供应商总数70%且影响框架协议执行的情形时，采购人报财政监管部门同意后，将进行补充征集供应商。补充征集的条件、程序、评审方法和淘汰比例与初次征集相同。补充征集遵守原框架协议的有效期。补充征集期间，原框架协议继续履行。</w:t>
      </w:r>
      <w:r>
        <w:rPr>
          <w:rFonts w:hint="eastAsia" w:ascii="宋体" w:hAnsi="宋体" w:cs="宋体"/>
          <w:color w:val="000000"/>
          <w:sz w:val="24"/>
          <w:highlight w:val="none"/>
        </w:rPr>
      </w:r>
      <w:r/>
    </w:p>
    <w:p>
      <w:pPr>
        <w:pStyle w:val="1060"/>
        <w:ind w:firstLine="482"/>
        <w:spacing w:line="53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八、甲乙双方的权利和义务</w:t>
      </w:r>
      <w:r>
        <w:rPr>
          <w:rFonts w:hint="eastAsia" w:ascii="宋体" w:hAnsi="宋体" w:cs="宋体"/>
          <w:b/>
          <w:color w:val="000000"/>
          <w:sz w:val="24"/>
          <w:highlight w:val="none"/>
        </w:rPr>
      </w:r>
      <w:r/>
    </w:p>
    <w:p>
      <w:pPr>
        <w:pStyle w:val="1060"/>
        <w:ind w:firstLine="480"/>
        <w:spacing w:line="530" w:lineRule="exact"/>
        <w:rPr>
          <w:rFonts w:hint="eastAsia" w:ascii="宋体" w:hAnsi="宋体" w:cs="宋体"/>
          <w:color w:val="000000"/>
          <w:sz w:val="24"/>
          <w:highlight w:val="none"/>
        </w:rPr>
      </w:pPr>
      <w:r>
        <w:rPr>
          <w:rFonts w:hint="eastAsia" w:ascii="宋体" w:hAnsi="宋体" w:cs="宋体"/>
          <w:color w:val="000000"/>
          <w:sz w:val="24"/>
          <w:highlight w:val="none"/>
        </w:rPr>
        <w:t xml:space="preserve">1、甲方的权利</w:t>
      </w:r>
      <w:r>
        <w:rPr>
          <w:rFonts w:hint="eastAsia" w:ascii="宋体" w:hAnsi="宋体" w:cs="宋体"/>
          <w:color w:val="000000"/>
          <w:sz w:val="24"/>
          <w:highlight w:val="none"/>
        </w:rPr>
      </w:r>
      <w:r/>
    </w:p>
    <w:p>
      <w:pPr>
        <w:pStyle w:val="1060"/>
        <w:ind w:firstLine="480"/>
        <w:spacing w:line="530" w:lineRule="exact"/>
        <w:rPr>
          <w:rFonts w:hint="eastAsia" w:ascii="宋体" w:hAnsi="宋体" w:cs="宋体"/>
          <w:color w:val="000000"/>
          <w:sz w:val="24"/>
          <w:highlight w:val="none"/>
        </w:rPr>
      </w:pPr>
      <w:r>
        <w:rPr>
          <w:rFonts w:hint="eastAsia" w:ascii="宋体" w:hAnsi="宋体" w:cs="宋体"/>
          <w:color w:val="000000"/>
          <w:sz w:val="24"/>
          <w:highlight w:val="none"/>
        </w:rPr>
        <w:t xml:space="preserve">（1）确定框架协议采购需求。</w:t>
      </w:r>
      <w:r>
        <w:rPr>
          <w:rFonts w:hint="eastAsia" w:ascii="宋体" w:hAnsi="宋体" w:cs="宋体"/>
          <w:color w:val="000000"/>
          <w:sz w:val="24"/>
          <w:highlight w:val="none"/>
        </w:rPr>
      </w:r>
      <w:r/>
    </w:p>
    <w:p>
      <w:pPr>
        <w:pStyle w:val="1060"/>
        <w:ind w:firstLine="480"/>
        <w:spacing w:line="530" w:lineRule="exact"/>
        <w:rPr>
          <w:rFonts w:hint="eastAsia" w:ascii="宋体" w:hAnsi="宋体" w:cs="宋体"/>
          <w:color w:val="000000"/>
          <w:sz w:val="24"/>
          <w:highlight w:val="none"/>
        </w:rPr>
      </w:pPr>
      <w:r>
        <w:rPr>
          <w:rFonts w:hint="eastAsia" w:ascii="宋体" w:hAnsi="宋体" w:cs="宋体"/>
          <w:color w:val="000000"/>
          <w:sz w:val="24"/>
          <w:highlight w:val="none"/>
        </w:rPr>
        <w:t xml:space="preserve">（2）确定最高限制单价。</w:t>
      </w:r>
      <w:r>
        <w:rPr>
          <w:rFonts w:hint="eastAsia" w:ascii="宋体" w:hAnsi="宋体" w:cs="宋体"/>
          <w:color w:val="000000"/>
          <w:sz w:val="24"/>
          <w:highlight w:val="none"/>
        </w:rPr>
      </w:r>
      <w:r/>
    </w:p>
    <w:p>
      <w:pPr>
        <w:pStyle w:val="1060"/>
        <w:ind w:firstLine="480"/>
        <w:spacing w:line="530" w:lineRule="exact"/>
        <w:rPr>
          <w:rFonts w:hint="eastAsia" w:ascii="宋体" w:hAnsi="宋体" w:cs="宋体"/>
          <w:color w:val="000000"/>
          <w:sz w:val="24"/>
          <w:highlight w:val="none"/>
        </w:rPr>
      </w:pPr>
      <w:r>
        <w:rPr>
          <w:rFonts w:hint="eastAsia" w:ascii="宋体" w:hAnsi="宋体" w:cs="宋体"/>
          <w:color w:val="000000"/>
          <w:sz w:val="24"/>
          <w:highlight w:val="none"/>
        </w:rPr>
        <w:t xml:space="preserve">（3）确定框架协议有效期。</w:t>
      </w:r>
      <w:r>
        <w:rPr>
          <w:rFonts w:hint="eastAsia" w:ascii="宋体" w:hAnsi="宋体" w:cs="宋体"/>
          <w:color w:val="000000"/>
          <w:sz w:val="24"/>
          <w:highlight w:val="none"/>
        </w:rPr>
      </w:r>
      <w:r/>
    </w:p>
    <w:p>
      <w:pPr>
        <w:pStyle w:val="1060"/>
        <w:ind w:firstLine="480"/>
        <w:spacing w:line="530" w:lineRule="exact"/>
        <w:rPr>
          <w:rFonts w:hint="eastAsia" w:ascii="宋体" w:hAnsi="宋体" w:cs="宋体"/>
          <w:color w:val="000000"/>
          <w:sz w:val="24"/>
          <w:highlight w:val="none"/>
        </w:rPr>
      </w:pPr>
      <w:r>
        <w:rPr>
          <w:rFonts w:hint="eastAsia" w:ascii="宋体" w:hAnsi="宋体" w:cs="宋体"/>
          <w:color w:val="000000"/>
          <w:sz w:val="24"/>
          <w:highlight w:val="none"/>
        </w:rPr>
        <w:t xml:space="preserve">（4）制定统一的采购合同文本供采购人、供应商使用，并明确要求采购人、供应商不得擅自改变框架协议约定的合同实质性条款。</w:t>
      </w:r>
      <w:r>
        <w:rPr>
          <w:rFonts w:hint="eastAsia" w:ascii="宋体" w:hAnsi="宋体" w:cs="宋体"/>
          <w:color w:val="000000"/>
          <w:sz w:val="24"/>
          <w:highlight w:val="none"/>
        </w:rPr>
      </w:r>
      <w:r/>
    </w:p>
    <w:p>
      <w:pPr>
        <w:pStyle w:val="1060"/>
        <w:ind w:firstLine="480"/>
        <w:spacing w:line="530" w:lineRule="exact"/>
        <w:rPr>
          <w:rFonts w:hint="eastAsia" w:ascii="宋体" w:hAnsi="宋体" w:cs="宋体"/>
          <w:color w:val="000000"/>
          <w:sz w:val="24"/>
          <w:highlight w:val="none"/>
        </w:rPr>
      </w:pPr>
      <w:r>
        <w:rPr>
          <w:rFonts w:hint="eastAsia" w:ascii="宋体" w:hAnsi="宋体" w:cs="宋体"/>
          <w:color w:val="000000"/>
          <w:sz w:val="24"/>
          <w:highlight w:val="none"/>
        </w:rPr>
        <w:t xml:space="preserve">（5）乙方存在《政府采购框架协议采购方式管理暂行办法》第十九条第一款规定的情形时，取消入围供应商的入围资格，或解除与其签订的框架协议。</w:t>
      </w:r>
      <w:r>
        <w:rPr>
          <w:rFonts w:hint="eastAsia" w:ascii="宋体" w:hAnsi="宋体" w:cs="宋体"/>
          <w:color w:val="000000"/>
          <w:sz w:val="24"/>
          <w:highlight w:val="none"/>
        </w:rPr>
      </w:r>
      <w:r/>
    </w:p>
    <w:p>
      <w:pPr>
        <w:pStyle w:val="1060"/>
        <w:ind w:firstLine="480"/>
        <w:spacing w:line="530" w:lineRule="exact"/>
        <w:rPr>
          <w:rFonts w:hint="eastAsia" w:ascii="宋体" w:hAnsi="宋体" w:cs="宋体"/>
          <w:color w:val="000000"/>
          <w:sz w:val="24"/>
          <w:highlight w:val="none"/>
        </w:rPr>
      </w:pPr>
      <w:r>
        <w:rPr>
          <w:rFonts w:hint="eastAsia" w:ascii="宋体" w:hAnsi="宋体" w:cs="宋体"/>
          <w:color w:val="000000"/>
          <w:sz w:val="24"/>
          <w:highlight w:val="none"/>
        </w:rPr>
        <w:t xml:space="preserve">（6）在框架协议期内，随时对乙方履约情况进行检查。 </w:t>
      </w:r>
      <w:r>
        <w:rPr>
          <w:rFonts w:hint="eastAsia" w:ascii="宋体" w:hAnsi="宋体" w:cs="宋体"/>
          <w:color w:val="000000"/>
          <w:sz w:val="24"/>
          <w:highlight w:val="none"/>
        </w:rPr>
      </w:r>
      <w:r/>
    </w:p>
    <w:p>
      <w:pPr>
        <w:pStyle w:val="1060"/>
        <w:ind w:firstLine="480"/>
        <w:spacing w:line="530" w:lineRule="exact"/>
        <w:rPr>
          <w:rFonts w:hint="eastAsia" w:ascii="宋体" w:hAnsi="宋体" w:cs="宋体"/>
          <w:color w:val="000000"/>
          <w:sz w:val="24"/>
          <w:highlight w:val="none"/>
        </w:rPr>
      </w:pPr>
      <w:r>
        <w:rPr>
          <w:rFonts w:hint="eastAsia" w:ascii="宋体" w:hAnsi="宋体" w:cs="宋体"/>
          <w:color w:val="000000"/>
          <w:sz w:val="24"/>
          <w:highlight w:val="none"/>
        </w:rPr>
        <w:t xml:space="preserve">2、甲方的义务</w:t>
      </w:r>
      <w:r>
        <w:rPr>
          <w:rFonts w:hint="eastAsia" w:ascii="宋体" w:hAnsi="宋体" w:cs="宋体"/>
          <w:color w:val="000000"/>
          <w:sz w:val="24"/>
          <w:highlight w:val="none"/>
        </w:rPr>
      </w:r>
      <w:r/>
    </w:p>
    <w:p>
      <w:pPr>
        <w:pStyle w:val="1060"/>
        <w:ind w:firstLine="480"/>
        <w:spacing w:line="530" w:lineRule="exact"/>
        <w:rPr>
          <w:rFonts w:hint="eastAsia" w:ascii="宋体" w:hAnsi="宋体" w:cs="宋体"/>
          <w:color w:val="000000"/>
          <w:sz w:val="24"/>
          <w:highlight w:val="none"/>
        </w:rPr>
      </w:pPr>
      <w:r>
        <w:rPr>
          <w:rFonts w:hint="eastAsia" w:ascii="宋体" w:hAnsi="宋体" w:cs="宋体"/>
          <w:color w:val="000000"/>
          <w:sz w:val="24"/>
          <w:highlight w:val="none"/>
        </w:rPr>
        <w:t xml:space="preserve">（1）为第二阶段合同授予提供工作便利。</w:t>
      </w:r>
      <w:r>
        <w:rPr>
          <w:rFonts w:hint="eastAsia" w:ascii="宋体" w:hAnsi="宋体" w:cs="宋体"/>
          <w:color w:val="000000"/>
          <w:sz w:val="24"/>
          <w:highlight w:val="none"/>
        </w:rPr>
      </w:r>
      <w:r/>
    </w:p>
    <w:p>
      <w:pPr>
        <w:pStyle w:val="1060"/>
        <w:ind w:firstLine="480"/>
        <w:spacing w:line="530" w:lineRule="exact"/>
        <w:rPr>
          <w:rFonts w:hint="eastAsia" w:ascii="宋体" w:hAnsi="宋体" w:cs="宋体"/>
          <w:color w:val="000000"/>
          <w:sz w:val="24"/>
          <w:highlight w:val="none"/>
        </w:rPr>
      </w:pPr>
      <w:r>
        <w:rPr>
          <w:rFonts w:hint="eastAsia" w:ascii="宋体" w:hAnsi="宋体" w:cs="宋体"/>
          <w:color w:val="000000"/>
          <w:sz w:val="24"/>
          <w:highlight w:val="none"/>
        </w:rPr>
        <w:t xml:space="preserve">（2）对第二阶段最高限价和需求标准执行情况进行管理。</w:t>
      </w:r>
      <w:r>
        <w:rPr>
          <w:rFonts w:hint="eastAsia" w:ascii="宋体" w:hAnsi="宋体" w:cs="宋体"/>
          <w:color w:val="000000"/>
          <w:sz w:val="24"/>
          <w:highlight w:val="none"/>
        </w:rPr>
      </w:r>
      <w:r/>
    </w:p>
    <w:p>
      <w:pPr>
        <w:pStyle w:val="1060"/>
        <w:ind w:firstLine="480"/>
        <w:spacing w:line="530" w:lineRule="exact"/>
        <w:rPr>
          <w:rFonts w:hint="eastAsia" w:ascii="宋体" w:hAnsi="宋体" w:cs="宋体"/>
          <w:color w:val="000000"/>
          <w:sz w:val="24"/>
          <w:highlight w:val="none"/>
        </w:rPr>
      </w:pPr>
      <w:r>
        <w:rPr>
          <w:rFonts w:hint="eastAsia" w:ascii="宋体" w:hAnsi="宋体" w:cs="宋体"/>
          <w:color w:val="000000"/>
          <w:sz w:val="24"/>
          <w:highlight w:val="none"/>
        </w:rPr>
        <w:t xml:space="preserve">（3）对第二阶段确定成交供应商情况进行管理。</w:t>
      </w:r>
      <w:r>
        <w:rPr>
          <w:rFonts w:hint="eastAsia" w:ascii="宋体" w:hAnsi="宋体" w:cs="宋体"/>
          <w:color w:val="000000"/>
          <w:sz w:val="24"/>
          <w:highlight w:val="none"/>
        </w:rPr>
      </w:r>
      <w:r/>
    </w:p>
    <w:p>
      <w:pPr>
        <w:pStyle w:val="1060"/>
        <w:ind w:firstLine="480"/>
        <w:spacing w:line="530" w:lineRule="exact"/>
        <w:rPr>
          <w:rFonts w:hint="eastAsia" w:ascii="宋体" w:hAnsi="宋体" w:cs="宋体"/>
          <w:color w:val="000000"/>
          <w:sz w:val="24"/>
          <w:highlight w:val="none"/>
        </w:rPr>
      </w:pPr>
      <w:r>
        <w:rPr>
          <w:rFonts w:hint="eastAsia" w:ascii="宋体" w:hAnsi="宋体" w:cs="宋体"/>
          <w:color w:val="000000"/>
          <w:sz w:val="24"/>
          <w:highlight w:val="none"/>
        </w:rPr>
        <w:t xml:space="preserve">（4）根据框架协议约定，在质量不降低、价格不提高的前提下，对入围供应商因服务升级换代、用新服务替代原入围服务的情形进行审核。</w:t>
      </w:r>
      <w:r>
        <w:rPr>
          <w:rFonts w:hint="eastAsia" w:ascii="宋体" w:hAnsi="宋体" w:cs="宋体"/>
          <w:color w:val="000000"/>
          <w:sz w:val="24"/>
          <w:highlight w:val="none"/>
        </w:rPr>
      </w:r>
      <w:r/>
    </w:p>
    <w:p>
      <w:pPr>
        <w:pStyle w:val="1060"/>
        <w:ind w:firstLine="480"/>
        <w:spacing w:line="530" w:lineRule="exact"/>
        <w:rPr>
          <w:rFonts w:hint="eastAsia" w:ascii="宋体" w:hAnsi="宋体" w:cs="宋体"/>
          <w:color w:val="000000"/>
          <w:sz w:val="24"/>
          <w:highlight w:val="none"/>
        </w:rPr>
      </w:pPr>
      <w:r>
        <w:rPr>
          <w:rFonts w:hint="eastAsia" w:ascii="宋体" w:hAnsi="宋体" w:cs="宋体"/>
          <w:color w:val="000000"/>
          <w:sz w:val="24"/>
          <w:highlight w:val="none"/>
        </w:rPr>
        <w:t xml:space="preserve">（5）建立用户反馈和评价机制，接受采购人对入围供应商履行框架协议和采购合同情况的反馈与评价，并将用户反馈和评价情况向采购人公开，作为第二阶段直接选定成交供应商的参考。</w:t>
      </w:r>
      <w:r>
        <w:rPr>
          <w:rFonts w:hint="eastAsia" w:ascii="宋体" w:hAnsi="宋体" w:cs="宋体"/>
          <w:color w:val="000000"/>
          <w:sz w:val="24"/>
          <w:highlight w:val="none"/>
        </w:rPr>
      </w:r>
      <w:r/>
    </w:p>
    <w:p>
      <w:pPr>
        <w:pStyle w:val="1060"/>
        <w:ind w:firstLine="480"/>
        <w:spacing w:line="530" w:lineRule="exact"/>
        <w:rPr>
          <w:rFonts w:hint="eastAsia" w:ascii="宋体" w:hAnsi="宋体" w:cs="宋体"/>
          <w:color w:val="000000"/>
          <w:sz w:val="24"/>
          <w:highlight w:val="none"/>
        </w:rPr>
      </w:pPr>
      <w:r>
        <w:rPr>
          <w:rFonts w:hint="eastAsia" w:ascii="宋体" w:hAnsi="宋体" w:cs="宋体"/>
          <w:color w:val="000000"/>
          <w:sz w:val="24"/>
          <w:highlight w:val="none"/>
        </w:rPr>
        <w:t xml:space="preserve">（6）公开封闭式框架协议的第二阶段成交结果。</w:t>
      </w:r>
      <w:r>
        <w:rPr>
          <w:rFonts w:hint="eastAsia" w:ascii="宋体" w:hAnsi="宋体" w:cs="宋体"/>
          <w:color w:val="000000"/>
          <w:sz w:val="24"/>
          <w:highlight w:val="none"/>
        </w:rPr>
      </w:r>
      <w:r/>
    </w:p>
    <w:p>
      <w:pPr>
        <w:pStyle w:val="1060"/>
        <w:ind w:firstLine="480"/>
        <w:spacing w:line="530" w:lineRule="exact"/>
        <w:rPr>
          <w:rFonts w:hint="eastAsia" w:ascii="宋体" w:hAnsi="宋体" w:cs="宋体"/>
          <w:color w:val="000000"/>
          <w:sz w:val="24"/>
          <w:highlight w:val="none"/>
        </w:rPr>
      </w:pPr>
      <w:r>
        <w:rPr>
          <w:rFonts w:hint="eastAsia" w:ascii="宋体" w:hAnsi="宋体" w:cs="宋体"/>
          <w:color w:val="000000"/>
          <w:sz w:val="24"/>
          <w:highlight w:val="none"/>
        </w:rPr>
        <w:t xml:space="preserve">（7）办理入围供应商清退和补充相关事宜。</w:t>
      </w:r>
      <w:r>
        <w:rPr>
          <w:rFonts w:hint="eastAsia" w:ascii="宋体" w:hAnsi="宋体" w:cs="宋体"/>
          <w:color w:val="000000"/>
          <w:sz w:val="24"/>
          <w:highlight w:val="none"/>
        </w:rPr>
      </w:r>
      <w:r/>
    </w:p>
    <w:p>
      <w:pPr>
        <w:pStyle w:val="1060"/>
        <w:ind w:firstLine="480"/>
        <w:spacing w:line="530" w:lineRule="exact"/>
        <w:rPr>
          <w:rFonts w:hint="eastAsia" w:ascii="宋体" w:hAnsi="宋体" w:cs="宋体"/>
          <w:color w:val="000000"/>
          <w:sz w:val="24"/>
          <w:highlight w:val="none"/>
        </w:rPr>
      </w:pPr>
      <w:r>
        <w:rPr>
          <w:rFonts w:hint="eastAsia" w:ascii="宋体" w:hAnsi="宋体" w:cs="宋体"/>
          <w:color w:val="000000"/>
          <w:sz w:val="24"/>
          <w:highlight w:val="none"/>
        </w:rPr>
        <w:t xml:space="preserve">（8）建立真实完整的框架协议采购档案，妥善保存每项采购活动的采购文件资料。</w:t>
      </w:r>
      <w:r>
        <w:rPr>
          <w:rFonts w:hint="eastAsia" w:ascii="宋体" w:hAnsi="宋体" w:cs="宋体"/>
          <w:color w:val="000000"/>
          <w:sz w:val="24"/>
          <w:highlight w:val="none"/>
        </w:rPr>
      </w:r>
      <w:r/>
    </w:p>
    <w:p>
      <w:pPr>
        <w:pStyle w:val="1060"/>
        <w:ind w:firstLine="480"/>
        <w:spacing w:line="530" w:lineRule="exact"/>
        <w:rPr>
          <w:rFonts w:hint="eastAsia" w:ascii="宋体" w:hAnsi="宋体" w:cs="宋体"/>
          <w:color w:val="000000"/>
          <w:sz w:val="24"/>
          <w:highlight w:val="none"/>
        </w:rPr>
      </w:pPr>
      <w:r>
        <w:rPr>
          <w:rFonts w:hint="eastAsia" w:ascii="宋体" w:hAnsi="宋体" w:cs="宋体"/>
          <w:color w:val="000000"/>
          <w:sz w:val="24"/>
          <w:highlight w:val="none"/>
        </w:rPr>
        <w:t xml:space="preserve">3、乙方的权利</w:t>
      </w:r>
      <w:r>
        <w:rPr>
          <w:rFonts w:hint="eastAsia" w:ascii="宋体" w:hAnsi="宋体" w:cs="宋体"/>
          <w:color w:val="000000"/>
          <w:sz w:val="24"/>
          <w:highlight w:val="none"/>
        </w:rPr>
      </w:r>
      <w:r/>
    </w:p>
    <w:p>
      <w:pPr>
        <w:pStyle w:val="1060"/>
        <w:ind w:firstLine="480"/>
        <w:spacing w:line="530" w:lineRule="exact"/>
        <w:rPr>
          <w:rFonts w:hint="eastAsia" w:ascii="宋体" w:hAnsi="宋体" w:cs="宋体"/>
          <w:color w:val="000000"/>
          <w:sz w:val="24"/>
          <w:highlight w:val="none"/>
        </w:rPr>
      </w:pPr>
      <w:r>
        <w:rPr>
          <w:rFonts w:hint="eastAsia" w:ascii="宋体" w:hAnsi="宋体" w:cs="宋体"/>
          <w:color w:val="000000"/>
          <w:sz w:val="24"/>
          <w:highlight w:val="none"/>
        </w:rPr>
        <w:t xml:space="preserve">（1）乙方具有为采购人提供相关服务的资格。</w:t>
      </w:r>
      <w:r>
        <w:rPr>
          <w:rFonts w:hint="eastAsia" w:ascii="宋体" w:hAnsi="宋体" w:cs="宋体"/>
          <w:color w:val="000000"/>
          <w:sz w:val="24"/>
          <w:highlight w:val="none"/>
        </w:rPr>
      </w:r>
      <w:r/>
    </w:p>
    <w:p>
      <w:pPr>
        <w:pStyle w:val="1060"/>
        <w:ind w:firstLine="480"/>
        <w:spacing w:line="530" w:lineRule="exact"/>
        <w:rPr>
          <w:rFonts w:hint="eastAsia" w:ascii="宋体" w:hAnsi="宋体" w:cs="宋体"/>
          <w:color w:val="000000"/>
          <w:sz w:val="24"/>
          <w:highlight w:val="none"/>
        </w:rPr>
      </w:pPr>
      <w:r>
        <w:rPr>
          <w:rFonts w:hint="eastAsia" w:ascii="宋体" w:hAnsi="宋体" w:cs="宋体"/>
          <w:color w:val="000000"/>
          <w:sz w:val="24"/>
          <w:highlight w:val="none"/>
        </w:rPr>
        <w:t xml:space="preserve">（2）乙方有权拒绝采购人提出的以本次框架协议采购名义购买非入围服务、货物、配件或满足采购人超出响应承诺以外的其他要求。 </w:t>
      </w:r>
      <w:r>
        <w:rPr>
          <w:rFonts w:hint="eastAsia" w:ascii="宋体" w:hAnsi="宋体" w:cs="宋体"/>
          <w:color w:val="000000"/>
          <w:sz w:val="24"/>
          <w:highlight w:val="none"/>
        </w:rPr>
      </w:r>
      <w:r/>
    </w:p>
    <w:p>
      <w:pPr>
        <w:pStyle w:val="1060"/>
        <w:ind w:firstLine="480"/>
        <w:spacing w:line="530" w:lineRule="exact"/>
        <w:rPr>
          <w:rFonts w:hint="eastAsia" w:ascii="宋体" w:hAnsi="宋体" w:cs="宋体"/>
          <w:color w:val="000000"/>
          <w:sz w:val="24"/>
          <w:highlight w:val="none"/>
        </w:rPr>
      </w:pPr>
      <w:r>
        <w:rPr>
          <w:rFonts w:hint="eastAsia" w:ascii="宋体" w:hAnsi="宋体" w:cs="宋体"/>
          <w:color w:val="000000"/>
          <w:sz w:val="24"/>
          <w:highlight w:val="none"/>
        </w:rPr>
        <w:t xml:space="preserve">（3）对采购人在购买入围服务过程中的不正当要求和违规行为进行投诉，并要求有关部门做出处理。 </w:t>
      </w:r>
      <w:r>
        <w:rPr>
          <w:rFonts w:hint="eastAsia" w:ascii="宋体" w:hAnsi="宋体" w:cs="宋体"/>
          <w:color w:val="000000"/>
          <w:sz w:val="24"/>
          <w:highlight w:val="none"/>
        </w:rPr>
      </w:r>
      <w:r/>
    </w:p>
    <w:p>
      <w:pPr>
        <w:pStyle w:val="1060"/>
        <w:ind w:firstLine="480"/>
        <w:spacing w:line="530" w:lineRule="exact"/>
        <w:rPr>
          <w:rFonts w:hint="eastAsia" w:ascii="宋体" w:hAnsi="宋体" w:cs="宋体"/>
          <w:color w:val="000000"/>
          <w:sz w:val="24"/>
          <w:highlight w:val="none"/>
        </w:rPr>
      </w:pPr>
      <w:r>
        <w:rPr>
          <w:rFonts w:hint="eastAsia" w:ascii="宋体" w:hAnsi="宋体" w:cs="宋体"/>
          <w:color w:val="000000"/>
          <w:sz w:val="24"/>
          <w:highlight w:val="none"/>
        </w:rPr>
        <w:t xml:space="preserve">（4）有权拒绝任何个人以采购人名义按照协议价格购买入围服务和进行现金交易。</w:t>
      </w:r>
      <w:r>
        <w:rPr>
          <w:rFonts w:hint="eastAsia" w:ascii="宋体" w:hAnsi="宋体" w:cs="宋体"/>
          <w:color w:val="000000"/>
          <w:sz w:val="24"/>
          <w:highlight w:val="none"/>
        </w:rPr>
      </w:r>
      <w:r/>
    </w:p>
    <w:p>
      <w:pPr>
        <w:pStyle w:val="1060"/>
        <w:ind w:firstLine="480"/>
        <w:spacing w:line="530" w:lineRule="exact"/>
        <w:rPr>
          <w:rFonts w:hint="eastAsia" w:ascii="宋体" w:hAnsi="宋体" w:cs="宋体"/>
          <w:color w:val="000000"/>
          <w:sz w:val="24"/>
          <w:highlight w:val="none"/>
        </w:rPr>
      </w:pPr>
      <w:r>
        <w:rPr>
          <w:rFonts w:hint="eastAsia" w:ascii="宋体" w:hAnsi="宋体" w:cs="宋体"/>
          <w:color w:val="000000"/>
          <w:sz w:val="24"/>
          <w:highlight w:val="none"/>
        </w:rPr>
        <w:t xml:space="preserve">4、乙方的义务</w:t>
      </w:r>
      <w:r>
        <w:rPr>
          <w:rFonts w:hint="eastAsia" w:ascii="宋体" w:hAnsi="宋体" w:cs="宋体"/>
          <w:color w:val="000000"/>
          <w:sz w:val="24"/>
          <w:highlight w:val="none"/>
        </w:rPr>
      </w:r>
      <w:r/>
    </w:p>
    <w:p>
      <w:pPr>
        <w:pStyle w:val="1060"/>
        <w:ind w:firstLine="480"/>
        <w:spacing w:line="530" w:lineRule="exact"/>
        <w:rPr>
          <w:rFonts w:hint="eastAsia" w:ascii="宋体" w:hAnsi="宋体" w:cs="宋体"/>
          <w:color w:val="000000"/>
          <w:sz w:val="24"/>
          <w:highlight w:val="none"/>
        </w:rPr>
      </w:pPr>
      <w:r>
        <w:rPr>
          <w:rFonts w:hint="eastAsia" w:ascii="宋体" w:hAnsi="宋体" w:cs="宋体"/>
          <w:color w:val="000000"/>
          <w:sz w:val="24"/>
          <w:highlight w:val="none"/>
        </w:rPr>
        <w:t xml:space="preserve">（1）严格执行国家法律法规，严格按照响应文件承诺的价格和服务履约，遵守本合同条款。 </w:t>
      </w:r>
      <w:r>
        <w:rPr>
          <w:rFonts w:hint="eastAsia" w:ascii="宋体" w:hAnsi="宋体" w:cs="宋体"/>
          <w:color w:val="000000"/>
          <w:sz w:val="24"/>
          <w:highlight w:val="none"/>
        </w:rPr>
      </w:r>
      <w:r/>
    </w:p>
    <w:p>
      <w:pPr>
        <w:pStyle w:val="1060"/>
        <w:ind w:firstLine="480"/>
        <w:spacing w:line="530" w:lineRule="exact"/>
        <w:rPr>
          <w:rFonts w:hint="eastAsia" w:ascii="宋体" w:hAnsi="宋体" w:cs="宋体"/>
          <w:color w:val="000000"/>
          <w:sz w:val="24"/>
          <w:highlight w:val="none"/>
        </w:rPr>
      </w:pPr>
      <w:r>
        <w:rPr>
          <w:rFonts w:hint="eastAsia" w:ascii="宋体" w:hAnsi="宋体" w:cs="宋体"/>
          <w:color w:val="000000"/>
          <w:sz w:val="24"/>
          <w:highlight w:val="none"/>
        </w:rPr>
        <w:t xml:space="preserve">（2）乙方应当符合《政府采购法》第二十二条第一款的规定。</w:t>
      </w:r>
      <w:r>
        <w:rPr>
          <w:rFonts w:hint="eastAsia" w:ascii="宋体" w:hAnsi="宋体" w:cs="宋体"/>
          <w:color w:val="000000"/>
          <w:sz w:val="24"/>
          <w:highlight w:val="none"/>
        </w:rPr>
      </w:r>
      <w:r/>
    </w:p>
    <w:p>
      <w:pPr>
        <w:pStyle w:val="1060"/>
        <w:ind w:firstLine="480"/>
        <w:spacing w:line="530" w:lineRule="exact"/>
        <w:rPr>
          <w:rFonts w:hint="eastAsia" w:ascii="宋体" w:hAnsi="宋体" w:cs="宋体"/>
          <w:color w:val="000000"/>
          <w:sz w:val="24"/>
          <w:highlight w:val="none"/>
        </w:rPr>
      </w:pPr>
      <w:r>
        <w:rPr>
          <w:rFonts w:hint="eastAsia" w:ascii="宋体" w:hAnsi="宋体" w:cs="宋体"/>
          <w:color w:val="000000"/>
          <w:sz w:val="24"/>
          <w:highlight w:val="none"/>
        </w:rPr>
        <w:t xml:space="preserve">（3）乙方接受采购人合同授予并履行采购合同。</w:t>
      </w:r>
      <w:r>
        <w:rPr>
          <w:rFonts w:hint="eastAsia" w:ascii="宋体" w:hAnsi="宋体" w:cs="宋体"/>
          <w:color w:val="000000"/>
          <w:sz w:val="24"/>
          <w:highlight w:val="none"/>
        </w:rPr>
      </w:r>
      <w:r/>
    </w:p>
    <w:p>
      <w:pPr>
        <w:pStyle w:val="1060"/>
        <w:ind w:firstLine="480"/>
        <w:spacing w:line="530" w:lineRule="exact"/>
        <w:rPr>
          <w:rFonts w:hint="eastAsia" w:ascii="宋体" w:hAnsi="宋体" w:cs="宋体"/>
          <w:color w:val="000000"/>
          <w:sz w:val="24"/>
          <w:highlight w:val="none"/>
        </w:rPr>
      </w:pPr>
      <w:r>
        <w:rPr>
          <w:rFonts w:hint="eastAsia" w:ascii="宋体" w:hAnsi="宋体" w:cs="宋体"/>
          <w:color w:val="000000"/>
          <w:sz w:val="24"/>
          <w:highlight w:val="none"/>
        </w:rPr>
        <w:t xml:space="preserve">（4）随时接受并配合甲方的监督检查，并配合财政部门对采购人和其他入围供应商对框架协议执行情况进行监督，发现违规违约情形的，及时向财政部门报告。 </w:t>
      </w:r>
      <w:r>
        <w:rPr>
          <w:rFonts w:hint="eastAsia" w:ascii="宋体" w:hAnsi="宋体" w:cs="宋体"/>
          <w:color w:val="000000"/>
          <w:sz w:val="24"/>
          <w:highlight w:val="none"/>
        </w:rPr>
      </w:r>
      <w:r/>
    </w:p>
    <w:p>
      <w:pPr>
        <w:pStyle w:val="1060"/>
        <w:ind w:firstLine="480"/>
        <w:spacing w:line="530" w:lineRule="exact"/>
        <w:rPr>
          <w:rFonts w:hint="eastAsia" w:ascii="宋体" w:hAnsi="宋体" w:cs="宋体"/>
          <w:color w:val="000000"/>
          <w:sz w:val="24"/>
          <w:highlight w:val="none"/>
        </w:rPr>
      </w:pPr>
      <w:r>
        <w:rPr>
          <w:rFonts w:hint="eastAsia" w:ascii="宋体" w:hAnsi="宋体" w:cs="宋体"/>
          <w:color w:val="000000"/>
          <w:sz w:val="24"/>
          <w:highlight w:val="none"/>
        </w:rPr>
        <w:t xml:space="preserve">（5）在框架协议有效期内，按照不高于协议价格的价格，向采购人提供相关服务。 </w:t>
      </w:r>
      <w:r>
        <w:rPr>
          <w:rFonts w:hint="eastAsia" w:ascii="宋体" w:hAnsi="宋体" w:cs="宋体"/>
          <w:color w:val="000000"/>
          <w:sz w:val="24"/>
          <w:highlight w:val="none"/>
        </w:rPr>
      </w:r>
      <w:r/>
    </w:p>
    <w:p>
      <w:pPr>
        <w:pStyle w:val="1060"/>
        <w:ind w:firstLine="480"/>
        <w:spacing w:line="530" w:lineRule="exact"/>
        <w:rPr>
          <w:rFonts w:hint="eastAsia" w:ascii="宋体" w:hAnsi="宋体" w:cs="宋体"/>
          <w:color w:val="000000"/>
          <w:sz w:val="24"/>
          <w:highlight w:val="none"/>
        </w:rPr>
      </w:pPr>
      <w:r>
        <w:rPr>
          <w:rFonts w:hint="eastAsia" w:ascii="宋体" w:hAnsi="宋体" w:cs="宋体"/>
          <w:color w:val="000000"/>
          <w:sz w:val="24"/>
          <w:highlight w:val="none"/>
        </w:rPr>
        <w:t xml:space="preserve">（6）框架协议期内，在质量不降低、价格不提高的前提下，乙方如出现因服务升级换代，需用新服务替代原入围服务情形时，必须向甲方提出申请。</w:t>
      </w:r>
      <w:r>
        <w:rPr>
          <w:rFonts w:hint="eastAsia" w:ascii="宋体" w:hAnsi="宋体" w:cs="宋体"/>
          <w:color w:val="000000"/>
          <w:sz w:val="24"/>
          <w:highlight w:val="none"/>
        </w:rPr>
      </w:r>
      <w:r/>
    </w:p>
    <w:p>
      <w:pPr>
        <w:pStyle w:val="1060"/>
        <w:ind w:firstLine="480"/>
        <w:spacing w:line="530" w:lineRule="exact"/>
        <w:rPr>
          <w:rFonts w:hint="eastAsia" w:ascii="宋体" w:hAnsi="宋体" w:cs="宋体"/>
          <w:color w:val="000000"/>
          <w:sz w:val="24"/>
          <w:highlight w:val="none"/>
        </w:rPr>
      </w:pPr>
      <w:r>
        <w:rPr>
          <w:rFonts w:hint="eastAsia" w:ascii="宋体" w:hAnsi="宋体" w:cs="宋体"/>
          <w:b/>
          <w:bCs/>
          <w:color w:val="000000"/>
          <w:sz w:val="24"/>
          <w:highlight w:val="none"/>
        </w:rPr>
        <w:t xml:space="preserve">九、履约验收：</w:t>
      </w:r>
      <w:r>
        <w:rPr>
          <w:rFonts w:hint="eastAsia" w:ascii="宋体" w:hAnsi="宋体" w:cs="宋体"/>
          <w:color w:val="000000"/>
          <w:sz w:val="24"/>
          <w:highlight w:val="none"/>
        </w:rPr>
        <w:t xml:space="preserve">采购人根据《关于印发苏州市残疾人辅助器具适配服务定点机构负面行为清单（试行）的通知》（苏残字〔2024〕45号）（后续如对应文件有调整，以最新版文件为准）及监管方案对中标机构进行日常监督，根据残疾人辅具适配服务回访登记表及年度考核情况考核履约完成情况，对中标机构存在违规（法）或履约不当行为的，依据负面清单规定，给予相应处理。</w:t>
      </w:r>
      <w:r>
        <w:rPr>
          <w:rFonts w:hint="eastAsia" w:ascii="宋体" w:hAnsi="宋体" w:cs="宋体"/>
          <w:color w:val="000000"/>
          <w:sz w:val="24"/>
          <w:highlight w:val="none"/>
        </w:rPr>
      </w:r>
      <w:r/>
    </w:p>
    <w:p>
      <w:pPr>
        <w:pStyle w:val="1060"/>
        <w:ind w:firstLine="480"/>
        <w:spacing w:line="51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十、保密义务</w:t>
      </w:r>
      <w:r>
        <w:rPr>
          <w:rFonts w:ascii="宋体" w:hAnsi="宋体" w:cs="宋体"/>
          <w:b/>
          <w:bCs/>
          <w:color w:val="000000"/>
          <w:sz w:val="24"/>
          <w:highlight w:val="none"/>
        </w:rPr>
      </w:r>
      <w:r/>
    </w:p>
    <w:p>
      <w:pPr>
        <w:pStyle w:val="1060"/>
        <w:ind w:firstLine="480"/>
        <w:spacing w:line="510" w:lineRule="exact"/>
        <w:rPr>
          <w:rFonts w:ascii="宋体" w:hAnsi="宋体" w:cs="宋体"/>
          <w:color w:val="000000"/>
          <w:sz w:val="24"/>
          <w:highlight w:val="none"/>
        </w:rPr>
      </w:pPr>
      <w:r>
        <w:rPr>
          <w:rFonts w:hint="eastAsia" w:ascii="宋体" w:hAnsi="宋体" w:cs="宋体"/>
          <w:color w:val="000000"/>
          <w:sz w:val="24"/>
          <w:highlight w:val="none"/>
        </w:rPr>
        <w:t xml:space="preserve">1、本协议所称“保密信息”是指在本协议的签订、履行过程中，采购人向供应商披露的、或供应商自行获取的、与采购人或本项目相关的所有信息，无论其形式为书面、口头、电子或其它形式。包括但不限于：</w:t>
      </w:r>
      <w:r>
        <w:rPr>
          <w:rFonts w:ascii="宋体" w:hAnsi="宋体" w:cs="宋体"/>
          <w:color w:val="000000"/>
          <w:sz w:val="24"/>
          <w:highlight w:val="none"/>
        </w:rPr>
      </w:r>
      <w:r/>
    </w:p>
    <w:p>
      <w:pPr>
        <w:pStyle w:val="1060"/>
        <w:ind w:firstLine="480"/>
        <w:spacing w:line="510" w:lineRule="exact"/>
        <w:rPr>
          <w:rFonts w:ascii="宋体" w:hAnsi="宋体" w:cs="宋体"/>
          <w:color w:val="000000"/>
          <w:sz w:val="24"/>
          <w:highlight w:val="none"/>
        </w:rPr>
      </w:pPr>
      <w:r>
        <w:rPr>
          <w:rFonts w:hint="eastAsia" w:ascii="宋体" w:hAnsi="宋体" w:cs="宋体"/>
          <w:color w:val="000000"/>
          <w:sz w:val="24"/>
          <w:highlight w:val="none"/>
        </w:rPr>
        <w:t xml:space="preserve">（1）服务对象的个人信息、残疾状况、健康状况、家庭住址、联系方式等一切可识别特定个人身份和隐私的信息；</w:t>
      </w:r>
      <w:r>
        <w:rPr>
          <w:rFonts w:ascii="宋体" w:hAnsi="宋体" w:cs="宋体"/>
          <w:color w:val="000000"/>
          <w:sz w:val="24"/>
          <w:highlight w:val="none"/>
        </w:rPr>
      </w:r>
      <w:r/>
    </w:p>
    <w:p>
      <w:pPr>
        <w:pStyle w:val="1060"/>
        <w:ind w:firstLine="480"/>
        <w:spacing w:line="510" w:lineRule="exact"/>
        <w:rPr>
          <w:rFonts w:ascii="宋体" w:hAnsi="宋体" w:cs="宋体"/>
          <w:color w:val="000000"/>
          <w:sz w:val="24"/>
          <w:highlight w:val="none"/>
        </w:rPr>
      </w:pPr>
      <w:r>
        <w:rPr>
          <w:rFonts w:hint="eastAsia" w:ascii="宋体" w:hAnsi="宋体" w:cs="宋体"/>
          <w:color w:val="000000"/>
          <w:sz w:val="24"/>
          <w:highlight w:val="none"/>
        </w:rPr>
        <w:t xml:space="preserve">（2）采购人的内部数据、管理文件、定价信息等一切未公开的信息或资料；</w:t>
      </w:r>
      <w:r>
        <w:rPr>
          <w:rFonts w:ascii="宋体" w:hAnsi="宋体" w:cs="宋体"/>
          <w:color w:val="000000"/>
          <w:sz w:val="24"/>
          <w:highlight w:val="none"/>
        </w:rPr>
      </w:r>
      <w:r/>
    </w:p>
    <w:p>
      <w:pPr>
        <w:pStyle w:val="1060"/>
        <w:ind w:firstLine="480"/>
        <w:spacing w:line="510" w:lineRule="exact"/>
        <w:rPr>
          <w:rFonts w:ascii="宋体" w:hAnsi="宋体" w:cs="宋体"/>
          <w:color w:val="000000"/>
          <w:sz w:val="24"/>
          <w:highlight w:val="none"/>
        </w:rPr>
      </w:pPr>
      <w:r>
        <w:rPr>
          <w:rFonts w:hint="eastAsia" w:ascii="宋体" w:hAnsi="宋体" w:cs="宋体"/>
          <w:color w:val="000000"/>
          <w:sz w:val="24"/>
          <w:highlight w:val="none"/>
        </w:rPr>
        <w:t xml:space="preserve">（3）本协议内容。</w:t>
      </w:r>
      <w:r>
        <w:rPr>
          <w:rFonts w:ascii="宋体" w:hAnsi="宋体" w:cs="宋体"/>
          <w:color w:val="000000"/>
          <w:sz w:val="24"/>
          <w:highlight w:val="none"/>
        </w:rPr>
      </w:r>
      <w:r/>
    </w:p>
    <w:p>
      <w:pPr>
        <w:pStyle w:val="1060"/>
        <w:ind w:firstLine="480"/>
        <w:spacing w:line="510" w:lineRule="exact"/>
        <w:rPr>
          <w:rFonts w:ascii="宋体" w:hAnsi="宋体" w:cs="宋体"/>
          <w:color w:val="000000"/>
          <w:sz w:val="24"/>
          <w:highlight w:val="none"/>
        </w:rPr>
      </w:pPr>
      <w:r>
        <w:rPr>
          <w:rFonts w:hint="eastAsia" w:ascii="宋体" w:hAnsi="宋体" w:cs="宋体"/>
          <w:color w:val="000000"/>
          <w:sz w:val="24"/>
          <w:highlight w:val="none"/>
        </w:rPr>
        <w:t xml:space="preserve">2、供应商及其工作人员不得向任何第三方披露、泄露、复制、传播保密信息；供应商工作人员违反保密义务的，视为供应商违反保密义务。</w:t>
      </w:r>
      <w:r>
        <w:rPr>
          <w:rFonts w:ascii="宋体" w:hAnsi="宋体" w:cs="宋体"/>
          <w:color w:val="000000"/>
          <w:sz w:val="24"/>
          <w:highlight w:val="none"/>
        </w:rPr>
      </w:r>
      <w:r/>
    </w:p>
    <w:p>
      <w:pPr>
        <w:pStyle w:val="1060"/>
        <w:ind w:firstLine="480"/>
        <w:spacing w:line="510" w:lineRule="exact"/>
        <w:rPr>
          <w:rFonts w:ascii="宋体" w:hAnsi="宋体" w:cs="宋体"/>
          <w:color w:val="000000"/>
          <w:sz w:val="24"/>
          <w:highlight w:val="none"/>
        </w:rPr>
      </w:pPr>
      <w:r>
        <w:rPr>
          <w:rFonts w:hint="eastAsia" w:ascii="宋体" w:hAnsi="宋体" w:cs="宋体"/>
          <w:color w:val="000000"/>
          <w:sz w:val="24"/>
          <w:highlight w:val="none"/>
        </w:rPr>
        <w:t xml:space="preserve">3、本保密义务期限为永久，不因本协议变更、解除或终止而失效。</w:t>
      </w:r>
      <w:r>
        <w:rPr>
          <w:rFonts w:ascii="宋体" w:hAnsi="宋体" w:cs="宋体"/>
          <w:color w:val="000000"/>
          <w:sz w:val="24"/>
          <w:highlight w:val="none"/>
        </w:rPr>
      </w:r>
      <w:r/>
    </w:p>
    <w:p>
      <w:pPr>
        <w:pStyle w:val="1060"/>
        <w:ind w:firstLine="480"/>
        <w:spacing w:line="51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十一、违约责任</w:t>
      </w:r>
      <w:r>
        <w:rPr>
          <w:rFonts w:ascii="宋体" w:hAnsi="宋体" w:cs="宋体"/>
          <w:b/>
          <w:bCs/>
          <w:color w:val="000000"/>
          <w:sz w:val="24"/>
          <w:highlight w:val="none"/>
        </w:rPr>
      </w:r>
      <w:r/>
    </w:p>
    <w:p>
      <w:pPr>
        <w:pStyle w:val="1060"/>
        <w:ind w:firstLine="480"/>
        <w:spacing w:line="510" w:lineRule="exact"/>
        <w:rPr>
          <w:rFonts w:ascii="宋体" w:hAnsi="宋体" w:cs="宋体"/>
          <w:color w:val="000000"/>
          <w:sz w:val="24"/>
          <w:highlight w:val="none"/>
        </w:rPr>
      </w:pPr>
      <w:r>
        <w:rPr>
          <w:rFonts w:hint="eastAsia" w:ascii="宋体" w:hAnsi="宋体" w:cs="宋体"/>
          <w:color w:val="000000"/>
          <w:sz w:val="24"/>
          <w:highlight w:val="none"/>
        </w:rPr>
        <w:t xml:space="preserve">1、供应商无正当理由，逾期为服务对象提供本协议约定服务的，每逾期一日，供应商应按当次支付周期项目经费0.5%支付违约金；逾期满十五日的，采购人有权解除协议并要求供应商按当次支付周期项目经费30%的标准支付违约金。</w:t>
      </w:r>
      <w:r>
        <w:rPr>
          <w:rFonts w:ascii="宋体" w:hAnsi="宋体" w:cs="宋体"/>
          <w:color w:val="000000"/>
          <w:sz w:val="24"/>
          <w:highlight w:val="none"/>
        </w:rPr>
      </w:r>
      <w:r/>
    </w:p>
    <w:p>
      <w:pPr>
        <w:pStyle w:val="1060"/>
        <w:ind w:firstLine="480"/>
        <w:spacing w:line="510" w:lineRule="exact"/>
        <w:rPr>
          <w:rFonts w:ascii="宋体" w:hAnsi="宋体" w:cs="宋体"/>
          <w:color w:val="000000"/>
          <w:sz w:val="24"/>
          <w:highlight w:val="none"/>
        </w:rPr>
      </w:pPr>
      <w:r>
        <w:rPr>
          <w:rFonts w:hint="eastAsia" w:ascii="宋体" w:hAnsi="宋体" w:cs="宋体"/>
          <w:color w:val="000000"/>
          <w:sz w:val="24"/>
          <w:highlight w:val="none"/>
        </w:rPr>
        <w:t xml:space="preserve">2、若供应商出现下列情形之一，采购人有权解除协议并要求供应商按当次支付周期项目经费30%的标准支付违约金：</w:t>
      </w:r>
      <w:r>
        <w:rPr>
          <w:rFonts w:ascii="宋体" w:hAnsi="宋体" w:cs="宋体"/>
          <w:color w:val="000000"/>
          <w:sz w:val="24"/>
          <w:highlight w:val="none"/>
        </w:rPr>
      </w:r>
      <w:r/>
    </w:p>
    <w:p>
      <w:pPr>
        <w:pStyle w:val="1060"/>
        <w:ind w:firstLine="480"/>
        <w:spacing w:line="510" w:lineRule="exact"/>
        <w:rPr>
          <w:rFonts w:ascii="宋体" w:hAnsi="宋体" w:cs="宋体"/>
          <w:color w:val="000000"/>
          <w:sz w:val="24"/>
          <w:highlight w:val="none"/>
        </w:rPr>
      </w:pPr>
      <w:r>
        <w:rPr>
          <w:rFonts w:hint="eastAsia" w:ascii="宋体" w:hAnsi="宋体" w:cs="宋体"/>
          <w:color w:val="000000"/>
          <w:sz w:val="24"/>
          <w:highlight w:val="none"/>
        </w:rPr>
        <w:t xml:space="preserve">（1）提供的服务不符合征集文件、响应文件或本协议约定的质量标准的；</w:t>
      </w:r>
      <w:r>
        <w:rPr>
          <w:rFonts w:ascii="宋体" w:hAnsi="宋体" w:cs="宋体"/>
          <w:color w:val="000000"/>
          <w:sz w:val="24"/>
          <w:highlight w:val="none"/>
        </w:rPr>
      </w:r>
      <w:r/>
    </w:p>
    <w:p>
      <w:pPr>
        <w:pStyle w:val="1060"/>
        <w:ind w:firstLine="480"/>
        <w:spacing w:line="510" w:lineRule="exact"/>
        <w:rPr>
          <w:rFonts w:ascii="宋体" w:hAnsi="宋体" w:cs="宋体"/>
          <w:color w:val="000000"/>
          <w:sz w:val="24"/>
          <w:highlight w:val="none"/>
        </w:rPr>
      </w:pPr>
      <w:r>
        <w:rPr>
          <w:rFonts w:hint="eastAsia" w:ascii="宋体" w:hAnsi="宋体" w:cs="宋体"/>
          <w:color w:val="000000"/>
          <w:sz w:val="24"/>
          <w:highlight w:val="none"/>
        </w:rPr>
        <w:t xml:space="preserve">（2）无正当理由，拒绝或变相拒绝为服务对象提供本协议约定服务的。</w:t>
      </w:r>
      <w:r>
        <w:rPr>
          <w:rFonts w:ascii="宋体" w:hAnsi="宋体" w:cs="宋体"/>
          <w:color w:val="000000"/>
          <w:sz w:val="24"/>
          <w:highlight w:val="none"/>
        </w:rPr>
      </w:r>
      <w:r/>
    </w:p>
    <w:p>
      <w:pPr>
        <w:pStyle w:val="1060"/>
        <w:ind w:firstLine="480"/>
        <w:spacing w:line="510" w:lineRule="exact"/>
        <w:rPr>
          <w:rFonts w:ascii="宋体" w:hAnsi="宋体" w:cs="宋体"/>
          <w:color w:val="000000"/>
          <w:sz w:val="24"/>
          <w:highlight w:val="none"/>
        </w:rPr>
      </w:pPr>
      <w:r>
        <w:rPr>
          <w:rFonts w:hint="eastAsia" w:ascii="宋体" w:hAnsi="宋体" w:cs="宋体"/>
          <w:color w:val="000000"/>
          <w:sz w:val="24"/>
          <w:highlight w:val="none"/>
        </w:rPr>
        <w:t xml:space="preserve">3、若供应商出现下列情形之一，采购人有权解除协议并要求供应商按累计已发生项目经费30%的标准支付违约金：</w:t>
      </w:r>
      <w:r>
        <w:rPr>
          <w:rFonts w:ascii="宋体" w:hAnsi="宋体" w:cs="宋体"/>
          <w:color w:val="000000"/>
          <w:sz w:val="24"/>
          <w:highlight w:val="none"/>
        </w:rPr>
      </w:r>
      <w:r/>
    </w:p>
    <w:p>
      <w:pPr>
        <w:pStyle w:val="1060"/>
        <w:ind w:firstLine="480"/>
        <w:spacing w:line="510" w:lineRule="exact"/>
        <w:rPr>
          <w:rFonts w:ascii="宋体" w:hAnsi="宋体" w:cs="宋体"/>
          <w:color w:val="000000"/>
          <w:sz w:val="24"/>
          <w:highlight w:val="none"/>
        </w:rPr>
      </w:pPr>
      <w:r>
        <w:rPr>
          <w:rFonts w:hint="eastAsia" w:ascii="宋体" w:hAnsi="宋体" w:cs="宋体"/>
          <w:color w:val="000000"/>
          <w:sz w:val="24"/>
          <w:highlight w:val="none"/>
        </w:rPr>
        <w:t xml:space="preserve">（1）违反第四章所列任一负面行为清单内容的；</w:t>
      </w:r>
      <w:r>
        <w:rPr>
          <w:rFonts w:ascii="宋体" w:hAnsi="宋体" w:cs="宋体"/>
          <w:color w:val="000000"/>
          <w:sz w:val="24"/>
          <w:highlight w:val="none"/>
        </w:rPr>
      </w:r>
      <w:r/>
    </w:p>
    <w:p>
      <w:pPr>
        <w:pStyle w:val="1060"/>
        <w:ind w:firstLine="480"/>
        <w:spacing w:line="510" w:lineRule="exact"/>
        <w:rPr>
          <w:rFonts w:ascii="宋体" w:hAnsi="宋体" w:cs="宋体"/>
          <w:color w:val="000000"/>
          <w:sz w:val="24"/>
          <w:highlight w:val="none"/>
        </w:rPr>
      </w:pPr>
      <w:r>
        <w:rPr>
          <w:rFonts w:hint="eastAsia" w:ascii="宋体" w:hAnsi="宋体" w:cs="宋体"/>
          <w:color w:val="000000"/>
          <w:sz w:val="24"/>
          <w:highlight w:val="none"/>
        </w:rPr>
        <w:t xml:space="preserve">（2）出现本协议第七条所述清退情形的；</w:t>
      </w:r>
      <w:r>
        <w:rPr>
          <w:rFonts w:ascii="宋体" w:hAnsi="宋体" w:cs="宋体"/>
          <w:color w:val="000000"/>
          <w:sz w:val="24"/>
          <w:highlight w:val="none"/>
        </w:rPr>
      </w:r>
      <w:r/>
    </w:p>
    <w:p>
      <w:pPr>
        <w:pStyle w:val="1060"/>
        <w:ind w:firstLine="480"/>
        <w:spacing w:line="510" w:lineRule="exact"/>
        <w:rPr>
          <w:rFonts w:ascii="宋体" w:hAnsi="宋体" w:cs="宋体"/>
          <w:color w:val="000000"/>
          <w:sz w:val="24"/>
          <w:highlight w:val="none"/>
        </w:rPr>
      </w:pPr>
      <w:r>
        <w:rPr>
          <w:rFonts w:hint="eastAsia" w:ascii="宋体" w:hAnsi="宋体" w:cs="宋体"/>
          <w:color w:val="000000"/>
          <w:sz w:val="24"/>
          <w:highlight w:val="none"/>
        </w:rPr>
        <w:t xml:space="preserve">（3）未经采购人书面同意，擅自将服务之全部或部分转包、分包的；</w:t>
      </w:r>
      <w:r>
        <w:rPr>
          <w:rFonts w:ascii="宋体" w:hAnsi="宋体" w:cs="宋体"/>
          <w:color w:val="000000"/>
          <w:sz w:val="24"/>
          <w:highlight w:val="none"/>
        </w:rPr>
      </w:r>
      <w:r/>
    </w:p>
    <w:p>
      <w:pPr>
        <w:pStyle w:val="1060"/>
        <w:ind w:firstLine="480"/>
        <w:spacing w:line="510" w:lineRule="exact"/>
        <w:rPr>
          <w:rFonts w:ascii="宋体" w:hAnsi="宋体" w:cs="宋体"/>
          <w:color w:val="000000"/>
          <w:sz w:val="24"/>
          <w:highlight w:val="none"/>
        </w:rPr>
      </w:pPr>
      <w:r>
        <w:rPr>
          <w:rFonts w:hint="eastAsia" w:ascii="宋体" w:hAnsi="宋体" w:cs="宋体"/>
          <w:color w:val="000000"/>
          <w:sz w:val="24"/>
          <w:highlight w:val="none"/>
        </w:rPr>
        <w:t xml:space="preserve">（4）违反本协议第十条保密义务，泄露服务对象隐私或采购人未公开信息的。</w:t>
      </w:r>
      <w:r>
        <w:rPr>
          <w:rFonts w:ascii="宋体" w:hAnsi="宋体" w:cs="宋体"/>
          <w:color w:val="000000"/>
          <w:sz w:val="24"/>
          <w:highlight w:val="none"/>
        </w:rPr>
      </w:r>
      <w:r/>
    </w:p>
    <w:p>
      <w:pPr>
        <w:pStyle w:val="1060"/>
        <w:ind w:firstLine="480"/>
        <w:spacing w:line="510" w:lineRule="exact"/>
        <w:rPr>
          <w:rFonts w:ascii="宋体" w:hAnsi="宋体" w:cs="宋体"/>
          <w:color w:val="000000"/>
          <w:sz w:val="24"/>
          <w:highlight w:val="none"/>
        </w:rPr>
      </w:pPr>
      <w:r>
        <w:rPr>
          <w:rFonts w:hint="eastAsia" w:ascii="宋体" w:hAnsi="宋体" w:cs="宋体"/>
          <w:color w:val="000000"/>
          <w:sz w:val="24"/>
          <w:highlight w:val="none"/>
        </w:rPr>
        <w:t xml:space="preserve">4、采购人因供应商的违约行为向供应商或者第三方主张任何权益，或者遭受第三方主张任何权益所支出的全部费用（包括但不限于诉讼费、律师费、调查费、举证费、差旅费等）均由供应商承担。</w:t>
      </w:r>
      <w:r>
        <w:rPr>
          <w:rFonts w:ascii="宋体" w:hAnsi="宋体" w:cs="宋体"/>
          <w:color w:val="000000"/>
          <w:sz w:val="24"/>
          <w:highlight w:val="none"/>
        </w:rPr>
      </w:r>
      <w:r/>
    </w:p>
    <w:p>
      <w:pPr>
        <w:pStyle w:val="1060"/>
        <w:ind w:firstLine="480"/>
        <w:spacing w:line="510" w:lineRule="exact"/>
        <w:rPr>
          <w:rFonts w:ascii="宋体" w:hAnsi="宋体" w:cs="宋体"/>
          <w:color w:val="000000"/>
          <w:sz w:val="24"/>
          <w:highlight w:val="none"/>
        </w:rPr>
      </w:pPr>
      <w:r>
        <w:rPr>
          <w:rFonts w:hint="eastAsia" w:ascii="宋体" w:hAnsi="宋体" w:cs="宋体"/>
          <w:color w:val="000000"/>
          <w:sz w:val="24"/>
          <w:highlight w:val="none"/>
        </w:rPr>
        <w:t xml:space="preserve">5、本协议项下供应商应支付的违约金、赔偿金等，采购人有权从未支付的项目经费中直接扣除；不足以弥补采购人损失的，供应商应当予以补足。</w:t>
      </w:r>
      <w:r>
        <w:rPr>
          <w:rFonts w:ascii="宋体" w:hAnsi="宋体" w:cs="宋体"/>
          <w:color w:val="000000"/>
          <w:sz w:val="24"/>
          <w:highlight w:val="none"/>
        </w:rPr>
      </w:r>
      <w:r/>
    </w:p>
    <w:p>
      <w:pPr>
        <w:pStyle w:val="1060"/>
        <w:ind w:firstLine="480"/>
        <w:spacing w:line="510" w:lineRule="exact"/>
        <w:rPr>
          <w:rFonts w:ascii="宋体" w:hAnsi="宋体" w:cs="宋体"/>
          <w:color w:val="000000"/>
          <w:sz w:val="24"/>
          <w:highlight w:val="none"/>
        </w:rPr>
      </w:pPr>
      <w:r>
        <w:rPr>
          <w:rFonts w:hint="eastAsia" w:ascii="宋体" w:hAnsi="宋体" w:cs="宋体"/>
          <w:color w:val="000000"/>
          <w:sz w:val="24"/>
          <w:highlight w:val="none"/>
        </w:rPr>
        <w:t xml:space="preserve">6、供应商违反本协议约定或法律规定，除承担上述违约责任外，采购人可视情节轻重，采取包括但不限于要求限期整改、终止合同、上报有关部门纳入政府采购不良信用记录等措施。</w:t>
      </w:r>
      <w:r>
        <w:rPr>
          <w:rFonts w:ascii="宋体" w:hAnsi="宋体" w:cs="宋体"/>
          <w:color w:val="000000"/>
          <w:sz w:val="24"/>
          <w:highlight w:val="none"/>
        </w:rPr>
      </w:r>
      <w:r/>
    </w:p>
    <w:p>
      <w:pPr>
        <w:pStyle w:val="1060"/>
        <w:ind w:firstLine="480"/>
        <w:spacing w:line="530" w:lineRule="exact"/>
        <w:rPr>
          <w:rFonts w:hint="eastAsia" w:ascii="宋体" w:hAnsi="宋体" w:cs="宋体"/>
          <w:color w:val="000000"/>
          <w:sz w:val="24"/>
          <w:highlight w:val="none"/>
        </w:rPr>
      </w:pPr>
      <w:r>
        <w:rPr>
          <w:rFonts w:hint="eastAsia" w:ascii="宋体" w:hAnsi="宋体" w:cs="宋体"/>
          <w:color w:val="000000"/>
          <w:sz w:val="24"/>
          <w:highlight w:val="none"/>
        </w:rPr>
        <w:t xml:space="preserve">7、供应商提供虚假投标材料、备案信息，或在项目实施期间与医疗机构恶意串通，通过虚假评估、虚假诊疗、虚开项目、违规申报辅具补贴等方式套取补助资金，经属地县级残联会同相关部门查实后，采购单位有权立即解除框架服务协议、取消定点服务机构资格；同步上报苏州市残疾人联合会，由市残联向社会予以公示，并将机构及相关从业人员有关情况按规定报送相关主管部门。涉嫌违法犯罪的，依法移送司法机关处理。</w:t>
      </w:r>
      <w:r>
        <w:rPr>
          <w:rFonts w:hint="eastAsia" w:ascii="宋体" w:hAnsi="宋体" w:cs="宋体"/>
          <w:color w:val="000000"/>
          <w:sz w:val="24"/>
          <w:highlight w:val="none"/>
        </w:rPr>
      </w:r>
      <w:r/>
    </w:p>
    <w:p>
      <w:pPr>
        <w:pStyle w:val="1060"/>
        <w:ind w:firstLine="480"/>
        <w:spacing w:line="53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十二、争议解决的办法</w:t>
      </w:r>
      <w:r>
        <w:rPr>
          <w:rFonts w:hint="eastAsia" w:ascii="宋体" w:hAnsi="宋体" w:cs="宋体"/>
          <w:b/>
          <w:bCs/>
          <w:color w:val="000000"/>
          <w:sz w:val="24"/>
          <w:highlight w:val="none"/>
        </w:rPr>
      </w:r>
      <w:r/>
    </w:p>
    <w:p>
      <w:pPr>
        <w:pStyle w:val="1060"/>
        <w:ind w:firstLine="480"/>
        <w:spacing w:line="530" w:lineRule="exact"/>
        <w:rPr>
          <w:rFonts w:hint="eastAsia" w:ascii="宋体" w:hAnsi="宋体" w:cs="宋体"/>
          <w:color w:val="000000"/>
          <w:sz w:val="24"/>
          <w:highlight w:val="none"/>
        </w:rPr>
      </w:pPr>
      <w:r>
        <w:rPr>
          <w:rFonts w:hint="eastAsia" w:ascii="宋体" w:hAnsi="宋体" w:cs="宋体"/>
          <w:color w:val="000000"/>
          <w:sz w:val="24"/>
          <w:highlight w:val="none"/>
        </w:rPr>
        <w:t xml:space="preserve">1、因本框架协议的签订、履行而发生的争议，甲乙双方应通过友好协商解决，如协商不成由甲方住所地人民法院管辖。</w:t>
      </w:r>
      <w:r>
        <w:rPr>
          <w:rFonts w:hint="eastAsia" w:ascii="宋体" w:hAnsi="宋体" w:cs="宋体"/>
          <w:color w:val="000000"/>
          <w:sz w:val="24"/>
          <w:highlight w:val="none"/>
        </w:rPr>
      </w:r>
      <w:r/>
    </w:p>
    <w:p>
      <w:pPr>
        <w:pStyle w:val="1060"/>
        <w:ind w:firstLine="482"/>
        <w:spacing w:line="53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十三、框架协议文本的生效及其它</w:t>
      </w:r>
      <w:r>
        <w:rPr>
          <w:rFonts w:hint="eastAsia" w:ascii="宋体" w:hAnsi="宋体" w:cs="宋体"/>
          <w:b/>
          <w:color w:val="000000"/>
          <w:sz w:val="24"/>
          <w:highlight w:val="none"/>
        </w:rPr>
      </w:r>
      <w:r/>
    </w:p>
    <w:p>
      <w:pPr>
        <w:pStyle w:val="1060"/>
        <w:ind w:firstLine="482"/>
        <w:spacing w:line="510" w:lineRule="exact"/>
        <w:rPr>
          <w:rFonts w:ascii="宋体" w:hAnsi="宋体" w:cs="宋体"/>
          <w:bCs/>
          <w:color w:val="000000"/>
          <w:sz w:val="24"/>
          <w:highlight w:val="none"/>
        </w:rPr>
      </w:pPr>
      <w:r>
        <w:rPr>
          <w:rFonts w:hint="eastAsia" w:ascii="宋体" w:hAnsi="宋体" w:cs="宋体"/>
          <w:bCs/>
          <w:color w:val="000000"/>
          <w:sz w:val="24"/>
          <w:highlight w:val="none"/>
        </w:rPr>
        <w:t xml:space="preserve">1、本框架协议文本经双方代表签字并加盖单位公章后生效。</w:t>
      </w:r>
      <w:r>
        <w:rPr>
          <w:rFonts w:ascii="宋体" w:hAnsi="宋体" w:cs="宋体"/>
          <w:bCs/>
          <w:color w:val="000000"/>
          <w:sz w:val="24"/>
          <w:highlight w:val="none"/>
        </w:rPr>
      </w:r>
      <w:r/>
    </w:p>
    <w:p>
      <w:pPr>
        <w:pStyle w:val="1060"/>
        <w:ind w:firstLine="482"/>
        <w:spacing w:line="510" w:lineRule="exact"/>
        <w:rPr>
          <w:rFonts w:ascii="宋体" w:hAnsi="宋体" w:cs="宋体"/>
          <w:bCs/>
          <w:color w:val="000000"/>
          <w:sz w:val="24"/>
          <w:highlight w:val="none"/>
        </w:rPr>
      </w:pPr>
      <w:r>
        <w:rPr>
          <w:rFonts w:hint="eastAsia" w:ascii="宋体" w:hAnsi="宋体" w:cs="宋体"/>
          <w:bCs/>
          <w:color w:val="000000"/>
          <w:sz w:val="24"/>
          <w:highlight w:val="none"/>
        </w:rPr>
        <w:t xml:space="preserve">2、本框架协议文本未尽事宜，遵照《中华人民共和国民法典》《中华人民共和国政府采购法》及其他有关法律法规执行。</w:t>
      </w:r>
      <w:r>
        <w:rPr>
          <w:rFonts w:ascii="宋体" w:hAnsi="宋体" w:cs="宋体"/>
          <w:bCs/>
          <w:color w:val="000000"/>
          <w:sz w:val="24"/>
          <w:highlight w:val="none"/>
        </w:rPr>
      </w:r>
      <w:r/>
    </w:p>
    <w:p>
      <w:pPr>
        <w:pStyle w:val="1060"/>
        <w:ind w:firstLine="482"/>
        <w:spacing w:line="510" w:lineRule="exact"/>
        <w:rPr>
          <w:rFonts w:ascii="宋体" w:hAnsi="宋体" w:cs="宋体"/>
          <w:bCs/>
          <w:color w:val="000000"/>
          <w:sz w:val="24"/>
          <w:highlight w:val="none"/>
        </w:rPr>
      </w:pPr>
      <w:r>
        <w:rPr>
          <w:rFonts w:hint="eastAsia" w:ascii="宋体" w:hAnsi="宋体" w:cs="宋体"/>
          <w:bCs/>
          <w:color w:val="000000"/>
          <w:sz w:val="24"/>
          <w:highlight w:val="none"/>
        </w:rPr>
        <w:t xml:space="preserve">3、本框架协议文本正本一式肆份，具有同等法律效力，采购人、供应商、采购代理机构、政府采购监督管理部门各执一份。</w:t>
      </w:r>
      <w:r>
        <w:rPr>
          <w:rFonts w:ascii="宋体" w:hAnsi="宋体" w:cs="宋体"/>
          <w:bCs/>
          <w:color w:val="000000"/>
          <w:sz w:val="24"/>
          <w:highlight w:val="none"/>
        </w:rPr>
      </w:r>
      <w:r/>
    </w:p>
    <w:p>
      <w:pPr>
        <w:pStyle w:val="1060"/>
        <w:ind w:firstLine="482"/>
        <w:spacing w:line="510" w:lineRule="exact"/>
        <w:rPr>
          <w:rFonts w:ascii="宋体" w:hAnsi="宋体" w:cs="宋体"/>
          <w:bCs/>
          <w:color w:val="000000"/>
          <w:sz w:val="24"/>
          <w:highlight w:val="none"/>
        </w:rPr>
      </w:pPr>
      <w:r>
        <w:rPr>
          <w:rFonts w:hint="eastAsia" w:ascii="宋体" w:hAnsi="宋体" w:cs="宋体"/>
          <w:bCs/>
          <w:color w:val="000000"/>
          <w:sz w:val="24"/>
          <w:highlight w:val="none"/>
        </w:rPr>
        <w:t xml:space="preserve">4、本框架协议项下任意一方提供的联系方式系其接收涉讼文书（如有）以及对方向其发送的书面文件（包括但不限于催告函、通知函等）的真实有效联系方式；如有变更，应立即通知对方；否则，自行承担不利后果。</w:t>
      </w:r>
      <w:r>
        <w:rPr>
          <w:rFonts w:ascii="宋体" w:hAnsi="宋体" w:cs="宋体"/>
          <w:bCs/>
          <w:color w:val="000000"/>
          <w:sz w:val="24"/>
          <w:highlight w:val="none"/>
        </w:rPr>
      </w:r>
      <w:r/>
    </w:p>
    <w:p>
      <w:pPr>
        <w:pStyle w:val="1060"/>
        <w:ind w:firstLine="480"/>
        <w:spacing w:before="120" w:after="120" w:line="480" w:lineRule="auto"/>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1060"/>
        <w:ind w:firstLine="480"/>
        <w:spacing w:before="120" w:after="120" w:line="480" w:lineRule="auto"/>
        <w:rPr>
          <w:rFonts w:hint="eastAsia" w:ascii="宋体" w:hAnsi="宋体" w:cs="宋体"/>
          <w:color w:val="000000"/>
          <w:sz w:val="24"/>
          <w:highlight w:val="none"/>
        </w:rPr>
      </w:pPr>
      <w:r>
        <w:rPr>
          <w:rFonts w:hint="eastAsia" w:ascii="宋体" w:hAnsi="宋体" w:cs="宋体"/>
          <w:color w:val="000000"/>
          <w:sz w:val="24"/>
          <w:highlight w:val="none"/>
        </w:rPr>
        <w:t xml:space="preserve">甲方（加盖公章）                           乙方（加盖公章） </w:t>
      </w:r>
      <w:r>
        <w:rPr>
          <w:rFonts w:hint="eastAsia" w:ascii="宋体" w:hAnsi="宋体" w:cs="宋体"/>
          <w:color w:val="000000"/>
          <w:sz w:val="24"/>
          <w:highlight w:val="none"/>
        </w:rPr>
      </w:r>
      <w:r/>
    </w:p>
    <w:p>
      <w:pPr>
        <w:pStyle w:val="1060"/>
        <w:ind w:firstLine="480"/>
        <w:spacing w:before="120" w:after="120" w:line="480" w:lineRule="auto"/>
        <w:rPr>
          <w:rFonts w:hint="eastAsia" w:ascii="宋体" w:hAnsi="宋体" w:cs="宋体"/>
          <w:color w:val="000000"/>
          <w:sz w:val="24"/>
          <w:highlight w:val="none"/>
        </w:rPr>
      </w:pPr>
      <w:r>
        <w:rPr>
          <w:rFonts w:hint="eastAsia" w:ascii="宋体" w:hAnsi="宋体" w:cs="宋体"/>
          <w:color w:val="000000"/>
          <w:sz w:val="24"/>
          <w:highlight w:val="none"/>
        </w:rPr>
        <w:t xml:space="preserve">地址：                                     地址： </w:t>
      </w:r>
      <w:r>
        <w:rPr>
          <w:rFonts w:hint="eastAsia" w:ascii="宋体" w:hAnsi="宋体" w:cs="宋体"/>
          <w:color w:val="000000"/>
          <w:sz w:val="24"/>
          <w:highlight w:val="none"/>
        </w:rPr>
      </w:r>
      <w:r/>
    </w:p>
    <w:p>
      <w:pPr>
        <w:pStyle w:val="1060"/>
        <w:ind w:firstLine="480"/>
        <w:spacing w:before="120" w:after="120" w:line="480" w:lineRule="auto"/>
        <w:rPr>
          <w:rFonts w:hint="eastAsia" w:ascii="宋体" w:hAnsi="宋体" w:cs="宋体"/>
          <w:color w:val="000000"/>
          <w:sz w:val="24"/>
          <w:highlight w:val="none"/>
        </w:rPr>
      </w:pPr>
      <w:r>
        <w:rPr>
          <w:rFonts w:hint="eastAsia" w:ascii="宋体" w:hAnsi="宋体" w:cs="宋体"/>
          <w:color w:val="000000"/>
          <w:sz w:val="24"/>
          <w:highlight w:val="none"/>
        </w:rPr>
        <w:t xml:space="preserve">代表人（签字或盖章）：                     代表人（签字或盖章）：</w:t>
      </w:r>
      <w:r>
        <w:rPr>
          <w:rFonts w:hint="eastAsia" w:ascii="宋体" w:hAnsi="宋体" w:cs="宋体"/>
          <w:color w:val="000000"/>
          <w:sz w:val="24"/>
          <w:highlight w:val="none"/>
        </w:rPr>
      </w:r>
      <w:r/>
    </w:p>
    <w:p>
      <w:pPr>
        <w:pStyle w:val="1060"/>
        <w:ind w:firstLine="480"/>
        <w:spacing w:before="120" w:after="120" w:line="480" w:lineRule="auto"/>
        <w:rPr>
          <w:rFonts w:hint="eastAsia" w:ascii="宋体" w:hAnsi="宋体" w:cs="宋体"/>
          <w:color w:val="000000"/>
          <w:sz w:val="24"/>
          <w:highlight w:val="none"/>
        </w:rPr>
      </w:pPr>
      <w:r>
        <w:rPr>
          <w:rFonts w:hint="eastAsia" w:ascii="宋体" w:hAnsi="宋体" w:cs="宋体"/>
          <w:color w:val="000000"/>
          <w:sz w:val="24"/>
          <w:highlight w:val="none"/>
        </w:rPr>
        <w:t xml:space="preserve">联系电话：                                 联系电话：   </w:t>
      </w:r>
      <w:r>
        <w:rPr>
          <w:rFonts w:hint="eastAsia" w:ascii="宋体" w:hAnsi="宋体" w:cs="宋体"/>
          <w:color w:val="000000"/>
          <w:sz w:val="24"/>
          <w:highlight w:val="none"/>
        </w:rPr>
      </w:r>
      <w:r/>
    </w:p>
    <w:p>
      <w:pPr>
        <w:pStyle w:val="1060"/>
        <w:ind w:firstLine="480"/>
        <w:spacing w:before="120" w:after="120" w:line="480" w:lineRule="auto"/>
        <w:rPr>
          <w:rFonts w:hint="eastAsia" w:ascii="宋体" w:hAnsi="宋体" w:cs="宋体"/>
          <w:color w:val="000000"/>
          <w:sz w:val="24"/>
          <w:highlight w:val="none"/>
        </w:rPr>
      </w:pPr>
      <w:r>
        <w:rPr>
          <w:rFonts w:hint="eastAsia" w:ascii="宋体" w:hAnsi="宋体" w:cs="宋体"/>
          <w:color w:val="000000"/>
          <w:sz w:val="24"/>
          <w:highlight w:val="none"/>
        </w:rPr>
        <w:t xml:space="preserve">签订日期：      年       月       日</w:t>
      </w:r>
      <w:bookmarkStart w:id="217" w:name="_Hlt16619369"/>
      <w:r/>
      <w:bookmarkEnd w:id="217"/>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1061"/>
        <w:tabs>
          <w:tab w:val="left" w:pos="200" w:leader="none"/>
        </w:tabs>
        <w:rPr>
          <w:rFonts w:hint="eastAsia" w:ascii="宋体" w:hAnsi="宋体" w:cs="宋体"/>
          <w:color w:val="000000"/>
          <w:highlight w:val="none"/>
        </w:rPr>
      </w:pPr>
      <w:r>
        <w:rPr>
          <w:rFonts w:hint="eastAsia" w:ascii="宋体" w:hAnsi="宋体" w:cs="宋体"/>
          <w:color w:val="000000"/>
          <w:sz w:val="24"/>
          <w:szCs w:val="24"/>
          <w:highlight w:val="none"/>
        </w:rPr>
        <w:br w:type="page" w:clear="all"/>
      </w:r>
      <w:bookmarkStart w:id="218" w:name="_Toc136507761"/>
      <w:r>
        <w:rPr>
          <w:rFonts w:hint="eastAsia" w:ascii="宋体" w:hAnsi="宋体" w:cs="宋体"/>
          <w:color w:val="000000"/>
          <w:sz w:val="24"/>
          <w:szCs w:val="24"/>
          <w:highlight w:val="none"/>
          <w:lang w:val="en-US" w:eastAsia="zh-CN"/>
        </w:rPr>
        <w:t xml:space="preserve">           </w:t>
      </w:r>
      <w:bookmarkStart w:id="219" w:name="_Toc4673"/>
      <w:r/>
      <w:bookmarkStart w:id="220" w:name="_Toc3926"/>
      <w:r/>
      <w:bookmarkStart w:id="221" w:name="_Toc2633"/>
      <w:r/>
      <w:bookmarkStart w:id="222" w:name="_Toc28237"/>
      <w:r/>
      <w:bookmarkStart w:id="223" w:name="_Toc12206"/>
      <w:r/>
      <w:bookmarkStart w:id="224" w:name="_Toc29060"/>
      <w:r/>
      <w:bookmarkStart w:id="225" w:name="_Toc7946"/>
      <w:r/>
      <w:bookmarkStart w:id="226" w:name="_Toc28687"/>
      <w:r/>
      <w:bookmarkStart w:id="227" w:name="_Toc18939"/>
      <w:r/>
      <w:bookmarkStart w:id="228" w:name="_Toc19023"/>
      <w:r/>
      <w:bookmarkStart w:id="229" w:name="_Toc18849"/>
      <w:r/>
      <w:bookmarkStart w:id="230" w:name="_Toc16287"/>
      <w:r/>
      <w:bookmarkStart w:id="231" w:name="_Toc26964"/>
      <w:r/>
      <w:bookmarkStart w:id="232" w:name="_Toc17010"/>
      <w:r/>
      <w:bookmarkStart w:id="233" w:name="_Toc20325"/>
      <w:r>
        <w:rPr>
          <w:rFonts w:hint="eastAsia" w:ascii="宋体" w:hAnsi="宋体" w:cs="宋体"/>
          <w:color w:val="000000"/>
          <w:sz w:val="24"/>
          <w:szCs w:val="24"/>
          <w:highlight w:val="none"/>
          <w:lang w:val="en-US" w:eastAsia="zh-CN"/>
        </w:rPr>
        <w:t xml:space="preserve"> </w:t>
      </w:r>
      <w:r>
        <w:rPr>
          <w:rFonts w:hint="eastAsia" w:ascii="宋体" w:hAnsi="宋体" w:cs="宋体"/>
          <w:color w:val="000000"/>
          <w:highlight w:val="none"/>
        </w:rPr>
        <w:t xml:space="preserve">第</w:t>
      </w:r>
      <w:r>
        <w:rPr>
          <w:rFonts w:hint="eastAsia" w:ascii="宋体" w:hAnsi="宋体" w:cs="宋体"/>
          <w:color w:val="000000"/>
          <w:highlight w:val="none"/>
          <w:lang w:eastAsia="zh-CN"/>
        </w:rPr>
        <w:t xml:space="preserve">六</w:t>
      </w:r>
      <w:r>
        <w:rPr>
          <w:rFonts w:hint="eastAsia" w:ascii="宋体" w:hAnsi="宋体" w:cs="宋体"/>
          <w:color w:val="000000"/>
          <w:highlight w:val="none"/>
        </w:rPr>
        <w:t xml:space="preserve">章  确定入围及成交供应商</w:t>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rPr>
          <w:rFonts w:hint="eastAsia" w:ascii="宋体" w:hAnsi="宋体" w:cs="宋体"/>
          <w:color w:val="000000"/>
          <w:highlight w:val="none"/>
        </w:rPr>
      </w:r>
      <w:r/>
    </w:p>
    <w:p>
      <w:pPr>
        <w:pStyle w:val="1060"/>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一、确定第一阶段入围供应商的评审方法</w:t>
      </w:r>
      <w:r>
        <w:rPr>
          <w:rFonts w:hint="eastAsia" w:ascii="宋体" w:hAnsi="宋体" w:cs="宋体"/>
          <w:b/>
          <w:bCs/>
          <w:color w:val="000000"/>
          <w:sz w:val="24"/>
          <w:highlight w:val="none"/>
        </w:rPr>
      </w:r>
      <w:r/>
    </w:p>
    <w:p>
      <w:pPr>
        <w:pStyle w:val="106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w:t>
      </w:r>
      <w:bookmarkStart w:id="234" w:name="_Hlk192514850"/>
      <w:r>
        <w:rPr>
          <w:rFonts w:hint="eastAsia" w:ascii="宋体" w:hAnsi="宋体" w:cs="宋体"/>
          <w:color w:val="000000"/>
          <w:sz w:val="24"/>
          <w:highlight w:val="none"/>
          <w:lang w:bidi="ar"/>
        </w:rPr>
        <w:t xml:space="preserve">确定第一阶段入围供应商的评审方法为质量优先法。质量优先法是指对满足采购需求且响应报价不超过苏州市残疾人联合会文件规定的服务进行质量综合评分，按照质量评分从高到低排序，根据征集文件规定的淘汰率或者入围供应商数量上限，确定入围供应商的评审方法。</w:t>
      </w:r>
      <w:bookmarkEnd w:id="234"/>
      <w:r>
        <w:rPr>
          <w:rFonts w:hint="eastAsia" w:ascii="宋体" w:hAnsi="宋体" w:cs="宋体"/>
          <w:color w:val="000000"/>
          <w:sz w:val="24"/>
          <w:highlight w:val="none"/>
        </w:rPr>
      </w:r>
      <w:r/>
    </w:p>
    <w:p>
      <w:pPr>
        <w:pStyle w:val="106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2、每个分包总分为100分，80分及以上为达标，80分以下为不达标。</w:t>
      </w:r>
      <w:r>
        <w:rPr>
          <w:rFonts w:hint="eastAsia" w:ascii="宋体" w:hAnsi="宋体" w:cs="宋体"/>
          <w:color w:val="000000"/>
          <w:sz w:val="24"/>
          <w:highlight w:val="none"/>
        </w:rPr>
      </w:r>
      <w:r/>
    </w:p>
    <w:p>
      <w:pPr>
        <w:pStyle w:val="106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每个分包入围供应商的淘汰比例：在满80分以上（即达标后），按照淘汰率20%比例入围供应商，向上取整数计算淘汰家数，且至少淘汰一家供应商（提交响应文件和符合资格条件、实质性要求的供应商少于2家时，采购活动终止）。</w:t>
      </w:r>
      <w:r>
        <w:rPr>
          <w:rFonts w:hint="eastAsia" w:ascii="宋体" w:hAnsi="宋体" w:cs="宋体"/>
          <w:color w:val="000000"/>
          <w:sz w:val="24"/>
          <w:highlight w:val="none"/>
        </w:rPr>
      </w:r>
      <w:r/>
    </w:p>
    <w:p>
      <w:pPr>
        <w:pStyle w:val="106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如在入围供应商上限出现综合得分相同的响应单位有两个或两个以上的，以小微企业优先作为成交供应商，如果均为小微的，则以抽签方式确定入围供应商。</w:t>
      </w:r>
      <w:r>
        <w:rPr>
          <w:rFonts w:hint="eastAsia" w:ascii="宋体" w:hAnsi="宋体" w:cs="宋体"/>
          <w:color w:val="000000"/>
          <w:sz w:val="24"/>
          <w:highlight w:val="none"/>
        </w:rPr>
      </w:r>
      <w:r/>
    </w:p>
    <w:p>
      <w:pPr>
        <w:pStyle w:val="106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4、本项目供应商可以任意选择一个分包进行响应，也可以同时选择多个分包进行响应，兼投兼中。</w:t>
      </w:r>
      <w:r>
        <w:rPr>
          <w:rFonts w:hint="eastAsia" w:ascii="宋体" w:hAnsi="宋体" w:cs="宋体"/>
          <w:color w:val="000000"/>
          <w:sz w:val="24"/>
          <w:highlight w:val="none"/>
        </w:rPr>
      </w:r>
      <w:r/>
    </w:p>
    <w:p>
      <w:pPr>
        <w:pStyle w:val="1060"/>
        <w:ind w:firstLine="482"/>
        <w:spacing w:line="360" w:lineRule="auto"/>
        <w:rPr>
          <w:rFonts w:ascii="宋体" w:hAnsi="宋体" w:cs="宋体"/>
          <w:color w:val="000000"/>
          <w:sz w:val="24"/>
          <w:highlight w:val="none"/>
        </w:rPr>
      </w:pPr>
      <w:r/>
      <w:bookmarkStart w:id="235" w:name="_Hlk132982326"/>
      <w:r>
        <w:rPr>
          <w:rFonts w:hint="eastAsia" w:ascii="宋体" w:hAnsi="宋体" w:cs="宋体"/>
          <w:color w:val="000000"/>
          <w:sz w:val="24"/>
          <w:highlight w:val="none"/>
        </w:rPr>
        <w:t xml:space="preserve">5、政府采购政策：</w:t>
      </w:r>
      <w:r>
        <w:rPr>
          <w:rFonts w:ascii="宋体" w:hAnsi="宋体" w:cs="宋体"/>
          <w:color w:val="000000"/>
          <w:sz w:val="24"/>
          <w:highlight w:val="none"/>
        </w:rPr>
      </w:r>
      <w:r/>
    </w:p>
    <w:p>
      <w:pPr>
        <w:pStyle w:val="1060"/>
        <w:ind w:firstLine="48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5.1中小企业</w:t>
      </w:r>
      <w:r>
        <w:rPr>
          <w:rFonts w:ascii="宋体" w:hAnsi="宋体" w:cs="宋体"/>
          <w:color w:val="000000"/>
          <w:sz w:val="24"/>
          <w:highlight w:val="none"/>
        </w:rPr>
      </w:r>
      <w:r/>
    </w:p>
    <w:p>
      <w:pPr>
        <w:pStyle w:val="1060"/>
        <w:ind w:firstLine="48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（1）根据《政府采购促进中小企业发展管理办法》 (财库〔2020〕46号)及《苏州市政府采购促进中小企业发展实施意见》（苏财购〔2022〕16号）的规定，对符合办法规定的小微企业报价给予20% 的扣除，用扣除后的报价参加评审。本采购项目为非专门面向中小企业采购项目，对应的中小企业划分标准所属行业为：其他未列明行业。</w:t>
      </w:r>
      <w:r>
        <w:rPr>
          <w:rFonts w:ascii="宋体" w:hAnsi="宋体" w:cs="宋体"/>
          <w:color w:val="000000"/>
          <w:sz w:val="24"/>
          <w:highlight w:val="none"/>
        </w:rPr>
      </w:r>
      <w:r/>
    </w:p>
    <w:p>
      <w:pPr>
        <w:pStyle w:val="1060"/>
        <w:ind w:firstLine="48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注：①中小企业参加政府采购活动，应当出具《中小企业声明函》，否则不得享受相关中小企业扶持政策；</w:t>
      </w:r>
      <w:r>
        <w:rPr>
          <w:rFonts w:ascii="宋体" w:hAnsi="宋体" w:cs="宋体"/>
          <w:color w:val="000000"/>
          <w:sz w:val="24"/>
          <w:highlight w:val="none"/>
        </w:rPr>
      </w:r>
      <w:r/>
    </w:p>
    <w:p>
      <w:pPr>
        <w:pStyle w:val="1060"/>
        <w:ind w:firstLine="48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②服务类项目中供应商若使用退休人员，将不享受相应扶持政策。</w:t>
      </w:r>
      <w:r>
        <w:rPr>
          <w:rFonts w:ascii="宋体" w:hAnsi="宋体" w:cs="宋体"/>
          <w:color w:val="000000"/>
          <w:sz w:val="24"/>
          <w:highlight w:val="none"/>
        </w:rPr>
      </w:r>
      <w:r/>
    </w:p>
    <w:p>
      <w:pPr>
        <w:pStyle w:val="1060"/>
        <w:ind w:firstLine="48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③以上规定未尽事项，按《政府采购促进中小企业发展管理办法》等有关制度规定执行。</w:t>
      </w:r>
      <w:r>
        <w:rPr>
          <w:rFonts w:ascii="宋体" w:hAnsi="宋体" w:cs="宋体"/>
          <w:color w:val="000000"/>
          <w:sz w:val="24"/>
          <w:highlight w:val="none"/>
        </w:rPr>
      </w:r>
      <w:r/>
    </w:p>
    <w:p>
      <w:pPr>
        <w:pStyle w:val="1060"/>
        <w:ind w:firstLine="48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w:t>
      </w:r>
      <w:r>
        <w:rPr>
          <w:rFonts w:ascii="宋体" w:hAnsi="宋体" w:cs="宋体"/>
          <w:color w:val="000000"/>
          <w:sz w:val="24"/>
          <w:highlight w:val="none"/>
        </w:rPr>
      </w:r>
      <w:r/>
    </w:p>
    <w:p>
      <w:pPr>
        <w:pStyle w:val="1060"/>
        <w:ind w:firstLine="48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符合《关于促进残疾人就业政府采购政策的通知》（财库〔2017〕141号）规定条件的残疾人福利性单位在参加政府采购活动时，应当提供《残疾人福利性单位声明函》。</w:t>
      </w:r>
      <w:r>
        <w:rPr>
          <w:rFonts w:ascii="宋体" w:hAnsi="宋体" w:cs="宋体"/>
          <w:color w:val="000000"/>
          <w:sz w:val="24"/>
          <w:highlight w:val="none"/>
        </w:rPr>
      </w:r>
      <w:r/>
    </w:p>
    <w:p>
      <w:pPr>
        <w:pStyle w:val="1060"/>
        <w:ind w:firstLine="48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w:t>
      </w:r>
      <w:r>
        <w:rPr>
          <w:rFonts w:ascii="宋体" w:hAnsi="宋体" w:cs="宋体"/>
          <w:color w:val="000000"/>
          <w:sz w:val="24"/>
          <w:highlight w:val="none"/>
        </w:rPr>
      </w:r>
      <w:r/>
    </w:p>
    <w:p>
      <w:pPr>
        <w:pStyle w:val="1060"/>
        <w:ind w:firstLine="48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符合《关于政府采购支持监狱企业发展有关问题的通知》（财库〔2014〕68号）条件的监狱企业参加政府采购活动时，应当提供由省级以上监狱管理局、戒毒管理局（含新疆生产建设兵团）出具的属于监狱企业的证明文件。</w:t>
      </w:r>
      <w:r>
        <w:rPr>
          <w:rFonts w:ascii="宋体" w:hAnsi="宋体" w:cs="宋体"/>
          <w:color w:val="000000"/>
          <w:sz w:val="24"/>
          <w:highlight w:val="none"/>
        </w:rPr>
      </w:r>
      <w:r/>
    </w:p>
    <w:p>
      <w:pPr>
        <w:pStyle w:val="1060"/>
        <w:ind w:firstLine="480"/>
        <w:spacing w:line="360" w:lineRule="auto"/>
        <w:rPr>
          <w:rFonts w:ascii="宋体" w:hAnsi="宋体"/>
          <w:color w:val="000000"/>
          <w:sz w:val="24"/>
          <w:highlight w:val="none"/>
        </w:rPr>
      </w:pPr>
      <w:r>
        <w:rPr>
          <w:rFonts w:hint="eastAsia" w:ascii="宋体" w:hAnsi="宋体" w:cs="宋体"/>
          <w:color w:val="000000"/>
          <w:sz w:val="24"/>
          <w:highlight w:val="none"/>
        </w:rPr>
        <w:t xml:space="preserve">（4）</w:t>
      </w:r>
      <w:r>
        <w:rPr>
          <w:rFonts w:hint="eastAsia" w:ascii="宋体" w:hAnsi="宋体"/>
          <w:color w:val="000000"/>
          <w:sz w:val="24"/>
          <w:highlight w:val="none"/>
        </w:rPr>
        <w:t xml:space="preserve">供应商对提供的《中小企业声明函》 、《残疾人福利性单位声明函》及监狱企业认定证明的真实性负责，若其提供虚假材料的，按《中华人民共和国政府采购法》相关规定处理并报请政府采购监管部门给予行政处罚。</w:t>
      </w:r>
      <w:r>
        <w:rPr>
          <w:rFonts w:ascii="宋体" w:hAnsi="宋体"/>
          <w:color w:val="000000"/>
          <w:sz w:val="24"/>
          <w:highlight w:val="none"/>
        </w:rPr>
      </w:r>
      <w:r/>
    </w:p>
    <w:p>
      <w:pPr>
        <w:pStyle w:val="1060"/>
        <w:ind w:firstLine="48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注：供应商如不提供以上证明材料的，不得享受相关政府采购政策。</w:t>
      </w:r>
      <w:r>
        <w:rPr>
          <w:rFonts w:ascii="宋体" w:hAnsi="宋体" w:cs="宋体"/>
          <w:color w:val="000000"/>
          <w:sz w:val="24"/>
          <w:highlight w:val="none"/>
        </w:rPr>
      </w:r>
      <w:r/>
    </w:p>
    <w:p>
      <w:pPr>
        <w:pStyle w:val="1060"/>
        <w:ind w:firstLine="48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5.2政府采购中实施本国产品标准及相关政策</w:t>
      </w:r>
      <w:r>
        <w:rPr>
          <w:rFonts w:ascii="宋体" w:hAnsi="宋体" w:cs="宋体"/>
          <w:color w:val="000000"/>
          <w:sz w:val="24"/>
          <w:highlight w:val="none"/>
        </w:rPr>
      </w:r>
      <w:r/>
    </w:p>
    <w:p>
      <w:pPr>
        <w:pStyle w:val="1060"/>
        <w:ind w:firstLine="480"/>
        <w:spacing w:line="348" w:lineRule="auto"/>
        <w:rPr>
          <w:rFonts w:ascii="宋体" w:hAnsi="宋体"/>
          <w:color w:val="000000"/>
          <w:sz w:val="24"/>
          <w:highlight w:val="none"/>
        </w:rPr>
      </w:pPr>
      <w:r>
        <w:rPr>
          <w:rFonts w:hint="eastAsia" w:ascii="宋体" w:hAnsi="宋体"/>
          <w:color w:val="000000"/>
          <w:sz w:val="24"/>
          <w:highlight w:val="none"/>
        </w:rPr>
        <w:t xml:space="preserve">根据《国务院办公厅关于在政府采购中实施本国产品标准及相关政策的通知》（国办发〔2025〕34号）等相关文件规定，对符合该文件适用范围的政府采购项目，执行本国产品相关政策。</w:t>
      </w:r>
      <w:r>
        <w:rPr>
          <w:rFonts w:ascii="宋体" w:hAnsi="宋体"/>
          <w:color w:val="000000"/>
          <w:sz w:val="24"/>
          <w:highlight w:val="none"/>
        </w:rPr>
      </w:r>
      <w:r/>
    </w:p>
    <w:p>
      <w:pPr>
        <w:pStyle w:val="1060"/>
        <w:ind w:firstLine="480"/>
        <w:spacing w:line="348" w:lineRule="auto"/>
        <w:rPr>
          <w:rFonts w:ascii="宋体" w:hAnsi="宋体"/>
          <w:color w:val="000000"/>
          <w:sz w:val="24"/>
          <w:highlight w:val="none"/>
        </w:rPr>
      </w:pPr>
      <w:r>
        <w:rPr>
          <w:rFonts w:hint="eastAsia" w:ascii="宋体" w:hAnsi="宋体"/>
          <w:color w:val="000000"/>
          <w:sz w:val="24"/>
          <w:highlight w:val="none"/>
        </w:rPr>
        <w:t xml:space="preserve">（1）本国产品标准：</w:t>
      </w:r>
      <w:r>
        <w:rPr>
          <w:rFonts w:ascii="宋体" w:hAnsi="宋体"/>
          <w:color w:val="000000"/>
          <w:sz w:val="24"/>
          <w:highlight w:val="none"/>
        </w:rPr>
      </w:r>
      <w:r/>
    </w:p>
    <w:p>
      <w:pPr>
        <w:pStyle w:val="1060"/>
        <w:ind w:firstLine="480"/>
        <w:spacing w:line="348" w:lineRule="auto"/>
        <w:rPr>
          <w:rFonts w:ascii="宋体" w:hAnsi="宋体"/>
          <w:color w:val="000000"/>
          <w:sz w:val="24"/>
          <w:highlight w:val="none"/>
        </w:rPr>
      </w:pPr>
      <w:r>
        <w:rPr>
          <w:rFonts w:hint="eastAsia" w:ascii="宋体" w:hAnsi="宋体"/>
          <w:color w:val="000000"/>
          <w:sz w:val="24"/>
          <w:highlight w:val="none"/>
        </w:rPr>
        <w:t xml:space="preserve">详见《国务院办公厅关于在政府采购中实施本国产品标准及相关政策的通知》（国办发〔2025〕34号）。</w:t>
      </w:r>
      <w:r>
        <w:rPr>
          <w:rFonts w:ascii="宋体" w:hAnsi="宋体"/>
          <w:color w:val="000000"/>
          <w:sz w:val="24"/>
          <w:highlight w:val="none"/>
        </w:rPr>
      </w:r>
      <w:r/>
    </w:p>
    <w:p>
      <w:pPr>
        <w:pStyle w:val="1060"/>
        <w:ind w:firstLine="480"/>
        <w:spacing w:line="348" w:lineRule="auto"/>
        <w:rPr>
          <w:rFonts w:ascii="宋体" w:hAnsi="宋体"/>
          <w:color w:val="000000"/>
          <w:sz w:val="24"/>
          <w:highlight w:val="none"/>
        </w:rPr>
      </w:pPr>
      <w:r>
        <w:rPr>
          <w:rFonts w:hint="eastAsia" w:ascii="宋体" w:hAnsi="宋体"/>
          <w:color w:val="000000"/>
          <w:sz w:val="24"/>
          <w:highlight w:val="none"/>
        </w:rPr>
        <w:t xml:space="preserve">（2）适用范围：</w:t>
      </w:r>
      <w:r>
        <w:rPr>
          <w:rFonts w:ascii="宋体" w:hAnsi="宋体"/>
          <w:color w:val="000000"/>
          <w:sz w:val="24"/>
          <w:highlight w:val="none"/>
        </w:rPr>
      </w:r>
      <w:r/>
    </w:p>
    <w:p>
      <w:pPr>
        <w:pStyle w:val="1060"/>
        <w:ind w:firstLine="480"/>
        <w:spacing w:line="348" w:lineRule="auto"/>
        <w:rPr>
          <w:rFonts w:ascii="宋体" w:hAnsi="宋体"/>
          <w:color w:val="000000"/>
          <w:sz w:val="24"/>
          <w:highlight w:val="none"/>
        </w:rPr>
      </w:pPr>
      <w:r>
        <w:rPr>
          <w:rFonts w:hint="eastAsia" w:ascii="宋体" w:hAnsi="宋体"/>
          <w:color w:val="000000"/>
          <w:sz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ascii="宋体" w:hAnsi="宋体"/>
          <w:color w:val="000000"/>
          <w:sz w:val="24"/>
          <w:highlight w:val="none"/>
        </w:rPr>
      </w:r>
      <w:r/>
    </w:p>
    <w:p>
      <w:pPr>
        <w:pStyle w:val="1060"/>
        <w:ind w:firstLine="480"/>
        <w:spacing w:line="348" w:lineRule="auto"/>
        <w:rPr>
          <w:rFonts w:ascii="宋体" w:hAnsi="宋体"/>
          <w:color w:val="000000"/>
          <w:sz w:val="24"/>
          <w:highlight w:val="none"/>
        </w:rPr>
      </w:pPr>
      <w:r>
        <w:rPr>
          <w:rFonts w:hint="eastAsia" w:ascii="宋体" w:hAnsi="宋体"/>
          <w:color w:val="000000"/>
          <w:sz w:val="24"/>
          <w:highlight w:val="none"/>
        </w:rPr>
        <w:t xml:space="preserve">（3）对本国产品的支持政策：</w:t>
      </w:r>
      <w:r>
        <w:rPr>
          <w:rFonts w:ascii="宋体" w:hAnsi="宋体"/>
          <w:color w:val="000000"/>
          <w:sz w:val="24"/>
          <w:highlight w:val="none"/>
        </w:rPr>
      </w:r>
      <w:r/>
    </w:p>
    <w:p>
      <w:pPr>
        <w:pStyle w:val="1060"/>
        <w:ind w:firstLine="482"/>
        <w:spacing w:line="348" w:lineRule="auto"/>
        <w:rPr>
          <w:rFonts w:ascii="宋体" w:hAnsi="宋体"/>
          <w:color w:val="000000"/>
          <w:sz w:val="24"/>
          <w:highlight w:val="none"/>
        </w:rPr>
      </w:pPr>
      <w:r>
        <w:rPr>
          <w:rFonts w:hint="eastAsia" w:ascii="宋体" w:hAnsi="宋体"/>
          <w:color w:val="000000"/>
          <w:sz w:val="24"/>
          <w:highlight w:val="none"/>
        </w:rPr>
        <w:t xml:space="preserve">政府采购活动中既有本国产品又有非本国产品参与竞争的，依法对本国产品给予价格评审优惠，对本国产品的报价给予20%的价格扣除，用扣除后的价格参与评审。</w:t>
      </w:r>
      <w:r>
        <w:rPr>
          <w:rFonts w:ascii="宋体" w:hAnsi="宋体"/>
          <w:color w:val="000000"/>
          <w:sz w:val="24"/>
          <w:highlight w:val="none"/>
        </w:rPr>
      </w:r>
      <w:r/>
    </w:p>
    <w:p>
      <w:pPr>
        <w:pStyle w:val="1060"/>
        <w:ind w:firstLine="480"/>
        <w:spacing w:line="348" w:lineRule="auto"/>
        <w:rPr>
          <w:rFonts w:ascii="宋体" w:hAnsi="宋体"/>
          <w:color w:val="000000"/>
          <w:sz w:val="24"/>
          <w:highlight w:val="none"/>
        </w:rPr>
      </w:pPr>
      <w:r>
        <w:rPr>
          <w:rFonts w:hint="eastAsia" w:ascii="宋体" w:hAnsi="宋体"/>
          <w:color w:val="000000"/>
          <w:sz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ascii="宋体" w:hAnsi="宋体"/>
          <w:color w:val="000000"/>
          <w:sz w:val="24"/>
          <w:highlight w:val="none"/>
        </w:rPr>
      </w:r>
      <w:r/>
    </w:p>
    <w:p>
      <w:pPr>
        <w:pStyle w:val="1060"/>
        <w:ind w:firstLine="480"/>
        <w:spacing w:line="348" w:lineRule="auto"/>
        <w:rPr>
          <w:rFonts w:ascii="宋体" w:hAnsi="宋体"/>
          <w:color w:val="000000"/>
          <w:sz w:val="24"/>
          <w:highlight w:val="none"/>
        </w:rPr>
      </w:pPr>
      <w:r/>
      <w:bookmarkStart w:id="236" w:name="OLE_LINK223"/>
      <w:r/>
      <w:bookmarkStart w:id="237" w:name="OLE_LINK224"/>
      <w:r>
        <w:rPr>
          <w:rFonts w:hint="eastAsia" w:ascii="宋体" w:hAnsi="宋体"/>
          <w:color w:val="000000"/>
          <w:sz w:val="24"/>
          <w:highlight w:val="none"/>
        </w:rPr>
        <w:t xml:space="preserve">（4）</w:t>
      </w:r>
      <w:bookmarkEnd w:id="236"/>
      <w:r/>
      <w:bookmarkEnd w:id="237"/>
      <w:r>
        <w:rPr>
          <w:rFonts w:hint="eastAsia" w:ascii="宋体" w:hAnsi="宋体"/>
          <w:color w:val="000000"/>
          <w:sz w:val="24"/>
          <w:highlight w:val="none"/>
        </w:rPr>
        <w:t xml:space="preserve">供应商对其提供的产品出具《关于符合本国产品标准的声明函》（格式见第三章，以下简称《声明函》）或财政部会同有关部门规定的有关证明文件。供应商投标文件中未提供符合要求的《声明函》或有关证明文件的，不享受对本国产品的支持政策。</w:t>
      </w:r>
      <w:r>
        <w:rPr>
          <w:rFonts w:ascii="宋体" w:hAnsi="宋体"/>
          <w:color w:val="000000"/>
          <w:sz w:val="24"/>
          <w:highlight w:val="none"/>
        </w:rPr>
      </w:r>
      <w:r/>
    </w:p>
    <w:p>
      <w:pPr>
        <w:pStyle w:val="1060"/>
        <w:ind w:firstLine="424"/>
        <w:spacing w:line="360" w:lineRule="auto"/>
        <w:rPr>
          <w:rFonts w:ascii="宋体" w:hAnsi="宋体"/>
          <w:color w:val="000000"/>
          <w:sz w:val="24"/>
          <w:highlight w:val="none"/>
        </w:rPr>
      </w:pPr>
      <w:r>
        <w:rPr>
          <w:rFonts w:hint="eastAsia" w:ascii="宋体" w:hAnsi="宋体"/>
          <w:color w:val="000000"/>
          <w:sz w:val="24"/>
          <w:highlight w:val="none"/>
        </w:rPr>
        <w:t xml:space="preserve">（5）供应商提供虚假《声明函》、虚假证明文件谋取中标、成交的，依照《中华人民共和国政府采购法》等法律法规规定追究相应责任。</w:t>
      </w:r>
      <w:r>
        <w:rPr>
          <w:rFonts w:ascii="宋体" w:hAnsi="宋体"/>
          <w:color w:val="000000"/>
          <w:sz w:val="24"/>
          <w:highlight w:val="none"/>
        </w:rPr>
      </w:r>
      <w:r/>
    </w:p>
    <w:p>
      <w:pPr>
        <w:pStyle w:val="1060"/>
        <w:ind w:firstLine="424"/>
        <w:spacing w:line="360" w:lineRule="auto"/>
        <w:rPr>
          <w:rFonts w:ascii="宋体" w:hAnsi="宋体"/>
          <w:color w:val="000000"/>
          <w:sz w:val="24"/>
          <w:highlight w:val="none"/>
        </w:rPr>
      </w:pPr>
      <w:r>
        <w:rPr>
          <w:rFonts w:hint="eastAsia" w:ascii="宋体" w:hAnsi="宋体"/>
          <w:color w:val="000000"/>
          <w:sz w:val="24"/>
          <w:highlight w:val="none"/>
        </w:rPr>
        <w:t xml:space="preserve">（6）评审中发现《关于符合本国产品标准的声明函》（以下简称《声明函》内容含义不明确、同类事项与投标（响应）文件表述不一致或者有明显文字错误等情况的，评标委员会有权以书面形式要求供应商作出必要的澄清、说明或者补正。经澄清、说明或者补正的《声明函》仍然不符合《通知》规定要求的，供应商提供的相关产品视为不符合本国产品标准。</w:t>
      </w:r>
      <w:r>
        <w:rPr>
          <w:rFonts w:ascii="宋体" w:hAnsi="宋体"/>
          <w:color w:val="000000"/>
          <w:sz w:val="24"/>
          <w:highlight w:val="none"/>
        </w:rPr>
      </w:r>
      <w:r/>
    </w:p>
    <w:p>
      <w:pPr>
        <w:pStyle w:val="1060"/>
        <w:ind w:firstLine="424"/>
        <w:spacing w:line="360" w:lineRule="auto"/>
        <w:rPr>
          <w:rFonts w:ascii="宋体" w:hAnsi="宋体"/>
          <w:color w:val="000000"/>
          <w:sz w:val="24"/>
          <w:highlight w:val="none"/>
        </w:rPr>
      </w:pPr>
      <w:r>
        <w:rPr>
          <w:rFonts w:hint="eastAsia" w:ascii="宋体" w:hAnsi="宋体"/>
          <w:b/>
          <w:color w:val="000000"/>
          <w:sz w:val="24"/>
          <w:highlight w:val="none"/>
        </w:rPr>
        <w:t xml:space="preserve">6.说明：</w:t>
      </w:r>
      <w:r>
        <w:rPr>
          <w:rFonts w:hint="eastAsia" w:ascii="宋体" w:hAnsi="宋体"/>
          <w:color w:val="000000"/>
          <w:sz w:val="24"/>
          <w:highlight w:val="none"/>
        </w:rPr>
        <w:t xml:space="preserve">针对评分标准中评分的每一条，响应单位在响应文件中应提供清晰明了的相关资料并做出相应说明供评委评判，不提供相关资料或提供的资料不清晰或评委无法判断是否满足评分要求的，视为不具备该项得分的条件。</w:t>
      </w:r>
      <w:r>
        <w:rPr>
          <w:rFonts w:ascii="宋体" w:hAnsi="宋体"/>
          <w:color w:val="000000"/>
          <w:sz w:val="24"/>
          <w:highlight w:val="none"/>
        </w:rPr>
      </w:r>
      <w:r/>
    </w:p>
    <w:p>
      <w:pPr>
        <w:pStyle w:val="1060"/>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二、确定第二阶段成交供应商的方式</w:t>
      </w:r>
      <w:bookmarkEnd w:id="235"/>
      <w:r>
        <w:rPr>
          <w:rFonts w:hint="eastAsia" w:ascii="宋体" w:hAnsi="宋体" w:cs="宋体"/>
          <w:b/>
          <w:bCs/>
          <w:color w:val="000000"/>
          <w:sz w:val="24"/>
          <w:highlight w:val="none"/>
        </w:rPr>
      </w:r>
      <w:r/>
    </w:p>
    <w:p>
      <w:pPr>
        <w:pStyle w:val="106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1、采用直接选定：由采购人对适配机构就适配服务场所严格审核，并确定场所具备适配条件后，依据适配机构的服务质量以及服务便利性、用户评价等因素，从第一阶段入围供应商中直接选定。</w:t>
      </w:r>
      <w:r>
        <w:rPr>
          <w:rFonts w:hint="eastAsia" w:ascii="宋体" w:hAnsi="宋体" w:cs="宋体"/>
          <w:color w:val="000000"/>
          <w:sz w:val="24"/>
          <w:highlight w:val="none"/>
        </w:rPr>
      </w:r>
      <w:r/>
    </w:p>
    <w:p>
      <w:pPr>
        <w:pStyle w:val="106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2、采购人在确定成交供应商后，双方应当按照框架协议中规定签订采购合同，不得擅自改变框架协议约定的合同实质性条款。</w:t>
      </w:r>
      <w:r>
        <w:rPr>
          <w:rFonts w:hint="eastAsia" w:ascii="宋体" w:hAnsi="宋体" w:cs="宋体"/>
          <w:color w:val="000000"/>
          <w:sz w:val="24"/>
          <w:highlight w:val="none"/>
        </w:rPr>
      </w:r>
      <w:r/>
    </w:p>
    <w:p>
      <w:pPr>
        <w:pStyle w:val="1060"/>
        <w:ind w:firstLine="482"/>
        <w:spacing w:line="52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三、评分标准</w:t>
      </w:r>
      <w:r>
        <w:rPr>
          <w:rFonts w:hint="eastAsia" w:ascii="宋体" w:hAnsi="宋体" w:cs="宋体"/>
          <w:b/>
          <w:bCs/>
          <w:color w:val="000000"/>
          <w:sz w:val="24"/>
          <w:highlight w:val="none"/>
        </w:rPr>
      </w:r>
      <w:r/>
    </w:p>
    <w:p>
      <w:pPr>
        <w:pStyle w:val="1060"/>
        <w:ind w:firstLine="566"/>
        <w:jc w:val="center"/>
        <w:spacing w:line="360" w:lineRule="auto"/>
        <w:rPr>
          <w:rFonts w:ascii="宋体" w:hAnsi="宋体" w:cs="宋体"/>
          <w:b/>
          <w:color w:val="000000"/>
          <w:sz w:val="24"/>
          <w:highlight w:val="none"/>
        </w:rPr>
      </w:pPr>
      <w:r/>
      <w:bookmarkStart w:id="238" w:name="OLE_LINK120"/>
      <w:r/>
      <w:bookmarkStart w:id="239" w:name="OLE_LINK121"/>
      <w:r>
        <w:rPr>
          <w:rFonts w:hint="eastAsia" w:ascii="宋体" w:hAnsi="宋体" w:cs="宋体"/>
          <w:b/>
          <w:color w:val="000000"/>
          <w:sz w:val="24"/>
          <w:highlight w:val="none"/>
        </w:rPr>
        <w:t xml:space="preserve">采购包1</w:t>
      </w:r>
      <w:bookmarkEnd w:id="238"/>
      <w:r/>
      <w:bookmarkEnd w:id="239"/>
      <w:r>
        <w:rPr>
          <w:rFonts w:hint="eastAsia" w:ascii="宋体" w:hAnsi="宋体" w:cs="宋体"/>
          <w:b/>
          <w:color w:val="000000"/>
          <w:sz w:val="24"/>
          <w:highlight w:val="none"/>
        </w:rPr>
        <w:t xml:space="preserve">：残疾人助听器适配服务</w:t>
      </w:r>
      <w:r>
        <w:rPr>
          <w:rFonts w:ascii="宋体" w:hAnsi="宋体" w:cs="宋体"/>
          <w:b/>
          <w:color w:val="000000"/>
          <w:sz w:val="24"/>
          <w:highlight w:val="none"/>
        </w:rPr>
      </w:r>
      <w:r/>
    </w:p>
    <w:p>
      <w:pPr>
        <w:pStyle w:val="1060"/>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服务和技术能力100分</w:t>
      </w:r>
      <w:r>
        <w:rPr>
          <w:rFonts w:ascii="宋体" w:hAnsi="宋体" w:cs="宋体"/>
          <w:b/>
          <w:color w:val="000000"/>
          <w:sz w:val="24"/>
          <w:highlight w:val="none"/>
        </w:rPr>
      </w:r>
      <w:r/>
    </w:p>
    <w:p>
      <w:pPr>
        <w:pStyle w:val="1060"/>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1.专业技术队伍（26分）</w:t>
      </w:r>
      <w:r>
        <w:rPr>
          <w:rFonts w:ascii="宋体" w:hAnsi="宋体" w:cs="宋体"/>
          <w:b/>
          <w:color w:val="000000"/>
          <w:sz w:val="24"/>
          <w:highlight w:val="none"/>
        </w:rPr>
      </w:r>
      <w:r/>
    </w:p>
    <w:p>
      <w:pPr>
        <w:pStyle w:val="1060"/>
        <w:ind w:firstLine="480"/>
        <w:spacing w:line="360" w:lineRule="auto"/>
        <w:widowControl/>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（1）</w:t>
      </w:r>
      <w:bookmarkStart w:id="240" w:name="OLE_LINK259"/>
      <w:r/>
      <w:bookmarkStart w:id="241" w:name="OLE_LINK260"/>
      <w:r/>
      <w:bookmarkStart w:id="242" w:name="OLE_LINK281"/>
      <w:r/>
      <w:bookmarkStart w:id="243" w:name="OLE_LINK282"/>
      <w:r/>
      <w:bookmarkStart w:id="244" w:name="OLE_LINK283"/>
      <w:r>
        <w:rPr>
          <w:rFonts w:hint="eastAsia" w:ascii="宋体" w:hAnsi="宋体" w:cs="宋体"/>
          <w:color w:val="000000"/>
          <w:sz w:val="24"/>
          <w:szCs w:val="21"/>
          <w:highlight w:val="none"/>
        </w:rPr>
        <w:t xml:space="preserve">服务团队</w:t>
      </w:r>
      <w:bookmarkEnd w:id="240"/>
      <w:r/>
      <w:bookmarkEnd w:id="241"/>
      <w:r/>
      <w:bookmarkEnd w:id="242"/>
      <w:r>
        <w:rPr>
          <w:rFonts w:hint="eastAsia" w:ascii="宋体" w:hAnsi="宋体" w:cs="宋体"/>
          <w:color w:val="000000"/>
          <w:sz w:val="24"/>
          <w:szCs w:val="21"/>
          <w:highlight w:val="none"/>
        </w:rPr>
        <w:t xml:space="preserve">5分：</w:t>
      </w:r>
      <w:bookmarkStart w:id="245" w:name="OLE_LINK240"/>
      <w:r/>
      <w:bookmarkStart w:id="246" w:name="OLE_LINK239"/>
      <w:r>
        <w:rPr>
          <w:rFonts w:hint="eastAsia" w:ascii="宋体" w:hAnsi="宋体" w:cs="宋体"/>
          <w:color w:val="000000"/>
          <w:sz w:val="24"/>
          <w:szCs w:val="21"/>
          <w:highlight w:val="none"/>
        </w:rPr>
        <w:t xml:space="preserve">配备4人及以上全职服务人员</w:t>
      </w:r>
      <w:bookmarkEnd w:id="245"/>
      <w:r/>
      <w:bookmarkEnd w:id="246"/>
      <w:r>
        <w:rPr>
          <w:rFonts w:hint="eastAsia" w:ascii="宋体" w:hAnsi="宋体" w:cs="宋体"/>
          <w:color w:val="000000"/>
          <w:sz w:val="24"/>
          <w:szCs w:val="21"/>
          <w:highlight w:val="none"/>
        </w:rPr>
        <w:t xml:space="preserve">的，得5分。</w:t>
      </w:r>
      <w:bookmarkEnd w:id="243"/>
      <w:r/>
      <w:bookmarkEnd w:id="244"/>
      <w:r>
        <w:rPr>
          <w:rFonts w:hint="eastAsia" w:ascii="宋体" w:hAnsi="宋体" w:cs="宋体"/>
          <w:color w:val="000000"/>
          <w:sz w:val="24"/>
          <w:szCs w:val="21"/>
          <w:highlight w:val="none"/>
        </w:rPr>
      </w:r>
      <w:r/>
    </w:p>
    <w:p>
      <w:pPr>
        <w:pStyle w:val="1060"/>
        <w:ind w:firstLine="480"/>
        <w:spacing w:line="360" w:lineRule="auto"/>
        <w:widowControl/>
        <w:rPr>
          <w:rFonts w:ascii="宋体" w:hAnsi="宋体" w:cs="宋体"/>
          <w:b/>
          <w:bCs/>
          <w:color w:val="000000"/>
          <w:sz w:val="24"/>
          <w:szCs w:val="21"/>
          <w:highlight w:val="none"/>
        </w:rPr>
      </w:pPr>
      <w:r>
        <w:rPr>
          <w:rFonts w:hint="eastAsia" w:ascii="宋体" w:hAnsi="宋体" w:cs="宋体"/>
          <w:color w:val="000000"/>
          <w:sz w:val="24"/>
          <w:highlight w:val="none"/>
        </w:rPr>
        <w:t xml:space="preserve">（2）</w:t>
      </w:r>
      <w:bookmarkStart w:id="247" w:name="OLE_LINK284"/>
      <w:r/>
      <w:bookmarkStart w:id="248" w:name="OLE_LINK234"/>
      <w:r/>
      <w:bookmarkStart w:id="249" w:name="OLE_LINK233"/>
      <w:r/>
      <w:bookmarkStart w:id="250" w:name="OLE_LINK285"/>
      <w:r/>
      <w:bookmarkStart w:id="251" w:name="OLE_LINK286"/>
      <w:r>
        <w:rPr>
          <w:rFonts w:hint="eastAsia" w:ascii="宋体" w:hAnsi="宋体" w:cs="宋体"/>
          <w:color w:val="000000"/>
          <w:sz w:val="24"/>
          <w:highlight w:val="none"/>
        </w:rPr>
        <w:t xml:space="preserve">管理人员</w:t>
      </w:r>
      <w:bookmarkEnd w:id="247"/>
      <w:r/>
      <w:bookmarkEnd w:id="248"/>
      <w:r/>
      <w:bookmarkEnd w:id="249"/>
      <w:r>
        <w:rPr>
          <w:rFonts w:hint="eastAsia" w:ascii="宋体" w:hAnsi="宋体" w:cs="宋体"/>
          <w:color w:val="000000"/>
          <w:sz w:val="24"/>
          <w:highlight w:val="none"/>
        </w:rPr>
        <w:t xml:space="preserve">3分：机构应指定1名本项目管理人员，负责与采购人对接日常工作，配备1名管理人员得3分，不配备不得分。</w:t>
      </w:r>
      <w:bookmarkEnd w:id="250"/>
      <w:r/>
      <w:bookmarkEnd w:id="251"/>
      <w:r>
        <w:rPr>
          <w:rFonts w:hint="eastAsia" w:ascii="宋体" w:hAnsi="宋体" w:cs="宋体"/>
          <w:b/>
          <w:bCs/>
          <w:color w:val="000000"/>
          <w:sz w:val="24"/>
          <w:highlight w:val="none"/>
        </w:rPr>
        <w:t xml:space="preserve">（以上人员需在响应文件中提供劳动合同及供应商为其缴纳的开标前至少三个月的社保证明材料，不提供对应人员不得分。）</w:t>
      </w:r>
      <w:r>
        <w:rPr>
          <w:rFonts w:ascii="宋体" w:hAnsi="宋体" w:cs="宋体"/>
          <w:b/>
          <w:bCs/>
          <w:color w:val="000000"/>
          <w:sz w:val="24"/>
          <w:szCs w:val="21"/>
          <w:highlight w:val="none"/>
        </w:rPr>
      </w:r>
      <w:r/>
    </w:p>
    <w:p>
      <w:pPr>
        <w:pStyle w:val="1060"/>
        <w:ind w:firstLine="480"/>
        <w:spacing w:line="360" w:lineRule="auto"/>
        <w:rPr>
          <w:rFonts w:ascii="宋体" w:hAnsi="宋体" w:cs="宋体"/>
          <w:b/>
          <w:bCs/>
          <w:color w:val="000000"/>
          <w:sz w:val="24"/>
          <w:highlight w:val="none"/>
        </w:rPr>
      </w:pPr>
      <w:r>
        <w:rPr>
          <w:rFonts w:hint="eastAsia" w:ascii="宋体" w:hAnsi="宋体" w:cs="宋体"/>
          <w:color w:val="000000"/>
          <w:sz w:val="24"/>
          <w:highlight w:val="none"/>
        </w:rPr>
        <w:t xml:space="preserve">（3）</w:t>
      </w:r>
      <w:bookmarkStart w:id="252" w:name="OLE_LINK262"/>
      <w:r/>
      <w:bookmarkStart w:id="253" w:name="OLE_LINK261"/>
      <w:r/>
      <w:bookmarkStart w:id="254" w:name="OLE_LINK288"/>
      <w:r/>
      <w:bookmarkStart w:id="255" w:name="OLE_LINK287"/>
      <w:r>
        <w:rPr>
          <w:rFonts w:hint="eastAsia" w:ascii="宋体" w:hAnsi="宋体" w:cs="宋体"/>
          <w:color w:val="000000"/>
          <w:sz w:val="24"/>
          <w:highlight w:val="none"/>
        </w:rPr>
        <w:t xml:space="preserve">专业技术人员</w:t>
      </w:r>
      <w:bookmarkEnd w:id="252"/>
      <w:r/>
      <w:bookmarkEnd w:id="253"/>
      <w:r>
        <w:rPr>
          <w:rFonts w:hint="eastAsia" w:ascii="宋体" w:hAnsi="宋体" w:cs="宋体"/>
          <w:color w:val="000000"/>
          <w:sz w:val="24"/>
          <w:highlight w:val="none"/>
        </w:rPr>
        <w:t xml:space="preserve">12分：机构内配备依法取得执业医师或</w:t>
      </w:r>
      <w:bookmarkStart w:id="256" w:name="OLE_LINK241"/>
      <w:r/>
      <w:bookmarkStart w:id="257" w:name="OLE_LINK242"/>
      <w:r>
        <w:rPr>
          <w:rFonts w:hint="eastAsia" w:ascii="宋体" w:hAnsi="宋体" w:cs="宋体"/>
          <w:color w:val="000000"/>
          <w:sz w:val="24"/>
          <w:highlight w:val="none"/>
        </w:rPr>
        <w:t xml:space="preserve">助听器验配师</w:t>
      </w:r>
      <w:bookmarkEnd w:id="256"/>
      <w:r/>
      <w:bookmarkEnd w:id="257"/>
      <w:r>
        <w:rPr>
          <w:rFonts w:hint="eastAsia" w:ascii="宋体" w:hAnsi="宋体" w:cs="宋体"/>
          <w:color w:val="000000"/>
          <w:sz w:val="24"/>
          <w:highlight w:val="none"/>
        </w:rPr>
        <w:t xml:space="preserve">的人员3人及以上，且其中1人</w:t>
      </w:r>
      <w:bookmarkStart w:id="258" w:name="OLE_LINK86"/>
      <w:r/>
      <w:bookmarkStart w:id="259" w:name="OLE_LINK87"/>
      <w:r>
        <w:rPr>
          <w:rFonts w:hint="eastAsia" w:ascii="宋体" w:hAnsi="宋体" w:cs="宋体"/>
          <w:color w:val="000000"/>
          <w:sz w:val="24"/>
          <w:highlight w:val="none"/>
        </w:rPr>
        <w:t xml:space="preserve">在本行业从业经验不得少于3年</w:t>
      </w:r>
      <w:bookmarkEnd w:id="258"/>
      <w:r/>
      <w:bookmarkEnd w:id="259"/>
      <w:r>
        <w:rPr>
          <w:rFonts w:hint="eastAsia" w:ascii="宋体" w:hAnsi="宋体" w:cs="宋体"/>
          <w:color w:val="000000"/>
          <w:sz w:val="24"/>
          <w:highlight w:val="none"/>
        </w:rPr>
        <w:t xml:space="preserve">，完全满足得12分，每少1人在满分基础上扣4分，无3年以上从业经验人员则本项不得分。</w:t>
      </w:r>
      <w:bookmarkEnd w:id="254"/>
      <w:r/>
      <w:bookmarkEnd w:id="255"/>
      <w:r>
        <w:rPr>
          <w:rFonts w:hint="eastAsia" w:ascii="宋体" w:hAnsi="宋体" w:cs="宋体"/>
          <w:b/>
          <w:bCs/>
          <w:color w:val="000000"/>
          <w:sz w:val="24"/>
          <w:highlight w:val="none"/>
        </w:rPr>
        <w:t xml:space="preserve">（以上人员需在响应文件中提供劳动合同、相关证书及供应商为其缴纳的开标前至少三个月的社保证明材料，其中1人在本行业从业经验不得少于3年需提供社保及个人履历等证明材料，多家单位社保可以累计计算，不提供对应人员不得分。）</w:t>
      </w:r>
      <w:r>
        <w:rPr>
          <w:rFonts w:ascii="宋体" w:hAnsi="宋体" w:cs="宋体"/>
          <w:b/>
          <w:bCs/>
          <w:color w:val="000000"/>
          <w:sz w:val="24"/>
          <w:highlight w:val="none"/>
        </w:rPr>
      </w:r>
      <w:r/>
    </w:p>
    <w:p>
      <w:pPr>
        <w:pStyle w:val="1060"/>
        <w:ind w:firstLine="480"/>
        <w:spacing w:line="360" w:lineRule="auto"/>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（4）</w:t>
      </w:r>
      <w:bookmarkStart w:id="260" w:name="OLE_LINK289"/>
      <w:r/>
      <w:bookmarkStart w:id="261" w:name="OLE_LINK263"/>
      <w:r/>
      <w:bookmarkStart w:id="262" w:name="OLE_LINK264"/>
      <w:r/>
      <w:bookmarkStart w:id="263" w:name="OLE_LINK290"/>
      <w:r>
        <w:rPr>
          <w:rFonts w:hint="eastAsia" w:ascii="宋体" w:hAnsi="宋体" w:cs="宋体"/>
          <w:color w:val="000000"/>
          <w:sz w:val="24"/>
          <w:szCs w:val="21"/>
          <w:highlight w:val="none"/>
        </w:rPr>
        <w:t xml:space="preserve">证书认证</w:t>
      </w:r>
      <w:bookmarkEnd w:id="260"/>
      <w:r/>
      <w:bookmarkEnd w:id="261"/>
      <w:r/>
      <w:bookmarkEnd w:id="262"/>
      <w:r>
        <w:rPr>
          <w:rFonts w:hint="eastAsia" w:ascii="宋体" w:hAnsi="宋体" w:cs="宋体"/>
          <w:color w:val="000000"/>
          <w:sz w:val="24"/>
          <w:szCs w:val="21"/>
          <w:highlight w:val="none"/>
        </w:rPr>
        <w:t xml:space="preserve">6分：专业技术人员持有医师执业证书（执业注册信息需在“中华人民共和国国家卫生健康委员会官网医师执业注册信息”可供查询）或持有助听器验配师职业证书或职业技能等级证书（证书需在“技能人才评价证书全国联网系统”等国家部委政府官方渠道可供查询），每一人得2分（一人持多证也得2分，不重复得分），最高得6分。（以上人员证书需在响应文件中提供网站截图，不提供对应人员不得分。）</w:t>
      </w:r>
      <w:r>
        <w:rPr>
          <w:rFonts w:hint="eastAsia" w:ascii="宋体" w:hAnsi="宋体" w:cs="宋体"/>
          <w:color w:val="000000"/>
          <w:sz w:val="24"/>
          <w:szCs w:val="21"/>
          <w:highlight w:val="none"/>
        </w:rPr>
      </w:r>
      <w:r/>
    </w:p>
    <w:p>
      <w:pPr>
        <w:pStyle w:val="1060"/>
        <w:ind w:firstLine="482"/>
        <w:spacing w:line="360" w:lineRule="auto"/>
        <w:rPr>
          <w:rFonts w:hint="eastAsia" w:ascii="宋体" w:hAnsi="宋体" w:cs="宋体"/>
          <w:b/>
          <w:bCs/>
          <w:color w:val="000000"/>
          <w:sz w:val="24"/>
          <w:szCs w:val="21"/>
          <w:highlight w:val="none"/>
        </w:rPr>
      </w:pPr>
      <w:r/>
      <w:bookmarkEnd w:id="263"/>
      <w:r/>
      <w:bookmarkStart w:id="264" w:name="OLE_LINK95"/>
      <w:r/>
      <w:bookmarkStart w:id="265" w:name="OLE_LINK94"/>
      <w:r>
        <w:rPr>
          <w:rFonts w:hint="eastAsia" w:ascii="宋体" w:hAnsi="宋体" w:cs="宋体"/>
          <w:b/>
          <w:bCs/>
          <w:color w:val="000000"/>
          <w:sz w:val="24"/>
          <w:szCs w:val="21"/>
          <w:highlight w:val="none"/>
        </w:rPr>
        <w:t xml:space="preserve">注：上述所有人员均须专职服务本分包项目。</w:t>
      </w:r>
      <w:r>
        <w:rPr>
          <w:rFonts w:hint="eastAsia" w:ascii="宋体" w:hAnsi="宋体" w:cs="宋体"/>
          <w:b/>
          <w:bCs/>
          <w:color w:val="000000"/>
          <w:sz w:val="24"/>
          <w:szCs w:val="21"/>
          <w:highlight w:val="none"/>
        </w:rPr>
      </w:r>
      <w:r/>
    </w:p>
    <w:p>
      <w:pPr>
        <w:pStyle w:val="1060"/>
        <w:ind w:firstLine="480"/>
        <w:spacing w:line="360" w:lineRule="auto"/>
        <w:rPr>
          <w:rFonts w:ascii="宋体" w:hAnsi="宋体" w:cs="宋体"/>
          <w:b/>
          <w:color w:val="000000"/>
          <w:sz w:val="24"/>
          <w:highlight w:val="none"/>
        </w:rPr>
      </w:pPr>
      <w:r/>
      <w:bookmarkEnd w:id="264"/>
      <w:r/>
      <w:bookmarkEnd w:id="265"/>
      <w:r>
        <w:rPr>
          <w:rFonts w:hint="eastAsia" w:ascii="宋体" w:hAnsi="宋体" w:cs="宋体"/>
          <w:b/>
          <w:color w:val="000000"/>
          <w:sz w:val="24"/>
          <w:highlight w:val="none"/>
        </w:rPr>
        <w:t xml:space="preserve">2.服务要求（9分）</w:t>
      </w:r>
      <w:r>
        <w:rPr>
          <w:rFonts w:ascii="宋体" w:hAnsi="宋体" w:cs="宋体"/>
          <w:b/>
          <w:color w:val="000000"/>
          <w:sz w:val="24"/>
          <w:highlight w:val="none"/>
        </w:rPr>
      </w:r>
      <w:r/>
    </w:p>
    <w:p>
      <w:pPr>
        <w:pStyle w:val="1060"/>
        <w:ind w:firstLine="480"/>
        <w:spacing w:line="360" w:lineRule="auto"/>
        <w:rPr>
          <w:rFonts w:ascii="宋体" w:hAnsi="宋体" w:cs="宋体"/>
          <w:color w:val="000000"/>
          <w:sz w:val="24"/>
          <w:highlight w:val="none"/>
        </w:rPr>
      </w:pPr>
      <w:r/>
      <w:bookmarkStart w:id="266" w:name="OLE_LINK294"/>
      <w:r/>
      <w:bookmarkStart w:id="267" w:name="OLE_LINK293"/>
      <w:r>
        <w:rPr>
          <w:rFonts w:hint="eastAsia" w:ascii="宋体" w:hAnsi="宋体" w:cs="宋体"/>
          <w:color w:val="000000"/>
          <w:sz w:val="24"/>
          <w:highlight w:val="none"/>
        </w:rPr>
        <w:t xml:space="preserve">（1）</w:t>
      </w:r>
      <w:bookmarkStart w:id="268" w:name="OLE_LINK266"/>
      <w:r/>
      <w:bookmarkStart w:id="269" w:name="OLE_LINK65"/>
      <w:r/>
      <w:bookmarkStart w:id="270" w:name="OLE_LINK292"/>
      <w:r>
        <w:rPr>
          <w:rFonts w:hint="eastAsia" w:ascii="宋体" w:hAnsi="宋体" w:cs="宋体"/>
          <w:color w:val="000000"/>
          <w:sz w:val="24"/>
          <w:highlight w:val="none"/>
        </w:rPr>
        <w:t xml:space="preserve">制度管理</w:t>
      </w:r>
      <w:bookmarkEnd w:id="268"/>
      <w:r/>
      <w:bookmarkEnd w:id="269"/>
      <w:r/>
      <w:bookmarkEnd w:id="270"/>
      <w:r>
        <w:rPr>
          <w:rFonts w:hint="eastAsia" w:ascii="宋体" w:hAnsi="宋体" w:cs="宋体"/>
          <w:color w:val="000000"/>
          <w:sz w:val="24"/>
          <w:highlight w:val="none"/>
        </w:rPr>
        <w:t xml:space="preserve">（3分）</w:t>
      </w:r>
      <w:bookmarkStart w:id="271" w:name="OLE_LINK67"/>
      <w:r/>
      <w:bookmarkStart w:id="272" w:name="OLE_LINK66"/>
      <w:r>
        <w:rPr>
          <w:rFonts w:ascii="宋体" w:hAnsi="宋体" w:cs="宋体"/>
          <w:color w:val="000000"/>
          <w:sz w:val="24"/>
          <w:highlight w:val="none"/>
        </w:rPr>
      </w:r>
      <w:r/>
    </w:p>
    <w:p>
      <w:pPr>
        <w:pStyle w:val="106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供应商针对本项目服务内容制定的管理制度包含但不限于人力资源管理（含岗位职责）、财务管理制度（含固定资产管理制度）、业务管理制度、突发事件应急预案（含安全、消防等）、信息管理（含信息安全、舆情处置等）、服务项目档案管理制度等。</w:t>
      </w:r>
      <w:bookmarkEnd w:id="271"/>
      <w:r/>
      <w:bookmarkEnd w:id="272"/>
      <w:r/>
      <w:bookmarkStart w:id="273" w:name="OLE_LINK68"/>
      <w:r>
        <w:rPr>
          <w:rFonts w:hint="eastAsia" w:ascii="宋体" w:hAnsi="宋体" w:cs="宋体"/>
          <w:color w:val="000000"/>
          <w:sz w:val="24"/>
          <w:highlight w:val="none"/>
        </w:rPr>
        <w:t xml:space="preserve">管理制度完全包含上述内容且制度涵盖内容全面、条款责任和义务清晰、相关流程规范的，得3分；</w:t>
      </w:r>
      <w:r>
        <w:rPr>
          <w:rFonts w:ascii="宋体" w:hAnsi="宋体" w:cs="宋体"/>
          <w:color w:val="000000"/>
          <w:sz w:val="24"/>
          <w:highlight w:val="none"/>
        </w:rPr>
        <w:t xml:space="preserve">制度基本符合本项目需求，但</w:t>
      </w:r>
      <w:r>
        <w:rPr>
          <w:rFonts w:hint="eastAsia" w:ascii="宋体" w:hAnsi="宋体" w:cs="宋体"/>
          <w:color w:val="000000"/>
          <w:sz w:val="24"/>
          <w:highlight w:val="none"/>
        </w:rPr>
        <w:t xml:space="preserve">针对性不强的，得2分；上述管理制度不全，或内容明显错误的得1分；未提供管理制度或制度内容严重缺失，不能满足本项目实际需求的，得0分。</w:t>
      </w:r>
      <w:bookmarkEnd w:id="266"/>
      <w:r/>
      <w:bookmarkEnd w:id="267"/>
      <w:r>
        <w:rPr>
          <w:rFonts w:ascii="宋体" w:hAnsi="宋体" w:cs="宋体"/>
          <w:color w:val="000000"/>
          <w:sz w:val="24"/>
          <w:highlight w:val="none"/>
        </w:rPr>
      </w:r>
      <w:r/>
    </w:p>
    <w:p>
      <w:pPr>
        <w:pStyle w:val="1060"/>
        <w:ind w:firstLine="480"/>
        <w:spacing w:line="360" w:lineRule="auto"/>
        <w:rPr>
          <w:rFonts w:ascii="宋体" w:hAnsi="宋体" w:cs="宋体"/>
          <w:color w:val="000000"/>
          <w:sz w:val="24"/>
          <w:highlight w:val="none"/>
        </w:rPr>
      </w:pPr>
      <w:r/>
      <w:bookmarkStart w:id="274" w:name="OLE_LINK296"/>
      <w:r/>
      <w:bookmarkStart w:id="275" w:name="OLE_LINK295"/>
      <w:r>
        <w:rPr>
          <w:rFonts w:hint="eastAsia" w:ascii="宋体" w:hAnsi="宋体" w:cs="宋体"/>
          <w:color w:val="000000"/>
          <w:sz w:val="24"/>
          <w:highlight w:val="none"/>
        </w:rPr>
        <w:t xml:space="preserve">（2）</w:t>
      </w:r>
      <w:bookmarkStart w:id="276" w:name="OLE_LINK267"/>
      <w:r/>
      <w:bookmarkStart w:id="277" w:name="OLE_LINK268"/>
      <w:r>
        <w:rPr>
          <w:rFonts w:hint="eastAsia" w:ascii="宋体" w:hAnsi="宋体" w:cs="宋体"/>
          <w:color w:val="000000"/>
          <w:sz w:val="24"/>
          <w:highlight w:val="none"/>
        </w:rPr>
        <w:t xml:space="preserve">服务方案</w:t>
      </w:r>
      <w:bookmarkEnd w:id="273"/>
      <w:r/>
      <w:bookmarkEnd w:id="276"/>
      <w:r/>
      <w:bookmarkEnd w:id="277"/>
      <w:r>
        <w:rPr>
          <w:rFonts w:hint="eastAsia" w:ascii="宋体" w:hAnsi="宋体" w:cs="宋体"/>
          <w:color w:val="000000"/>
          <w:sz w:val="24"/>
          <w:highlight w:val="none"/>
        </w:rPr>
        <w:t xml:space="preserve">（3分）</w:t>
      </w:r>
      <w:r>
        <w:rPr>
          <w:rFonts w:ascii="宋体" w:hAnsi="宋体" w:cs="宋体"/>
          <w:color w:val="000000"/>
          <w:sz w:val="24"/>
          <w:highlight w:val="none"/>
        </w:rPr>
      </w:r>
      <w:r/>
    </w:p>
    <w:p>
      <w:pPr>
        <w:pStyle w:val="1060"/>
        <w:ind w:firstLine="480"/>
        <w:spacing w:line="360" w:lineRule="auto"/>
        <w:rPr>
          <w:rFonts w:ascii="宋体" w:hAnsi="宋体" w:cs="宋体"/>
          <w:color w:val="000000"/>
          <w:sz w:val="24"/>
          <w:highlight w:val="none"/>
        </w:rPr>
      </w:pPr>
      <w:r/>
      <w:bookmarkStart w:id="278" w:name="OLE_LINK69"/>
      <w:r>
        <w:rPr>
          <w:rFonts w:hint="eastAsia" w:ascii="宋体" w:hAnsi="宋体" w:cs="宋体"/>
          <w:color w:val="000000"/>
          <w:sz w:val="24"/>
          <w:highlight w:val="none"/>
        </w:rPr>
        <w:t xml:space="preserve">供应商针对本项目制定的具体服务方案，至少包括服务计划、服务标准、工作措施、项目开展的流程、增值服务（如上门服务等）、服务过程中可能遇到的重点和难点问题及解决办法等。</w:t>
      </w:r>
      <w:bookmarkEnd w:id="278"/>
      <w:r/>
      <w:bookmarkStart w:id="279" w:name="OLE_LINK70"/>
      <w:r>
        <w:rPr>
          <w:rFonts w:hint="eastAsia" w:ascii="宋体" w:hAnsi="宋体" w:cs="宋体"/>
          <w:color w:val="000000"/>
          <w:sz w:val="24"/>
          <w:highlight w:val="none"/>
        </w:rPr>
        <w:t xml:space="preserve">方案完全符合本项目实际需求的，得3分；非核心内容缺失或内容未针对本项目实际场景定制，但能满足本项目实际需求的，得2分；核心内容有欠缺或内容明显错误，但方案编制基本可行的得1分；内容简单、不能满足本项目实际需求的，得0分。</w:t>
      </w:r>
      <w:bookmarkEnd w:id="274"/>
      <w:r/>
      <w:bookmarkEnd w:id="275"/>
      <w:r>
        <w:rPr>
          <w:rFonts w:ascii="宋体" w:hAnsi="宋体" w:cs="宋体"/>
          <w:color w:val="000000"/>
          <w:sz w:val="24"/>
          <w:highlight w:val="none"/>
        </w:rPr>
      </w:r>
      <w:r/>
    </w:p>
    <w:p>
      <w:pPr>
        <w:pStyle w:val="106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w:t>
      </w:r>
      <w:bookmarkStart w:id="280" w:name="OLE_LINK272"/>
      <w:r/>
      <w:bookmarkStart w:id="281" w:name="OLE_LINK271"/>
      <w:r/>
      <w:bookmarkStart w:id="282" w:name="OLE_LINK298"/>
      <w:r/>
      <w:bookmarkStart w:id="283" w:name="OLE_LINK297"/>
      <w:r>
        <w:rPr>
          <w:rFonts w:hint="eastAsia" w:ascii="宋体" w:hAnsi="宋体" w:cs="宋体"/>
          <w:color w:val="000000"/>
          <w:sz w:val="24"/>
          <w:highlight w:val="none"/>
        </w:rPr>
        <w:t xml:space="preserve">售后服务</w:t>
      </w:r>
      <w:bookmarkEnd w:id="279"/>
      <w:r/>
      <w:bookmarkEnd w:id="280"/>
      <w:r/>
      <w:bookmarkEnd w:id="281"/>
      <w:r>
        <w:rPr>
          <w:rFonts w:hint="eastAsia" w:ascii="宋体" w:hAnsi="宋体" w:cs="宋体"/>
          <w:color w:val="000000"/>
          <w:sz w:val="24"/>
          <w:highlight w:val="none"/>
        </w:rPr>
        <w:t xml:space="preserve">（3分）</w:t>
      </w:r>
      <w:r>
        <w:rPr>
          <w:rFonts w:ascii="宋体" w:hAnsi="宋体" w:cs="宋体"/>
          <w:color w:val="000000"/>
          <w:sz w:val="24"/>
          <w:highlight w:val="none"/>
        </w:rPr>
      </w:r>
      <w:r/>
    </w:p>
    <w:p>
      <w:pPr>
        <w:pStyle w:val="1060"/>
        <w:ind w:firstLine="480"/>
        <w:spacing w:line="360" w:lineRule="auto"/>
        <w:rPr>
          <w:rFonts w:ascii="宋体" w:hAnsi="宋体" w:cs="宋体"/>
          <w:color w:val="000000"/>
          <w:sz w:val="24"/>
          <w:highlight w:val="none"/>
        </w:rPr>
      </w:pPr>
      <w:r/>
      <w:bookmarkStart w:id="284" w:name="OLE_LINK71"/>
      <w:r/>
      <w:bookmarkStart w:id="285" w:name="OLE_LINK72"/>
      <w:r>
        <w:rPr>
          <w:rFonts w:hint="eastAsia" w:ascii="宋体" w:hAnsi="宋体" w:cs="宋体"/>
          <w:color w:val="000000"/>
          <w:sz w:val="24"/>
          <w:highlight w:val="none"/>
        </w:rPr>
        <w:t xml:space="preserve">供应商结合本项目的服务特点，提供售后服务方案，提出针对性的定期回访，根据需要进行调整、维护、维修或更换，定期提供免费保养服务，提供保护听力、延缓听力下降的健康教育宣传服务，个性化的使用指导，设立患者投诉及处理机制等。</w:t>
      </w:r>
      <w:bookmarkEnd w:id="284"/>
      <w:r/>
      <w:bookmarkEnd w:id="285"/>
      <w:r>
        <w:rPr>
          <w:rFonts w:hint="eastAsia" w:ascii="宋体" w:hAnsi="宋体" w:cs="宋体"/>
          <w:color w:val="000000"/>
          <w:sz w:val="24"/>
          <w:highlight w:val="none"/>
        </w:rPr>
        <w:t xml:space="preserve">方案完全符合本项目实际需求的，得3分；非核心内容缺失或内容未针对本项目实际场景定制，但能满足本项目实际需求的，得2分；核心内容有欠缺或内容明显错误，但方案编制基本可行的得1分；内容简单、不能满足本项目实际需求的，得0分。</w:t>
      </w:r>
      <w:bookmarkEnd w:id="282"/>
      <w:r/>
      <w:bookmarkEnd w:id="283"/>
      <w:r>
        <w:rPr>
          <w:rFonts w:ascii="宋体" w:hAnsi="宋体" w:cs="宋体"/>
          <w:color w:val="000000"/>
          <w:sz w:val="24"/>
          <w:highlight w:val="none"/>
        </w:rPr>
      </w:r>
      <w:r/>
    </w:p>
    <w:p>
      <w:pPr>
        <w:pStyle w:val="1060"/>
        <w:ind w:left="482"/>
        <w:spacing w:line="360" w:lineRule="auto"/>
        <w:rPr>
          <w:rFonts w:ascii="宋体" w:hAnsi="宋体" w:cs="宋体"/>
          <w:b/>
          <w:color w:val="000000"/>
          <w:sz w:val="24"/>
          <w:highlight w:val="none"/>
        </w:rPr>
      </w:pPr>
      <w:r/>
      <w:bookmarkStart w:id="286" w:name="OLE_LINK257"/>
      <w:r/>
      <w:bookmarkStart w:id="287" w:name="OLE_LINK258"/>
      <w:r/>
      <w:bookmarkStart w:id="288" w:name="OLE_LINK62"/>
      <w:r/>
      <w:bookmarkStart w:id="289" w:name="OLE_LINK61"/>
      <w:r>
        <w:rPr>
          <w:rFonts w:hint="eastAsia" w:ascii="宋体" w:hAnsi="宋体" w:cs="宋体"/>
          <w:b/>
          <w:color w:val="000000"/>
          <w:sz w:val="24"/>
          <w:highlight w:val="none"/>
        </w:rPr>
        <w:t xml:space="preserve">3.场地设置</w:t>
      </w:r>
      <w:bookmarkEnd w:id="286"/>
      <w:r/>
      <w:bookmarkEnd w:id="287"/>
      <w:r>
        <w:rPr>
          <w:rFonts w:hint="eastAsia" w:ascii="宋体" w:hAnsi="宋体" w:cs="宋体"/>
          <w:b/>
          <w:color w:val="000000"/>
          <w:sz w:val="24"/>
          <w:highlight w:val="none"/>
        </w:rPr>
        <w:t xml:space="preserve">（33分）</w:t>
      </w:r>
      <w:r>
        <w:rPr>
          <w:rFonts w:ascii="宋体" w:hAnsi="宋体" w:cs="宋体"/>
          <w:b/>
          <w:color w:val="000000"/>
          <w:sz w:val="24"/>
          <w:highlight w:val="none"/>
        </w:rPr>
      </w:r>
      <w:r/>
    </w:p>
    <w:p>
      <w:pPr>
        <w:pStyle w:val="1060"/>
        <w:ind w:firstLine="480"/>
        <w:spacing w:line="360" w:lineRule="auto"/>
        <w:rPr>
          <w:rFonts w:ascii="宋体" w:hAnsi="宋体" w:cs="宋体"/>
          <w:color w:val="000000"/>
          <w:sz w:val="24"/>
          <w:highlight w:val="none"/>
        </w:rPr>
      </w:pPr>
      <w:r/>
      <w:bookmarkStart w:id="290" w:name="OLE_LINK254"/>
      <w:r/>
      <w:bookmarkStart w:id="291" w:name="OLE_LINK253"/>
      <w:r>
        <w:rPr>
          <w:rFonts w:hint="eastAsia" w:ascii="宋体" w:hAnsi="宋体" w:cs="宋体"/>
          <w:color w:val="000000"/>
          <w:sz w:val="24"/>
          <w:highlight w:val="none"/>
        </w:rPr>
        <w:t xml:space="preserve">机构应设置病案室、测听室、取型室、耳模制作室、助听器验配室、助听器维修室、评估室、康复指导室和助听器产品展示接待室。</w:t>
      </w:r>
      <w:r>
        <w:rPr>
          <w:rFonts w:ascii="宋体" w:hAnsi="宋体" w:cs="宋体"/>
          <w:color w:val="000000"/>
          <w:sz w:val="24"/>
          <w:highlight w:val="none"/>
        </w:rPr>
      </w:r>
      <w:r/>
    </w:p>
    <w:p>
      <w:pPr>
        <w:pStyle w:val="1060"/>
        <w:ind w:left="48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（1）测听室及评估室须符合国家标准GB/T16296.1-2018和GB/T16296.2关于声场及测听室建设标准。</w:t>
      </w:r>
      <w:r>
        <w:rPr>
          <w:rFonts w:ascii="宋体" w:hAnsi="宋体" w:cs="宋体"/>
          <w:color w:val="000000"/>
          <w:sz w:val="24"/>
          <w:highlight w:val="none"/>
        </w:rPr>
      </w:r>
      <w:r/>
    </w:p>
    <w:p>
      <w:pPr>
        <w:pStyle w:val="1060"/>
        <w:ind w:left="48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（2）病案室：不少于10平方米，用于保管医疗及康复档案。</w:t>
      </w:r>
      <w:r>
        <w:rPr>
          <w:rFonts w:ascii="宋体" w:hAnsi="宋体" w:cs="宋体"/>
          <w:color w:val="000000"/>
          <w:sz w:val="24"/>
          <w:highlight w:val="none"/>
        </w:rPr>
      </w:r>
      <w:r/>
    </w:p>
    <w:p>
      <w:pPr>
        <w:pStyle w:val="1060"/>
        <w:ind w:left="48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（3）测听室：不少于10平方米，用于对听力语言残疾人进行听力检测。</w:t>
      </w:r>
      <w:r>
        <w:rPr>
          <w:rFonts w:ascii="宋体" w:hAnsi="宋体" w:cs="宋体"/>
          <w:color w:val="000000"/>
          <w:sz w:val="24"/>
          <w:highlight w:val="none"/>
        </w:rPr>
      </w:r>
      <w:r/>
    </w:p>
    <w:p>
      <w:pPr>
        <w:pStyle w:val="1060"/>
        <w:ind w:left="48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w:t>
      </w:r>
      <w:bookmarkStart w:id="292" w:name="OLE_LINK179"/>
      <w:r/>
      <w:bookmarkStart w:id="293" w:name="OLE_LINK180"/>
      <w:r>
        <w:rPr>
          <w:rFonts w:hint="eastAsia" w:ascii="宋体" w:hAnsi="宋体" w:cs="宋体"/>
          <w:color w:val="000000"/>
          <w:sz w:val="24"/>
          <w:highlight w:val="none"/>
        </w:rPr>
        <w:t xml:space="preserve">取型室</w:t>
      </w:r>
      <w:bookmarkEnd w:id="292"/>
      <w:r/>
      <w:bookmarkEnd w:id="293"/>
      <w:r>
        <w:rPr>
          <w:rFonts w:hint="eastAsia" w:ascii="宋体" w:hAnsi="宋体" w:cs="宋体"/>
          <w:color w:val="000000"/>
          <w:sz w:val="24"/>
          <w:highlight w:val="none"/>
        </w:rPr>
        <w:t xml:space="preserve">：不少于10平方米，用于耳膜取型。</w:t>
      </w:r>
      <w:r>
        <w:rPr>
          <w:rFonts w:ascii="宋体" w:hAnsi="宋体" w:cs="宋体"/>
          <w:color w:val="000000"/>
          <w:sz w:val="24"/>
          <w:highlight w:val="none"/>
        </w:rPr>
      </w:r>
      <w:r/>
    </w:p>
    <w:p>
      <w:pPr>
        <w:pStyle w:val="1060"/>
        <w:ind w:left="48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w:t>
      </w:r>
      <w:bookmarkStart w:id="294" w:name="OLE_LINK193"/>
      <w:r/>
      <w:bookmarkStart w:id="295" w:name="OLE_LINK192"/>
      <w:r>
        <w:rPr>
          <w:rFonts w:hint="eastAsia" w:ascii="宋体" w:hAnsi="宋体" w:cs="宋体"/>
          <w:color w:val="000000"/>
          <w:sz w:val="24"/>
          <w:highlight w:val="none"/>
        </w:rPr>
        <w:t xml:space="preserve">耳模制作室</w:t>
      </w:r>
      <w:bookmarkEnd w:id="294"/>
      <w:r/>
      <w:bookmarkEnd w:id="295"/>
      <w:r>
        <w:rPr>
          <w:rFonts w:hint="eastAsia" w:ascii="宋体" w:hAnsi="宋体" w:cs="宋体"/>
          <w:color w:val="000000"/>
          <w:sz w:val="24"/>
          <w:highlight w:val="none"/>
        </w:rPr>
        <w:t xml:space="preserve">：不少于10平方米，用于制作耳模。</w:t>
      </w:r>
      <w:r>
        <w:rPr>
          <w:rFonts w:ascii="宋体" w:hAnsi="宋体" w:cs="宋体"/>
          <w:color w:val="000000"/>
          <w:sz w:val="24"/>
          <w:highlight w:val="none"/>
        </w:rPr>
      </w:r>
      <w:r/>
    </w:p>
    <w:p>
      <w:pPr>
        <w:pStyle w:val="1060"/>
        <w:ind w:left="48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（6）助听器验配室：用于助听器的验配和评估（可与测听室合用）。</w:t>
      </w:r>
      <w:r>
        <w:rPr>
          <w:rFonts w:ascii="宋体" w:hAnsi="宋体" w:cs="宋体"/>
          <w:color w:val="000000"/>
          <w:sz w:val="24"/>
          <w:highlight w:val="none"/>
        </w:rPr>
      </w:r>
      <w:r/>
    </w:p>
    <w:p>
      <w:pPr>
        <w:pStyle w:val="1060"/>
        <w:ind w:left="48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（7）助听器维修室：用于承担助听器的日常维护和维修（可与耳模制作室合用）。</w:t>
      </w:r>
      <w:r>
        <w:rPr>
          <w:rFonts w:ascii="宋体" w:hAnsi="宋体" w:cs="宋体"/>
          <w:color w:val="000000"/>
          <w:sz w:val="24"/>
          <w:highlight w:val="none"/>
        </w:rPr>
      </w:r>
      <w:r/>
    </w:p>
    <w:p>
      <w:pPr>
        <w:pStyle w:val="1060"/>
        <w:ind w:left="48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（8）助听器效果评估室和学习能力评估室：</w:t>
      </w:r>
      <w:bookmarkStart w:id="296" w:name="OLE_LINK209"/>
      <w:r/>
      <w:bookmarkStart w:id="297" w:name="OLE_LINK210"/>
      <w:r>
        <w:rPr>
          <w:rFonts w:hint="eastAsia" w:ascii="宋体" w:hAnsi="宋体" w:cs="宋体"/>
          <w:color w:val="000000"/>
          <w:sz w:val="24"/>
          <w:highlight w:val="none"/>
        </w:rPr>
        <w:t xml:space="preserve">不少于10平方米</w:t>
      </w:r>
      <w:bookmarkEnd w:id="296"/>
      <w:r/>
      <w:bookmarkEnd w:id="297"/>
      <w:r>
        <w:rPr>
          <w:rFonts w:hint="eastAsia" w:ascii="宋体" w:hAnsi="宋体" w:cs="宋体"/>
          <w:color w:val="000000"/>
          <w:sz w:val="24"/>
          <w:highlight w:val="none"/>
        </w:rPr>
        <w:t xml:space="preserve">，用于评估小龄听障儿童的学习能力和行为能力。</w:t>
      </w:r>
      <w:r>
        <w:rPr>
          <w:rFonts w:ascii="宋体" w:hAnsi="宋体" w:cs="宋体"/>
          <w:color w:val="000000"/>
          <w:sz w:val="24"/>
          <w:highlight w:val="none"/>
        </w:rPr>
      </w:r>
      <w:r/>
    </w:p>
    <w:p>
      <w:pPr>
        <w:pStyle w:val="1060"/>
        <w:ind w:left="48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（9）康复指导室：指导或协助听力语言残疾人度过配戴听辅器具适应期（可与学习能力评估室合用）。</w:t>
      </w:r>
      <w:r>
        <w:rPr>
          <w:rFonts w:ascii="宋体" w:hAnsi="宋体" w:cs="宋体"/>
          <w:color w:val="000000"/>
          <w:sz w:val="24"/>
          <w:highlight w:val="none"/>
        </w:rPr>
      </w:r>
      <w:r/>
    </w:p>
    <w:p>
      <w:pPr>
        <w:pStyle w:val="1060"/>
        <w:ind w:left="48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（10）助听器产品展示接待室：不少于10平方米，用于接待听力语言残疾人和展示助听器常用机型。</w:t>
      </w:r>
      <w:r>
        <w:rPr>
          <w:rFonts w:ascii="宋体" w:hAnsi="宋体" w:cs="宋体"/>
          <w:color w:val="000000"/>
          <w:sz w:val="24"/>
          <w:highlight w:val="none"/>
        </w:rPr>
      </w:r>
      <w:r/>
    </w:p>
    <w:p>
      <w:pPr>
        <w:pStyle w:val="1060"/>
        <w:ind w:left="482"/>
        <w:spacing w:line="360" w:lineRule="auto"/>
        <w:rPr>
          <w:rFonts w:ascii="宋体" w:hAnsi="宋体" w:cs="宋体"/>
          <w:color w:val="000000"/>
          <w:sz w:val="24"/>
          <w:highlight w:val="none"/>
        </w:rPr>
      </w:pPr>
      <w:r/>
      <w:bookmarkStart w:id="298" w:name="OLE_LINK63"/>
      <w:r/>
      <w:bookmarkStart w:id="299" w:name="OLE_LINK64"/>
      <w:r>
        <w:rPr>
          <w:rFonts w:hint="eastAsia" w:ascii="宋体" w:hAnsi="宋体" w:cs="宋体"/>
          <w:color w:val="000000"/>
          <w:sz w:val="24"/>
          <w:highlight w:val="none"/>
        </w:rPr>
        <w:t xml:space="preserve">（11）建筑总面积不少于100㎡，且业务用房面积不少于建筑总面积的70%。</w:t>
      </w:r>
      <w:r>
        <w:rPr>
          <w:rFonts w:ascii="宋体" w:hAnsi="宋体" w:cs="宋体"/>
          <w:color w:val="000000"/>
          <w:sz w:val="24"/>
          <w:highlight w:val="none"/>
        </w:rPr>
      </w:r>
      <w:r/>
    </w:p>
    <w:p>
      <w:pPr>
        <w:pStyle w:val="1060"/>
        <w:ind w:firstLine="480"/>
        <w:spacing w:line="360" w:lineRule="auto"/>
        <w:rPr>
          <w:rFonts w:hint="eastAsia" w:ascii="宋体" w:hAnsi="宋体" w:cs="宋体"/>
          <w:b/>
          <w:color w:val="000000"/>
          <w:sz w:val="24"/>
          <w:highlight w:val="none"/>
        </w:rPr>
      </w:pPr>
      <w:r/>
      <w:bookmarkStart w:id="300" w:name="OLE_LINK207"/>
      <w:r/>
      <w:bookmarkStart w:id="301" w:name="OLE_LINK208"/>
      <w:r/>
      <w:bookmarkStart w:id="302" w:name="OLE_LINK124"/>
      <w:r/>
      <w:bookmarkStart w:id="303" w:name="OLE_LINK125"/>
      <w:r/>
      <w:bookmarkStart w:id="304" w:name="OLE_LINK213"/>
      <w:r>
        <w:rPr>
          <w:rFonts w:hint="eastAsia" w:ascii="宋体" w:hAnsi="宋体" w:cs="宋体"/>
          <w:color w:val="000000"/>
          <w:sz w:val="24"/>
          <w:highlight w:val="none"/>
        </w:rPr>
        <w:t xml:space="preserve">供应商提供的服务场所满足上述要求的，每一项得3分</w:t>
      </w:r>
      <w:bookmarkEnd w:id="300"/>
      <w:r/>
      <w:bookmarkEnd w:id="301"/>
      <w:r>
        <w:rPr>
          <w:rFonts w:hint="eastAsia" w:ascii="宋体" w:hAnsi="宋体" w:cs="宋体"/>
          <w:color w:val="000000"/>
          <w:sz w:val="24"/>
          <w:highlight w:val="none"/>
        </w:rPr>
        <w:t xml:space="preserve">，最多33分</w:t>
      </w:r>
      <w:bookmarkEnd w:id="298"/>
      <w:r/>
      <w:bookmarkEnd w:id="299"/>
      <w:r>
        <w:rPr>
          <w:rFonts w:hint="eastAsia" w:ascii="宋体" w:hAnsi="宋体" w:cs="宋体"/>
          <w:color w:val="000000"/>
          <w:sz w:val="24"/>
          <w:highlight w:val="none"/>
        </w:rPr>
        <w:t xml:space="preserve">。</w:t>
      </w:r>
      <w:bookmarkEnd w:id="290"/>
      <w:r/>
      <w:bookmarkEnd w:id="291"/>
      <w:r/>
      <w:bookmarkEnd w:id="302"/>
      <w:r/>
      <w:bookmarkEnd w:id="303"/>
      <w:r/>
      <w:bookmarkEnd w:id="304"/>
      <w:r>
        <w:rPr>
          <w:rFonts w:hint="eastAsia" w:ascii="宋体" w:hAnsi="宋体" w:cs="宋体"/>
          <w:b/>
          <w:color w:val="000000"/>
          <w:sz w:val="24"/>
          <w:highlight w:val="none"/>
        </w:rPr>
        <w:t xml:space="preserve">（请在响应文件中提供测听室及评估室</w:t>
      </w:r>
      <w:r>
        <w:rPr>
          <w:rFonts w:hint="eastAsia" w:ascii="宋体" w:hAnsi="宋体" w:cs="宋体"/>
          <w:b/>
          <w:bCs/>
          <w:color w:val="000000"/>
          <w:sz w:val="24"/>
          <w:highlight w:val="none"/>
        </w:rPr>
        <w:t xml:space="preserve">建设标准证明、</w:t>
      </w:r>
      <w:r>
        <w:rPr>
          <w:rFonts w:hint="eastAsia" w:ascii="宋体" w:hAnsi="宋体" w:cs="宋体"/>
          <w:b/>
          <w:color w:val="000000"/>
          <w:sz w:val="24"/>
          <w:highlight w:val="none"/>
        </w:rPr>
        <w:t xml:space="preserve">场地使用证明</w:t>
      </w:r>
      <w:r>
        <w:rPr>
          <w:rFonts w:hint="eastAsia" w:ascii="宋体" w:hAnsi="宋体" w:cs="宋体"/>
          <w:color w:val="000000"/>
          <w:sz w:val="24"/>
          <w:highlight w:val="none"/>
        </w:rPr>
        <w:t xml:space="preserve">、</w:t>
      </w:r>
      <w:r>
        <w:rPr>
          <w:rFonts w:hint="eastAsia" w:ascii="宋体" w:hAnsi="宋体" w:cs="宋体"/>
          <w:b/>
          <w:color w:val="000000"/>
          <w:sz w:val="24"/>
          <w:highlight w:val="none"/>
        </w:rPr>
        <w:t xml:space="preserve">平面图（标注清楚每个功能室及面积）、现场照片等相关证明材料；不提供对应项不得分。）</w:t>
      </w:r>
      <w:r>
        <w:rPr>
          <w:rFonts w:hint="eastAsia" w:ascii="宋体" w:hAnsi="宋体" w:cs="宋体"/>
          <w:b/>
          <w:color w:val="000000"/>
          <w:sz w:val="24"/>
          <w:highlight w:val="none"/>
        </w:rPr>
      </w:r>
      <w:r/>
    </w:p>
    <w:p>
      <w:pPr>
        <w:pStyle w:val="1060"/>
        <w:ind w:firstLine="480"/>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4.设备配置（24分）</w:t>
      </w:r>
      <w:r>
        <w:rPr>
          <w:rFonts w:ascii="宋体" w:hAnsi="宋体" w:cs="宋体"/>
          <w:b/>
          <w:color w:val="000000"/>
          <w:sz w:val="24"/>
          <w:highlight w:val="none"/>
        </w:rPr>
      </w:r>
      <w:r/>
    </w:p>
    <w:p>
      <w:pPr>
        <w:pStyle w:val="106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供应商应配备开展助听器验配服务的相关设备。</w:t>
      </w:r>
      <w:r>
        <w:rPr>
          <w:rFonts w:ascii="宋体" w:hAnsi="宋体" w:cs="宋体"/>
          <w:color w:val="000000"/>
          <w:sz w:val="24"/>
          <w:highlight w:val="none"/>
        </w:rPr>
      </w:r>
      <w:r/>
    </w:p>
    <w:p>
      <w:pPr>
        <w:pStyle w:val="106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4.1 </w:t>
      </w:r>
      <w:bookmarkStart w:id="305" w:name="OLE_LINK74"/>
      <w:r/>
      <w:bookmarkStart w:id="306" w:name="OLE_LINK73"/>
      <w:r>
        <w:rPr>
          <w:rFonts w:hint="eastAsia" w:ascii="宋体" w:hAnsi="宋体" w:cs="宋体"/>
          <w:color w:val="000000"/>
          <w:sz w:val="24"/>
          <w:highlight w:val="none"/>
        </w:rPr>
        <w:t xml:space="preserve">测听设备</w:t>
      </w:r>
      <w:bookmarkEnd w:id="305"/>
      <w:r/>
      <w:bookmarkEnd w:id="306"/>
      <w:r>
        <w:rPr>
          <w:rFonts w:hint="eastAsia" w:ascii="宋体" w:hAnsi="宋体" w:cs="宋体"/>
          <w:color w:val="000000"/>
          <w:sz w:val="24"/>
          <w:highlight w:val="none"/>
        </w:rPr>
        <w:t xml:space="preserve">（15分）</w:t>
      </w:r>
      <w:r>
        <w:rPr>
          <w:rFonts w:ascii="宋体" w:hAnsi="宋体" w:cs="宋体"/>
          <w:color w:val="000000"/>
          <w:sz w:val="24"/>
          <w:highlight w:val="none"/>
        </w:rPr>
      </w:r>
      <w:r/>
    </w:p>
    <w:p>
      <w:pPr>
        <w:pStyle w:val="1060"/>
        <w:ind w:firstLine="480"/>
        <w:spacing w:line="360" w:lineRule="auto"/>
        <w:rPr>
          <w:rFonts w:ascii="宋体" w:hAnsi="宋体" w:cs="宋体"/>
          <w:color w:val="000000"/>
          <w:sz w:val="24"/>
          <w:highlight w:val="none"/>
        </w:rPr>
      </w:pPr>
      <w:r/>
      <w:bookmarkStart w:id="307" w:name="OLE_LINK275"/>
      <w:r>
        <w:rPr>
          <w:rFonts w:hint="eastAsia" w:ascii="宋体" w:hAnsi="宋体" w:cs="宋体"/>
          <w:color w:val="000000"/>
          <w:sz w:val="24"/>
          <w:highlight w:val="none"/>
        </w:rPr>
        <w:t xml:space="preserve">（1）主（客）观测听设备：如多频稳态听觉电位诱发电位仪、视觉强化仪、纯音测听仪、多频声导抗仪等；</w:t>
      </w:r>
      <w:r>
        <w:rPr>
          <w:rFonts w:ascii="宋体" w:hAnsi="宋体" w:cs="宋体"/>
          <w:color w:val="000000"/>
          <w:sz w:val="24"/>
          <w:highlight w:val="none"/>
        </w:rPr>
      </w:r>
      <w:r/>
    </w:p>
    <w:p>
      <w:pPr>
        <w:pStyle w:val="106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（2）助听器验配评估设备：如助听器分析仪、带扬声器的纯音听力计、计算机、编程器等；</w:t>
      </w:r>
      <w:r>
        <w:rPr>
          <w:rFonts w:ascii="宋体" w:hAnsi="宋体" w:cs="宋体"/>
          <w:color w:val="000000"/>
          <w:sz w:val="24"/>
          <w:highlight w:val="none"/>
        </w:rPr>
      </w:r>
      <w:r/>
    </w:p>
    <w:p>
      <w:pPr>
        <w:pStyle w:val="106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（3）耳模制作设备；</w:t>
      </w:r>
      <w:r>
        <w:rPr>
          <w:rFonts w:ascii="宋体" w:hAnsi="宋体" w:cs="宋体"/>
          <w:color w:val="000000"/>
          <w:sz w:val="24"/>
          <w:highlight w:val="none"/>
        </w:rPr>
      </w:r>
      <w:r/>
    </w:p>
    <w:p>
      <w:pPr>
        <w:pStyle w:val="106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（4）助听器维护及维修设备；</w:t>
      </w:r>
      <w:r>
        <w:rPr>
          <w:rFonts w:ascii="宋体" w:hAnsi="宋体" w:cs="宋体"/>
          <w:color w:val="000000"/>
          <w:sz w:val="24"/>
          <w:highlight w:val="none"/>
        </w:rPr>
      </w:r>
      <w:r/>
    </w:p>
    <w:p>
      <w:pPr>
        <w:pStyle w:val="106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（5）助听器检测仪：如声场校准设备、声级计等；</w:t>
      </w:r>
      <w:r>
        <w:rPr>
          <w:rFonts w:ascii="宋体" w:hAnsi="宋体" w:cs="宋体"/>
          <w:color w:val="000000"/>
          <w:sz w:val="24"/>
          <w:highlight w:val="none"/>
        </w:rPr>
      </w:r>
      <w:r/>
    </w:p>
    <w:p>
      <w:pPr>
        <w:pStyle w:val="1060"/>
        <w:ind w:firstLine="480"/>
        <w:spacing w:line="360" w:lineRule="auto"/>
        <w:rPr>
          <w:rFonts w:ascii="宋体" w:hAnsi="宋体" w:cs="宋体"/>
          <w:color w:val="000000"/>
          <w:sz w:val="24"/>
          <w:highlight w:val="none"/>
        </w:rPr>
      </w:pPr>
      <w:r/>
      <w:bookmarkStart w:id="308" w:name="OLE_LINK75"/>
      <w:r>
        <w:rPr>
          <w:rFonts w:hint="eastAsia" w:ascii="宋体" w:hAnsi="宋体" w:cs="宋体"/>
          <w:color w:val="000000"/>
          <w:sz w:val="24"/>
          <w:highlight w:val="none"/>
        </w:rPr>
        <w:t xml:space="preserve">供应商针对本项目提供的测听设备中有一项得3分，最多得15分。</w:t>
      </w:r>
      <w:bookmarkEnd w:id="307"/>
      <w:r/>
      <w:bookmarkEnd w:id="308"/>
      <w:r>
        <w:rPr>
          <w:rFonts w:ascii="宋体" w:hAnsi="宋体" w:cs="宋体"/>
          <w:color w:val="000000"/>
          <w:sz w:val="24"/>
          <w:highlight w:val="none"/>
        </w:rPr>
      </w:r>
      <w:r/>
    </w:p>
    <w:p>
      <w:pPr>
        <w:pStyle w:val="1060"/>
        <w:ind w:firstLine="480"/>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4.2 </w:t>
      </w:r>
      <w:bookmarkStart w:id="309" w:name="OLE_LINK76"/>
      <w:r/>
      <w:bookmarkStart w:id="310" w:name="OLE_LINK77"/>
      <w:r>
        <w:rPr>
          <w:rFonts w:hint="eastAsia" w:ascii="宋体" w:hAnsi="宋体" w:cs="宋体"/>
          <w:color w:val="000000"/>
          <w:sz w:val="24"/>
          <w:highlight w:val="none"/>
        </w:rPr>
        <w:t xml:space="preserve">训练设备</w:t>
      </w:r>
      <w:bookmarkEnd w:id="309"/>
      <w:r/>
      <w:bookmarkEnd w:id="310"/>
      <w:r>
        <w:rPr>
          <w:rFonts w:hint="eastAsia" w:ascii="宋体" w:hAnsi="宋体" w:cs="宋体"/>
          <w:color w:val="000000"/>
          <w:sz w:val="24"/>
          <w:highlight w:val="none"/>
        </w:rPr>
        <w:t xml:space="preserve">（5分）</w:t>
      </w:r>
      <w:r>
        <w:rPr>
          <w:rFonts w:ascii="宋体" w:hAnsi="宋体" w:cs="宋体"/>
          <w:color w:val="000000"/>
          <w:sz w:val="24"/>
          <w:highlight w:val="none"/>
        </w:rPr>
      </w:r>
      <w:r/>
    </w:p>
    <w:p>
      <w:pPr>
        <w:pStyle w:val="1060"/>
        <w:ind w:firstLine="480"/>
        <w:spacing w:line="360" w:lineRule="auto"/>
        <w:widowControl/>
        <w:rPr>
          <w:rFonts w:ascii="宋体" w:hAnsi="宋体" w:cs="宋体"/>
          <w:color w:val="000000"/>
          <w:sz w:val="24"/>
          <w:highlight w:val="none"/>
        </w:rPr>
      </w:pPr>
      <w:r/>
      <w:bookmarkStart w:id="311" w:name="OLE_LINK276"/>
      <w:r/>
      <w:bookmarkStart w:id="312" w:name="OLE_LINK79"/>
      <w:r/>
      <w:bookmarkStart w:id="313" w:name="OLE_LINK78"/>
      <w:r>
        <w:rPr>
          <w:rFonts w:hint="eastAsia" w:ascii="宋体" w:hAnsi="宋体" w:cs="宋体"/>
          <w:color w:val="000000"/>
          <w:sz w:val="24"/>
          <w:highlight w:val="none"/>
        </w:rPr>
        <w:t xml:space="preserve">供应商针对本项目提供的训练设备中有听觉言语评估、学习能力评估设备或工具，如语言评估分析仪、构音障碍分析仪、视听统合训练仪、专业言语矫正仪、早期语言干预与评估仪的，有一项得1分，最多得5分。</w:t>
      </w:r>
      <w:bookmarkEnd w:id="311"/>
      <w:r/>
      <w:bookmarkEnd w:id="312"/>
      <w:r/>
      <w:bookmarkEnd w:id="313"/>
      <w:r>
        <w:rPr>
          <w:rFonts w:ascii="宋体" w:hAnsi="宋体" w:cs="宋体"/>
          <w:color w:val="000000"/>
          <w:sz w:val="24"/>
          <w:highlight w:val="none"/>
        </w:rPr>
      </w:r>
      <w:r/>
    </w:p>
    <w:p>
      <w:pPr>
        <w:pStyle w:val="1060"/>
        <w:ind w:firstLine="480"/>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4.3 </w:t>
      </w:r>
      <w:bookmarkStart w:id="314" w:name="OLE_LINK80"/>
      <w:r/>
      <w:bookmarkStart w:id="315" w:name="OLE_LINK279"/>
      <w:r/>
      <w:bookmarkStart w:id="316" w:name="OLE_LINK81"/>
      <w:r>
        <w:rPr>
          <w:rFonts w:hint="eastAsia" w:ascii="宋体" w:hAnsi="宋体" w:cs="宋体"/>
          <w:color w:val="000000"/>
          <w:sz w:val="24"/>
          <w:highlight w:val="none"/>
        </w:rPr>
        <w:t xml:space="preserve">保养设备</w:t>
      </w:r>
      <w:bookmarkEnd w:id="314"/>
      <w:r/>
      <w:bookmarkEnd w:id="315"/>
      <w:r/>
      <w:bookmarkEnd w:id="316"/>
      <w:r>
        <w:rPr>
          <w:rFonts w:hint="eastAsia" w:ascii="宋体" w:hAnsi="宋体" w:cs="宋体"/>
          <w:color w:val="000000"/>
          <w:sz w:val="24"/>
          <w:highlight w:val="none"/>
        </w:rPr>
        <w:t xml:space="preserve">（4分）</w:t>
      </w:r>
      <w:r>
        <w:rPr>
          <w:rFonts w:ascii="宋体" w:hAnsi="宋体" w:cs="宋体"/>
          <w:color w:val="000000"/>
          <w:sz w:val="24"/>
          <w:highlight w:val="none"/>
        </w:rPr>
      </w:r>
      <w:r/>
    </w:p>
    <w:p>
      <w:pPr>
        <w:pStyle w:val="1060"/>
        <w:ind w:firstLine="480"/>
        <w:spacing w:line="360" w:lineRule="auto"/>
        <w:rPr>
          <w:rFonts w:ascii="宋体" w:hAnsi="宋体" w:cs="宋体"/>
          <w:color w:val="000000"/>
          <w:sz w:val="24"/>
          <w:highlight w:val="none"/>
        </w:rPr>
      </w:pPr>
      <w:r/>
      <w:bookmarkStart w:id="317" w:name="OLE_LINK82"/>
      <w:r/>
      <w:bookmarkStart w:id="318" w:name="OLE_LINK280"/>
      <w:r/>
      <w:bookmarkStart w:id="319" w:name="OLE_LINK83"/>
      <w:r/>
      <w:bookmarkStart w:id="320" w:name="OLE_LINK278"/>
      <w:r/>
      <w:bookmarkStart w:id="321" w:name="OLE_LINK277"/>
      <w:r>
        <w:rPr>
          <w:rFonts w:hint="eastAsia" w:ascii="宋体" w:hAnsi="宋体" w:cs="宋体"/>
          <w:color w:val="000000"/>
          <w:sz w:val="24"/>
          <w:highlight w:val="none"/>
        </w:rPr>
        <w:t xml:space="preserve">供应商针对本项目提供的保养设备中有</w:t>
      </w:r>
      <w:bookmarkStart w:id="322" w:name="OLE_LINK89"/>
      <w:r/>
      <w:bookmarkStart w:id="323" w:name="OLE_LINK88"/>
      <w:r>
        <w:rPr>
          <w:rFonts w:hint="eastAsia" w:ascii="宋体" w:hAnsi="宋体" w:cs="宋体"/>
          <w:color w:val="000000"/>
          <w:sz w:val="24"/>
          <w:highlight w:val="none"/>
        </w:rPr>
        <w:t xml:space="preserve">助听器专用保养仪</w:t>
      </w:r>
      <w:bookmarkEnd w:id="322"/>
      <w:r/>
      <w:bookmarkEnd w:id="323"/>
      <w:r>
        <w:rPr>
          <w:rFonts w:hint="eastAsia" w:ascii="宋体" w:hAnsi="宋体" w:cs="宋体"/>
          <w:color w:val="000000"/>
          <w:sz w:val="24"/>
          <w:highlight w:val="none"/>
        </w:rPr>
        <w:t xml:space="preserve">，如真空抽湿仪、电子烘干包、超声波清洗仪、电池测试仪、验配流动服务车等，有一项得1分，最多得4分。</w:t>
      </w:r>
      <w:bookmarkEnd w:id="317"/>
      <w:r/>
      <w:bookmarkEnd w:id="318"/>
      <w:r/>
      <w:bookmarkEnd w:id="319"/>
      <w:r/>
      <w:bookmarkEnd w:id="320"/>
      <w:r/>
      <w:bookmarkEnd w:id="321"/>
      <w:r>
        <w:rPr>
          <w:rFonts w:ascii="宋体" w:hAnsi="宋体" w:cs="宋体"/>
          <w:color w:val="000000"/>
          <w:sz w:val="24"/>
          <w:highlight w:val="none"/>
        </w:rPr>
      </w:r>
      <w:r/>
    </w:p>
    <w:p>
      <w:pPr>
        <w:pStyle w:val="1060"/>
        <w:ind w:firstLine="480"/>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（以上设备请在响应文件中提供上述设备购置发票及实物照片等证明材料，</w:t>
      </w:r>
      <w:r>
        <w:rPr>
          <w:rFonts w:hint="eastAsia" w:ascii="宋体" w:hAnsi="宋体" w:cs="宋体"/>
          <w:b/>
          <w:color w:val="000000"/>
          <w:sz w:val="24"/>
          <w:highlight w:val="none"/>
        </w:rPr>
        <w:t xml:space="preserve">不提供对应项不得分</w:t>
      </w:r>
      <w:r>
        <w:rPr>
          <w:rFonts w:hint="eastAsia" w:ascii="宋体" w:hAnsi="宋体" w:cs="宋体"/>
          <w:b/>
          <w:bCs/>
          <w:color w:val="000000"/>
          <w:sz w:val="24"/>
          <w:highlight w:val="none"/>
        </w:rPr>
        <w:t xml:space="preserve">）</w:t>
      </w:r>
      <w:bookmarkEnd w:id="288"/>
      <w:r/>
      <w:bookmarkEnd w:id="289"/>
      <w:r>
        <w:rPr>
          <w:rFonts w:ascii="宋体" w:hAnsi="宋体" w:cs="宋体"/>
          <w:b/>
          <w:bCs/>
          <w:color w:val="000000"/>
          <w:sz w:val="24"/>
          <w:highlight w:val="none"/>
        </w:rPr>
      </w:r>
      <w:r/>
    </w:p>
    <w:p>
      <w:pPr>
        <w:pStyle w:val="1060"/>
        <w:ind w:firstLine="480"/>
        <w:spacing w:line="360" w:lineRule="auto"/>
        <w:rPr>
          <w:rFonts w:ascii="宋体" w:hAnsi="宋体" w:cs="宋体"/>
          <w:b/>
          <w:color w:val="000000"/>
          <w:sz w:val="24"/>
          <w:highlight w:val="none"/>
        </w:rPr>
      </w:pPr>
      <w:r/>
      <w:bookmarkStart w:id="324" w:name="OLE_LINK269"/>
      <w:r/>
      <w:bookmarkStart w:id="325" w:name="OLE_LINK270"/>
      <w:r/>
      <w:bookmarkStart w:id="326" w:name="OLE_LINK299"/>
      <w:r/>
      <w:bookmarkStart w:id="327" w:name="OLE_LINK301"/>
      <w:r/>
      <w:bookmarkStart w:id="328" w:name="OLE_LINK300"/>
      <w:r>
        <w:rPr>
          <w:rFonts w:hint="eastAsia" w:ascii="宋体" w:hAnsi="宋体" w:cs="宋体"/>
          <w:b/>
          <w:color w:val="000000"/>
          <w:sz w:val="24"/>
          <w:highlight w:val="none"/>
        </w:rPr>
        <w:t xml:space="preserve">5.服务支持</w:t>
      </w:r>
      <w:bookmarkEnd w:id="324"/>
      <w:r/>
      <w:bookmarkEnd w:id="325"/>
      <w:r/>
      <w:bookmarkEnd w:id="326"/>
      <w:r>
        <w:rPr>
          <w:rFonts w:hint="eastAsia" w:ascii="宋体" w:hAnsi="宋体" w:cs="宋体"/>
          <w:b/>
          <w:color w:val="000000"/>
          <w:sz w:val="24"/>
          <w:highlight w:val="none"/>
        </w:rPr>
        <w:t xml:space="preserve">（4分）</w:t>
      </w:r>
      <w:r>
        <w:rPr>
          <w:rFonts w:ascii="宋体" w:hAnsi="宋体" w:cs="宋体"/>
          <w:b/>
          <w:color w:val="000000"/>
          <w:sz w:val="24"/>
          <w:highlight w:val="none"/>
        </w:rPr>
      </w:r>
      <w:r/>
    </w:p>
    <w:p>
      <w:pPr>
        <w:pStyle w:val="1060"/>
        <w:ind w:firstLine="480"/>
        <w:spacing w:line="360" w:lineRule="auto"/>
        <w:rPr>
          <w:rFonts w:hint="eastAsia" w:ascii="宋体" w:hAnsi="宋体" w:cs="宋体"/>
          <w:b/>
          <w:bCs/>
          <w:color w:val="000000"/>
          <w:sz w:val="24"/>
          <w:highlight w:val="none"/>
        </w:rPr>
      </w:pPr>
      <w:r>
        <w:rPr>
          <w:rFonts w:hint="eastAsia" w:ascii="宋体" w:hAnsi="宋体" w:cs="宋体"/>
          <w:color w:val="000000"/>
          <w:sz w:val="24"/>
          <w:highlight w:val="none"/>
        </w:rPr>
        <w:t xml:space="preserve">供应商具备可验证的服务支撑能力（如自有或授权网点、常驻人员、应急响应机制等），须提供网点租赁/产权证明、授权材料、人员证明、应急响应方案等证明材料，无有效证明不得分。服务点距姑苏区较近，响应及时方便，技术成熟，支撑能力强，得4分；有服务点，响应较及时，技术经验一般，得2分，其余不得分。</w:t>
      </w:r>
      <w:bookmarkEnd w:id="327"/>
      <w:r/>
      <w:bookmarkEnd w:id="328"/>
      <w:r>
        <w:rPr>
          <w:rFonts w:hint="eastAsia" w:ascii="宋体" w:hAnsi="宋体" w:cs="宋体"/>
          <w:b/>
          <w:bCs/>
          <w:color w:val="000000"/>
          <w:sz w:val="24"/>
          <w:highlight w:val="none"/>
        </w:rPr>
      </w:r>
      <w:r/>
    </w:p>
    <w:p>
      <w:pPr>
        <w:pStyle w:val="1060"/>
        <w:ind w:firstLine="480"/>
        <w:spacing w:line="360" w:lineRule="auto"/>
        <w:rPr>
          <w:rFonts w:ascii="宋体" w:hAnsi="宋体" w:cs="宋体"/>
          <w:color w:val="000000"/>
          <w:sz w:val="24"/>
          <w:highlight w:val="none"/>
        </w:rPr>
      </w:pPr>
      <w:r>
        <w:rPr>
          <w:rFonts w:hint="eastAsia" w:ascii="宋体" w:hAnsi="宋体" w:cs="宋体"/>
          <w:b/>
          <w:bCs/>
          <w:color w:val="000000"/>
          <w:sz w:val="24"/>
          <w:highlight w:val="none"/>
        </w:rPr>
        <w:t xml:space="preserve">6.业绩（4分）</w:t>
      </w:r>
      <w:r>
        <w:rPr>
          <w:rFonts w:ascii="宋体" w:hAnsi="宋体" w:cs="宋体"/>
          <w:color w:val="000000"/>
          <w:sz w:val="24"/>
          <w:highlight w:val="none"/>
        </w:rPr>
      </w:r>
      <w:r/>
    </w:p>
    <w:p>
      <w:pPr>
        <w:pStyle w:val="1060"/>
        <w:ind w:firstLine="480"/>
        <w:spacing w:line="360" w:lineRule="auto"/>
        <w:rPr>
          <w:rFonts w:ascii="宋体" w:hAnsi="宋体" w:cs="宋体"/>
          <w:b/>
          <w:bCs/>
          <w:color w:val="000000"/>
          <w:sz w:val="24"/>
          <w:highlight w:val="none"/>
        </w:rPr>
      </w:pPr>
      <w:r>
        <w:rPr>
          <w:rFonts w:hint="eastAsia" w:ascii="宋体" w:hAnsi="宋体" w:cs="宋体"/>
          <w:color w:val="000000"/>
          <w:sz w:val="24"/>
          <w:highlight w:val="none"/>
        </w:rPr>
        <w:t xml:space="preserve">供应商自2023年1月1日以来（以合同签订时间为准）承接过类似项目的，有一份得2分，最多得4分。</w:t>
      </w:r>
      <w:r>
        <w:rPr>
          <w:rFonts w:hint="eastAsia" w:ascii="宋体" w:hAnsi="宋体" w:cs="宋体"/>
          <w:b/>
          <w:bCs/>
          <w:color w:val="000000"/>
          <w:sz w:val="24"/>
          <w:highlight w:val="none"/>
        </w:rPr>
        <w:t xml:space="preserve">（请在响应文件中提供合同复印件及对应客户满意度评价复印件（证明为满意或优秀），合同中须反映出相关内容，不提供不得分）</w:t>
      </w:r>
      <w:r>
        <w:rPr>
          <w:rFonts w:ascii="宋体" w:hAnsi="宋体" w:cs="宋体"/>
          <w:b/>
          <w:bCs/>
          <w:color w:val="000000"/>
          <w:sz w:val="24"/>
          <w:highlight w:val="none"/>
        </w:rPr>
      </w:r>
      <w:r/>
    </w:p>
    <w:p>
      <w:pPr>
        <w:pStyle w:val="1060"/>
        <w:ind w:firstLine="480"/>
        <w:spacing w:line="360" w:lineRule="auto"/>
        <w:widowControl/>
        <w:rPr>
          <w:rFonts w:ascii="宋体" w:hAnsi="宋体" w:cs="宋体"/>
          <w:color w:val="000000"/>
          <w:sz w:val="24"/>
          <w:highlight w:val="none"/>
        </w:rPr>
      </w:pPr>
      <w:r>
        <w:rPr>
          <w:rFonts w:ascii="宋体" w:hAnsi="宋体" w:cs="宋体"/>
          <w:color w:val="000000"/>
          <w:sz w:val="24"/>
          <w:highlight w:val="none"/>
        </w:rPr>
      </w:r>
      <w:r/>
    </w:p>
    <w:p>
      <w:pPr>
        <w:pStyle w:val="1060"/>
        <w:ind w:firstLine="480"/>
        <w:spacing w:line="360" w:lineRule="auto"/>
        <w:widowControl/>
        <w:rPr>
          <w:rFonts w:ascii="宋体" w:hAnsi="宋体" w:cs="宋体"/>
          <w:color w:val="000000"/>
          <w:sz w:val="24"/>
          <w:highlight w:val="none"/>
        </w:rPr>
      </w:pPr>
      <w:r>
        <w:rPr>
          <w:rFonts w:hint="eastAsia" w:ascii="宋体" w:hAnsi="宋体" w:cs="宋体"/>
          <w:color w:val="000000"/>
          <w:sz w:val="24"/>
          <w:highlight w:val="none"/>
        </w:rPr>
        <w:br w:type="page" w:clear="all"/>
      </w:r>
      <w:r>
        <w:rPr>
          <w:rFonts w:ascii="宋体" w:hAnsi="宋体" w:cs="宋体"/>
          <w:color w:val="000000"/>
          <w:sz w:val="24"/>
          <w:highlight w:val="none"/>
        </w:rPr>
      </w:r>
      <w:r/>
    </w:p>
    <w:p>
      <w:pPr>
        <w:pStyle w:val="1060"/>
        <w:jc w:val="center"/>
        <w:widowControl/>
        <w:rPr>
          <w:rFonts w:ascii="宋体" w:hAnsi="宋体" w:cs="宋体"/>
          <w:b/>
          <w:color w:val="000000"/>
          <w:sz w:val="24"/>
          <w:highlight w:val="none"/>
        </w:rPr>
      </w:pPr>
      <w:r>
        <w:rPr>
          <w:rFonts w:hint="eastAsia" w:ascii="宋体" w:hAnsi="宋体" w:cs="宋体"/>
          <w:b/>
          <w:color w:val="000000"/>
          <w:sz w:val="24"/>
          <w:highlight w:val="none"/>
        </w:rPr>
        <w:t xml:space="preserve">采购包2：残疾人假肢矫形器适配服务</w:t>
      </w:r>
      <w:r>
        <w:rPr>
          <w:rFonts w:ascii="宋体" w:hAnsi="宋体" w:cs="宋体"/>
          <w:b/>
          <w:color w:val="000000"/>
          <w:sz w:val="24"/>
          <w:highlight w:val="none"/>
        </w:rPr>
      </w:r>
      <w:r/>
    </w:p>
    <w:p>
      <w:pPr>
        <w:pStyle w:val="1060"/>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服务和技术能力100分</w:t>
      </w:r>
      <w:r>
        <w:rPr>
          <w:rFonts w:ascii="宋体" w:hAnsi="宋体" w:cs="宋体"/>
          <w:b/>
          <w:color w:val="000000"/>
          <w:sz w:val="24"/>
          <w:highlight w:val="none"/>
        </w:rPr>
      </w:r>
      <w:r/>
    </w:p>
    <w:p>
      <w:pPr>
        <w:pStyle w:val="1060"/>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1.专业技术队伍（24分）</w:t>
      </w:r>
      <w:r>
        <w:rPr>
          <w:rFonts w:ascii="宋体" w:hAnsi="宋体" w:cs="宋体"/>
          <w:b/>
          <w:color w:val="000000"/>
          <w:sz w:val="24"/>
          <w:highlight w:val="none"/>
        </w:rPr>
      </w:r>
      <w:r/>
    </w:p>
    <w:p>
      <w:pPr>
        <w:pStyle w:val="1060"/>
        <w:ind w:firstLine="480"/>
        <w:spacing w:line="360" w:lineRule="auto"/>
        <w:widowControl/>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（1）</w:t>
      </w:r>
      <w:bookmarkStart w:id="329" w:name="OLE_LINK316"/>
      <w:r/>
      <w:bookmarkStart w:id="330" w:name="OLE_LINK317"/>
      <w:r>
        <w:rPr>
          <w:rFonts w:hint="eastAsia" w:ascii="宋体" w:hAnsi="宋体" w:cs="宋体"/>
          <w:color w:val="000000"/>
          <w:sz w:val="24"/>
          <w:szCs w:val="21"/>
          <w:highlight w:val="none"/>
        </w:rPr>
        <w:t xml:space="preserve">服务团队</w:t>
      </w:r>
      <w:bookmarkEnd w:id="329"/>
      <w:r/>
      <w:bookmarkEnd w:id="330"/>
      <w:r>
        <w:rPr>
          <w:rFonts w:hint="eastAsia" w:ascii="宋体" w:hAnsi="宋体" w:cs="宋体"/>
          <w:color w:val="000000"/>
          <w:sz w:val="24"/>
          <w:szCs w:val="21"/>
          <w:highlight w:val="none"/>
        </w:rPr>
        <w:t xml:space="preserve">4分：</w:t>
      </w:r>
      <w:bookmarkStart w:id="331" w:name="OLE_LINK347"/>
      <w:r/>
      <w:bookmarkStart w:id="332" w:name="OLE_LINK348"/>
      <w:r>
        <w:rPr>
          <w:rFonts w:hint="eastAsia" w:ascii="宋体" w:hAnsi="宋体" w:cs="宋体"/>
          <w:color w:val="000000"/>
          <w:sz w:val="24"/>
          <w:szCs w:val="21"/>
          <w:highlight w:val="none"/>
        </w:rPr>
        <w:t xml:space="preserve">配备8人及以上全职服务人员的，得4分。</w:t>
      </w:r>
      <w:bookmarkEnd w:id="331"/>
      <w:r/>
      <w:bookmarkEnd w:id="332"/>
      <w:r>
        <w:rPr>
          <w:rFonts w:hint="eastAsia" w:ascii="宋体" w:hAnsi="宋体" w:cs="宋体"/>
          <w:color w:val="000000"/>
          <w:sz w:val="24"/>
          <w:szCs w:val="21"/>
          <w:highlight w:val="none"/>
        </w:rPr>
      </w:r>
      <w:r/>
    </w:p>
    <w:p>
      <w:pPr>
        <w:pStyle w:val="1060"/>
        <w:ind w:firstLine="480"/>
        <w:spacing w:line="360" w:lineRule="auto"/>
        <w:widowControl/>
        <w:rPr>
          <w:color w:val="000000"/>
          <w:highlight w:val="none"/>
        </w:rPr>
      </w:pPr>
      <w:r>
        <w:rPr>
          <w:rFonts w:hint="eastAsia" w:ascii="宋体" w:hAnsi="宋体" w:cs="宋体"/>
          <w:color w:val="000000"/>
          <w:sz w:val="24"/>
          <w:highlight w:val="none"/>
        </w:rPr>
        <w:t xml:space="preserve">（2）</w:t>
      </w:r>
      <w:bookmarkStart w:id="333" w:name="OLE_LINK319"/>
      <w:r/>
      <w:bookmarkStart w:id="334" w:name="OLE_LINK318"/>
      <w:r>
        <w:rPr>
          <w:rFonts w:hint="eastAsia" w:ascii="宋体" w:hAnsi="宋体" w:cs="宋体"/>
          <w:color w:val="000000"/>
          <w:sz w:val="24"/>
          <w:highlight w:val="none"/>
        </w:rPr>
        <w:t xml:space="preserve">管理人员</w:t>
      </w:r>
      <w:bookmarkEnd w:id="333"/>
      <w:r/>
      <w:bookmarkEnd w:id="334"/>
      <w:r>
        <w:rPr>
          <w:rFonts w:hint="eastAsia" w:ascii="宋体" w:hAnsi="宋体" w:cs="宋体"/>
          <w:color w:val="000000"/>
          <w:sz w:val="24"/>
          <w:highlight w:val="none"/>
        </w:rPr>
        <w:t xml:space="preserve">2分：机构应指定1名本项目管理人员，负责与采购人对接日常工作，配备1名管理人员得2分，不配备不得分。</w:t>
      </w:r>
      <w:r>
        <w:rPr>
          <w:rFonts w:hint="eastAsia" w:ascii="宋体" w:hAnsi="宋体" w:cs="宋体"/>
          <w:b/>
          <w:color w:val="000000"/>
          <w:sz w:val="24"/>
          <w:szCs w:val="21"/>
          <w:highlight w:val="none"/>
        </w:rPr>
        <w:t xml:space="preserve">（以上人员需在响应文件中提供劳动合同及供应商为其缴纳的开标前至少三个月的社保证明材料，不提供</w:t>
      </w:r>
      <w:r>
        <w:rPr>
          <w:rFonts w:hint="eastAsia" w:ascii="宋体" w:hAnsi="宋体" w:cs="宋体"/>
          <w:b/>
          <w:bCs/>
          <w:color w:val="000000"/>
          <w:sz w:val="24"/>
          <w:highlight w:val="none"/>
        </w:rPr>
        <w:t xml:space="preserve">对应人员</w:t>
      </w:r>
      <w:r>
        <w:rPr>
          <w:rFonts w:hint="eastAsia" w:ascii="宋体" w:hAnsi="宋体" w:cs="宋体"/>
          <w:b/>
          <w:color w:val="000000"/>
          <w:sz w:val="24"/>
          <w:szCs w:val="21"/>
          <w:highlight w:val="none"/>
        </w:rPr>
        <w:t xml:space="preserve">不得分。）</w:t>
      </w:r>
      <w:r>
        <w:rPr>
          <w:color w:val="000000"/>
          <w:highlight w:val="none"/>
        </w:rPr>
      </w:r>
      <w:r/>
    </w:p>
    <w:p>
      <w:pPr>
        <w:pStyle w:val="106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w:t>
      </w:r>
      <w:bookmarkStart w:id="335" w:name="OLE_LINK320"/>
      <w:r/>
      <w:bookmarkStart w:id="336" w:name="OLE_LINK321"/>
      <w:r/>
      <w:bookmarkStart w:id="337" w:name="OLE_LINK349"/>
      <w:r>
        <w:rPr>
          <w:rFonts w:hint="eastAsia" w:ascii="宋体" w:hAnsi="宋体" w:cs="宋体"/>
          <w:color w:val="000000"/>
          <w:sz w:val="24"/>
          <w:highlight w:val="none"/>
        </w:rPr>
        <w:t xml:space="preserve">专业技术人员</w:t>
      </w:r>
      <w:bookmarkEnd w:id="335"/>
      <w:r/>
      <w:bookmarkEnd w:id="336"/>
      <w:r>
        <w:rPr>
          <w:rFonts w:hint="eastAsia" w:ascii="宋体" w:hAnsi="宋体" w:cs="宋体"/>
          <w:color w:val="000000"/>
          <w:sz w:val="24"/>
          <w:highlight w:val="none"/>
        </w:rPr>
        <w:t xml:space="preserve">6分：本项目应配备3名或以上依法取得假肢或者矫形器(辅助器具)制作师执业证书的专业技术人员</w:t>
      </w:r>
      <w:bookmarkStart w:id="338" w:name="OLE_LINK245"/>
      <w:r/>
      <w:bookmarkStart w:id="339" w:name="OLE_LINK243"/>
      <w:r/>
      <w:bookmarkStart w:id="340" w:name="OLE_LINK246"/>
      <w:r/>
      <w:bookmarkStart w:id="341" w:name="OLE_LINK244"/>
      <w:r>
        <w:rPr>
          <w:rFonts w:hint="eastAsia" w:ascii="宋体" w:hAnsi="宋体" w:cs="宋体"/>
          <w:color w:val="000000"/>
          <w:sz w:val="24"/>
          <w:highlight w:val="none"/>
        </w:rPr>
        <w:t xml:space="preserve">（</w:t>
      </w:r>
      <w:r>
        <w:rPr>
          <w:rFonts w:ascii="宋体" w:hAnsi="宋体" w:cs="宋体"/>
          <w:color w:val="000000"/>
          <w:sz w:val="24"/>
          <w:highlight w:val="none"/>
        </w:rPr>
        <w:t xml:space="preserve">假肢</w:t>
      </w:r>
      <w:r>
        <w:rPr>
          <w:rFonts w:hint="eastAsia" w:ascii="宋体" w:hAnsi="宋体" w:cs="宋体"/>
          <w:color w:val="000000"/>
          <w:sz w:val="24"/>
          <w:highlight w:val="none"/>
        </w:rPr>
        <w:t xml:space="preserve">师和矫形器师</w:t>
      </w:r>
      <w:r>
        <w:rPr>
          <w:rFonts w:ascii="宋体" w:hAnsi="宋体" w:cs="宋体"/>
          <w:color w:val="000000"/>
          <w:sz w:val="24"/>
          <w:highlight w:val="none"/>
        </w:rPr>
        <w:t xml:space="preserve">各不少于</w:t>
      </w:r>
      <w:r>
        <w:rPr>
          <w:rFonts w:hint="eastAsia" w:ascii="宋体" w:hAnsi="宋体" w:cs="宋体"/>
          <w:color w:val="000000"/>
          <w:sz w:val="24"/>
          <w:highlight w:val="none"/>
        </w:rPr>
        <w:t xml:space="preserve">1</w:t>
      </w:r>
      <w:r>
        <w:rPr>
          <w:rFonts w:ascii="宋体" w:hAnsi="宋体" w:cs="宋体"/>
          <w:color w:val="000000"/>
          <w:sz w:val="24"/>
          <w:highlight w:val="none"/>
        </w:rPr>
        <w:t xml:space="preserve">名</w:t>
      </w:r>
      <w:r>
        <w:rPr>
          <w:rFonts w:hint="eastAsia" w:ascii="宋体" w:hAnsi="宋体" w:cs="宋体"/>
          <w:color w:val="000000"/>
          <w:sz w:val="24"/>
          <w:highlight w:val="none"/>
        </w:rPr>
        <w:t xml:space="preserve">）</w:t>
      </w:r>
      <w:bookmarkEnd w:id="338"/>
      <w:r/>
      <w:bookmarkEnd w:id="339"/>
      <w:r/>
      <w:bookmarkEnd w:id="340"/>
      <w:r/>
      <w:bookmarkEnd w:id="341"/>
      <w:r>
        <w:rPr>
          <w:rFonts w:hint="eastAsia" w:ascii="宋体" w:hAnsi="宋体" w:cs="宋体"/>
          <w:color w:val="000000"/>
          <w:sz w:val="24"/>
          <w:highlight w:val="none"/>
        </w:rPr>
        <w:t xml:space="preserve">，且其中1人在本行业从业经验不得少于3年。 假肢师、矫形师应具备相应专业技术能力，熟悉假肢、矫形器适配全流程，能够独立开展功能评估、辅具设计装配、使用指导及随访服务，结合服务对象身体状况与实际生活需求，制定科学合理的适配方案。</w:t>
      </w:r>
      <w:r>
        <w:rPr>
          <w:rFonts w:hint="eastAsia" w:ascii="宋体" w:hAnsi="宋体" w:cs="宋体"/>
          <w:color w:val="000000"/>
          <w:sz w:val="24"/>
          <w:highlight w:val="none"/>
        </w:rPr>
      </w:r>
      <w:r/>
    </w:p>
    <w:p>
      <w:pPr>
        <w:pStyle w:val="106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完全满足上述要求的得6分，每少1人在满分基础上扣2分，无3年以上从业经验人员则本项不得分。</w:t>
      </w:r>
      <w:bookmarkEnd w:id="337"/>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1060"/>
        <w:spacing w:line="360" w:lineRule="auto"/>
        <w:widowControl/>
        <w:rPr>
          <w:rFonts w:ascii="宋体" w:hAnsi="宋体" w:cs="宋体"/>
          <w:b/>
          <w:color w:val="000000"/>
          <w:sz w:val="24"/>
          <w:highlight w:val="none"/>
        </w:rPr>
      </w:pPr>
      <w:r>
        <w:rPr>
          <w:rFonts w:hint="eastAsia" w:ascii="宋体" w:hAnsi="宋体" w:cs="宋体"/>
          <w:b/>
          <w:color w:val="000000"/>
          <w:sz w:val="24"/>
          <w:highlight w:val="none"/>
        </w:rPr>
        <w:t xml:space="preserve">（</w:t>
      </w:r>
      <w:r>
        <w:rPr>
          <w:rFonts w:hint="eastAsia" w:ascii="宋体" w:hAnsi="宋体" w:cs="宋体"/>
          <w:b/>
          <w:color w:val="000000"/>
          <w:sz w:val="24"/>
          <w:szCs w:val="21"/>
          <w:highlight w:val="none"/>
        </w:rPr>
        <w:t xml:space="preserve">以上人员需在响应文件中提供劳动合同、相关证书及供应商为其缴纳</w:t>
      </w:r>
      <w:bookmarkStart w:id="342" w:name="OLE_LINK137"/>
      <w:r/>
      <w:bookmarkStart w:id="343" w:name="OLE_LINK139"/>
      <w:r>
        <w:rPr>
          <w:rFonts w:hint="eastAsia" w:ascii="宋体" w:hAnsi="宋体" w:cs="宋体"/>
          <w:b/>
          <w:color w:val="000000"/>
          <w:sz w:val="24"/>
          <w:szCs w:val="21"/>
          <w:highlight w:val="none"/>
        </w:rPr>
        <w:t xml:space="preserve">的开标前至少三个月</w:t>
      </w:r>
      <w:bookmarkEnd w:id="342"/>
      <w:r/>
      <w:bookmarkEnd w:id="343"/>
      <w:r>
        <w:rPr>
          <w:rFonts w:hint="eastAsia" w:ascii="宋体" w:hAnsi="宋体" w:cs="宋体"/>
          <w:b/>
          <w:color w:val="000000"/>
          <w:sz w:val="24"/>
          <w:szCs w:val="21"/>
          <w:highlight w:val="none"/>
        </w:rPr>
        <w:t xml:space="preserve">的社保证明材料，其中1人在本行业从业经验不得少于3年需提供社保及个人履历等证明材料，多家单位社保可以累计计算，不提供</w:t>
      </w:r>
      <w:r>
        <w:rPr>
          <w:rFonts w:hint="eastAsia" w:ascii="宋体" w:hAnsi="宋体" w:cs="宋体"/>
          <w:b/>
          <w:bCs/>
          <w:color w:val="000000"/>
          <w:sz w:val="24"/>
          <w:highlight w:val="none"/>
        </w:rPr>
        <w:t xml:space="preserve">对应人员</w:t>
      </w:r>
      <w:r>
        <w:rPr>
          <w:rFonts w:hint="eastAsia" w:ascii="宋体" w:hAnsi="宋体" w:cs="宋体"/>
          <w:b/>
          <w:color w:val="000000"/>
          <w:sz w:val="24"/>
          <w:szCs w:val="21"/>
          <w:highlight w:val="none"/>
        </w:rPr>
        <w:t xml:space="preserve">不得分。）</w:t>
      </w:r>
      <w:r>
        <w:rPr>
          <w:rFonts w:ascii="宋体" w:hAnsi="宋体" w:cs="宋体"/>
          <w:b/>
          <w:color w:val="000000"/>
          <w:sz w:val="24"/>
          <w:highlight w:val="none"/>
        </w:rPr>
      </w:r>
      <w:r/>
    </w:p>
    <w:p>
      <w:pPr>
        <w:pStyle w:val="1060"/>
        <w:ind w:firstLine="480"/>
        <w:spacing w:line="360" w:lineRule="auto"/>
        <w:rPr>
          <w:rFonts w:ascii="宋体" w:hAnsi="宋体" w:cs="宋体"/>
          <w:b/>
          <w:color w:val="000000"/>
          <w:sz w:val="24"/>
          <w:szCs w:val="21"/>
          <w:highlight w:val="none"/>
        </w:rPr>
      </w:pPr>
      <w:r>
        <w:rPr>
          <w:rFonts w:hint="eastAsia" w:ascii="宋体" w:hAnsi="宋体" w:cs="宋体"/>
          <w:color w:val="000000"/>
          <w:sz w:val="24"/>
          <w:highlight w:val="none"/>
        </w:rPr>
        <w:t xml:space="preserve">（4）</w:t>
      </w:r>
      <w:bookmarkStart w:id="344" w:name="OLE_LINK323"/>
      <w:r/>
      <w:bookmarkStart w:id="345" w:name="OLE_LINK322"/>
      <w:r/>
      <w:bookmarkStart w:id="346" w:name="OLE_LINK350"/>
      <w:r>
        <w:rPr>
          <w:rFonts w:hint="eastAsia" w:ascii="宋体" w:hAnsi="宋体" w:cs="宋体"/>
          <w:color w:val="000000"/>
          <w:sz w:val="24"/>
          <w:highlight w:val="none"/>
        </w:rPr>
        <w:t xml:space="preserve">装配专业技能人员</w:t>
      </w:r>
      <w:bookmarkEnd w:id="344"/>
      <w:r/>
      <w:bookmarkEnd w:id="345"/>
      <w:r>
        <w:rPr>
          <w:rFonts w:hint="eastAsia" w:ascii="宋体" w:hAnsi="宋体" w:cs="宋体"/>
          <w:color w:val="000000"/>
          <w:sz w:val="24"/>
          <w:highlight w:val="none"/>
        </w:rPr>
        <w:t xml:space="preserve">6分：本项目装配人员应配备3名或以上取得行业特有工种职业证书的假肢装配工或者矫形器装配工（</w:t>
      </w:r>
      <w:r>
        <w:rPr>
          <w:rFonts w:ascii="宋体" w:hAnsi="宋体" w:cs="宋体"/>
          <w:color w:val="000000"/>
          <w:sz w:val="24"/>
          <w:highlight w:val="none"/>
        </w:rPr>
        <w:t xml:space="preserve">假肢装配工和矫形器装配工各不少于</w:t>
      </w:r>
      <w:r>
        <w:rPr>
          <w:rFonts w:hint="eastAsia" w:ascii="宋体" w:hAnsi="宋体" w:cs="宋体"/>
          <w:color w:val="000000"/>
          <w:sz w:val="24"/>
          <w:highlight w:val="none"/>
        </w:rPr>
        <w:t xml:space="preserve">1</w:t>
      </w:r>
      <w:r>
        <w:rPr>
          <w:rFonts w:ascii="宋体" w:hAnsi="宋体" w:cs="宋体"/>
          <w:color w:val="000000"/>
          <w:sz w:val="24"/>
          <w:highlight w:val="none"/>
        </w:rPr>
        <w:t xml:space="preserve">名</w:t>
      </w:r>
      <w:r>
        <w:rPr>
          <w:rFonts w:hint="eastAsia" w:ascii="宋体" w:hAnsi="宋体" w:cs="宋体"/>
          <w:color w:val="000000"/>
          <w:sz w:val="24"/>
          <w:highlight w:val="none"/>
        </w:rPr>
        <w:t xml:space="preserve">），且其中1人在本行业从业经验不少于3年。完全满足上述要求的，得6分；每少1人在满分基础上扣2分，无3年以上从业经验人员则本项不得分。</w:t>
      </w:r>
      <w:bookmarkEnd w:id="346"/>
      <w:r>
        <w:rPr>
          <w:rFonts w:hint="eastAsia" w:ascii="宋体" w:hAnsi="宋体" w:cs="宋体"/>
          <w:b/>
          <w:color w:val="000000"/>
          <w:sz w:val="24"/>
          <w:highlight w:val="none"/>
        </w:rPr>
        <w:t xml:space="preserve">（</w:t>
      </w:r>
      <w:r>
        <w:rPr>
          <w:rFonts w:hint="eastAsia" w:ascii="宋体" w:hAnsi="宋体" w:cs="宋体"/>
          <w:b/>
          <w:color w:val="000000"/>
          <w:sz w:val="24"/>
          <w:szCs w:val="21"/>
          <w:highlight w:val="none"/>
        </w:rPr>
        <w:t xml:space="preserve">以上人员需在响应文件中提供劳动合同、相关证书及供应商为其缴纳的开标前至少三个月的社保证明材料，其中1人在本行业从业经验不少于3年需提供社保及个人履历等证明材料，多家单位社保可以累计计算，不提供</w:t>
      </w:r>
      <w:r>
        <w:rPr>
          <w:rFonts w:hint="eastAsia" w:ascii="宋体" w:hAnsi="宋体" w:cs="宋体"/>
          <w:b/>
          <w:bCs/>
          <w:color w:val="000000"/>
          <w:sz w:val="24"/>
          <w:highlight w:val="none"/>
        </w:rPr>
        <w:t xml:space="preserve">对应人员</w:t>
      </w:r>
      <w:r>
        <w:rPr>
          <w:rFonts w:hint="eastAsia" w:ascii="宋体" w:hAnsi="宋体" w:cs="宋体"/>
          <w:b/>
          <w:color w:val="000000"/>
          <w:sz w:val="24"/>
          <w:szCs w:val="21"/>
          <w:highlight w:val="none"/>
        </w:rPr>
        <w:t xml:space="preserve">不得分。）</w:t>
      </w:r>
      <w:r>
        <w:rPr>
          <w:rFonts w:ascii="宋体" w:hAnsi="宋体" w:cs="宋体"/>
          <w:b/>
          <w:color w:val="000000"/>
          <w:sz w:val="24"/>
          <w:szCs w:val="21"/>
          <w:highlight w:val="none"/>
        </w:rPr>
      </w:r>
      <w:r/>
    </w:p>
    <w:p>
      <w:pPr>
        <w:pStyle w:val="1060"/>
        <w:ind w:firstLine="480"/>
        <w:spacing w:line="360" w:lineRule="auto"/>
        <w:widowControl/>
        <w:rPr>
          <w:rFonts w:hint="eastAsia" w:ascii="宋体" w:hAnsi="宋体" w:cs="宋体"/>
          <w:b/>
          <w:bCs/>
          <w:color w:val="000000"/>
          <w:sz w:val="24"/>
          <w:szCs w:val="21"/>
          <w:highlight w:val="none"/>
        </w:rPr>
      </w:pPr>
      <w:r>
        <w:rPr>
          <w:rFonts w:hint="eastAsia" w:ascii="宋体" w:hAnsi="宋体" w:cs="宋体"/>
          <w:color w:val="000000"/>
          <w:sz w:val="24"/>
          <w:szCs w:val="21"/>
          <w:highlight w:val="none"/>
        </w:rPr>
        <w:t xml:space="preserve">（5）</w:t>
      </w:r>
      <w:bookmarkStart w:id="347" w:name="OLE_LINK325"/>
      <w:r/>
      <w:bookmarkStart w:id="348" w:name="OLE_LINK351"/>
      <w:r/>
      <w:bookmarkStart w:id="349" w:name="OLE_LINK324"/>
      <w:r/>
      <w:bookmarkStart w:id="350" w:name="OLE_LINK352"/>
      <w:r>
        <w:rPr>
          <w:rFonts w:hint="eastAsia" w:ascii="宋体" w:hAnsi="宋体" w:cs="宋体"/>
          <w:color w:val="000000"/>
          <w:sz w:val="24"/>
          <w:szCs w:val="21"/>
          <w:highlight w:val="none"/>
        </w:rPr>
        <w:t xml:space="preserve">证书认证</w:t>
      </w:r>
      <w:bookmarkEnd w:id="347"/>
      <w:r/>
      <w:bookmarkEnd w:id="348"/>
      <w:r/>
      <w:bookmarkEnd w:id="349"/>
      <w:r>
        <w:rPr>
          <w:rFonts w:hint="eastAsia" w:ascii="宋体" w:hAnsi="宋体" w:cs="宋体"/>
          <w:color w:val="000000"/>
          <w:sz w:val="24"/>
          <w:szCs w:val="21"/>
          <w:highlight w:val="none"/>
        </w:rPr>
        <w:t xml:space="preserve">6分：</w:t>
      </w:r>
      <w:bookmarkEnd w:id="350"/>
      <w:r>
        <w:rPr>
          <w:rFonts w:hint="eastAsia" w:ascii="宋体" w:hAnsi="宋体" w:cs="宋体"/>
          <w:color w:val="000000"/>
          <w:sz w:val="24"/>
          <w:szCs w:val="21"/>
          <w:highlight w:val="none"/>
        </w:rPr>
        <w:t xml:space="preserve">专业技术人员、装配技能人员具有假肢制作师、矫形器制作师、假肢装配工、矫形器装配工证书或职业技能等级证书的，证书需在“技能人才评价证书全国联网系统”等国家部委政府官方渠道可供查询，每一人得1分（一人持多证也得1分，不重复得分），最高得6分。</w:t>
      </w:r>
      <w:r>
        <w:rPr>
          <w:rFonts w:hint="eastAsia" w:ascii="宋体" w:hAnsi="宋体" w:cs="宋体"/>
          <w:b/>
          <w:bCs/>
          <w:color w:val="000000"/>
          <w:sz w:val="24"/>
          <w:szCs w:val="21"/>
          <w:highlight w:val="none"/>
        </w:rPr>
        <w:t xml:space="preserve">（以上人员证书需在响应文件中提供网站截图，不提供对应人员不得分。）</w:t>
      </w:r>
      <w:r>
        <w:rPr>
          <w:rFonts w:hint="eastAsia" w:ascii="宋体" w:hAnsi="宋体" w:cs="宋体"/>
          <w:b/>
          <w:bCs/>
          <w:color w:val="000000"/>
          <w:sz w:val="24"/>
          <w:szCs w:val="21"/>
          <w:highlight w:val="none"/>
        </w:rPr>
      </w:r>
      <w:r/>
    </w:p>
    <w:p>
      <w:pPr>
        <w:pStyle w:val="1060"/>
        <w:ind w:firstLine="482"/>
        <w:spacing w:line="360" w:lineRule="auto"/>
        <w:rPr>
          <w:rFonts w:hint="eastAsia" w:ascii="宋体" w:hAnsi="宋体" w:cs="宋体"/>
          <w:b/>
          <w:color w:val="000000"/>
          <w:sz w:val="24"/>
          <w:highlight w:val="none"/>
        </w:rPr>
      </w:pPr>
      <w:r>
        <w:rPr>
          <w:rFonts w:hint="eastAsia" w:ascii="宋体" w:hAnsi="宋体" w:cs="宋体"/>
          <w:b/>
          <w:bCs/>
          <w:color w:val="000000"/>
          <w:sz w:val="24"/>
          <w:szCs w:val="21"/>
          <w:highlight w:val="none"/>
        </w:rPr>
        <w:t xml:space="preserve">注：上述所有人员均须专职服务本分包项目。</w:t>
      </w:r>
      <w:r>
        <w:rPr>
          <w:rFonts w:hint="eastAsia" w:ascii="宋体" w:hAnsi="宋体" w:cs="宋体"/>
          <w:b/>
          <w:color w:val="000000"/>
          <w:sz w:val="24"/>
          <w:highlight w:val="none"/>
        </w:rPr>
      </w:r>
      <w:r/>
    </w:p>
    <w:p>
      <w:pPr>
        <w:pStyle w:val="1060"/>
        <w:ind w:firstLine="482"/>
        <w:spacing w:line="360" w:lineRule="auto"/>
        <w:rPr>
          <w:rFonts w:ascii="宋体" w:hAnsi="宋体" w:cs="宋体"/>
          <w:b/>
          <w:bCs/>
          <w:color w:val="000000"/>
          <w:sz w:val="24"/>
          <w:highlight w:val="none"/>
        </w:rPr>
      </w:pPr>
      <w:r>
        <w:rPr>
          <w:rFonts w:hint="eastAsia" w:ascii="宋体" w:hAnsi="宋体" w:cs="宋体"/>
          <w:b/>
          <w:color w:val="000000"/>
          <w:sz w:val="24"/>
          <w:highlight w:val="none"/>
        </w:rPr>
        <w:t xml:space="preserve">2.服务要求（9分）</w:t>
      </w:r>
      <w:r>
        <w:rPr>
          <w:rFonts w:ascii="宋体" w:hAnsi="宋体" w:cs="宋体"/>
          <w:b/>
          <w:bCs/>
          <w:color w:val="000000"/>
          <w:sz w:val="24"/>
          <w:highlight w:val="none"/>
        </w:rPr>
      </w:r>
      <w:r/>
    </w:p>
    <w:p>
      <w:pPr>
        <w:pStyle w:val="106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 制度管理3分：</w:t>
      </w:r>
      <w:r>
        <w:rPr>
          <w:rFonts w:ascii="宋体" w:hAnsi="宋体" w:cs="宋体"/>
          <w:color w:val="000000"/>
          <w:sz w:val="24"/>
          <w:highlight w:val="none"/>
        </w:rPr>
      </w:r>
      <w:r/>
    </w:p>
    <w:p>
      <w:pPr>
        <w:pStyle w:val="106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供应商针对本项目服务内容制定的管理制度包含但不限于人力资源管理（含岗位职责）、财务管理制度（含固定资产管理制度）、业务管理制度、突发事件应急预案（含安全、消防等）、信息管理（含信息安全、舆情处置等）、服务项目档案管理制度、产品和服务追溯制度等。管理制度完全包含上述内容且制度涵盖内容全面、条款责任和义务清晰、相关流程规范的，得3分；</w:t>
      </w:r>
      <w:r>
        <w:rPr>
          <w:rFonts w:ascii="宋体" w:hAnsi="宋体" w:cs="宋体"/>
          <w:color w:val="000000"/>
          <w:sz w:val="24"/>
          <w:highlight w:val="none"/>
        </w:rPr>
        <w:t xml:space="preserve">制度基本符合本项目需求，但</w:t>
      </w:r>
      <w:r>
        <w:rPr>
          <w:rFonts w:hint="eastAsia" w:ascii="宋体" w:hAnsi="宋体" w:cs="宋体"/>
          <w:color w:val="000000"/>
          <w:sz w:val="24"/>
          <w:highlight w:val="none"/>
        </w:rPr>
        <w:t xml:space="preserve">针对性不强的，得2分；上述管理制度不全，或内容明显错误的得1分；未提供管理制度或制度内容严重缺失，不能满足本项目实际需求的，得0分。</w:t>
      </w:r>
      <w:r>
        <w:rPr>
          <w:rFonts w:ascii="宋体" w:hAnsi="宋体" w:cs="宋体"/>
          <w:color w:val="000000"/>
          <w:sz w:val="24"/>
          <w:highlight w:val="none"/>
        </w:rPr>
      </w:r>
      <w:r/>
    </w:p>
    <w:p>
      <w:pPr>
        <w:pStyle w:val="106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（2）服务方案3分：</w:t>
      </w:r>
      <w:r>
        <w:rPr>
          <w:rFonts w:ascii="宋体" w:hAnsi="宋体" w:cs="宋体"/>
          <w:color w:val="000000"/>
          <w:sz w:val="24"/>
          <w:highlight w:val="none"/>
        </w:rPr>
      </w:r>
      <w:r/>
    </w:p>
    <w:p>
      <w:pPr>
        <w:pStyle w:val="106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供应商针对本项目制定的具体服务方案，至少包括服务计划、服务标准、工作措施、项目开展的流程、增值服务（如上门服务等）、服务过程中可能遇到的重点和难点问题及解决办法等。方案完全符合本项目实际需求的，得3分；非核心内容缺失或内容未针对本项目实际场景定制，但能满足本项目实际需求的，得2分；核心内容有欠缺或内容明显错误，但方案编制基本可行的得1分；内容简单、不能满足本项目实际需求的，得0分。</w:t>
      </w:r>
      <w:r>
        <w:rPr>
          <w:rFonts w:ascii="宋体" w:hAnsi="宋体" w:cs="宋体"/>
          <w:color w:val="000000"/>
          <w:sz w:val="24"/>
          <w:highlight w:val="none"/>
        </w:rPr>
      </w:r>
      <w:r/>
    </w:p>
    <w:p>
      <w:pPr>
        <w:pStyle w:val="106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（3）售后服务3分：</w:t>
      </w:r>
      <w:r>
        <w:rPr>
          <w:rFonts w:ascii="宋体" w:hAnsi="宋体" w:cs="宋体"/>
          <w:color w:val="000000"/>
          <w:sz w:val="24"/>
          <w:highlight w:val="none"/>
        </w:rPr>
      </w:r>
      <w:r/>
    </w:p>
    <w:p>
      <w:pPr>
        <w:pStyle w:val="1060"/>
        <w:ind w:firstLine="480"/>
        <w:spacing w:line="360" w:lineRule="auto"/>
        <w:rPr>
          <w:rFonts w:ascii="宋体" w:hAnsi="宋体" w:cs="宋体"/>
          <w:color w:val="000000"/>
          <w:sz w:val="24"/>
          <w:highlight w:val="none"/>
        </w:rPr>
      </w:pPr>
      <w:r/>
      <w:bookmarkStart w:id="351" w:name="OLE_LINK353"/>
      <w:r>
        <w:rPr>
          <w:rFonts w:hint="eastAsia" w:ascii="宋体" w:hAnsi="宋体" w:cs="宋体"/>
          <w:color w:val="000000"/>
          <w:sz w:val="24"/>
          <w:highlight w:val="none"/>
        </w:rPr>
        <w:t xml:space="preserve">供应商结合本项目的服务特点，提供售后服务方案，提出针对性的定期回访，根据需要进行调整、维护、维修或更换，定期提供免费保养服务，提供康复健康教育宣传服务、个性化的使用指导，设立患者投诉及处理机制等。方案完全符合本项目实际需求的，得3分；非核心内容缺失或内容未针对本项目实际场景定制，但能满足本项目实际需求的，得2分；核心内容有欠缺或内容明显错误，但方案编制基本可行的得1分；内容简单、不能满足本项目实际需求的，得0分。</w:t>
      </w:r>
      <w:bookmarkEnd w:id="351"/>
      <w:r>
        <w:rPr>
          <w:rFonts w:ascii="宋体" w:hAnsi="宋体" w:cs="宋体"/>
          <w:color w:val="000000"/>
          <w:sz w:val="24"/>
          <w:highlight w:val="none"/>
        </w:rPr>
      </w:r>
      <w:r/>
    </w:p>
    <w:p>
      <w:pPr>
        <w:pStyle w:val="1060"/>
        <w:ind w:left="482"/>
        <w:spacing w:line="360" w:lineRule="auto"/>
        <w:rPr>
          <w:rFonts w:ascii="宋体" w:hAnsi="宋体" w:cs="宋体"/>
          <w:b/>
          <w:bCs/>
          <w:color w:val="000000"/>
          <w:sz w:val="24"/>
          <w:highlight w:val="none"/>
        </w:rPr>
      </w:pPr>
      <w:r/>
      <w:bookmarkStart w:id="352" w:name="OLE_LINK329"/>
      <w:r/>
      <w:bookmarkStart w:id="353" w:name="OLE_LINK330"/>
      <w:r>
        <w:rPr>
          <w:rFonts w:hint="eastAsia" w:ascii="宋体" w:hAnsi="宋体" w:cs="宋体"/>
          <w:b/>
          <w:bCs/>
          <w:color w:val="000000"/>
          <w:sz w:val="24"/>
          <w:highlight w:val="none"/>
        </w:rPr>
        <w:t xml:space="preserve">3.场地配置（14分）</w:t>
      </w:r>
      <w:r>
        <w:rPr>
          <w:rFonts w:ascii="宋体" w:hAnsi="宋体" w:cs="宋体"/>
          <w:b/>
          <w:bCs/>
          <w:color w:val="000000"/>
          <w:sz w:val="24"/>
          <w:highlight w:val="none"/>
        </w:rPr>
      </w:r>
      <w:r/>
    </w:p>
    <w:p>
      <w:pPr>
        <w:pStyle w:val="1060"/>
        <w:ind w:firstLine="480"/>
        <w:spacing w:line="360" w:lineRule="auto"/>
        <w:rPr>
          <w:rFonts w:ascii="宋体" w:hAnsi="宋体" w:cs="宋体"/>
          <w:color w:val="000000"/>
          <w:sz w:val="24"/>
          <w:highlight w:val="none"/>
        </w:rPr>
      </w:pPr>
      <w:r/>
      <w:bookmarkStart w:id="354" w:name="OLE_LINK110"/>
      <w:r/>
      <w:bookmarkStart w:id="355" w:name="OLE_LINK127"/>
      <w:r/>
      <w:bookmarkStart w:id="356" w:name="OLE_LINK128"/>
      <w:r/>
      <w:bookmarkStart w:id="357" w:name="OLE_LINK111"/>
      <w:r>
        <w:rPr>
          <w:rFonts w:hint="eastAsia" w:ascii="宋体" w:hAnsi="宋体" w:cs="宋体"/>
          <w:color w:val="000000"/>
          <w:sz w:val="24"/>
          <w:highlight w:val="none"/>
        </w:rPr>
        <w:t xml:space="preserve">（1）接待室、测量取型室（其中具备单独的测量取型区域）、功能训练室总使用面积应不少于100m²，其中功能训练室的使用面积应不少于60m²的得2分。</w:t>
      </w:r>
      <w:r>
        <w:rPr>
          <w:rFonts w:ascii="宋体" w:hAnsi="宋体" w:cs="宋体"/>
          <w:color w:val="000000"/>
          <w:sz w:val="24"/>
          <w:highlight w:val="none"/>
        </w:rPr>
      </w:r>
      <w:r/>
    </w:p>
    <w:p>
      <w:pPr>
        <w:pStyle w:val="106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（2）应具备独立的石膏加工室、打磨室、抽真空室、装配室（矫形器适配室）、仓库，总使用面积应不少于100m²的得2分。</w:t>
      </w:r>
      <w:r>
        <w:rPr>
          <w:rFonts w:ascii="宋体" w:hAnsi="宋体" w:cs="宋体"/>
          <w:color w:val="000000"/>
          <w:sz w:val="24"/>
          <w:highlight w:val="none"/>
        </w:rPr>
      </w:r>
      <w:r/>
    </w:p>
    <w:p>
      <w:pPr>
        <w:pStyle w:val="106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（3）设有患者病房，使用面积大于或等于10㎡的得2分。</w:t>
      </w:r>
      <w:r>
        <w:rPr>
          <w:rFonts w:hint="eastAsia" w:ascii="宋体" w:hAnsi="宋体" w:cs="宋体"/>
          <w:color w:val="000000"/>
          <w:sz w:val="24"/>
          <w:highlight w:val="none"/>
        </w:rPr>
      </w:r>
      <w:r/>
    </w:p>
    <w:p>
      <w:pPr>
        <w:pStyle w:val="106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（4）设有无障碍等候休息区，使用面积不少于20㎡的得2分。</w:t>
      </w:r>
      <w:r>
        <w:rPr>
          <w:rFonts w:hint="eastAsia" w:ascii="宋体" w:hAnsi="宋体" w:cs="宋体"/>
          <w:color w:val="000000"/>
          <w:sz w:val="24"/>
          <w:highlight w:val="none"/>
        </w:rPr>
      </w:r>
      <w:r/>
    </w:p>
    <w:p>
      <w:pPr>
        <w:pStyle w:val="106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（5）设有辅具展示体验区，使用面积不少于15㎡的得2分。</w:t>
      </w:r>
      <w:r>
        <w:rPr>
          <w:rFonts w:hint="eastAsia" w:ascii="宋体" w:hAnsi="宋体" w:cs="宋体"/>
          <w:color w:val="000000"/>
          <w:sz w:val="24"/>
          <w:highlight w:val="none"/>
        </w:rPr>
      </w:r>
      <w:r/>
    </w:p>
    <w:p>
      <w:pPr>
        <w:pStyle w:val="106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（6）设有独立的残疾人辅具适配档案室，使用面积不少于15㎡的得2分。</w:t>
      </w:r>
      <w:r>
        <w:rPr>
          <w:rFonts w:hint="eastAsia" w:ascii="宋体" w:hAnsi="宋体" w:cs="宋体"/>
          <w:color w:val="000000"/>
          <w:sz w:val="24"/>
          <w:highlight w:val="none"/>
        </w:rPr>
      </w:r>
      <w:r/>
    </w:p>
    <w:p>
      <w:pPr>
        <w:pStyle w:val="106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（7）建筑总面积≥500㎡，且业务用房面积不少于建筑总面积的70%的得2分；300＜建筑总面积＜500㎡，且业务用房面积不少于建筑总面积的70%的得1分。</w:t>
      </w:r>
      <w:r>
        <w:rPr>
          <w:rFonts w:ascii="宋体" w:hAnsi="宋体" w:cs="宋体"/>
          <w:color w:val="000000"/>
          <w:sz w:val="24"/>
          <w:highlight w:val="none"/>
        </w:rPr>
      </w:r>
      <w:r/>
    </w:p>
    <w:p>
      <w:pPr>
        <w:pStyle w:val="1060"/>
        <w:ind w:firstLine="482"/>
        <w:spacing w:line="360" w:lineRule="auto"/>
        <w:rPr>
          <w:rFonts w:hint="eastAsia" w:ascii="宋体" w:hAnsi="宋体" w:cs="宋体"/>
          <w:b/>
          <w:color w:val="000000"/>
          <w:sz w:val="24"/>
          <w:highlight w:val="none"/>
        </w:rPr>
      </w:pPr>
      <w:r/>
      <w:bookmarkEnd w:id="352"/>
      <w:r/>
      <w:bookmarkEnd w:id="353"/>
      <w:r/>
      <w:bookmarkEnd w:id="354"/>
      <w:r/>
      <w:bookmarkEnd w:id="355"/>
      <w:r/>
      <w:bookmarkEnd w:id="356"/>
      <w:r/>
      <w:bookmarkEnd w:id="357"/>
      <w:r>
        <w:rPr>
          <w:rFonts w:hint="eastAsia" w:ascii="宋体" w:hAnsi="宋体" w:cs="宋体"/>
          <w:b/>
          <w:color w:val="000000"/>
          <w:sz w:val="24"/>
          <w:highlight w:val="none"/>
        </w:rPr>
        <w:t xml:space="preserve">供应商提供的服务场所满足上述要求的，最多14分。（请在响应文件中提供场地使用证明、平面图（标注清楚每个功能室及面积）、现场照片等相关证明材料；不提供对应项不得分。）</w:t>
      </w:r>
      <w:r>
        <w:rPr>
          <w:rFonts w:hint="eastAsia" w:ascii="宋体" w:hAnsi="宋体" w:cs="宋体"/>
          <w:b/>
          <w:color w:val="000000"/>
          <w:sz w:val="24"/>
          <w:highlight w:val="none"/>
        </w:rPr>
      </w:r>
      <w:r/>
    </w:p>
    <w:p>
      <w:pPr>
        <w:pStyle w:val="1060"/>
        <w:ind w:firstLine="482"/>
        <w:spacing w:line="360" w:lineRule="auto"/>
        <w:rPr>
          <w:rFonts w:ascii="宋体" w:hAnsi="宋体" w:cs="宋体"/>
          <w:b/>
          <w:bCs/>
          <w:color w:val="000000"/>
          <w:sz w:val="24"/>
          <w:highlight w:val="none"/>
        </w:rPr>
      </w:pPr>
      <w:r/>
      <w:bookmarkStart w:id="358" w:name="OLE_LINK302"/>
      <w:r/>
      <w:bookmarkStart w:id="359" w:name="OLE_LINK332"/>
      <w:r/>
      <w:bookmarkStart w:id="360" w:name="OLE_LINK303"/>
      <w:r/>
      <w:bookmarkStart w:id="361" w:name="OLE_LINK331"/>
      <w:r/>
      <w:bookmarkStart w:id="362" w:name="OLE_LINK333"/>
      <w:r/>
      <w:bookmarkStart w:id="363" w:name="OLE_LINK334"/>
      <w:r>
        <w:rPr>
          <w:rFonts w:hint="eastAsia" w:ascii="宋体" w:hAnsi="宋体" w:cs="宋体"/>
          <w:b/>
          <w:bCs/>
          <w:color w:val="000000"/>
          <w:sz w:val="24"/>
          <w:highlight w:val="none"/>
        </w:rPr>
        <w:t xml:space="preserve">4.服务设施</w:t>
      </w:r>
      <w:bookmarkEnd w:id="358"/>
      <w:r/>
      <w:bookmarkEnd w:id="359"/>
      <w:r/>
      <w:bookmarkEnd w:id="360"/>
      <w:r/>
      <w:bookmarkEnd w:id="361"/>
      <w:r>
        <w:rPr>
          <w:rFonts w:hint="eastAsia" w:ascii="宋体" w:hAnsi="宋体" w:cs="宋体"/>
          <w:b/>
          <w:bCs/>
          <w:color w:val="000000"/>
          <w:sz w:val="24"/>
          <w:highlight w:val="none"/>
        </w:rPr>
        <w:t xml:space="preserve">（8分）</w:t>
      </w:r>
      <w:r>
        <w:rPr>
          <w:rFonts w:ascii="宋体" w:hAnsi="宋体" w:cs="宋体"/>
          <w:b/>
          <w:bCs/>
          <w:color w:val="000000"/>
          <w:sz w:val="24"/>
          <w:highlight w:val="none"/>
        </w:rPr>
      </w:r>
      <w:r/>
    </w:p>
    <w:p>
      <w:pPr>
        <w:pStyle w:val="106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（1）主要公共区域应具备适合肢体残疾人的无障碍设施。</w:t>
      </w:r>
      <w:r>
        <w:rPr>
          <w:rFonts w:ascii="宋体" w:hAnsi="宋体" w:cs="宋体"/>
          <w:color w:val="000000"/>
          <w:sz w:val="24"/>
          <w:highlight w:val="none"/>
        </w:rPr>
      </w:r>
      <w:r/>
    </w:p>
    <w:p>
      <w:pPr>
        <w:pStyle w:val="106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（2）应设有卫生间、冲洗室,并配有方便患者的扶手设备。</w:t>
      </w:r>
      <w:r>
        <w:rPr>
          <w:rFonts w:ascii="宋体" w:hAnsi="宋体" w:cs="宋体"/>
          <w:color w:val="000000"/>
          <w:sz w:val="24"/>
          <w:highlight w:val="none"/>
        </w:rPr>
      </w:r>
      <w:r/>
    </w:p>
    <w:p>
      <w:pPr>
        <w:pStyle w:val="1060"/>
        <w:ind w:firstLine="480"/>
        <w:spacing w:line="360" w:lineRule="auto"/>
        <w:rPr>
          <w:rFonts w:ascii="宋体" w:hAnsi="宋体" w:cs="宋体"/>
          <w:color w:val="000000"/>
          <w:sz w:val="24"/>
          <w:highlight w:val="none"/>
        </w:rPr>
      </w:pPr>
      <w:r>
        <w:rPr>
          <w:rFonts w:ascii="宋体" w:hAnsi="宋体" w:cs="宋体"/>
          <w:color w:val="000000"/>
          <w:sz w:val="24"/>
          <w:highlight w:val="none"/>
        </w:rPr>
        <w:t xml:space="preserve">（</w:t>
      </w:r>
      <w:r>
        <w:rPr>
          <w:rFonts w:hint="eastAsia" w:ascii="宋体" w:hAnsi="宋体" w:cs="宋体"/>
          <w:color w:val="000000"/>
          <w:sz w:val="24"/>
          <w:highlight w:val="none"/>
        </w:rPr>
        <w:t xml:space="preserve">3）应配备轮椅车、双臂操作助行器各不少于1部，腋拐或肘拐不少于1副,供患者免费使用。</w:t>
      </w:r>
      <w:r>
        <w:rPr>
          <w:rFonts w:ascii="宋体" w:hAnsi="宋体" w:cs="宋体"/>
          <w:color w:val="000000"/>
          <w:sz w:val="24"/>
          <w:highlight w:val="none"/>
        </w:rPr>
      </w:r>
      <w:r/>
    </w:p>
    <w:p>
      <w:pPr>
        <w:pStyle w:val="1060"/>
        <w:ind w:firstLine="480"/>
        <w:spacing w:line="360" w:lineRule="auto"/>
        <w:rPr>
          <w:rFonts w:ascii="宋体" w:hAnsi="宋体" w:cs="宋体"/>
          <w:color w:val="000000"/>
          <w:sz w:val="24"/>
          <w:highlight w:val="none"/>
        </w:rPr>
      </w:pPr>
      <w:r>
        <w:rPr>
          <w:rFonts w:ascii="宋体" w:hAnsi="宋体" w:cs="宋体"/>
          <w:color w:val="000000"/>
          <w:sz w:val="24"/>
          <w:highlight w:val="none"/>
        </w:rPr>
        <w:t xml:space="preserve">（</w:t>
      </w:r>
      <w:r>
        <w:rPr>
          <w:rFonts w:hint="eastAsia" w:ascii="宋体" w:hAnsi="宋体" w:cs="宋体"/>
          <w:color w:val="000000"/>
          <w:sz w:val="24"/>
          <w:highlight w:val="none"/>
        </w:rPr>
        <w:t xml:space="preserve">4）应根据当地的气候,有采暖、制冷设备,各区域通风良好。</w:t>
      </w:r>
      <w:r>
        <w:rPr>
          <w:rFonts w:ascii="宋体" w:hAnsi="宋体" w:cs="宋体"/>
          <w:color w:val="000000"/>
          <w:sz w:val="24"/>
          <w:highlight w:val="none"/>
        </w:rPr>
      </w:r>
      <w:r/>
    </w:p>
    <w:p>
      <w:pPr>
        <w:pStyle w:val="1060"/>
        <w:ind w:firstLine="480"/>
        <w:spacing w:line="360" w:lineRule="auto"/>
        <w:rPr>
          <w:rFonts w:hint="eastAsia" w:ascii="宋体" w:hAnsi="宋体" w:cs="宋体"/>
          <w:b/>
          <w:color w:val="000000"/>
          <w:sz w:val="24"/>
          <w:highlight w:val="none"/>
        </w:rPr>
      </w:pPr>
      <w:r/>
      <w:bookmarkStart w:id="364" w:name="OLE_LINK226"/>
      <w:r/>
      <w:bookmarkStart w:id="365" w:name="OLE_LINK225"/>
      <w:r>
        <w:rPr>
          <w:rFonts w:hint="eastAsia" w:ascii="宋体" w:hAnsi="宋体" w:cs="宋体"/>
          <w:color w:val="000000"/>
          <w:sz w:val="24"/>
          <w:highlight w:val="none"/>
        </w:rPr>
        <w:t xml:space="preserve">供应商提供的服务场所满足上述要求的，每一项得2分，最多8分。</w:t>
      </w:r>
      <w:bookmarkEnd w:id="362"/>
      <w:r/>
      <w:bookmarkEnd w:id="363"/>
      <w:r/>
      <w:bookmarkEnd w:id="364"/>
      <w:r/>
      <w:bookmarkEnd w:id="365"/>
      <w:r>
        <w:rPr>
          <w:rFonts w:hint="eastAsia" w:ascii="宋体" w:hAnsi="宋体" w:cs="宋体"/>
          <w:b/>
          <w:color w:val="000000"/>
          <w:sz w:val="24"/>
          <w:highlight w:val="none"/>
        </w:rPr>
        <w:t xml:space="preserve">（请在响应文件中提供现场照片及相关证明材料，不提供对应项不得分）</w:t>
      </w:r>
      <w:r>
        <w:rPr>
          <w:rFonts w:hint="eastAsia" w:ascii="宋体" w:hAnsi="宋体" w:cs="宋体"/>
          <w:b/>
          <w:color w:val="000000"/>
          <w:sz w:val="24"/>
          <w:highlight w:val="none"/>
        </w:rPr>
      </w:r>
      <w:r/>
    </w:p>
    <w:p>
      <w:pPr>
        <w:pStyle w:val="1060"/>
        <w:ind w:firstLine="482"/>
        <w:spacing w:line="360" w:lineRule="auto"/>
        <w:rPr>
          <w:rFonts w:ascii="宋体" w:hAnsi="宋体" w:cs="宋体"/>
          <w:b/>
          <w:bCs/>
          <w:color w:val="000000"/>
          <w:sz w:val="24"/>
          <w:highlight w:val="none"/>
        </w:rPr>
      </w:pPr>
      <w:r/>
      <w:bookmarkStart w:id="366" w:name="OLE_LINK305"/>
      <w:r/>
      <w:bookmarkStart w:id="367" w:name="OLE_LINK304"/>
      <w:r>
        <w:rPr>
          <w:rFonts w:hint="eastAsia" w:ascii="宋体" w:hAnsi="宋体" w:cs="宋体"/>
          <w:b/>
          <w:bCs/>
          <w:color w:val="000000"/>
          <w:sz w:val="24"/>
          <w:highlight w:val="none"/>
        </w:rPr>
        <w:t xml:space="preserve">5.专用设备</w:t>
      </w:r>
      <w:bookmarkEnd w:id="366"/>
      <w:r/>
      <w:bookmarkEnd w:id="367"/>
      <w:r>
        <w:rPr>
          <w:rFonts w:hint="eastAsia" w:ascii="宋体" w:hAnsi="宋体" w:cs="宋体"/>
          <w:b/>
          <w:bCs/>
          <w:color w:val="000000"/>
          <w:sz w:val="24"/>
          <w:highlight w:val="none"/>
        </w:rPr>
        <w:t xml:space="preserve">（30分）</w:t>
      </w:r>
      <w:r>
        <w:rPr>
          <w:rFonts w:ascii="宋体" w:hAnsi="宋体" w:cs="宋体"/>
          <w:b/>
          <w:bCs/>
          <w:color w:val="000000"/>
          <w:sz w:val="24"/>
          <w:highlight w:val="none"/>
        </w:rPr>
      </w:r>
      <w:r/>
    </w:p>
    <w:p>
      <w:pPr>
        <w:pStyle w:val="106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w:t>
      </w:r>
      <w:bookmarkStart w:id="368" w:name="OLE_LINK306"/>
      <w:r/>
      <w:bookmarkStart w:id="369" w:name="OLE_LINK307"/>
      <w:r/>
      <w:bookmarkStart w:id="370" w:name="OLE_LINK335"/>
      <w:r>
        <w:rPr>
          <w:rFonts w:hint="eastAsia" w:ascii="宋体" w:hAnsi="宋体" w:cs="宋体"/>
          <w:color w:val="000000"/>
          <w:sz w:val="24"/>
          <w:highlight w:val="none"/>
        </w:rPr>
        <w:t xml:space="preserve">测量取型等设备和工具</w:t>
      </w:r>
      <w:bookmarkEnd w:id="368"/>
      <w:r/>
      <w:bookmarkEnd w:id="369"/>
      <w:r/>
      <w:bookmarkEnd w:id="370"/>
      <w:r>
        <w:rPr>
          <w:rFonts w:hint="eastAsia" w:ascii="宋体" w:hAnsi="宋体" w:cs="宋体"/>
          <w:color w:val="000000"/>
          <w:sz w:val="24"/>
          <w:highlight w:val="none"/>
        </w:rPr>
        <w:t xml:space="preserve">（14分）</w:t>
      </w:r>
      <w:r>
        <w:rPr>
          <w:rFonts w:ascii="宋体" w:hAnsi="宋体" w:cs="宋体"/>
          <w:color w:val="000000"/>
          <w:sz w:val="24"/>
          <w:highlight w:val="none"/>
        </w:rPr>
      </w:r>
      <w:r/>
    </w:p>
    <w:p>
      <w:pPr>
        <w:pStyle w:val="1060"/>
        <w:ind w:firstLine="480"/>
        <w:spacing w:line="360" w:lineRule="auto"/>
        <w:rPr>
          <w:rFonts w:ascii="宋体" w:hAnsi="宋体" w:cs="宋体"/>
          <w:color w:val="000000"/>
          <w:sz w:val="24"/>
          <w:highlight w:val="none"/>
        </w:rPr>
      </w:pPr>
      <w:r/>
      <w:bookmarkStart w:id="371" w:name="OLE_LINK336"/>
      <w:r/>
      <w:bookmarkStart w:id="372" w:name="OLE_LINK337"/>
      <w:r>
        <w:rPr>
          <w:rFonts w:hint="eastAsia" w:ascii="宋体" w:hAnsi="宋体" w:cs="宋体"/>
          <w:color w:val="000000"/>
          <w:sz w:val="24"/>
          <w:highlight w:val="none"/>
        </w:rPr>
        <w:t xml:space="preserve">应具备配置假肢或者矫形器所需的测量取型、石膏加工、抽真空成型、打磨修饰、钳工装配、对线调整、热塑成型等相关设备和工具，有一项得2分，最多14分。</w:t>
      </w:r>
      <w:bookmarkEnd w:id="371"/>
      <w:r/>
      <w:bookmarkEnd w:id="372"/>
      <w:r>
        <w:rPr>
          <w:rFonts w:hint="eastAsia" w:ascii="宋体" w:hAnsi="宋体" w:cs="宋体"/>
          <w:b/>
          <w:color w:val="000000"/>
          <w:sz w:val="24"/>
          <w:highlight w:val="none"/>
        </w:rPr>
        <w:t xml:space="preserve">（</w:t>
      </w:r>
      <w:r>
        <w:rPr>
          <w:rFonts w:hint="eastAsia" w:ascii="宋体" w:hAnsi="宋体" w:cs="宋体"/>
          <w:b/>
          <w:bCs/>
          <w:color w:val="000000"/>
          <w:sz w:val="24"/>
          <w:highlight w:val="none"/>
        </w:rPr>
        <w:t xml:space="preserve">请在响应文件中提供上述设备购置发票及实物照片等证明材料，不提供对应项不得分</w:t>
      </w:r>
      <w:r>
        <w:rPr>
          <w:rFonts w:hint="eastAsia" w:ascii="宋体" w:hAnsi="宋体" w:cs="宋体"/>
          <w:b/>
          <w:color w:val="000000"/>
          <w:sz w:val="24"/>
          <w:highlight w:val="none"/>
        </w:rPr>
        <w:t xml:space="preserve">）</w:t>
      </w:r>
      <w:r>
        <w:rPr>
          <w:rFonts w:ascii="宋体" w:hAnsi="宋体" w:cs="宋体"/>
          <w:color w:val="000000"/>
          <w:sz w:val="24"/>
          <w:highlight w:val="none"/>
        </w:rPr>
      </w:r>
      <w:r/>
    </w:p>
    <w:p>
      <w:pPr>
        <w:pStyle w:val="106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w:t>
      </w:r>
      <w:bookmarkStart w:id="373" w:name="OLE_LINK308"/>
      <w:r/>
      <w:bookmarkStart w:id="374" w:name="OLE_LINK338"/>
      <w:r/>
      <w:bookmarkStart w:id="375" w:name="OLE_LINK309"/>
      <w:r>
        <w:rPr>
          <w:rFonts w:hint="eastAsia" w:ascii="宋体" w:hAnsi="宋体" w:cs="宋体"/>
          <w:color w:val="000000"/>
          <w:sz w:val="24"/>
          <w:highlight w:val="none"/>
        </w:rPr>
        <w:t xml:space="preserve">功能训练基本设施(设备)和工具</w:t>
      </w:r>
      <w:bookmarkEnd w:id="373"/>
      <w:r/>
      <w:bookmarkEnd w:id="374"/>
      <w:r/>
      <w:bookmarkEnd w:id="375"/>
      <w:r>
        <w:rPr>
          <w:rFonts w:hint="eastAsia" w:ascii="宋体" w:hAnsi="宋体" w:cs="宋体"/>
          <w:color w:val="000000"/>
          <w:sz w:val="24"/>
          <w:highlight w:val="none"/>
        </w:rPr>
        <w:t xml:space="preserve">（6分）</w:t>
      </w:r>
      <w:r>
        <w:rPr>
          <w:rFonts w:ascii="宋体" w:hAnsi="宋体" w:cs="宋体"/>
          <w:color w:val="000000"/>
          <w:sz w:val="24"/>
          <w:highlight w:val="none"/>
        </w:rPr>
      </w:r>
      <w:r/>
    </w:p>
    <w:p>
      <w:pPr>
        <w:pStyle w:val="1060"/>
        <w:ind w:firstLine="480"/>
        <w:spacing w:line="360" w:lineRule="auto"/>
        <w:rPr>
          <w:rFonts w:ascii="宋体" w:hAnsi="宋体" w:cs="宋体"/>
          <w:color w:val="000000"/>
          <w:sz w:val="24"/>
          <w:highlight w:val="none"/>
        </w:rPr>
      </w:pPr>
      <w:r/>
      <w:bookmarkStart w:id="376" w:name="OLE_LINK340"/>
      <w:r/>
      <w:bookmarkStart w:id="377" w:name="OLE_LINK339"/>
      <w:r>
        <w:rPr>
          <w:rFonts w:hint="eastAsia" w:ascii="宋体" w:hAnsi="宋体" w:cs="宋体"/>
          <w:color w:val="000000"/>
          <w:sz w:val="24"/>
          <w:highlight w:val="none"/>
        </w:rPr>
        <w:t xml:space="preserve">应具备配置假肢或者矫形器所需的</w:t>
      </w:r>
      <w:bookmarkStart w:id="378" w:name="OLE_LINK132"/>
      <w:r/>
      <w:bookmarkStart w:id="379" w:name="OLE_LINK131"/>
      <w:r>
        <w:rPr>
          <w:rFonts w:hint="eastAsia" w:ascii="宋体" w:hAnsi="宋体" w:cs="宋体"/>
          <w:color w:val="000000"/>
          <w:sz w:val="24"/>
          <w:highlight w:val="none"/>
        </w:rPr>
        <w:t xml:space="preserve">功能训练基本设施(设备)和工具</w:t>
      </w:r>
      <w:bookmarkEnd w:id="378"/>
      <w:r/>
      <w:bookmarkEnd w:id="379"/>
      <w:r>
        <w:rPr>
          <w:rFonts w:hint="eastAsia" w:ascii="宋体" w:hAnsi="宋体" w:cs="宋体"/>
          <w:color w:val="000000"/>
          <w:sz w:val="24"/>
          <w:highlight w:val="none"/>
        </w:rPr>
        <w:t xml:space="preserve">。</w:t>
      </w:r>
      <w:r>
        <w:rPr>
          <w:rFonts w:hint="eastAsia" w:ascii="宋体" w:hAnsi="宋体" w:cs="宋体"/>
          <w:color w:val="000000"/>
          <w:sz w:val="24"/>
          <w:szCs w:val="22"/>
          <w:highlight w:val="none"/>
        </w:rPr>
        <w:t xml:space="preserve">包括但不限于平行杠、训练用阶梯与坡道、姿势镜、肌电信号测试仪等康复训练器具</w:t>
      </w:r>
      <w:r>
        <w:rPr>
          <w:rFonts w:hint="eastAsia" w:ascii="宋体" w:hAnsi="宋体" w:cs="宋体"/>
          <w:color w:val="000000"/>
          <w:sz w:val="24"/>
          <w:highlight w:val="none"/>
        </w:rPr>
        <w:t xml:space="preserve">，有一项得1.5分，最多6分。</w:t>
      </w:r>
      <w:bookmarkEnd w:id="376"/>
      <w:r/>
      <w:bookmarkEnd w:id="377"/>
      <w:r>
        <w:rPr>
          <w:rFonts w:hint="eastAsia" w:ascii="宋体" w:hAnsi="宋体" w:cs="宋体"/>
          <w:b/>
          <w:color w:val="000000"/>
          <w:sz w:val="24"/>
          <w:highlight w:val="none"/>
        </w:rPr>
        <w:t xml:space="preserve">（</w:t>
      </w:r>
      <w:r>
        <w:rPr>
          <w:rFonts w:hint="eastAsia" w:ascii="宋体" w:hAnsi="宋体" w:cs="宋体"/>
          <w:b/>
          <w:bCs/>
          <w:color w:val="000000"/>
          <w:sz w:val="24"/>
          <w:highlight w:val="none"/>
        </w:rPr>
        <w:t xml:space="preserve">请在响应文件中提供上述设备购置发票及实物照片等证明材料，不提供对应项不得分</w:t>
      </w:r>
      <w:r>
        <w:rPr>
          <w:rFonts w:hint="eastAsia" w:ascii="宋体" w:hAnsi="宋体" w:cs="宋体"/>
          <w:b/>
          <w:color w:val="000000"/>
          <w:sz w:val="24"/>
          <w:highlight w:val="none"/>
        </w:rPr>
        <w:t xml:space="preserve">）</w:t>
      </w:r>
      <w:r>
        <w:rPr>
          <w:rFonts w:ascii="宋体" w:hAnsi="宋体" w:cs="宋体"/>
          <w:color w:val="000000"/>
          <w:sz w:val="24"/>
          <w:highlight w:val="none"/>
        </w:rPr>
      </w:r>
      <w:r/>
    </w:p>
    <w:p>
      <w:pPr>
        <w:pStyle w:val="1060"/>
        <w:ind w:firstLine="480"/>
        <w:spacing w:line="360" w:lineRule="auto"/>
        <w:widowControl/>
        <w:rPr>
          <w:rFonts w:ascii="宋体" w:hAnsi="宋体" w:cs="宋体"/>
          <w:color w:val="000000"/>
          <w:sz w:val="24"/>
          <w:highlight w:val="none"/>
        </w:rPr>
      </w:pPr>
      <w:r>
        <w:rPr>
          <w:rFonts w:hint="eastAsia" w:ascii="宋体" w:hAnsi="宋体" w:cs="宋体"/>
          <w:bCs/>
          <w:color w:val="000000"/>
          <w:sz w:val="24"/>
          <w:highlight w:val="none"/>
        </w:rPr>
        <w:t xml:space="preserve">（3</w:t>
      </w:r>
      <w:r>
        <w:rPr>
          <w:rFonts w:hint="eastAsia" w:ascii="宋体" w:hAnsi="宋体" w:cs="宋体"/>
          <w:color w:val="000000"/>
          <w:sz w:val="24"/>
          <w:highlight w:val="none"/>
        </w:rPr>
        <w:t xml:space="preserve">）</w:t>
      </w:r>
      <w:bookmarkStart w:id="380" w:name="OLE_LINK310"/>
      <w:r/>
      <w:bookmarkStart w:id="381" w:name="OLE_LINK311"/>
      <w:r/>
      <w:bookmarkStart w:id="382" w:name="OLE_LINK341"/>
      <w:r>
        <w:rPr>
          <w:rFonts w:hint="eastAsia" w:ascii="宋体" w:hAnsi="宋体" w:cs="宋体"/>
          <w:color w:val="000000"/>
          <w:sz w:val="24"/>
          <w:highlight w:val="none"/>
        </w:rPr>
        <w:t xml:space="preserve">体能训练等基本设施（设备）</w:t>
      </w:r>
      <w:bookmarkEnd w:id="380"/>
      <w:r/>
      <w:bookmarkEnd w:id="381"/>
      <w:r>
        <w:rPr>
          <w:rFonts w:hint="eastAsia" w:ascii="宋体" w:hAnsi="宋体" w:cs="宋体"/>
          <w:color w:val="000000"/>
          <w:sz w:val="24"/>
          <w:highlight w:val="none"/>
        </w:rPr>
        <w:t xml:space="preserve">（4分）</w:t>
      </w:r>
      <w:r>
        <w:rPr>
          <w:rFonts w:ascii="宋体" w:hAnsi="宋体" w:cs="宋体"/>
          <w:color w:val="000000"/>
          <w:sz w:val="24"/>
          <w:highlight w:val="none"/>
        </w:rPr>
      </w:r>
      <w:r/>
    </w:p>
    <w:p>
      <w:pPr>
        <w:pStyle w:val="1060"/>
        <w:ind w:firstLine="480"/>
        <w:spacing w:line="360" w:lineRule="auto"/>
        <w:rPr>
          <w:rFonts w:ascii="宋体" w:hAnsi="宋体" w:cs="宋体"/>
          <w:b/>
          <w:bCs/>
          <w:color w:val="000000"/>
          <w:sz w:val="24"/>
          <w:highlight w:val="none"/>
        </w:rPr>
      </w:pPr>
      <w:r>
        <w:rPr>
          <w:rFonts w:hint="eastAsia" w:ascii="宋体" w:hAnsi="宋体" w:cs="宋体"/>
          <w:color w:val="000000"/>
          <w:sz w:val="24"/>
          <w:highlight w:val="none"/>
        </w:rPr>
        <w:t xml:space="preserve">应具备对残肢进行关节活动、肌力协调训练和体能训练的基本设施</w:t>
      </w:r>
      <w:bookmarkStart w:id="383" w:name="OLE_LINK133"/>
      <w:r/>
      <w:bookmarkStart w:id="384" w:name="OLE_LINK134"/>
      <w:r>
        <w:rPr>
          <w:rFonts w:hint="eastAsia" w:ascii="宋体" w:hAnsi="宋体" w:cs="宋体"/>
          <w:color w:val="000000"/>
          <w:sz w:val="24"/>
          <w:highlight w:val="none"/>
        </w:rPr>
        <w:t xml:space="preserve">（设备）</w:t>
      </w:r>
      <w:bookmarkEnd w:id="383"/>
      <w:r/>
      <w:bookmarkEnd w:id="384"/>
      <w:r>
        <w:rPr>
          <w:rFonts w:hint="eastAsia" w:ascii="宋体" w:hAnsi="宋体" w:cs="宋体"/>
          <w:color w:val="000000"/>
          <w:sz w:val="24"/>
          <w:highlight w:val="none"/>
        </w:rPr>
        <w:t xml:space="preserve">及其相关的操作人员，基本设施（设备）包括但不限于股四头肌训练器（椅）、肋木、PT训练床、运动垫等，有一项得1分，最多得4分。</w:t>
      </w:r>
      <w:bookmarkEnd w:id="382"/>
      <w:r>
        <w:rPr>
          <w:rFonts w:hint="eastAsia" w:ascii="宋体" w:hAnsi="宋体" w:cs="宋体"/>
          <w:b/>
          <w:color w:val="000000"/>
          <w:sz w:val="24"/>
          <w:highlight w:val="none"/>
        </w:rPr>
        <w:t xml:space="preserve">（</w:t>
      </w:r>
      <w:r>
        <w:rPr>
          <w:rFonts w:hint="eastAsia" w:ascii="宋体" w:hAnsi="宋体" w:cs="宋体"/>
          <w:b/>
          <w:bCs/>
          <w:color w:val="000000"/>
          <w:sz w:val="24"/>
          <w:highlight w:val="none"/>
        </w:rPr>
        <w:t xml:space="preserve">请在响应文件中提供上述设备购置发票及实物照片等证明材料，不提供对应项不得分</w:t>
      </w:r>
      <w:r>
        <w:rPr>
          <w:rFonts w:hint="eastAsia" w:ascii="宋体" w:hAnsi="宋体" w:cs="宋体"/>
          <w:b/>
          <w:color w:val="000000"/>
          <w:sz w:val="24"/>
          <w:highlight w:val="none"/>
        </w:rPr>
        <w:t xml:space="preserve">）</w:t>
      </w:r>
      <w:r>
        <w:rPr>
          <w:rFonts w:ascii="宋体" w:hAnsi="宋体" w:cs="宋体"/>
          <w:b/>
          <w:bCs/>
          <w:color w:val="000000"/>
          <w:sz w:val="24"/>
          <w:highlight w:val="none"/>
        </w:rPr>
      </w:r>
      <w:r/>
    </w:p>
    <w:p>
      <w:pPr>
        <w:pStyle w:val="106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w:t>
      </w:r>
      <w:bookmarkStart w:id="385" w:name="OLE_LINK313"/>
      <w:r/>
      <w:bookmarkStart w:id="386" w:name="OLE_LINK312"/>
      <w:r/>
      <w:bookmarkStart w:id="387" w:name="OLE_LINK343"/>
      <w:r/>
      <w:bookmarkStart w:id="388" w:name="OLE_LINK342"/>
      <w:r>
        <w:rPr>
          <w:rFonts w:hint="eastAsia" w:ascii="宋体" w:hAnsi="宋体" w:cs="宋体"/>
          <w:color w:val="000000"/>
          <w:sz w:val="24"/>
          <w:highlight w:val="none"/>
        </w:rPr>
        <w:t xml:space="preserve">防护措施或消除装置等</w:t>
      </w:r>
      <w:bookmarkEnd w:id="385"/>
      <w:r/>
      <w:bookmarkEnd w:id="386"/>
      <w:r>
        <w:rPr>
          <w:rFonts w:hint="eastAsia" w:ascii="宋体" w:hAnsi="宋体" w:cs="宋体"/>
          <w:color w:val="000000"/>
          <w:sz w:val="24"/>
          <w:highlight w:val="none"/>
        </w:rPr>
        <w:t xml:space="preserve">（4分）</w:t>
      </w:r>
      <w:r>
        <w:rPr>
          <w:rFonts w:ascii="宋体" w:hAnsi="宋体" w:cs="宋体"/>
          <w:color w:val="000000"/>
          <w:sz w:val="24"/>
          <w:highlight w:val="none"/>
        </w:rPr>
      </w:r>
      <w:r/>
    </w:p>
    <w:p>
      <w:pPr>
        <w:pStyle w:val="1060"/>
        <w:ind w:firstLine="480"/>
        <w:spacing w:line="360" w:lineRule="auto"/>
        <w:rPr>
          <w:rFonts w:hint="eastAsia" w:ascii="宋体" w:hAnsi="宋体" w:cs="宋体"/>
          <w:b/>
          <w:bCs/>
          <w:color w:val="000000"/>
          <w:sz w:val="24"/>
          <w:highlight w:val="none"/>
        </w:rPr>
      </w:pPr>
      <w:r>
        <w:rPr>
          <w:rFonts w:hint="eastAsia" w:ascii="宋体" w:hAnsi="宋体" w:cs="宋体"/>
          <w:color w:val="000000"/>
          <w:sz w:val="24"/>
          <w:highlight w:val="none"/>
        </w:rPr>
        <w:t xml:space="preserve">①抽真空成型、打磨修饰等专用设备均应配有换气、除尘、通风设备。②对其他可能产生粉尘或有毒有害气体的,应具备</w:t>
      </w:r>
      <w:bookmarkStart w:id="389" w:name="OLE_LINK136"/>
      <w:r/>
      <w:bookmarkStart w:id="390" w:name="OLE_LINK135"/>
      <w:r>
        <w:rPr>
          <w:rFonts w:hint="eastAsia" w:ascii="宋体" w:hAnsi="宋体" w:cs="宋体"/>
          <w:color w:val="000000"/>
          <w:sz w:val="24"/>
          <w:highlight w:val="none"/>
        </w:rPr>
        <w:t xml:space="preserve">防护措施或消除装置</w:t>
      </w:r>
      <w:bookmarkEnd w:id="389"/>
      <w:r/>
      <w:bookmarkEnd w:id="390"/>
      <w:r>
        <w:rPr>
          <w:rFonts w:hint="eastAsia" w:ascii="宋体" w:hAnsi="宋体" w:cs="宋体"/>
          <w:color w:val="000000"/>
          <w:sz w:val="24"/>
          <w:highlight w:val="none"/>
        </w:rPr>
        <w:t xml:space="preserve">，并定期检查。有一项得2分，最多得4分。</w:t>
      </w:r>
      <w:bookmarkEnd w:id="387"/>
      <w:r/>
      <w:bookmarkEnd w:id="388"/>
      <w:r>
        <w:rPr>
          <w:rFonts w:hint="eastAsia" w:ascii="宋体" w:hAnsi="宋体" w:cs="宋体"/>
          <w:b/>
          <w:color w:val="000000"/>
          <w:sz w:val="24"/>
          <w:highlight w:val="none"/>
        </w:rPr>
        <w:t xml:space="preserve">（</w:t>
      </w:r>
      <w:r>
        <w:rPr>
          <w:rFonts w:hint="eastAsia" w:ascii="宋体" w:hAnsi="宋体" w:cs="宋体"/>
          <w:b/>
          <w:bCs/>
          <w:color w:val="000000"/>
          <w:sz w:val="24"/>
          <w:highlight w:val="none"/>
        </w:rPr>
        <w:t xml:space="preserve">请在响应文件中提供上述设备购置发票及实物照片等证明材料，不提供对应项不得分</w:t>
      </w:r>
      <w:r>
        <w:rPr>
          <w:rFonts w:hint="eastAsia" w:ascii="宋体" w:hAnsi="宋体" w:cs="宋体"/>
          <w:b/>
          <w:color w:val="000000"/>
          <w:sz w:val="24"/>
          <w:highlight w:val="none"/>
        </w:rPr>
        <w:t xml:space="preserve">）</w:t>
      </w:r>
      <w:r>
        <w:rPr>
          <w:rFonts w:hint="eastAsia" w:ascii="宋体" w:hAnsi="宋体" w:cs="宋体"/>
          <w:b/>
          <w:bCs/>
          <w:color w:val="000000"/>
          <w:sz w:val="24"/>
          <w:highlight w:val="none"/>
        </w:rPr>
      </w:r>
      <w:r/>
    </w:p>
    <w:p>
      <w:pPr>
        <w:pStyle w:val="106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w:t>
      </w:r>
      <w:bookmarkStart w:id="391" w:name="OLE_LINK344"/>
      <w:r/>
      <w:bookmarkStart w:id="392" w:name="OLE_LINK314"/>
      <w:r/>
      <w:bookmarkStart w:id="393" w:name="OLE_LINK315"/>
      <w:r/>
      <w:bookmarkStart w:id="394" w:name="OLE_LINK346"/>
      <w:r/>
      <w:bookmarkStart w:id="395" w:name="OLE_LINK345"/>
      <w:r>
        <w:rPr>
          <w:rFonts w:hint="eastAsia" w:ascii="宋体" w:hAnsi="宋体" w:cs="宋体"/>
          <w:color w:val="000000"/>
          <w:sz w:val="24"/>
          <w:highlight w:val="none"/>
        </w:rPr>
        <w:t xml:space="preserve">安全生产及安全操作相关制度</w:t>
      </w:r>
      <w:bookmarkEnd w:id="391"/>
      <w:r/>
      <w:bookmarkEnd w:id="392"/>
      <w:r/>
      <w:bookmarkEnd w:id="393"/>
      <w:r>
        <w:rPr>
          <w:rFonts w:hint="eastAsia" w:ascii="宋体" w:hAnsi="宋体" w:cs="宋体"/>
          <w:color w:val="000000"/>
          <w:sz w:val="24"/>
          <w:highlight w:val="none"/>
        </w:rPr>
        <w:t xml:space="preserve">（2分）</w:t>
      </w:r>
      <w:r>
        <w:rPr>
          <w:rFonts w:ascii="宋体" w:hAnsi="宋体" w:cs="宋体"/>
          <w:color w:val="000000"/>
          <w:sz w:val="24"/>
          <w:highlight w:val="none"/>
        </w:rPr>
      </w:r>
      <w:r/>
    </w:p>
    <w:p>
      <w:pPr>
        <w:pStyle w:val="1060"/>
        <w:ind w:firstLine="480"/>
        <w:spacing w:line="360" w:lineRule="auto"/>
        <w:rPr>
          <w:rFonts w:ascii="宋体" w:hAnsi="宋体" w:cs="宋体"/>
          <w:b/>
          <w:bCs/>
          <w:color w:val="000000"/>
          <w:sz w:val="24"/>
          <w:highlight w:val="none"/>
        </w:rPr>
      </w:pPr>
      <w:r>
        <w:rPr>
          <w:rFonts w:hint="eastAsia" w:ascii="宋体" w:hAnsi="宋体" w:cs="宋体"/>
          <w:color w:val="000000"/>
          <w:sz w:val="24"/>
          <w:highlight w:val="none"/>
        </w:rPr>
        <w:t xml:space="preserve">具备进行安全生产、对专用设备进行安全操作的制度规则，得2分，最多2分。</w:t>
      </w:r>
      <w:bookmarkEnd w:id="394"/>
      <w:r/>
      <w:bookmarkEnd w:id="395"/>
      <w:r>
        <w:rPr>
          <w:rFonts w:ascii="宋体" w:hAnsi="宋体" w:cs="宋体"/>
          <w:b/>
          <w:bCs/>
          <w:color w:val="000000"/>
          <w:sz w:val="24"/>
          <w:highlight w:val="none"/>
        </w:rPr>
      </w:r>
      <w:r/>
    </w:p>
    <w:p>
      <w:pPr>
        <w:pStyle w:val="1060"/>
        <w:ind w:firstLine="480"/>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1060"/>
        <w:ind w:firstLine="480"/>
        <w:spacing w:line="360" w:lineRule="auto"/>
        <w:rPr>
          <w:rFonts w:ascii="宋体" w:hAnsi="宋体" w:cs="宋体"/>
          <w:b/>
          <w:color w:val="000000"/>
          <w:sz w:val="24"/>
          <w:highlight w:val="none"/>
        </w:rPr>
      </w:pPr>
      <w:r/>
      <w:bookmarkStart w:id="396" w:name="OLE_LINK354"/>
      <w:r/>
      <w:bookmarkStart w:id="397" w:name="OLE_LINK326"/>
      <w:r/>
      <w:bookmarkStart w:id="398" w:name="OLE_LINK327"/>
      <w:r/>
      <w:bookmarkStart w:id="399" w:name="OLE_LINK355"/>
      <w:r>
        <w:rPr>
          <w:rFonts w:hint="eastAsia" w:ascii="宋体" w:hAnsi="宋体" w:cs="宋体"/>
          <w:b/>
          <w:color w:val="000000"/>
          <w:sz w:val="24"/>
          <w:highlight w:val="none"/>
        </w:rPr>
        <w:t xml:space="preserve">6.技术能力</w:t>
      </w:r>
      <w:bookmarkEnd w:id="396"/>
      <w:r/>
      <w:bookmarkEnd w:id="397"/>
      <w:r/>
      <w:bookmarkEnd w:id="398"/>
      <w:r>
        <w:rPr>
          <w:rFonts w:hint="eastAsia" w:ascii="宋体" w:hAnsi="宋体" w:cs="宋体"/>
          <w:b/>
          <w:color w:val="000000"/>
          <w:sz w:val="24"/>
          <w:highlight w:val="none"/>
        </w:rPr>
        <w:t xml:space="preserve">（3分）</w:t>
      </w:r>
      <w:r>
        <w:rPr>
          <w:rFonts w:ascii="宋体" w:hAnsi="宋体" w:cs="宋体"/>
          <w:b/>
          <w:color w:val="000000"/>
          <w:sz w:val="24"/>
          <w:highlight w:val="none"/>
        </w:rPr>
      </w:r>
      <w:r/>
    </w:p>
    <w:p>
      <w:pPr>
        <w:pStyle w:val="106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具备独立制作高难度假肢、高难度矫形器的能力，具备装配先进假肢、先进矫形器的能力，具备独立开展假肢、矫形器数字化工作的能力，近3年应具备按上述规定的技术能力进行配置的总数量</w:t>
      </w:r>
      <w:r>
        <w:rPr>
          <w:rFonts w:hint="eastAsia" w:ascii="宋体" w:hAnsi="宋体" w:cs="宋体"/>
          <w:b/>
          <w:bCs/>
          <w:color w:val="000000"/>
          <w:sz w:val="24"/>
          <w:highlight w:val="none"/>
        </w:rPr>
        <w:t xml:space="preserve">不</w:t>
      </w:r>
      <w:r>
        <w:rPr>
          <w:rFonts w:hint="eastAsia" w:ascii="宋体" w:hAnsi="宋体" w:cs="宋体"/>
          <w:b/>
          <w:color w:val="000000"/>
          <w:sz w:val="24"/>
          <w:highlight w:val="none"/>
        </w:rPr>
        <w:t xml:space="preserve">少于1例。</w:t>
      </w:r>
      <w:r>
        <w:rPr>
          <w:rFonts w:hint="eastAsia" w:ascii="宋体" w:hAnsi="宋体" w:cs="宋体"/>
          <w:color w:val="000000"/>
          <w:sz w:val="24"/>
          <w:highlight w:val="none"/>
        </w:rPr>
        <w:t xml:space="preserve">提供服务实例得3分，不提供不得分。</w:t>
      </w:r>
      <w:bookmarkEnd w:id="399"/>
      <w:r>
        <w:rPr>
          <w:rFonts w:ascii="宋体" w:hAnsi="宋体" w:cs="宋体"/>
          <w:color w:val="000000"/>
          <w:sz w:val="24"/>
          <w:highlight w:val="none"/>
        </w:rPr>
      </w:r>
      <w:r/>
    </w:p>
    <w:p>
      <w:pPr>
        <w:pStyle w:val="1060"/>
        <w:ind w:firstLine="480"/>
        <w:spacing w:line="360" w:lineRule="auto"/>
        <w:widowControl/>
        <w:rPr>
          <w:rFonts w:ascii="宋体" w:hAnsi="宋体" w:cs="宋体"/>
          <w:b/>
          <w:color w:val="000000"/>
          <w:sz w:val="24"/>
          <w:highlight w:val="none"/>
        </w:rPr>
      </w:pPr>
      <w:r/>
      <w:bookmarkStart w:id="400" w:name="OLE_LINK328"/>
      <w:r/>
      <w:bookmarkStart w:id="401" w:name="OLE_LINK356"/>
      <w:r/>
      <w:bookmarkStart w:id="402" w:name="OLE_LINK357"/>
      <w:r>
        <w:rPr>
          <w:rFonts w:hint="eastAsia" w:ascii="宋体" w:hAnsi="宋体" w:cs="宋体"/>
          <w:b/>
          <w:color w:val="000000"/>
          <w:sz w:val="24"/>
          <w:highlight w:val="none"/>
        </w:rPr>
        <w:t xml:space="preserve">7.标准化能力</w:t>
      </w:r>
      <w:bookmarkEnd w:id="400"/>
      <w:r/>
      <w:bookmarkEnd w:id="401"/>
      <w:r>
        <w:rPr>
          <w:rFonts w:hint="eastAsia" w:ascii="宋体" w:hAnsi="宋体" w:cs="宋体"/>
          <w:b/>
          <w:color w:val="000000"/>
          <w:sz w:val="24"/>
          <w:highlight w:val="none"/>
        </w:rPr>
        <w:t xml:space="preserve">（4分）</w:t>
      </w:r>
      <w:r>
        <w:rPr>
          <w:rFonts w:ascii="宋体" w:hAnsi="宋体" w:cs="宋体"/>
          <w:b/>
          <w:color w:val="000000"/>
          <w:sz w:val="24"/>
          <w:highlight w:val="none"/>
        </w:rPr>
      </w:r>
      <w:r/>
    </w:p>
    <w:p>
      <w:pPr>
        <w:pStyle w:val="1060"/>
        <w:ind w:firstLine="480"/>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（1）质量管理体系认证2分：供应商具有质量管理体系认证证书得2分，不提供不得分。</w:t>
      </w:r>
      <w:r>
        <w:rPr>
          <w:rFonts w:ascii="宋体" w:hAnsi="宋体" w:cs="宋体"/>
          <w:color w:val="000000"/>
          <w:sz w:val="24"/>
          <w:highlight w:val="none"/>
        </w:rPr>
      </w:r>
      <w:r/>
    </w:p>
    <w:p>
      <w:pPr>
        <w:pStyle w:val="1060"/>
        <w:ind w:firstLine="480"/>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（2）档案管理制度2分：供应商应建立完善的</w:t>
      </w:r>
      <w:bookmarkStart w:id="403" w:name="OLE_LINK247"/>
      <w:r>
        <w:rPr>
          <w:rFonts w:hint="eastAsia" w:ascii="宋体" w:hAnsi="宋体" w:cs="宋体"/>
          <w:color w:val="000000"/>
          <w:sz w:val="24"/>
          <w:highlight w:val="none"/>
        </w:rPr>
        <w:t xml:space="preserve">档案管理制度</w:t>
      </w:r>
      <w:bookmarkEnd w:id="403"/>
      <w:r>
        <w:rPr>
          <w:rFonts w:hint="eastAsia" w:ascii="宋体" w:hAnsi="宋体" w:cs="宋体"/>
          <w:color w:val="000000"/>
          <w:sz w:val="24"/>
          <w:highlight w:val="none"/>
        </w:rPr>
        <w:t xml:space="preserve">，按要求为患者填写病历、签署协议，其中假肢病历和协议应符合</w:t>
      </w:r>
      <w:bookmarkStart w:id="404" w:name="OLE_LINK222"/>
      <w:r/>
      <w:bookmarkStart w:id="405" w:name="OLE_LINK221"/>
      <w:r>
        <w:rPr>
          <w:rFonts w:hint="eastAsia" w:ascii="宋体" w:hAnsi="宋体" w:cs="宋体"/>
          <w:color w:val="000000"/>
          <w:sz w:val="24"/>
          <w:highlight w:val="none"/>
        </w:rPr>
        <w:t xml:space="preserve">GB 22457</w:t>
      </w:r>
      <w:bookmarkEnd w:id="404"/>
      <w:r/>
      <w:bookmarkEnd w:id="405"/>
      <w:r>
        <w:rPr>
          <w:rFonts w:hint="eastAsia" w:ascii="宋体" w:hAnsi="宋体" w:cs="宋体"/>
          <w:color w:val="000000"/>
          <w:sz w:val="24"/>
          <w:highlight w:val="none"/>
        </w:rPr>
        <w:t xml:space="preserve">的规定。提供证明材料得2分，不提供不得分。</w:t>
      </w:r>
      <w:bookmarkEnd w:id="402"/>
      <w:r>
        <w:rPr>
          <w:rFonts w:ascii="宋体" w:hAnsi="宋体" w:cs="宋体"/>
          <w:color w:val="000000"/>
          <w:sz w:val="24"/>
          <w:highlight w:val="none"/>
        </w:rPr>
      </w:r>
      <w:r/>
    </w:p>
    <w:p>
      <w:pPr>
        <w:pStyle w:val="1060"/>
        <w:ind w:firstLine="480"/>
        <w:spacing w:line="360" w:lineRule="auto"/>
        <w:widowControl/>
        <w:rPr>
          <w:rFonts w:ascii="宋体" w:hAnsi="宋体" w:cs="宋体"/>
          <w:color w:val="000000"/>
          <w:sz w:val="24"/>
          <w:highlight w:val="none"/>
        </w:rPr>
      </w:pPr>
      <w:r/>
      <w:bookmarkStart w:id="406" w:name="OLE_LINK100"/>
      <w:r/>
      <w:bookmarkStart w:id="407" w:name="OLE_LINK101"/>
      <w:r>
        <w:rPr>
          <w:rFonts w:hint="eastAsia" w:ascii="宋体" w:hAnsi="宋体" w:cs="宋体"/>
          <w:b/>
          <w:color w:val="000000"/>
          <w:sz w:val="24"/>
          <w:highlight w:val="none"/>
        </w:rPr>
        <w:t xml:space="preserve">8.服务支持（4分）</w:t>
      </w:r>
      <w:r>
        <w:rPr>
          <w:rFonts w:ascii="宋体" w:hAnsi="宋体" w:cs="宋体"/>
          <w:color w:val="000000"/>
          <w:sz w:val="24"/>
          <w:highlight w:val="none"/>
        </w:rPr>
      </w:r>
      <w:r/>
    </w:p>
    <w:p>
      <w:pPr>
        <w:pStyle w:val="1060"/>
        <w:ind w:firstLine="480"/>
        <w:spacing w:line="360" w:lineRule="auto"/>
        <w:widowControl/>
        <w:rPr>
          <w:rFonts w:ascii="宋体" w:hAnsi="宋体" w:cs="宋体"/>
          <w:color w:val="000000"/>
          <w:sz w:val="24"/>
          <w:highlight w:val="none"/>
        </w:rPr>
      </w:pPr>
      <w:r/>
      <w:bookmarkStart w:id="408" w:name="OLE_LINK387"/>
      <w:r>
        <w:rPr>
          <w:rFonts w:hint="eastAsia" w:ascii="宋体" w:hAnsi="宋体" w:cs="宋体"/>
          <w:color w:val="000000"/>
          <w:sz w:val="24"/>
          <w:highlight w:val="none"/>
        </w:rPr>
        <w:t xml:space="preserve">供应商</w:t>
      </w:r>
      <w:r>
        <w:rPr>
          <w:rFonts w:ascii="宋体" w:hAnsi="宋体" w:cs="宋体"/>
          <w:color w:val="000000"/>
          <w:sz w:val="24"/>
          <w:highlight w:val="none"/>
        </w:rPr>
        <w:t xml:space="preserve">具备可验证的服务支撑能力（如自有或授权网点、常驻人员、应急响应机制</w:t>
      </w:r>
      <w:r>
        <w:rPr>
          <w:rFonts w:hint="eastAsia" w:ascii="宋体" w:hAnsi="宋体" w:cs="宋体"/>
          <w:color w:val="000000"/>
          <w:sz w:val="24"/>
          <w:highlight w:val="none"/>
        </w:rPr>
        <w:t xml:space="preserve">等</w:t>
      </w:r>
      <w:r>
        <w:rPr>
          <w:rFonts w:ascii="宋体" w:hAnsi="宋体" w:cs="宋体"/>
          <w:color w:val="000000"/>
          <w:sz w:val="24"/>
          <w:highlight w:val="none"/>
        </w:rPr>
        <w:t xml:space="preserve">），</w:t>
      </w:r>
      <w:r>
        <w:rPr>
          <w:rFonts w:hint="eastAsia" w:ascii="宋体" w:hAnsi="宋体" w:cs="宋体"/>
          <w:color w:val="000000"/>
          <w:sz w:val="24"/>
          <w:highlight w:val="none"/>
        </w:rPr>
        <w:t xml:space="preserve">须提供网点租赁/产权证明、授权材料、人员证明、应急响应方案等证明材料，无有效证明不得分。服务点距姑苏区较近，响应及时方便，经验丰富，支撑能力强，得4分；有服务点，响应较及时，经验一般，得2分，其余不得分。</w:t>
      </w:r>
      <w:bookmarkEnd w:id="408"/>
      <w:r>
        <w:rPr>
          <w:rFonts w:ascii="宋体" w:hAnsi="宋体" w:cs="宋体"/>
          <w:color w:val="000000"/>
          <w:sz w:val="24"/>
          <w:highlight w:val="none"/>
        </w:rPr>
      </w:r>
      <w:r/>
    </w:p>
    <w:p>
      <w:pPr>
        <w:pStyle w:val="1060"/>
        <w:ind w:firstLine="480"/>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9.业绩（4分）</w:t>
      </w:r>
      <w:r>
        <w:rPr>
          <w:rFonts w:ascii="宋体" w:hAnsi="宋体" w:cs="宋体"/>
          <w:b/>
          <w:bCs/>
          <w:color w:val="000000"/>
          <w:sz w:val="24"/>
          <w:highlight w:val="none"/>
        </w:rPr>
      </w:r>
      <w:r/>
    </w:p>
    <w:p>
      <w:pPr>
        <w:pStyle w:val="1060"/>
        <w:ind w:firstLine="480"/>
        <w:spacing w:line="360" w:lineRule="auto"/>
        <w:rPr>
          <w:rFonts w:ascii="宋体" w:hAnsi="宋体" w:cs="宋体"/>
          <w:b/>
          <w:bCs/>
          <w:color w:val="000000"/>
          <w:sz w:val="24"/>
          <w:highlight w:val="none"/>
        </w:rPr>
      </w:pPr>
      <w:r>
        <w:rPr>
          <w:rFonts w:hint="eastAsia" w:ascii="宋体" w:hAnsi="宋体" w:cs="宋体"/>
          <w:color w:val="000000"/>
          <w:sz w:val="24"/>
          <w:highlight w:val="none"/>
        </w:rPr>
        <w:t xml:space="preserve">供应商自2023年1月1日以来（以合同签订时间为准）承接过类似项目的，有一份得2分，最多得4分。</w:t>
      </w:r>
      <w:r>
        <w:rPr>
          <w:rFonts w:hint="eastAsia" w:ascii="宋体" w:hAnsi="宋体" w:cs="宋体"/>
          <w:b/>
          <w:bCs/>
          <w:color w:val="000000"/>
          <w:sz w:val="24"/>
          <w:highlight w:val="none"/>
        </w:rPr>
        <w:t xml:space="preserve">（请在响应文件中提供合同复印件及对应客户满意度评价复印件（证明为满意或优秀），合同中须反映出相关内容，不提供不得分）</w:t>
      </w:r>
      <w:r>
        <w:rPr>
          <w:rFonts w:ascii="宋体" w:hAnsi="宋体" w:cs="宋体"/>
          <w:b/>
          <w:bCs/>
          <w:color w:val="000000"/>
          <w:sz w:val="24"/>
          <w:highlight w:val="none"/>
        </w:rPr>
      </w:r>
      <w:r/>
    </w:p>
    <w:p>
      <w:pPr>
        <w:pStyle w:val="1060"/>
        <w:rPr>
          <w:rFonts w:ascii="宋体" w:hAnsi="宋体" w:cs="宋体"/>
          <w:b/>
          <w:color w:val="000000"/>
          <w:sz w:val="24"/>
          <w:highlight w:val="none"/>
        </w:rPr>
      </w:pPr>
      <w:r>
        <w:rPr>
          <w:rFonts w:hint="eastAsia" w:ascii="宋体" w:hAnsi="宋体" w:cs="宋体"/>
          <w:b/>
          <w:color w:val="000000"/>
          <w:sz w:val="24"/>
          <w:highlight w:val="none"/>
        </w:rPr>
        <w:br w:type="page" w:clear="all"/>
      </w:r>
      <w:r>
        <w:rPr>
          <w:rFonts w:ascii="宋体" w:hAnsi="宋体" w:cs="宋体"/>
          <w:b/>
          <w:color w:val="000000"/>
          <w:sz w:val="24"/>
          <w:highlight w:val="none"/>
        </w:rPr>
      </w:r>
      <w:r/>
    </w:p>
    <w:p>
      <w:pPr>
        <w:pStyle w:val="1060"/>
        <w:ind w:firstLine="482"/>
        <w:jc w:val="center"/>
        <w:spacing w:line="440" w:lineRule="exact"/>
        <w:rPr>
          <w:rFonts w:ascii="宋体" w:hAnsi="宋体" w:cs="宋体"/>
          <w:b/>
          <w:color w:val="000000"/>
          <w:sz w:val="24"/>
          <w:highlight w:val="none"/>
        </w:rPr>
      </w:pPr>
      <w:r>
        <w:rPr>
          <w:rFonts w:hint="eastAsia" w:ascii="宋体" w:hAnsi="宋体" w:cs="宋体"/>
          <w:b/>
          <w:color w:val="000000"/>
          <w:sz w:val="24"/>
          <w:highlight w:val="none"/>
        </w:rPr>
        <w:t xml:space="preserve">采购包3：残疾人其他辅具适配服务</w:t>
      </w:r>
      <w:r>
        <w:rPr>
          <w:rFonts w:ascii="宋体" w:hAnsi="宋体" w:cs="宋体"/>
          <w:b/>
          <w:color w:val="000000"/>
          <w:sz w:val="24"/>
          <w:highlight w:val="none"/>
        </w:rPr>
      </w:r>
      <w:r/>
    </w:p>
    <w:p>
      <w:pPr>
        <w:pStyle w:val="1162"/>
        <w:rPr>
          <w:color w:val="000000"/>
          <w:highlight w:val="none"/>
        </w:rPr>
      </w:pPr>
      <w:r>
        <w:rPr>
          <w:color w:val="000000"/>
          <w:highlight w:val="none"/>
        </w:rPr>
      </w:r>
      <w:r/>
    </w:p>
    <w:p>
      <w:pPr>
        <w:pStyle w:val="1060"/>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服务和技术能力100分</w:t>
      </w:r>
      <w:r>
        <w:rPr>
          <w:rFonts w:ascii="宋体" w:hAnsi="宋体" w:cs="宋体"/>
          <w:b/>
          <w:color w:val="000000"/>
          <w:sz w:val="24"/>
          <w:highlight w:val="none"/>
        </w:rPr>
      </w:r>
      <w:r/>
    </w:p>
    <w:p>
      <w:pPr>
        <w:pStyle w:val="1060"/>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1.专业技术队伍（28分）</w:t>
      </w:r>
      <w:r>
        <w:rPr>
          <w:rFonts w:ascii="宋体" w:hAnsi="宋体" w:cs="宋体"/>
          <w:b/>
          <w:color w:val="000000"/>
          <w:sz w:val="24"/>
          <w:highlight w:val="none"/>
        </w:rPr>
      </w:r>
      <w:r/>
    </w:p>
    <w:p>
      <w:pPr>
        <w:pStyle w:val="1060"/>
        <w:ind w:firstLine="480"/>
        <w:spacing w:line="360" w:lineRule="auto"/>
        <w:widowControl/>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（1）</w:t>
      </w:r>
      <w:bookmarkStart w:id="409" w:name="OLE_LINK370"/>
      <w:r>
        <w:rPr>
          <w:rFonts w:hint="eastAsia" w:ascii="宋体" w:hAnsi="宋体" w:cs="宋体"/>
          <w:color w:val="000000"/>
          <w:sz w:val="24"/>
          <w:szCs w:val="21"/>
          <w:highlight w:val="none"/>
        </w:rPr>
        <w:t xml:space="preserve">服务团队4分：</w:t>
      </w:r>
      <w:bookmarkStart w:id="410" w:name="OLE_LINK369"/>
      <w:r/>
      <w:bookmarkStart w:id="411" w:name="OLE_LINK368"/>
      <w:r>
        <w:rPr>
          <w:rFonts w:hint="eastAsia" w:ascii="宋体" w:hAnsi="宋体" w:cs="宋体"/>
          <w:color w:val="000000"/>
          <w:sz w:val="24"/>
          <w:szCs w:val="21"/>
          <w:highlight w:val="none"/>
        </w:rPr>
        <w:t xml:space="preserve">配备4人及以上全职服务人员的，得4分。</w:t>
      </w:r>
      <w:bookmarkEnd w:id="409"/>
      <w:r/>
      <w:bookmarkEnd w:id="410"/>
      <w:r/>
      <w:bookmarkEnd w:id="411"/>
      <w:r>
        <w:rPr>
          <w:rFonts w:hint="eastAsia" w:ascii="宋体" w:hAnsi="宋体" w:cs="宋体"/>
          <w:color w:val="000000"/>
          <w:sz w:val="24"/>
          <w:szCs w:val="21"/>
          <w:highlight w:val="none"/>
        </w:rPr>
      </w:r>
      <w:r/>
    </w:p>
    <w:p>
      <w:pPr>
        <w:pStyle w:val="1060"/>
        <w:ind w:firstLine="480"/>
        <w:spacing w:line="360" w:lineRule="auto"/>
        <w:widowControl/>
        <w:rPr>
          <w:rFonts w:hint="eastAsia" w:ascii="宋体" w:hAnsi="宋体" w:cs="宋体"/>
          <w:b/>
          <w:bCs/>
          <w:color w:val="000000"/>
          <w:sz w:val="24"/>
          <w:szCs w:val="21"/>
          <w:highlight w:val="none"/>
        </w:rPr>
      </w:pPr>
      <w:r/>
      <w:bookmarkStart w:id="412" w:name="_Toc270"/>
      <w:r/>
      <w:bookmarkStart w:id="413" w:name="_Toc9754"/>
      <w:r/>
      <w:bookmarkStart w:id="414" w:name="_Toc51644776"/>
      <w:r>
        <w:rPr>
          <w:rFonts w:hint="eastAsia" w:ascii="宋体" w:hAnsi="宋体" w:cs="宋体"/>
          <w:color w:val="000000"/>
          <w:sz w:val="24"/>
          <w:szCs w:val="21"/>
          <w:highlight w:val="none"/>
        </w:rPr>
        <w:t xml:space="preserve">（2）管理人员2分：机构应指定1名本项目管理人员，负责与采购人对接日常工作，配备1名管理人员得2分，不配备不得分。</w:t>
      </w:r>
      <w:r>
        <w:rPr>
          <w:rFonts w:hint="eastAsia" w:ascii="宋体" w:hAnsi="宋体" w:cs="宋体"/>
          <w:b/>
          <w:bCs/>
          <w:color w:val="000000"/>
          <w:sz w:val="24"/>
          <w:szCs w:val="21"/>
          <w:highlight w:val="none"/>
        </w:rPr>
        <w:t xml:space="preserve">（以上人员需在响应文件中提供劳动合同及供应商为其缴纳的开标前至少三个月的社保证明材料，不提供对应人员不得分。）</w:t>
      </w:r>
      <w:r>
        <w:rPr>
          <w:rFonts w:hint="eastAsia" w:ascii="宋体" w:hAnsi="宋体" w:cs="宋体"/>
          <w:b/>
          <w:bCs/>
          <w:color w:val="000000"/>
          <w:sz w:val="24"/>
          <w:szCs w:val="21"/>
          <w:highlight w:val="none"/>
        </w:rPr>
      </w:r>
      <w:r/>
    </w:p>
    <w:p>
      <w:pPr>
        <w:pStyle w:val="1060"/>
        <w:ind w:firstLine="480"/>
        <w:spacing w:line="360" w:lineRule="auto"/>
        <w:widowControl/>
        <w:rPr>
          <w:rFonts w:ascii="宋体" w:hAnsi="宋体" w:cs="宋体"/>
          <w:b/>
          <w:color w:val="000000"/>
          <w:sz w:val="24"/>
          <w:szCs w:val="21"/>
          <w:highlight w:val="none"/>
        </w:rPr>
      </w:pPr>
      <w:r>
        <w:rPr>
          <w:rFonts w:hint="eastAsia" w:ascii="宋体" w:hAnsi="宋体" w:cs="宋体"/>
          <w:color w:val="000000"/>
          <w:sz w:val="24"/>
          <w:highlight w:val="none"/>
        </w:rPr>
        <w:t xml:space="preserve">（3）</w:t>
      </w:r>
      <w:bookmarkStart w:id="415" w:name="OLE_LINK360"/>
      <w:r/>
      <w:bookmarkStart w:id="416" w:name="OLE_LINK371"/>
      <w:r/>
      <w:bookmarkStart w:id="417" w:name="OLE_LINK372"/>
      <w:r/>
      <w:bookmarkStart w:id="418" w:name="OLE_LINK373"/>
      <w:r>
        <w:rPr>
          <w:rFonts w:hint="eastAsia" w:ascii="宋体" w:hAnsi="宋体" w:cs="宋体"/>
          <w:color w:val="000000"/>
          <w:sz w:val="24"/>
          <w:highlight w:val="none"/>
        </w:rPr>
        <w:t xml:space="preserve">专职人员</w:t>
      </w:r>
      <w:bookmarkEnd w:id="415"/>
      <w:r/>
      <w:bookmarkEnd w:id="416"/>
      <w:r>
        <w:rPr>
          <w:rFonts w:hint="eastAsia" w:ascii="宋体" w:hAnsi="宋体" w:cs="宋体"/>
          <w:color w:val="000000"/>
          <w:sz w:val="24"/>
          <w:highlight w:val="none"/>
        </w:rPr>
        <w:t xml:space="preserve">6分：机构应根据功能设置和服务需求，</w:t>
      </w:r>
      <w:bookmarkEnd w:id="412"/>
      <w:r/>
      <w:bookmarkEnd w:id="413"/>
      <w:r/>
      <w:bookmarkEnd w:id="414"/>
      <w:r>
        <w:rPr>
          <w:rFonts w:hint="eastAsia" w:ascii="宋体" w:hAnsi="宋体" w:cs="宋体"/>
          <w:color w:val="000000"/>
          <w:sz w:val="24"/>
          <w:highlight w:val="none"/>
        </w:rPr>
        <w:t xml:space="preserve">每配备1名专职人员得2分，配备3名及以上专职人员得6分，</w:t>
      </w:r>
      <w:bookmarkStart w:id="419" w:name="OLE_LINK145"/>
      <w:r/>
      <w:bookmarkStart w:id="420" w:name="OLE_LINK144"/>
      <w:r>
        <w:rPr>
          <w:rFonts w:hint="eastAsia" w:ascii="宋体" w:hAnsi="宋体" w:cs="宋体"/>
          <w:color w:val="000000"/>
          <w:sz w:val="24"/>
          <w:highlight w:val="none"/>
        </w:rPr>
        <w:t xml:space="preserve">不配备不得分。</w:t>
      </w:r>
      <w:bookmarkEnd w:id="417"/>
      <w:r/>
      <w:bookmarkEnd w:id="418"/>
      <w:r/>
      <w:bookmarkEnd w:id="419"/>
      <w:r/>
      <w:bookmarkEnd w:id="420"/>
      <w:r>
        <w:rPr>
          <w:rFonts w:hint="eastAsia" w:ascii="宋体" w:hAnsi="宋体" w:cs="宋体"/>
          <w:b/>
          <w:color w:val="000000"/>
          <w:sz w:val="24"/>
          <w:szCs w:val="21"/>
          <w:highlight w:val="none"/>
        </w:rPr>
        <w:t xml:space="preserve">（以上人员需在响应文件中提供劳动合同及供应商为其缴纳</w:t>
      </w:r>
      <w:bookmarkStart w:id="421" w:name="OLE_LINK228"/>
      <w:r/>
      <w:bookmarkStart w:id="422" w:name="OLE_LINK227"/>
      <w:r>
        <w:rPr>
          <w:rFonts w:hint="eastAsia" w:ascii="宋体" w:hAnsi="宋体" w:cs="宋体"/>
          <w:b/>
          <w:color w:val="000000"/>
          <w:sz w:val="24"/>
          <w:szCs w:val="21"/>
          <w:highlight w:val="none"/>
        </w:rPr>
        <w:t xml:space="preserve">的开标前至少</w:t>
      </w:r>
      <w:bookmarkStart w:id="423" w:name="OLE_LINK90"/>
      <w:r/>
      <w:bookmarkStart w:id="424" w:name="OLE_LINK91"/>
      <w:r>
        <w:rPr>
          <w:rFonts w:hint="eastAsia" w:ascii="宋体" w:hAnsi="宋体" w:cs="宋体"/>
          <w:b/>
          <w:color w:val="000000"/>
          <w:sz w:val="24"/>
          <w:szCs w:val="21"/>
          <w:highlight w:val="none"/>
        </w:rPr>
        <w:t xml:space="preserve">三个月</w:t>
      </w:r>
      <w:bookmarkEnd w:id="421"/>
      <w:r/>
      <w:bookmarkEnd w:id="422"/>
      <w:r/>
      <w:bookmarkEnd w:id="423"/>
      <w:r/>
      <w:bookmarkEnd w:id="424"/>
      <w:r>
        <w:rPr>
          <w:rFonts w:hint="eastAsia" w:ascii="宋体" w:hAnsi="宋体" w:cs="宋体"/>
          <w:b/>
          <w:color w:val="000000"/>
          <w:sz w:val="24"/>
          <w:szCs w:val="21"/>
          <w:highlight w:val="none"/>
        </w:rPr>
        <w:t xml:space="preserve">的社保证明材料，不提供</w:t>
      </w:r>
      <w:r>
        <w:rPr>
          <w:rFonts w:hint="eastAsia" w:ascii="宋体" w:hAnsi="宋体" w:cs="宋体"/>
          <w:b/>
          <w:bCs/>
          <w:color w:val="000000"/>
          <w:sz w:val="24"/>
          <w:highlight w:val="none"/>
        </w:rPr>
        <w:t xml:space="preserve">对应人员</w:t>
      </w:r>
      <w:r>
        <w:rPr>
          <w:rFonts w:hint="eastAsia" w:ascii="宋体" w:hAnsi="宋体" w:cs="宋体"/>
          <w:b/>
          <w:color w:val="000000"/>
          <w:sz w:val="24"/>
          <w:szCs w:val="21"/>
          <w:highlight w:val="none"/>
        </w:rPr>
        <w:t xml:space="preserve">不得分。）</w:t>
      </w:r>
      <w:r>
        <w:rPr>
          <w:rFonts w:ascii="宋体" w:hAnsi="宋体" w:cs="宋体"/>
          <w:b/>
          <w:color w:val="000000"/>
          <w:sz w:val="24"/>
          <w:szCs w:val="21"/>
          <w:highlight w:val="none"/>
        </w:rPr>
      </w:r>
      <w:r/>
    </w:p>
    <w:p>
      <w:pPr>
        <w:pStyle w:val="1060"/>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ascii="宋体" w:hAnsi="宋体" w:cs="宋体"/>
          <w:color w:val="000000"/>
          <w:sz w:val="24"/>
          <w:highlight w:val="none"/>
        </w:rPr>
        <w:t xml:space="preserve">）</w:t>
      </w:r>
      <w:bookmarkStart w:id="425" w:name="OLE_LINK376"/>
      <w:r/>
      <w:bookmarkStart w:id="426" w:name="OLE_LINK375"/>
      <w:r/>
      <w:bookmarkStart w:id="427" w:name="OLE_LINK118"/>
      <w:r/>
      <w:bookmarkStart w:id="428" w:name="OLE_LINK374"/>
      <w:r/>
      <w:bookmarkStart w:id="429" w:name="OLE_LINK361"/>
      <w:r>
        <w:rPr>
          <w:rFonts w:hint="eastAsia" w:ascii="宋体" w:hAnsi="宋体" w:cs="宋体"/>
          <w:color w:val="000000"/>
          <w:sz w:val="24"/>
          <w:highlight w:val="none"/>
        </w:rPr>
        <w:t xml:space="preserve">咨询评估人员</w:t>
      </w:r>
      <w:bookmarkEnd w:id="428"/>
      <w:r/>
      <w:bookmarkEnd w:id="429"/>
      <w:r>
        <w:rPr>
          <w:rFonts w:hint="eastAsia" w:ascii="宋体" w:hAnsi="宋体" w:cs="宋体"/>
          <w:color w:val="000000"/>
          <w:sz w:val="24"/>
          <w:highlight w:val="none"/>
        </w:rPr>
        <w:t xml:space="preserve">10分：专职人员中至少有2名咨询评估人员，</w:t>
      </w:r>
      <w:bookmarkEnd w:id="425"/>
      <w:r/>
      <w:bookmarkEnd w:id="426"/>
      <w:r/>
      <w:bookmarkEnd w:id="427"/>
      <w:r/>
      <w:bookmarkStart w:id="430" w:name="OLE_LINK380"/>
      <w:r/>
      <w:bookmarkStart w:id="431" w:name="OLE_LINK379"/>
      <w:r>
        <w:rPr>
          <w:rFonts w:hint="eastAsia" w:ascii="宋体" w:hAnsi="宋体" w:cs="宋体"/>
          <w:color w:val="000000"/>
          <w:sz w:val="24"/>
          <w:highlight w:val="none"/>
        </w:rPr>
        <w:t xml:space="preserve">具备康复治疗师或康复辅助技术咨询师等相关专业资质或者能力，或持有国家或行业认可的辅助技术、康复工程或康复治疗等相关专业职业证书（如辅助技术工程师、康复治疗士/师等）；且其中1名专职人员具备康复辅助器具服务相关行业3年及以上从业经验。</w:t>
      </w:r>
      <w:r>
        <w:rPr>
          <w:rFonts w:hint="eastAsia" w:ascii="宋体" w:hAnsi="宋体" w:cs="宋体"/>
          <w:color w:val="000000"/>
          <w:sz w:val="24"/>
          <w:highlight w:val="none"/>
        </w:rPr>
      </w:r>
      <w:r/>
    </w:p>
    <w:p>
      <w:pPr>
        <w:pStyle w:val="1060"/>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人员熟练掌握康复辅助器具产品性能、适配评估全流程规范及无障碍环境建设相关标准，能够独立完成用户需求咨询、身体功能评估、使用环境评估，出具专业康复辅助器具配置建议。</w:t>
      </w:r>
      <w:r>
        <w:rPr>
          <w:rFonts w:hint="eastAsia" w:ascii="宋体" w:hAnsi="宋体" w:cs="宋体"/>
          <w:color w:val="000000"/>
          <w:sz w:val="24"/>
          <w:highlight w:val="none"/>
        </w:rPr>
      </w:r>
      <w:r/>
    </w:p>
    <w:p>
      <w:pPr>
        <w:pStyle w:val="1060"/>
        <w:ind w:firstLine="480"/>
        <w:spacing w:line="360" w:lineRule="auto"/>
        <w:widowControl/>
        <w:rPr>
          <w:rFonts w:hint="eastAsia" w:ascii="宋体" w:hAnsi="宋体" w:cs="宋体"/>
          <w:color w:val="000000"/>
          <w:sz w:val="24"/>
          <w:highlight w:val="none"/>
        </w:rPr>
      </w:pPr>
      <w:r/>
      <w:bookmarkEnd w:id="430"/>
      <w:r/>
      <w:bookmarkEnd w:id="431"/>
      <w:r>
        <w:rPr>
          <w:rFonts w:hint="eastAsia" w:ascii="宋体" w:hAnsi="宋体" w:cs="宋体"/>
          <w:color w:val="000000"/>
          <w:sz w:val="24"/>
          <w:highlight w:val="none"/>
        </w:rPr>
        <w:t xml:space="preserve">完全满足上述要求的得10分，每少1人在满分基础上扣5分，无3年以上从业经验人员则本项不得分。</w:t>
      </w:r>
      <w:r>
        <w:rPr>
          <w:rFonts w:hint="eastAsia" w:ascii="宋体" w:hAnsi="宋体" w:cs="宋体"/>
          <w:color w:val="000000"/>
          <w:sz w:val="24"/>
          <w:highlight w:val="none"/>
        </w:rPr>
      </w:r>
      <w:r/>
    </w:p>
    <w:p>
      <w:pPr>
        <w:pStyle w:val="1060"/>
        <w:ind w:firstLine="480"/>
        <w:spacing w:line="360" w:lineRule="auto"/>
        <w:widowControl/>
        <w:rPr>
          <w:rFonts w:ascii="宋体" w:hAnsi="宋体" w:cs="宋体"/>
          <w:b/>
          <w:color w:val="000000"/>
          <w:sz w:val="24"/>
          <w:szCs w:val="21"/>
          <w:highlight w:val="none"/>
        </w:rPr>
      </w:pPr>
      <w:r>
        <w:rPr>
          <w:rFonts w:hint="eastAsia" w:ascii="宋体" w:hAnsi="宋体" w:cs="宋体"/>
          <w:b/>
          <w:color w:val="000000"/>
          <w:sz w:val="24"/>
          <w:szCs w:val="21"/>
          <w:highlight w:val="none"/>
        </w:rPr>
        <w:t xml:space="preserve">（以上人员需在响应文件中提供劳动合同、相关证书及供应商为其缴纳的开标前至少三个月的社保证明材料，其中1名专职人员具备康复辅助器具服务相关行业3年及以上从业经验需提供社保及个人履历等证明材料，多家单位社保可以累计计算，不提供</w:t>
      </w:r>
      <w:r>
        <w:rPr>
          <w:rFonts w:hint="eastAsia" w:ascii="宋体" w:hAnsi="宋体" w:cs="宋体"/>
          <w:b/>
          <w:bCs/>
          <w:color w:val="000000"/>
          <w:sz w:val="24"/>
          <w:highlight w:val="none"/>
        </w:rPr>
        <w:t xml:space="preserve">对应人员</w:t>
      </w:r>
      <w:r>
        <w:rPr>
          <w:rFonts w:hint="eastAsia" w:ascii="宋体" w:hAnsi="宋体" w:cs="宋体"/>
          <w:b/>
          <w:color w:val="000000"/>
          <w:sz w:val="24"/>
          <w:szCs w:val="21"/>
          <w:highlight w:val="none"/>
        </w:rPr>
        <w:t xml:space="preserve">不得分。）</w:t>
      </w:r>
      <w:r>
        <w:rPr>
          <w:rFonts w:ascii="宋体" w:hAnsi="宋体" w:cs="宋体"/>
          <w:b/>
          <w:color w:val="000000"/>
          <w:sz w:val="24"/>
          <w:szCs w:val="21"/>
          <w:highlight w:val="none"/>
        </w:rPr>
      </w:r>
      <w:r/>
    </w:p>
    <w:p>
      <w:pPr>
        <w:pStyle w:val="1060"/>
        <w:ind w:firstLine="480"/>
        <w:spacing w:line="360" w:lineRule="auto"/>
        <w:widowControl/>
        <w:rPr>
          <w:color w:val="000000"/>
          <w:highlight w:val="none"/>
        </w:rPr>
      </w:pPr>
      <w:r>
        <w:rPr>
          <w:rFonts w:hint="eastAsia" w:ascii="宋体" w:hAnsi="宋体" w:cs="宋体"/>
          <w:color w:val="000000"/>
          <w:sz w:val="24"/>
          <w:highlight w:val="none"/>
        </w:rPr>
        <w:t xml:space="preserve">（5）</w:t>
      </w:r>
      <w:bookmarkStart w:id="432" w:name="OLE_LINK377"/>
      <w:r/>
      <w:bookmarkStart w:id="433" w:name="OLE_LINK378"/>
      <w:r>
        <w:rPr>
          <w:rFonts w:hint="eastAsia" w:ascii="宋体" w:hAnsi="宋体" w:cs="宋体"/>
          <w:color w:val="000000"/>
          <w:sz w:val="24"/>
          <w:highlight w:val="none"/>
        </w:rPr>
        <w:t xml:space="preserve">证书认证6分：咨询评估人员</w:t>
      </w:r>
      <w:r>
        <w:rPr>
          <w:rFonts w:hint="eastAsia" w:ascii="宋体" w:hAnsi="宋体" w:cs="宋体"/>
          <w:color w:val="000000"/>
          <w:sz w:val="24"/>
          <w:szCs w:val="21"/>
          <w:highlight w:val="none"/>
        </w:rPr>
        <w:t xml:space="preserve">提供的证书需在“技能人才评价证书全国联网系统”或“人力资源和社会保障部教育培训网”等</w:t>
      </w:r>
      <w:bookmarkStart w:id="434" w:name="OLE_LINK237"/>
      <w:r/>
      <w:bookmarkStart w:id="435" w:name="OLE_LINK238"/>
      <w:r>
        <w:rPr>
          <w:rFonts w:hint="eastAsia" w:ascii="宋体" w:hAnsi="宋体" w:cs="宋体"/>
          <w:color w:val="000000"/>
          <w:sz w:val="24"/>
          <w:szCs w:val="21"/>
          <w:highlight w:val="none"/>
        </w:rPr>
        <w:t xml:space="preserve">国家部委政府官方渠道</w:t>
      </w:r>
      <w:bookmarkEnd w:id="434"/>
      <w:r/>
      <w:bookmarkEnd w:id="435"/>
      <w:r>
        <w:rPr>
          <w:rFonts w:hint="eastAsia" w:ascii="宋体" w:hAnsi="宋体" w:cs="宋体"/>
          <w:color w:val="000000"/>
          <w:sz w:val="24"/>
          <w:szCs w:val="21"/>
          <w:highlight w:val="none"/>
        </w:rPr>
        <w:t xml:space="preserve">可供查询，每一人得3分（一人持多证也得3分，不重复得分），最高得6分。</w:t>
      </w:r>
      <w:bookmarkEnd w:id="432"/>
      <w:r/>
      <w:bookmarkEnd w:id="433"/>
      <w:r>
        <w:rPr>
          <w:rFonts w:hint="eastAsia" w:ascii="宋体" w:hAnsi="宋体" w:cs="宋体"/>
          <w:b/>
          <w:color w:val="000000"/>
          <w:sz w:val="24"/>
          <w:szCs w:val="21"/>
          <w:highlight w:val="none"/>
        </w:rPr>
        <w:t xml:space="preserve">（以上人员证书需在响应文件中提供网站截图，不提供</w:t>
      </w:r>
      <w:r>
        <w:rPr>
          <w:rFonts w:hint="eastAsia" w:ascii="宋体" w:hAnsi="宋体" w:cs="宋体"/>
          <w:b/>
          <w:bCs/>
          <w:color w:val="000000"/>
          <w:sz w:val="24"/>
          <w:highlight w:val="none"/>
        </w:rPr>
        <w:t xml:space="preserve">对应人员</w:t>
      </w:r>
      <w:r>
        <w:rPr>
          <w:rFonts w:hint="eastAsia" w:ascii="宋体" w:hAnsi="宋体" w:cs="宋体"/>
          <w:b/>
          <w:color w:val="000000"/>
          <w:sz w:val="24"/>
          <w:szCs w:val="21"/>
          <w:highlight w:val="none"/>
        </w:rPr>
        <w:t xml:space="preserve">不得分。）</w:t>
      </w:r>
      <w:r>
        <w:rPr>
          <w:color w:val="000000"/>
          <w:highlight w:val="none"/>
        </w:rPr>
      </w:r>
      <w:r/>
    </w:p>
    <w:p>
      <w:pPr>
        <w:pStyle w:val="1060"/>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注：上述所有人员均须专职服务本分包项目。</w:t>
      </w:r>
      <w:r>
        <w:rPr>
          <w:rFonts w:hint="eastAsia" w:ascii="宋体" w:hAnsi="宋体" w:cs="宋体"/>
          <w:b/>
          <w:color w:val="000000"/>
          <w:sz w:val="24"/>
          <w:highlight w:val="none"/>
        </w:rPr>
      </w:r>
      <w:r/>
    </w:p>
    <w:p>
      <w:pPr>
        <w:pStyle w:val="1060"/>
        <w:ind w:firstLine="482"/>
        <w:spacing w:line="360" w:lineRule="auto"/>
        <w:rPr>
          <w:rFonts w:ascii="宋体" w:hAnsi="宋体" w:cs="宋体"/>
          <w:b/>
          <w:bCs/>
          <w:color w:val="000000"/>
          <w:sz w:val="24"/>
          <w:highlight w:val="none"/>
        </w:rPr>
      </w:pPr>
      <w:r>
        <w:rPr>
          <w:rFonts w:hint="eastAsia" w:ascii="宋体" w:hAnsi="宋体" w:cs="宋体"/>
          <w:b/>
          <w:color w:val="000000"/>
          <w:sz w:val="24"/>
          <w:highlight w:val="none"/>
        </w:rPr>
        <w:t xml:space="preserve">2.服务要求（9分）</w:t>
      </w:r>
      <w:r>
        <w:rPr>
          <w:rFonts w:ascii="宋体" w:hAnsi="宋体" w:cs="宋体"/>
          <w:b/>
          <w:bCs/>
          <w:color w:val="000000"/>
          <w:sz w:val="24"/>
          <w:highlight w:val="none"/>
        </w:rPr>
      </w:r>
      <w:r/>
    </w:p>
    <w:p>
      <w:pPr>
        <w:pStyle w:val="106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 制度管理3分：</w:t>
      </w:r>
      <w:r>
        <w:rPr>
          <w:rFonts w:ascii="宋体" w:hAnsi="宋体" w:cs="宋体"/>
          <w:color w:val="000000"/>
          <w:sz w:val="24"/>
          <w:highlight w:val="none"/>
        </w:rPr>
      </w:r>
      <w:r/>
    </w:p>
    <w:p>
      <w:pPr>
        <w:pStyle w:val="106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供应商针对本项目服务内容制定的管理制度包含但不限于人力资源管理（岗位职责）、财务管理制度（含固定资产管理制度）、业务管理制度、突发事件应急预案（含安全、消防等）、信息管理（含信息安全、舆情处置等）、服务项目档案管理制度、产品和服务追溯制度等。</w:t>
      </w:r>
      <w:bookmarkStart w:id="436" w:name="OLE_LINK255"/>
      <w:r/>
      <w:bookmarkStart w:id="437" w:name="OLE_LINK256"/>
      <w:r>
        <w:rPr>
          <w:rFonts w:hint="eastAsia" w:ascii="宋体" w:hAnsi="宋体" w:cs="宋体"/>
          <w:color w:val="000000"/>
          <w:sz w:val="24"/>
          <w:highlight w:val="none"/>
        </w:rPr>
        <w:t xml:space="preserve">管理制度</w:t>
      </w:r>
      <w:bookmarkEnd w:id="436"/>
      <w:r/>
      <w:bookmarkEnd w:id="437"/>
      <w:r>
        <w:rPr>
          <w:rFonts w:hint="eastAsia" w:ascii="宋体" w:hAnsi="宋体" w:cs="宋体"/>
          <w:color w:val="000000"/>
          <w:sz w:val="24"/>
          <w:highlight w:val="none"/>
        </w:rPr>
        <w:t xml:space="preserve">完全包含上述内容且制度涵盖内容全面、条款责任和义务清晰、相关流程规范的，得3分；</w:t>
      </w:r>
      <w:r>
        <w:rPr>
          <w:rFonts w:ascii="宋体" w:hAnsi="宋体" w:cs="宋体"/>
          <w:color w:val="000000"/>
          <w:sz w:val="24"/>
          <w:highlight w:val="none"/>
        </w:rPr>
        <w:t xml:space="preserve">制度基本符合本项目需求，但</w:t>
      </w:r>
      <w:r>
        <w:rPr>
          <w:rFonts w:hint="eastAsia" w:ascii="宋体" w:hAnsi="宋体" w:cs="宋体"/>
          <w:color w:val="000000"/>
          <w:sz w:val="24"/>
          <w:highlight w:val="none"/>
        </w:rPr>
        <w:t xml:space="preserve">针对性不强的，得2分；上述管理制度不全，或内容明显错误的得1分；未提供管理制度或制度内容严重缺失，不能满足本项目实际需求的，得0分。</w:t>
      </w:r>
      <w:r>
        <w:rPr>
          <w:rFonts w:ascii="宋体" w:hAnsi="宋体" w:cs="宋体"/>
          <w:color w:val="000000"/>
          <w:sz w:val="24"/>
          <w:highlight w:val="none"/>
        </w:rPr>
      </w:r>
      <w:r/>
    </w:p>
    <w:p>
      <w:pPr>
        <w:pStyle w:val="106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（2）服务方案3分：</w:t>
      </w:r>
      <w:r>
        <w:rPr>
          <w:rFonts w:ascii="宋体" w:hAnsi="宋体" w:cs="宋体"/>
          <w:color w:val="000000"/>
          <w:sz w:val="24"/>
          <w:highlight w:val="none"/>
        </w:rPr>
      </w:r>
      <w:r/>
    </w:p>
    <w:p>
      <w:pPr>
        <w:pStyle w:val="106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供应商针对本项目制定的具体服务方案，至少包括服务计划、服务标准、工作措施、项目开展的流程、增值服务（如上门服务等）、服务过程中可能遇到的重点和难点问题及解决办法等。方案完全符合本项目实际需求的，得3分；非核心内容缺失或内容未针对本项目实际场景定制，但能满足本项目实际需求的，得2分；核心内容有欠缺或内容明显错误，但方案编制基本可行的得1分；内容简单、不能满足本项目实际需求的，得0分。</w:t>
      </w:r>
      <w:r>
        <w:rPr>
          <w:rFonts w:ascii="宋体" w:hAnsi="宋体" w:cs="宋体"/>
          <w:color w:val="000000"/>
          <w:sz w:val="24"/>
          <w:highlight w:val="none"/>
        </w:rPr>
      </w:r>
      <w:r/>
    </w:p>
    <w:p>
      <w:pPr>
        <w:pStyle w:val="106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w:t>
      </w:r>
      <w:bookmarkStart w:id="438" w:name="OLE_LINK381"/>
      <w:r>
        <w:rPr>
          <w:rFonts w:hint="eastAsia" w:ascii="宋体" w:hAnsi="宋体" w:cs="宋体"/>
          <w:color w:val="000000"/>
          <w:sz w:val="24"/>
          <w:highlight w:val="none"/>
        </w:rPr>
        <w:t xml:space="preserve">售后服务3分：</w:t>
      </w:r>
      <w:r>
        <w:rPr>
          <w:rFonts w:ascii="宋体" w:hAnsi="宋体" w:cs="宋体"/>
          <w:color w:val="000000"/>
          <w:sz w:val="24"/>
          <w:highlight w:val="none"/>
        </w:rPr>
      </w:r>
      <w:r/>
    </w:p>
    <w:p>
      <w:pPr>
        <w:pStyle w:val="106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供应商结合本项目的服务特点，提供售后服务方案，提出针对性的定期回访。根据需要进行调整、维护、维修或更换，定期提供免费保养服务，提供康复健康教育宣传服务，个性化的使用指导，</w:t>
      </w:r>
      <w:bookmarkStart w:id="439" w:name="OLE_LINK60"/>
      <w:r/>
      <w:bookmarkStart w:id="440" w:name="OLE_LINK59"/>
      <w:r>
        <w:rPr>
          <w:rFonts w:hint="eastAsia" w:ascii="宋体" w:hAnsi="宋体" w:cs="宋体"/>
          <w:color w:val="000000"/>
          <w:sz w:val="24"/>
          <w:highlight w:val="none"/>
        </w:rPr>
        <w:t xml:space="preserve">设立患者投诉及处理机制</w:t>
      </w:r>
      <w:bookmarkEnd w:id="439"/>
      <w:r/>
      <w:bookmarkEnd w:id="440"/>
      <w:r>
        <w:rPr>
          <w:rFonts w:hint="eastAsia" w:ascii="宋体" w:hAnsi="宋体" w:cs="宋体"/>
          <w:color w:val="000000"/>
          <w:sz w:val="24"/>
          <w:highlight w:val="none"/>
        </w:rPr>
        <w:t xml:space="preserve">等。方案完全符合本项目实际需求的，得3分；非核心内容缺失或内容未针对本项目实际场景定制，但能满足本项目实际需求的，得2分；核心内容有欠缺或内容明显错误，但方案编制基本可行的得1分；内容简单、不能满足本项目实际需求的，得0分。</w:t>
      </w:r>
      <w:bookmarkEnd w:id="438"/>
      <w:r>
        <w:rPr>
          <w:rFonts w:ascii="宋体" w:hAnsi="宋体" w:cs="宋体"/>
          <w:color w:val="000000"/>
          <w:sz w:val="24"/>
          <w:highlight w:val="none"/>
        </w:rPr>
      </w:r>
      <w:r/>
    </w:p>
    <w:p>
      <w:pPr>
        <w:pStyle w:val="1060"/>
        <w:ind w:firstLine="480"/>
        <w:spacing w:line="360" w:lineRule="auto"/>
        <w:widowControl/>
        <w:rPr>
          <w:rFonts w:ascii="宋体" w:hAnsi="宋体" w:cs="宋体"/>
          <w:b/>
          <w:bCs/>
          <w:color w:val="000000"/>
          <w:sz w:val="24"/>
          <w:highlight w:val="none"/>
        </w:rPr>
      </w:pPr>
      <w:r/>
      <w:bookmarkStart w:id="441" w:name="OLE_LINK364"/>
      <w:r/>
      <w:bookmarkStart w:id="442" w:name="OLE_LINK365"/>
      <w:r/>
      <w:bookmarkStart w:id="443" w:name="OLE_LINK366"/>
      <w:r>
        <w:rPr>
          <w:rFonts w:hint="eastAsia" w:ascii="宋体" w:hAnsi="宋体" w:cs="宋体"/>
          <w:b/>
          <w:bCs/>
          <w:color w:val="000000"/>
          <w:sz w:val="24"/>
          <w:highlight w:val="none"/>
        </w:rPr>
        <w:t xml:space="preserve">3.场地要求</w:t>
      </w:r>
      <w:bookmarkEnd w:id="441"/>
      <w:r/>
      <w:bookmarkEnd w:id="442"/>
      <w:r>
        <w:rPr>
          <w:rFonts w:hint="eastAsia" w:ascii="宋体" w:hAnsi="宋体" w:cs="宋体"/>
          <w:b/>
          <w:bCs/>
          <w:color w:val="000000"/>
          <w:sz w:val="24"/>
          <w:highlight w:val="none"/>
        </w:rPr>
        <w:t xml:space="preserve">(40分）</w:t>
      </w:r>
      <w:r>
        <w:rPr>
          <w:rFonts w:ascii="宋体" w:hAnsi="宋体" w:cs="宋体"/>
          <w:b/>
          <w:bCs/>
          <w:color w:val="000000"/>
          <w:sz w:val="24"/>
          <w:highlight w:val="none"/>
        </w:rPr>
      </w:r>
      <w:r/>
    </w:p>
    <w:p>
      <w:pPr>
        <w:pStyle w:val="1060"/>
        <w:ind w:firstLine="480"/>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（1）有辅助器具产品展示厅，</w:t>
      </w:r>
      <w:r>
        <w:rPr>
          <w:rFonts w:ascii="宋体" w:hAnsi="宋体" w:cs="宋体"/>
          <w:color w:val="000000"/>
          <w:sz w:val="24"/>
          <w:highlight w:val="none"/>
        </w:rPr>
        <w:t xml:space="preserve">用于轮椅、拐杖等样品陈列</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060"/>
        <w:ind w:firstLine="480"/>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（2）有产品体验区；</w:t>
      </w:r>
      <w:r>
        <w:rPr>
          <w:rFonts w:ascii="宋体" w:hAnsi="宋体" w:cs="宋体"/>
          <w:color w:val="000000"/>
          <w:sz w:val="24"/>
          <w:highlight w:val="none"/>
        </w:rPr>
      </w:r>
      <w:r/>
    </w:p>
    <w:p>
      <w:pPr>
        <w:pStyle w:val="106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（3）有</w:t>
      </w:r>
      <w:r>
        <w:rPr>
          <w:rFonts w:hint="eastAsia" w:ascii="宋体" w:hAnsi="宋体" w:cs="宋体"/>
          <w:color w:val="000000"/>
          <w:sz w:val="24"/>
          <w:szCs w:val="22"/>
          <w:highlight w:val="none"/>
        </w:rPr>
        <w:t xml:space="preserve">评估适配室，</w:t>
      </w:r>
      <w:r>
        <w:rPr>
          <w:rFonts w:ascii="宋体" w:hAnsi="宋体" w:cs="宋体"/>
          <w:color w:val="000000"/>
          <w:sz w:val="24"/>
          <w:szCs w:val="22"/>
          <w:highlight w:val="none"/>
        </w:rPr>
        <w:t xml:space="preserve">进行身体功能与辅具适配评估</w:t>
      </w:r>
      <w:r>
        <w:rPr>
          <w:rFonts w:hint="eastAsia" w:ascii="宋体" w:hAnsi="宋体" w:cs="宋体"/>
          <w:color w:val="000000"/>
          <w:sz w:val="24"/>
          <w:szCs w:val="22"/>
          <w:highlight w:val="none"/>
        </w:rPr>
        <w:t xml:space="preserve">；</w:t>
      </w:r>
      <w:r>
        <w:rPr>
          <w:rFonts w:ascii="宋体" w:hAnsi="宋体" w:cs="宋体"/>
          <w:color w:val="000000"/>
          <w:sz w:val="24"/>
          <w:highlight w:val="none"/>
        </w:rPr>
      </w:r>
      <w:r/>
    </w:p>
    <w:p>
      <w:pPr>
        <w:pStyle w:val="1060"/>
        <w:ind w:firstLine="480"/>
        <w:spacing w:line="360" w:lineRule="auto"/>
        <w:rPr>
          <w:rFonts w:ascii="宋体" w:hAnsi="宋体" w:cs="宋体"/>
          <w:color w:val="000000"/>
          <w:sz w:val="24"/>
          <w:szCs w:val="22"/>
          <w:highlight w:val="none"/>
        </w:rPr>
      </w:pPr>
      <w:r>
        <w:rPr>
          <w:rFonts w:hint="eastAsia" w:ascii="宋体" w:hAnsi="宋体" w:cs="宋体"/>
          <w:color w:val="000000"/>
          <w:sz w:val="24"/>
          <w:highlight w:val="none"/>
        </w:rPr>
        <w:t xml:space="preserve">（4）有训练区</w:t>
      </w:r>
      <w:r>
        <w:rPr>
          <w:rFonts w:hint="eastAsia" w:ascii="宋体" w:hAnsi="宋体" w:cs="宋体"/>
          <w:color w:val="000000"/>
          <w:sz w:val="24"/>
          <w:szCs w:val="22"/>
          <w:highlight w:val="none"/>
        </w:rPr>
        <w:t xml:space="preserve">，</w:t>
      </w:r>
      <w:r>
        <w:rPr>
          <w:rFonts w:ascii="宋体" w:hAnsi="宋体" w:cs="宋体"/>
          <w:color w:val="000000"/>
          <w:sz w:val="24"/>
          <w:szCs w:val="22"/>
          <w:highlight w:val="none"/>
        </w:rPr>
        <w:t xml:space="preserve">进行适应性训练；</w:t>
      </w:r>
      <w:r>
        <w:rPr>
          <w:rFonts w:ascii="宋体" w:hAnsi="宋体" w:cs="宋体"/>
          <w:color w:val="000000"/>
          <w:sz w:val="24"/>
          <w:szCs w:val="22"/>
          <w:highlight w:val="none"/>
        </w:rPr>
      </w:r>
      <w:r/>
    </w:p>
    <w:p>
      <w:pPr>
        <w:pStyle w:val="106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（5）有</w:t>
      </w:r>
      <w:r>
        <w:rPr>
          <w:rFonts w:hint="eastAsia" w:ascii="宋体" w:hAnsi="宋体" w:cs="宋体"/>
          <w:color w:val="000000"/>
          <w:sz w:val="24"/>
          <w:szCs w:val="22"/>
          <w:highlight w:val="none"/>
        </w:rPr>
        <w:t xml:space="preserve">产品库房</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06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（6）有</w:t>
      </w:r>
      <w:r>
        <w:rPr>
          <w:rFonts w:hint="eastAsia" w:ascii="宋体" w:hAnsi="宋体" w:cs="宋体"/>
          <w:color w:val="000000"/>
          <w:sz w:val="24"/>
          <w:szCs w:val="22"/>
          <w:highlight w:val="none"/>
        </w:rPr>
        <w:t xml:space="preserve">辅助器具个性化体验间</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060"/>
        <w:ind w:firstLine="480"/>
        <w:spacing w:line="360" w:lineRule="auto"/>
        <w:rPr>
          <w:rFonts w:ascii="宋体" w:hAnsi="宋体" w:cs="宋体"/>
          <w:color w:val="000000"/>
          <w:sz w:val="24"/>
          <w:szCs w:val="22"/>
          <w:highlight w:val="none"/>
        </w:rPr>
      </w:pPr>
      <w:r>
        <w:rPr>
          <w:rFonts w:hint="eastAsia" w:ascii="宋体" w:hAnsi="宋体" w:cs="宋体"/>
          <w:color w:val="000000"/>
          <w:sz w:val="24"/>
          <w:highlight w:val="none"/>
        </w:rPr>
        <w:t xml:space="preserve">（7）有</w:t>
      </w:r>
      <w:r>
        <w:rPr>
          <w:rFonts w:hint="eastAsia" w:ascii="宋体" w:hAnsi="宋体" w:cs="宋体"/>
          <w:color w:val="000000"/>
          <w:sz w:val="24"/>
          <w:szCs w:val="22"/>
          <w:highlight w:val="none"/>
        </w:rPr>
        <w:t xml:space="preserve">无障碍设计室；</w:t>
      </w:r>
      <w:r>
        <w:rPr>
          <w:rFonts w:ascii="宋体" w:hAnsi="宋体" w:cs="宋体"/>
          <w:color w:val="000000"/>
          <w:sz w:val="24"/>
          <w:szCs w:val="22"/>
          <w:highlight w:val="none"/>
        </w:rPr>
      </w:r>
      <w:r/>
    </w:p>
    <w:p>
      <w:pPr>
        <w:pStyle w:val="106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（8）建筑面积不少于300㎡，且业务用房面积不少于建筑总面积的70%。</w:t>
      </w:r>
      <w:r>
        <w:rPr>
          <w:rFonts w:ascii="宋体" w:hAnsi="宋体" w:cs="宋体"/>
          <w:color w:val="000000"/>
          <w:sz w:val="24"/>
          <w:highlight w:val="none"/>
        </w:rPr>
      </w:r>
      <w:r/>
    </w:p>
    <w:p>
      <w:pPr>
        <w:pStyle w:val="1060"/>
        <w:ind w:firstLine="480"/>
        <w:spacing w:line="360" w:lineRule="auto"/>
        <w:rPr>
          <w:rFonts w:hint="eastAsia" w:ascii="宋体" w:hAnsi="宋体" w:cs="宋体"/>
          <w:b/>
          <w:color w:val="000000"/>
          <w:sz w:val="24"/>
          <w:highlight w:val="none"/>
        </w:rPr>
      </w:pPr>
      <w:r>
        <w:rPr>
          <w:rFonts w:hint="eastAsia" w:ascii="宋体" w:hAnsi="宋体" w:cs="宋体"/>
          <w:color w:val="000000"/>
          <w:sz w:val="24"/>
          <w:highlight w:val="none"/>
        </w:rPr>
        <w:t xml:space="preserve">供应商提供的服务场所满足上述要求的，每一项得5分，最多40分。</w:t>
      </w:r>
      <w:bookmarkEnd w:id="443"/>
      <w:r>
        <w:rPr>
          <w:rFonts w:hint="eastAsia" w:ascii="宋体" w:hAnsi="宋体" w:cs="宋体"/>
          <w:b/>
          <w:color w:val="000000"/>
          <w:sz w:val="24"/>
          <w:highlight w:val="none"/>
        </w:rPr>
        <w:t xml:space="preserve">（请在响应文件中提供场地使用证明、平面图（标注清楚每个功能室及面积）、现场照片等相关证明材料；不提供对应项不得分。）</w:t>
      </w:r>
      <w:r>
        <w:rPr>
          <w:rFonts w:hint="eastAsia" w:ascii="宋体" w:hAnsi="宋体" w:cs="宋体"/>
          <w:b/>
          <w:color w:val="000000"/>
          <w:sz w:val="24"/>
          <w:highlight w:val="none"/>
        </w:rPr>
      </w:r>
      <w:r/>
    </w:p>
    <w:p>
      <w:pPr>
        <w:pStyle w:val="1060"/>
        <w:ind w:firstLine="480"/>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4</w:t>
      </w:r>
      <w:bookmarkStart w:id="444" w:name="OLE_LINK358"/>
      <w:r/>
      <w:bookmarkStart w:id="445" w:name="OLE_LINK359"/>
      <w:r/>
      <w:bookmarkStart w:id="446" w:name="OLE_LINK367"/>
      <w:r>
        <w:rPr>
          <w:rFonts w:hint="eastAsia" w:ascii="宋体" w:hAnsi="宋体" w:cs="宋体"/>
          <w:b/>
          <w:bCs/>
          <w:color w:val="000000"/>
          <w:sz w:val="24"/>
          <w:highlight w:val="none"/>
        </w:rPr>
        <w:t xml:space="preserve">.器具展品种类</w:t>
      </w:r>
      <w:bookmarkEnd w:id="444"/>
      <w:r/>
      <w:bookmarkEnd w:id="445"/>
      <w:r>
        <w:rPr>
          <w:rFonts w:hint="eastAsia" w:ascii="宋体" w:hAnsi="宋体" w:cs="宋体"/>
          <w:b/>
          <w:bCs/>
          <w:color w:val="000000"/>
          <w:sz w:val="24"/>
          <w:highlight w:val="none"/>
        </w:rPr>
        <w:t xml:space="preserve">（15分）</w:t>
      </w:r>
      <w:r>
        <w:rPr>
          <w:rFonts w:ascii="宋体" w:hAnsi="宋体" w:cs="宋体"/>
          <w:b/>
          <w:bCs/>
          <w:color w:val="000000"/>
          <w:sz w:val="24"/>
          <w:highlight w:val="none"/>
        </w:rPr>
      </w:r>
      <w:r/>
    </w:p>
    <w:p>
      <w:pPr>
        <w:pStyle w:val="106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供应商能提供辅助器具展品80（含）个品种以上的，得15分；辅助器具展品60（含）个品种以上不满80个品种的，得12分；辅助器具展品40（含）个品种以上不满60个品种的，得9分；辅助器具展品20（含）个品种以上不满40个品种的，得6分；辅助器具展品10（含）个品种以上不满20个品种的，得3分；辅助器具展品10个品种以下不得分。</w:t>
      </w:r>
      <w:bookmarkEnd w:id="446"/>
      <w:r>
        <w:rPr>
          <w:rFonts w:hint="eastAsia" w:ascii="宋体" w:hAnsi="宋体" w:cs="宋体"/>
          <w:b/>
          <w:bCs/>
          <w:color w:val="000000"/>
          <w:sz w:val="24"/>
          <w:highlight w:val="none"/>
        </w:rPr>
        <w:t xml:space="preserve">（请在响应文件中提供现场实物图或相关证明材料，不提供不得分）</w:t>
      </w:r>
      <w:r>
        <w:rPr>
          <w:rFonts w:ascii="宋体" w:hAnsi="宋体" w:cs="宋体"/>
          <w:color w:val="000000"/>
          <w:sz w:val="24"/>
          <w:highlight w:val="none"/>
        </w:rPr>
      </w:r>
      <w:r/>
    </w:p>
    <w:p>
      <w:pPr>
        <w:pStyle w:val="1060"/>
        <w:ind w:firstLine="480"/>
        <w:spacing w:line="360" w:lineRule="auto"/>
        <w:widowControl/>
        <w:rPr>
          <w:rFonts w:hint="eastAsia" w:ascii="宋体" w:hAnsi="宋体" w:cs="宋体"/>
          <w:b/>
          <w:color w:val="000000"/>
          <w:sz w:val="24"/>
          <w:highlight w:val="none"/>
        </w:rPr>
      </w:pPr>
      <w:r/>
      <w:bookmarkStart w:id="447" w:name="OLE_LINK383"/>
      <w:r/>
      <w:bookmarkStart w:id="448" w:name="OLE_LINK382"/>
      <w:r>
        <w:rPr>
          <w:rFonts w:hint="eastAsia" w:ascii="宋体" w:hAnsi="宋体" w:cs="宋体"/>
          <w:b/>
          <w:color w:val="000000"/>
          <w:sz w:val="24"/>
          <w:highlight w:val="none"/>
        </w:rPr>
        <w:t xml:space="preserve">5.业绩（4分）</w:t>
      </w:r>
      <w:r>
        <w:rPr>
          <w:rFonts w:hint="eastAsia" w:ascii="宋体" w:hAnsi="宋体" w:cs="宋体"/>
          <w:b/>
          <w:color w:val="000000"/>
          <w:sz w:val="24"/>
          <w:highlight w:val="none"/>
        </w:rPr>
      </w:r>
      <w:r/>
    </w:p>
    <w:p>
      <w:pPr>
        <w:pStyle w:val="1060"/>
        <w:ind w:firstLine="480"/>
        <w:spacing w:line="360" w:lineRule="auto"/>
        <w:widowControl/>
        <w:rPr>
          <w:rFonts w:ascii="宋体" w:hAnsi="宋体" w:cs="宋体"/>
          <w:color w:val="000000"/>
          <w:sz w:val="24"/>
          <w:highlight w:val="none"/>
        </w:rPr>
      </w:pPr>
      <w:r/>
      <w:bookmarkEnd w:id="447"/>
      <w:r/>
      <w:bookmarkEnd w:id="448"/>
      <w:r>
        <w:rPr>
          <w:rFonts w:hint="eastAsia" w:ascii="宋体" w:hAnsi="宋体" w:cs="宋体"/>
          <w:color w:val="000000"/>
          <w:sz w:val="24"/>
          <w:highlight w:val="none"/>
        </w:rPr>
        <w:t xml:space="preserve">供应商自2023年1月1日以来，承接过残疾人家庭或适老化无障碍改造项目的，每有一项得2分，最多得4分；不提供不得分。</w:t>
      </w:r>
      <w:r>
        <w:rPr>
          <w:rFonts w:hint="eastAsia" w:ascii="宋体" w:hAnsi="宋体" w:cs="宋体"/>
          <w:b/>
          <w:bCs/>
          <w:color w:val="000000"/>
          <w:sz w:val="24"/>
          <w:highlight w:val="none"/>
        </w:rPr>
        <w:t xml:space="preserve">（请在响应文件中提供合同复印件及对应客户满意度评价复印件（证明为满意或优秀），合同中须反映出相关内容，不提供不得分）</w:t>
      </w:r>
      <w:r>
        <w:rPr>
          <w:rFonts w:ascii="宋体" w:hAnsi="宋体" w:cs="宋体"/>
          <w:color w:val="000000"/>
          <w:sz w:val="24"/>
          <w:highlight w:val="none"/>
        </w:rPr>
      </w:r>
      <w:r/>
    </w:p>
    <w:p>
      <w:pPr>
        <w:pStyle w:val="1060"/>
        <w:ind w:firstLine="480"/>
        <w:spacing w:line="360" w:lineRule="auto"/>
        <w:widowControl/>
        <w:rPr>
          <w:rFonts w:ascii="宋体" w:hAnsi="宋体" w:cs="宋体"/>
          <w:b/>
          <w:color w:val="000000"/>
          <w:sz w:val="24"/>
          <w:highlight w:val="none"/>
        </w:rPr>
      </w:pPr>
      <w:r/>
      <w:bookmarkEnd w:id="406"/>
      <w:r/>
      <w:bookmarkEnd w:id="407"/>
      <w:r/>
      <w:bookmarkStart w:id="449" w:name="OLE_LINK388"/>
      <w:r>
        <w:rPr>
          <w:rFonts w:hint="eastAsia" w:ascii="宋体" w:hAnsi="宋体" w:cs="宋体"/>
          <w:b/>
          <w:color w:val="000000"/>
          <w:sz w:val="24"/>
          <w:highlight w:val="none"/>
        </w:rPr>
        <w:t xml:space="preserve">6.服务支持（4分）</w:t>
      </w:r>
      <w:r>
        <w:rPr>
          <w:rFonts w:ascii="宋体" w:hAnsi="宋体" w:cs="宋体"/>
          <w:b/>
          <w:color w:val="000000"/>
          <w:sz w:val="24"/>
          <w:highlight w:val="none"/>
        </w:rPr>
      </w:r>
      <w:r/>
    </w:p>
    <w:p>
      <w:pPr>
        <w:pStyle w:val="1060"/>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供应商</w:t>
      </w:r>
      <w:r>
        <w:rPr>
          <w:rFonts w:ascii="宋体" w:hAnsi="宋体" w:cs="宋体"/>
          <w:color w:val="000000"/>
          <w:sz w:val="24"/>
          <w:highlight w:val="none"/>
        </w:rPr>
        <w:t xml:space="preserve">具备可验证的服务支撑能力（如自有或授权网点、常驻人员、应急响应机制</w:t>
      </w:r>
      <w:r>
        <w:rPr>
          <w:rFonts w:hint="eastAsia" w:ascii="宋体" w:hAnsi="宋体" w:cs="宋体"/>
          <w:color w:val="000000"/>
          <w:sz w:val="24"/>
          <w:highlight w:val="none"/>
        </w:rPr>
        <w:t xml:space="preserve">等</w:t>
      </w:r>
      <w:r>
        <w:rPr>
          <w:rFonts w:ascii="宋体" w:hAnsi="宋体" w:cs="宋体"/>
          <w:color w:val="000000"/>
          <w:sz w:val="24"/>
          <w:highlight w:val="none"/>
        </w:rPr>
        <w:t xml:space="preserve">），</w:t>
      </w:r>
      <w:r>
        <w:rPr>
          <w:rFonts w:hint="eastAsia" w:ascii="宋体" w:hAnsi="宋体" w:cs="宋体"/>
          <w:color w:val="000000"/>
          <w:sz w:val="24"/>
          <w:highlight w:val="none"/>
        </w:rPr>
        <w:t xml:space="preserve">须提供网点租赁/产权证明、授权材料、人员证明、应急响应方案等证明材料，无有效证明不得分。服务点距姑苏区较近，响应及时方便，经验丰富，支撑能力强，得4分；有服务点，响应较及时，经验一般，得2分，其余不得分。</w:t>
      </w:r>
      <w:bookmarkEnd w:id="449"/>
      <w:r>
        <w:rPr>
          <w:rFonts w:hint="eastAsia" w:ascii="宋体" w:hAnsi="宋体" w:cs="宋体"/>
          <w:color w:val="000000"/>
          <w:sz w:val="24"/>
          <w:highlight w:val="none"/>
        </w:rPr>
      </w:r>
      <w:r/>
    </w:p>
    <w:p>
      <w:pPr>
        <w:pStyle w:val="106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6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60"/>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1060"/>
        <w:ind w:firstLine="4320"/>
        <w:jc w:val="right"/>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(全书完)</w:t>
      </w:r>
      <w:r/>
    </w:p>
    <w:sectPr>
      <w:footnotePr/>
      <w:endnotePr/>
      <w:type w:val="nextPage"/>
      <w:pgSz w:w="11906" w:h="16838" w:orient="portrait"/>
      <w:pgMar w:top="1332" w:right="991" w:bottom="425" w:left="993" w:header="964"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Arail">
    <w:panose1 w:val="020B0503020202020204"/>
  </w:font>
  <w:font w:name="Cambria">
    <w:panose1 w:val="02040503050406030204"/>
  </w:font>
  <w:font w:name="Courier New">
    <w:panose1 w:val="02070309020205020404"/>
  </w:font>
  <w:font w:name="方正仿宋简体">
    <w:panose1 w:val="020B0503020202020204"/>
  </w:font>
  <w:font w:name="Tahoma">
    <w:panose1 w:val="020B0604030504040204"/>
  </w:font>
  <w:font w:name="Calibri">
    <w:panose1 w:val="020F0502020204030204"/>
  </w:font>
  <w:font w:name="仿宋_GB2312">
    <w:panose1 w:val="02010609060101010101"/>
  </w:font>
  <w:font w:name="Verdana">
    <w:panose1 w:val="020B0604030504040204"/>
  </w:font>
  <w:font w:name="黑体">
    <w:panose1 w:val="02010609060101010101"/>
  </w:font>
  <w:font w:name="Tms Rmn">
    <w:panose1 w:val="020B0503020202020204"/>
  </w:font>
  <w:font w:name="楷体_GB2312">
    <w:panose1 w:val="02010609060101010101"/>
  </w:font>
  <w:font w:name="Arial Unicode MS">
    <w:panose1 w:val="020B060402020202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114"/>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pPr>
                            <w:pStyle w:val="1060"/>
                          </w:pPr>
                          <w:r/>
                          <w:r/>
                        </w:p>
                      </w:txbxContent>
                    </wps:txbx>
                    <wps:bodyPr wrap="none" lIns="0" tIns="0" rIns="0" bIns="0" upright="1">
                      <a:spAutoFit/>
                    </wps:bodyPr>
                  </wps:wsp>
                </a:graphicData>
              </a:graphic>
            </wp:anchor>
          </w:drawing>
        </mc:Choice>
        <mc:Fallback>
          <w:pict>
            <v:shape id="shape 0" o:spid="_x0000_s0"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114"/>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pPr>
                      <w:pStyle w:val="1060"/>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ind w:firstLine="387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114"/>
                            <w:tabs>
                              <w:tab w:val="clear" w:pos="4153" w:leader="none"/>
                              <w:tab w:val="clear" w:pos="8306" w:leader="none"/>
                            </w:tabs>
                          </w:pPr>
                          <w:r>
                            <w:fldChar w:fldCharType="begin"/>
                          </w:r>
                          <w:r>
                            <w:instrText xml:space="preserve"> PAGE  \* MERGEFORMAT </w:instrText>
                          </w:r>
                          <w:r>
                            <w:fldChar w:fldCharType="separate"/>
                          </w:r>
                          <w:r>
                            <w:t xml:space="preserve">37</w:t>
                          </w:r>
                          <w:r>
                            <w:fldChar w:fldCharType="end"/>
                          </w:r>
                          <w:r/>
                        </w:p>
                        <w:p>
                          <w:pPr>
                            <w:pStyle w:val="1060"/>
                          </w:pPr>
                          <w:r/>
                          <w:r/>
                        </w:p>
                      </w:txbxContent>
                    </wps:txbx>
                    <wps:bodyPr wrap="none" lIns="0" tIns="0" rIns="0" bIns="0" upright="1">
                      <a:spAutoFit/>
                    </wps:bodyPr>
                  </wps:wsp>
                </a:graphicData>
              </a:graphic>
            </wp:anchor>
          </w:drawing>
        </mc:Choice>
        <mc:Fallback>
          <w:pict>
            <v:shape id="shape 1" o:spid="_x0000_s1"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114"/>
                      <w:tabs>
                        <w:tab w:val="clear" w:pos="4153" w:leader="none"/>
                        <w:tab w:val="clear" w:pos="8306" w:leader="none"/>
                      </w:tabs>
                    </w:pPr>
                    <w:r>
                      <w:fldChar w:fldCharType="begin"/>
                    </w:r>
                    <w:r>
                      <w:instrText xml:space="preserve"> PAGE  \* MERGEFORMAT </w:instrText>
                    </w:r>
                    <w:r>
                      <w:fldChar w:fldCharType="separate"/>
                    </w:r>
                    <w:r>
                      <w:t xml:space="preserve">37</w:t>
                    </w:r>
                    <w:r>
                      <w:fldChar w:fldCharType="end"/>
                    </w:r>
                    <w:r/>
                  </w:p>
                  <w:p>
                    <w:pPr>
                      <w:pStyle w:val="1060"/>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11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60"/>
                          </w:pPr>
                          <w:r/>
                          <w:r/>
                        </w:p>
                      </w:txbxContent>
                    </wps:txbx>
                    <wps:bodyPr wrap="none" lIns="0" tIns="0" rIns="0" bIns="0" upright="1">
                      <a:spAutoFit/>
                    </wps:bodyPr>
                  </wps:wsp>
                </a:graphicData>
              </a:graphic>
            </wp:anchor>
          </w:drawing>
        </mc:Choice>
        <mc:Fallback>
          <w:pict>
            <v:shape id="shape 2" o:spid="_x0000_s2"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11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60"/>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ind w:firstLine="387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114"/>
                            <w:tabs>
                              <w:tab w:val="clear" w:pos="4153" w:leader="none"/>
                              <w:tab w:val="clear" w:pos="8306" w:leader="none"/>
                            </w:tabs>
                          </w:pPr>
                          <w:r>
                            <w:fldChar w:fldCharType="begin"/>
                          </w:r>
                          <w:r>
                            <w:instrText xml:space="preserve"> PAGE  \* MERGEFORMAT </w:instrText>
                          </w:r>
                          <w:r>
                            <w:fldChar w:fldCharType="separate"/>
                          </w:r>
                          <w:r>
                            <w:t xml:space="preserve">88</w:t>
                          </w:r>
                          <w:r>
                            <w:fldChar w:fldCharType="end"/>
                          </w:r>
                          <w:r/>
                        </w:p>
                        <w:p>
                          <w:pPr>
                            <w:pStyle w:val="1060"/>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114"/>
                      <w:tabs>
                        <w:tab w:val="clear" w:pos="4153" w:leader="none"/>
                        <w:tab w:val="clear" w:pos="8306" w:leader="none"/>
                      </w:tabs>
                    </w:pPr>
                    <w:r>
                      <w:fldChar w:fldCharType="begin"/>
                    </w:r>
                    <w:r>
                      <w:instrText xml:space="preserve"> PAGE  \* MERGEFORMAT </w:instrText>
                    </w:r>
                    <w:r>
                      <w:fldChar w:fldCharType="separate"/>
                    </w:r>
                    <w:r>
                      <w:t xml:space="preserve">88</w:t>
                    </w:r>
                    <w:r>
                      <w:fldChar w:fldCharType="end"/>
                    </w:r>
                    <w:r/>
                  </w:p>
                  <w:p>
                    <w:pPr>
                      <w:pStyle w:val="1060"/>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114"/>
                            <w:tabs>
                              <w:tab w:val="clear" w:pos="4153" w:leader="none"/>
                              <w:tab w:val="clear" w:pos="8306" w:leader="none"/>
                            </w:tabs>
                          </w:pPr>
                          <w:r>
                            <w:fldChar w:fldCharType="begin"/>
                          </w:r>
                          <w:r>
                            <w:instrText xml:space="preserve"> PAGE  \* MERGEFORMAT </w:instrText>
                          </w:r>
                          <w:r>
                            <w:fldChar w:fldCharType="separate"/>
                          </w:r>
                          <w:r>
                            <w:t xml:space="preserve">40</w:t>
                          </w:r>
                          <w:r>
                            <w:fldChar w:fldCharType="end"/>
                          </w:r>
                          <w:r/>
                        </w:p>
                        <w:p>
                          <w:pPr>
                            <w:pStyle w:val="1060"/>
                          </w:pPr>
                          <w:r/>
                          <w:r/>
                        </w:p>
                      </w:txbxContent>
                    </wps:txbx>
                    <wps:bodyPr wrap="none" lIns="0" tIns="0" rIns="0" bIns="0" upright="1">
                      <a:spAutoFit/>
                    </wps:bodyPr>
                  </wps:wsp>
                </a:graphicData>
              </a:graphic>
            </wp:anchor>
          </w:drawing>
        </mc:Choice>
        <mc:Fallback>
          <w:pict>
            <v:shape id="shape 4" o:spid="_x0000_s4"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114"/>
                      <w:tabs>
                        <w:tab w:val="clear" w:pos="4153" w:leader="none"/>
                        <w:tab w:val="clear" w:pos="8306" w:leader="none"/>
                      </w:tabs>
                    </w:pPr>
                    <w:r>
                      <w:fldChar w:fldCharType="begin"/>
                    </w:r>
                    <w:r>
                      <w:instrText xml:space="preserve"> PAGE  \* MERGEFORMAT </w:instrText>
                    </w:r>
                    <w:r>
                      <w:fldChar w:fldCharType="separate"/>
                    </w:r>
                    <w:r>
                      <w:t xml:space="preserve">40</w:t>
                    </w:r>
                    <w:r>
                      <w:fldChar w:fldCharType="end"/>
                    </w:r>
                    <w:r/>
                  </w:p>
                  <w:p>
                    <w:pPr>
                      <w:pStyle w:val="1060"/>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7"/>
      <w:jc w:val="left"/>
      <w:tabs>
        <w:tab w:val="left" w:pos="1821" w:leader="none"/>
        <w:tab w:val="center" w:pos="4153" w:leader="none"/>
        <w:tab w:val="center" w:pos="5293" w:leader="none"/>
        <w:tab w:val="right" w:pos="8306" w:leader="none"/>
      </w:tabs>
      <w:rPr>
        <w:rFonts w:hint="eastAsia" w:ascii="宋体" w:hAnsi="宋体" w:eastAsia="宋体" w:cs="宋体"/>
        <w:lang w:eastAsia="zh-CN"/>
      </w:rPr>
    </w:pPr>
    <w:r>
      <w:rPr>
        <w:rFonts w:hint="eastAsia" w:ascii="宋体" w:hAnsi="宋体" w:cs="宋体"/>
      </w:rPr>
      <w:t xml:space="preserve">苏州恒泰招投标咨询服务有限公司                                         </w:t>
    </w:r>
    <w:r>
      <w:rPr>
        <w:rFonts w:hint="eastAsia" w:ascii="宋体" w:hAnsi="宋体" w:cs="宋体"/>
        <w:lang w:eastAsia="zh-CN"/>
      </w:rPr>
      <w:t xml:space="preserve">JSZC-320508-SZHT-K2026-0005</w:t>
    </w:r>
    <w:r>
      <w:rPr>
        <w:rFonts w:hint="eastAsia" w:ascii="宋体" w:hAnsi="宋体" w:eastAsia="宋体" w:cs="宋体"/>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7"/>
      <w:jc w:val="both"/>
      <w:tabs>
        <w:tab w:val="center" w:pos="4153" w:leader="none"/>
        <w:tab w:val="right" w:pos="8306" w:leader="none"/>
      </w:tabs>
      <w:rPr>
        <w:rFonts w:hint="eastAsia" w:ascii="宋体" w:hAnsi="宋体" w:eastAsia="宋体" w:cs="宋体"/>
        <w:lang w:eastAsia="zh-CN"/>
      </w:rPr>
    </w:pPr>
    <w:r>
      <w:rPr>
        <w:rFonts w:hint="eastAsia" w:ascii="宋体" w:hAnsi="宋体" w:cs="宋体"/>
      </w:rPr>
      <w:t xml:space="preserve">苏州恒泰招投标咨询服务有限公司                                     </w:t>
    </w:r>
    <w:r>
      <w:rPr>
        <w:rFonts w:hint="eastAsia" w:ascii="宋体" w:hAnsi="宋体" w:cs="宋体"/>
        <w:lang w:eastAsia="zh-CN"/>
      </w:rPr>
      <w:t xml:space="preserve">JSZC-320508-SZHT-K2026-0005</w:t>
    </w:r>
    <w:r>
      <w:rPr>
        <w:rFonts w:hint="eastAsia" w:ascii="宋体" w:hAnsi="宋体" w:eastAsia="宋体" w:cs="宋体"/>
        <w:lang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7"/>
      <w:jc w:val="left"/>
      <w:tabs>
        <w:tab w:val="center" w:pos="4153" w:leader="none"/>
        <w:tab w:val="right" w:pos="8306" w:leader="none"/>
      </w:tabs>
      <w:rPr>
        <w:rFonts w:hint="eastAsia" w:ascii="宋体" w:hAnsi="宋体" w:eastAsia="宋体" w:cs="宋体"/>
        <w:lang w:eastAsia="zh-CN"/>
      </w:rPr>
    </w:pPr>
    <w:r>
      <w:rPr>
        <w:rFonts w:hint="eastAsia" w:ascii="宋体" w:hAnsi="宋体" w:cs="宋体"/>
      </w:rPr>
      <w:t xml:space="preserve">苏州恒泰招投标咨询服务有限公司                                                                          </w:t>
    </w:r>
    <w:r>
      <w:rPr>
        <w:rFonts w:hint="eastAsia" w:ascii="宋体" w:hAnsi="宋体" w:cs="宋体"/>
        <w:lang w:eastAsia="zh-CN"/>
      </w:rPr>
      <w:t xml:space="preserve">JSZC-320508-SZHT-K2026-0005</w:t>
    </w:r>
    <w:r>
      <w:rPr>
        <w:rFonts w:hint="eastAsia" w:ascii="宋体" w:hAnsi="宋体" w:eastAsia="宋体" w:cs="宋体"/>
        <w:lang w:eastAsia="zh-CN"/>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7"/>
      <w:jc w:val="left"/>
      <w:tabs>
        <w:tab w:val="center" w:pos="4153" w:leader="none"/>
        <w:tab w:val="right" w:pos="8306" w:leader="none"/>
      </w:tabs>
      <w:rPr>
        <w:rFonts w:hint="eastAsia" w:ascii="宋体" w:hAnsi="宋体" w:eastAsia="宋体" w:cs="宋体"/>
        <w:lang w:eastAsia="zh-CN"/>
      </w:rPr>
    </w:pPr>
    <w:r>
      <w:rPr>
        <w:rFonts w:hint="eastAsia" w:ascii="宋体" w:hAnsi="宋体" w:cs="宋体"/>
      </w:rPr>
      <w:t xml:space="preserve">苏州恒泰招投标咨询服务有限公司                                                                          </w:t>
    </w:r>
    <w:r>
      <w:rPr>
        <w:rFonts w:hint="eastAsia" w:ascii="宋体" w:hAnsi="宋体" w:cs="宋体"/>
        <w:lang w:eastAsia="zh-CN"/>
      </w:rPr>
      <w:t xml:space="preserve">JSZC-320508-SZHT-K2026-0005</w:t>
    </w:r>
    <w:r>
      <w:rPr>
        <w:rFonts w:hint="eastAsia" w:ascii="宋体" w:hAnsi="宋体" w:eastAsia="宋体" w:cs="宋体"/>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1060"/>
      </w:pPr>
      <w:rPr>
        <w:rFonts w:hint="eastAsia"/>
      </w:rPr>
    </w:lvl>
    <w:lvl w:ilvl="1">
      <w:start w:val="1"/>
      <w:numFmt w:val="bullet"/>
      <w:isLgl w:val="false"/>
      <w:suff w:val="tab"/>
      <w:lvlText w:val="o"/>
      <w:lvlJc w:val="left"/>
      <w:pPr>
        <w:pStyle w:val="1060"/>
        <w:ind w:left="1440" w:hanging="360"/>
      </w:pPr>
      <w:rPr>
        <w:rFonts w:ascii="Courier New" w:hAnsi="Courier New" w:eastAsia="Courier New" w:cs="Courier New"/>
      </w:rPr>
    </w:lvl>
    <w:lvl w:ilvl="2">
      <w:start w:val="1"/>
      <w:numFmt w:val="bullet"/>
      <w:isLgl w:val="false"/>
      <w:suff w:val="tab"/>
      <w:lvlText w:val="§"/>
      <w:lvlJc w:val="left"/>
      <w:pPr>
        <w:pStyle w:val="1060"/>
        <w:ind w:left="2160" w:hanging="360"/>
      </w:pPr>
      <w:rPr>
        <w:rFonts w:ascii="Wingdings" w:hAnsi="Wingdings" w:eastAsia="Wingdings" w:cs="Wingdings"/>
      </w:rPr>
    </w:lvl>
    <w:lvl w:ilvl="3">
      <w:start w:val="1"/>
      <w:numFmt w:val="bullet"/>
      <w:isLgl w:val="false"/>
      <w:suff w:val="tab"/>
      <w:lvlText w:val="·"/>
      <w:lvlJc w:val="left"/>
      <w:pPr>
        <w:pStyle w:val="1060"/>
        <w:ind w:left="2880" w:hanging="360"/>
      </w:pPr>
      <w:rPr>
        <w:rFonts w:ascii="Symbol" w:hAnsi="Symbol" w:eastAsia="Symbol" w:cs="Symbol"/>
      </w:rPr>
    </w:lvl>
    <w:lvl w:ilvl="4">
      <w:start w:val="1"/>
      <w:numFmt w:val="bullet"/>
      <w:isLgl w:val="false"/>
      <w:suff w:val="tab"/>
      <w:lvlText w:val="o"/>
      <w:lvlJc w:val="left"/>
      <w:pPr>
        <w:pStyle w:val="1060"/>
        <w:ind w:left="3600" w:hanging="360"/>
      </w:pPr>
      <w:rPr>
        <w:rFonts w:ascii="Courier New" w:hAnsi="Courier New" w:eastAsia="Courier New" w:cs="Courier New"/>
      </w:rPr>
    </w:lvl>
    <w:lvl w:ilvl="5">
      <w:start w:val="1"/>
      <w:numFmt w:val="bullet"/>
      <w:isLgl w:val="false"/>
      <w:suff w:val="tab"/>
      <w:lvlText w:val="§"/>
      <w:lvlJc w:val="left"/>
      <w:pPr>
        <w:pStyle w:val="1060"/>
        <w:ind w:left="4320" w:hanging="360"/>
      </w:pPr>
      <w:rPr>
        <w:rFonts w:ascii="Wingdings" w:hAnsi="Wingdings" w:eastAsia="Wingdings" w:cs="Wingdings"/>
      </w:rPr>
    </w:lvl>
    <w:lvl w:ilvl="6">
      <w:start w:val="1"/>
      <w:numFmt w:val="bullet"/>
      <w:isLgl w:val="false"/>
      <w:suff w:val="tab"/>
      <w:lvlText w:val="·"/>
      <w:lvlJc w:val="left"/>
      <w:pPr>
        <w:pStyle w:val="1060"/>
        <w:ind w:left="5040" w:hanging="360"/>
      </w:pPr>
      <w:rPr>
        <w:rFonts w:ascii="Symbol" w:hAnsi="Symbol" w:eastAsia="Symbol" w:cs="Symbol"/>
      </w:rPr>
    </w:lvl>
    <w:lvl w:ilvl="7">
      <w:start w:val="1"/>
      <w:numFmt w:val="bullet"/>
      <w:isLgl w:val="false"/>
      <w:suff w:val="tab"/>
      <w:lvlText w:val="o"/>
      <w:lvlJc w:val="left"/>
      <w:pPr>
        <w:pStyle w:val="1060"/>
        <w:ind w:left="5760" w:hanging="360"/>
      </w:pPr>
      <w:rPr>
        <w:rFonts w:ascii="Courier New" w:hAnsi="Courier New" w:eastAsia="Courier New" w:cs="Courier New"/>
      </w:rPr>
    </w:lvl>
    <w:lvl w:ilvl="8">
      <w:start w:val="1"/>
      <w:numFmt w:val="bullet"/>
      <w:isLgl w:val="false"/>
      <w:suff w:val="tab"/>
      <w:lvlText w:val="§"/>
      <w:lvlJc w:val="left"/>
      <w:pPr>
        <w:pStyle w:val="1060"/>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1060"/>
      </w:pPr>
    </w:lvl>
    <w:lvl w:ilvl="1">
      <w:start w:val="1"/>
      <w:numFmt w:val="bullet"/>
      <w:isLgl w:val="false"/>
      <w:suff w:val="tab"/>
      <w:lvlText w:val="o"/>
      <w:lvlJc w:val="left"/>
      <w:pPr>
        <w:pStyle w:val="1060"/>
        <w:ind w:left="1440" w:hanging="360"/>
      </w:pPr>
      <w:rPr>
        <w:rFonts w:ascii="Courier New" w:hAnsi="Courier New" w:eastAsia="Courier New" w:cs="Courier New"/>
      </w:rPr>
    </w:lvl>
    <w:lvl w:ilvl="2">
      <w:start w:val="1"/>
      <w:numFmt w:val="bullet"/>
      <w:isLgl w:val="false"/>
      <w:suff w:val="tab"/>
      <w:lvlText w:val="§"/>
      <w:lvlJc w:val="left"/>
      <w:pPr>
        <w:pStyle w:val="1060"/>
        <w:ind w:left="2160" w:hanging="360"/>
      </w:pPr>
      <w:rPr>
        <w:rFonts w:ascii="Wingdings" w:hAnsi="Wingdings" w:eastAsia="Wingdings" w:cs="Wingdings"/>
      </w:rPr>
    </w:lvl>
    <w:lvl w:ilvl="3">
      <w:start w:val="1"/>
      <w:numFmt w:val="bullet"/>
      <w:isLgl w:val="false"/>
      <w:suff w:val="tab"/>
      <w:lvlText w:val="·"/>
      <w:lvlJc w:val="left"/>
      <w:pPr>
        <w:pStyle w:val="1060"/>
        <w:ind w:left="2880" w:hanging="360"/>
      </w:pPr>
      <w:rPr>
        <w:rFonts w:ascii="Symbol" w:hAnsi="Symbol" w:eastAsia="Symbol" w:cs="Symbol"/>
      </w:rPr>
    </w:lvl>
    <w:lvl w:ilvl="4">
      <w:start w:val="1"/>
      <w:numFmt w:val="bullet"/>
      <w:isLgl w:val="false"/>
      <w:suff w:val="tab"/>
      <w:lvlText w:val="o"/>
      <w:lvlJc w:val="left"/>
      <w:pPr>
        <w:pStyle w:val="1060"/>
        <w:ind w:left="3600" w:hanging="360"/>
      </w:pPr>
      <w:rPr>
        <w:rFonts w:ascii="Courier New" w:hAnsi="Courier New" w:eastAsia="Courier New" w:cs="Courier New"/>
      </w:rPr>
    </w:lvl>
    <w:lvl w:ilvl="5">
      <w:start w:val="1"/>
      <w:numFmt w:val="bullet"/>
      <w:isLgl w:val="false"/>
      <w:suff w:val="tab"/>
      <w:lvlText w:val="§"/>
      <w:lvlJc w:val="left"/>
      <w:pPr>
        <w:pStyle w:val="1060"/>
        <w:ind w:left="4320" w:hanging="360"/>
      </w:pPr>
      <w:rPr>
        <w:rFonts w:ascii="Wingdings" w:hAnsi="Wingdings" w:eastAsia="Wingdings" w:cs="Wingdings"/>
      </w:rPr>
    </w:lvl>
    <w:lvl w:ilvl="6">
      <w:start w:val="1"/>
      <w:numFmt w:val="bullet"/>
      <w:isLgl w:val="false"/>
      <w:suff w:val="tab"/>
      <w:lvlText w:val="·"/>
      <w:lvlJc w:val="left"/>
      <w:pPr>
        <w:pStyle w:val="1060"/>
        <w:ind w:left="5040" w:hanging="360"/>
      </w:pPr>
      <w:rPr>
        <w:rFonts w:ascii="Symbol" w:hAnsi="Symbol" w:eastAsia="Symbol" w:cs="Symbol"/>
      </w:rPr>
    </w:lvl>
    <w:lvl w:ilvl="7">
      <w:start w:val="1"/>
      <w:numFmt w:val="bullet"/>
      <w:isLgl w:val="false"/>
      <w:suff w:val="tab"/>
      <w:lvlText w:val="o"/>
      <w:lvlJc w:val="left"/>
      <w:pPr>
        <w:pStyle w:val="1060"/>
        <w:ind w:left="5760" w:hanging="360"/>
      </w:pPr>
      <w:rPr>
        <w:rFonts w:ascii="Courier New" w:hAnsi="Courier New" w:eastAsia="Courier New" w:cs="Courier New"/>
      </w:rPr>
    </w:lvl>
    <w:lvl w:ilvl="8">
      <w:start w:val="1"/>
      <w:numFmt w:val="bullet"/>
      <w:isLgl w:val="false"/>
      <w:suff w:val="tab"/>
      <w:lvlText w:val="§"/>
      <w:lvlJc w:val="left"/>
      <w:pPr>
        <w:pStyle w:val="1060"/>
        <w:ind w:left="6480" w:hanging="360"/>
      </w:pPr>
      <w:rPr>
        <w:rFonts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106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w:lvlJc w:val="left"/>
      <w:pPr>
        <w:pStyle w:val="1060"/>
        <w:ind w:left="0" w:firstLine="0"/>
      </w:pPr>
      <w:rPr>
        <w:rFonts w:hint="eastAsia"/>
        <w:lang w:val="en-US"/>
      </w:rPr>
    </w:lvl>
    <w:lvl w:ilvl="1">
      <w:start w:val="1"/>
      <w:numFmt w:val="decimal"/>
      <w:isLgl w:val="false"/>
      <w:suff w:val="nothing"/>
      <w:lvlText w:val=""/>
      <w:lvlJc w:val="left"/>
      <w:pPr>
        <w:pStyle w:val="1060"/>
        <w:ind w:left="0" w:firstLine="0"/>
      </w:pPr>
      <w:rPr>
        <w:rFonts w:hint="eastAsia"/>
      </w:rPr>
    </w:lvl>
    <w:lvl w:ilvl="2">
      <w:start w:val="1"/>
      <w:numFmt w:val="decimal"/>
      <w:isLgl w:val="false"/>
      <w:suff w:val="nothing"/>
      <w:lvlText w:val=""/>
      <w:lvlJc w:val="left"/>
      <w:pPr>
        <w:pStyle w:val="1060"/>
        <w:ind w:left="0" w:firstLine="0"/>
      </w:pPr>
      <w:rPr>
        <w:rFonts w:hint="eastAsia"/>
      </w:rPr>
    </w:lvl>
    <w:lvl w:ilvl="3">
      <w:start w:val="1"/>
      <w:numFmt w:val="decimal"/>
      <w:isLgl w:val="false"/>
      <w:suff w:val="nothing"/>
      <w:lvlText w:val=""/>
      <w:lvlJc w:val="left"/>
      <w:pPr>
        <w:pStyle w:val="1060"/>
        <w:ind w:left="0" w:firstLine="0"/>
      </w:pPr>
      <w:rPr>
        <w:rFonts w:hint="eastAsia"/>
      </w:rPr>
    </w:lvl>
    <w:lvl w:ilvl="4">
      <w:start w:val="1"/>
      <w:numFmt w:val="decimal"/>
      <w:isLgl w:val="false"/>
      <w:suff w:val="nothing"/>
      <w:lvlText w:val=""/>
      <w:lvlJc w:val="left"/>
      <w:pPr>
        <w:pStyle w:val="1060"/>
        <w:ind w:left="0" w:firstLine="0"/>
      </w:pPr>
      <w:rPr>
        <w:rFonts w:hint="eastAsia"/>
      </w:rPr>
    </w:lvl>
    <w:lvl w:ilvl="5">
      <w:start w:val="1"/>
      <w:numFmt w:val="decimal"/>
      <w:isLgl w:val="false"/>
      <w:suff w:val="nothing"/>
      <w:lvlText w:val=""/>
      <w:lvlJc w:val="left"/>
      <w:pPr>
        <w:pStyle w:val="1060"/>
        <w:ind w:left="0" w:firstLine="0"/>
      </w:pPr>
      <w:rPr>
        <w:rFonts w:hint="eastAsia"/>
      </w:rPr>
    </w:lvl>
    <w:lvl w:ilvl="6">
      <w:start w:val="1"/>
      <w:numFmt w:val="decimal"/>
      <w:isLgl w:val="false"/>
      <w:suff w:val="nothing"/>
      <w:lvlText w:val=""/>
      <w:lvlJc w:val="left"/>
      <w:pPr>
        <w:pStyle w:val="1060"/>
        <w:ind w:left="0" w:firstLine="0"/>
      </w:pPr>
      <w:rPr>
        <w:rFonts w:hint="eastAsia"/>
      </w:rPr>
    </w:lvl>
    <w:lvl w:ilvl="7">
      <w:start w:val="1"/>
      <w:numFmt w:val="decimal"/>
      <w:isLgl w:val="false"/>
      <w:suff w:val="nothing"/>
      <w:lvlText w:val=""/>
      <w:lvlJc w:val="left"/>
      <w:pPr>
        <w:pStyle w:val="1060"/>
        <w:ind w:left="0" w:firstLine="0"/>
      </w:pPr>
      <w:rPr>
        <w:rFonts w:hint="eastAsia"/>
      </w:rPr>
    </w:lvl>
    <w:lvl w:ilvl="8">
      <w:start w:val="1"/>
      <w:numFmt w:val="decimal"/>
      <w:isLgl w:val="false"/>
      <w:suff w:val="nothing"/>
      <w:lvlText w:val=""/>
      <w:lvlJc w:val="left"/>
      <w:pPr>
        <w:pStyle w:val="1060"/>
        <w:ind w:left="0" w:firstLine="0"/>
      </w:pPr>
      <w:rPr>
        <w:rFonts w:hint="eastAsia"/>
      </w:rPr>
    </w:lvl>
  </w:abstractNum>
  <w:abstractNum w:abstractNumId="4">
    <w:multiLevelType w:val="hybridMultilevel"/>
    <w:lvl w:ilvl="0">
      <w:start w:val="1"/>
      <w:numFmt w:val="decimal"/>
      <w:isLgl w:val="false"/>
      <w:suff w:val="nothing"/>
      <w:lvlText w:val="（%1）"/>
      <w:lvlJc w:val="left"/>
      <w:pPr>
        <w:pStyle w:val="1060"/>
      </w:pPr>
    </w:lvl>
    <w:lvl w:ilvl="1">
      <w:start w:val="1"/>
      <w:numFmt w:val="bullet"/>
      <w:isLgl w:val="false"/>
      <w:suff w:val="tab"/>
      <w:lvlText w:val="o"/>
      <w:lvlJc w:val="left"/>
      <w:pPr>
        <w:pStyle w:val="1060"/>
        <w:ind w:left="1440" w:hanging="360"/>
      </w:pPr>
      <w:rPr>
        <w:rFonts w:ascii="Courier New" w:hAnsi="Courier New" w:eastAsia="Courier New" w:cs="Courier New"/>
      </w:rPr>
    </w:lvl>
    <w:lvl w:ilvl="2">
      <w:start w:val="1"/>
      <w:numFmt w:val="bullet"/>
      <w:isLgl w:val="false"/>
      <w:suff w:val="tab"/>
      <w:lvlText w:val="§"/>
      <w:lvlJc w:val="left"/>
      <w:pPr>
        <w:pStyle w:val="1060"/>
        <w:ind w:left="2160" w:hanging="360"/>
      </w:pPr>
      <w:rPr>
        <w:rFonts w:ascii="Wingdings" w:hAnsi="Wingdings" w:eastAsia="Wingdings" w:cs="Wingdings"/>
      </w:rPr>
    </w:lvl>
    <w:lvl w:ilvl="3">
      <w:start w:val="1"/>
      <w:numFmt w:val="bullet"/>
      <w:isLgl w:val="false"/>
      <w:suff w:val="tab"/>
      <w:lvlText w:val="·"/>
      <w:lvlJc w:val="left"/>
      <w:pPr>
        <w:pStyle w:val="1060"/>
        <w:ind w:left="2880" w:hanging="360"/>
      </w:pPr>
      <w:rPr>
        <w:rFonts w:ascii="Symbol" w:hAnsi="Symbol" w:eastAsia="Symbol" w:cs="Symbol"/>
      </w:rPr>
    </w:lvl>
    <w:lvl w:ilvl="4">
      <w:start w:val="1"/>
      <w:numFmt w:val="bullet"/>
      <w:isLgl w:val="false"/>
      <w:suff w:val="tab"/>
      <w:lvlText w:val="o"/>
      <w:lvlJc w:val="left"/>
      <w:pPr>
        <w:pStyle w:val="1060"/>
        <w:ind w:left="3600" w:hanging="360"/>
      </w:pPr>
      <w:rPr>
        <w:rFonts w:ascii="Courier New" w:hAnsi="Courier New" w:eastAsia="Courier New" w:cs="Courier New"/>
      </w:rPr>
    </w:lvl>
    <w:lvl w:ilvl="5">
      <w:start w:val="1"/>
      <w:numFmt w:val="bullet"/>
      <w:isLgl w:val="false"/>
      <w:suff w:val="tab"/>
      <w:lvlText w:val="§"/>
      <w:lvlJc w:val="left"/>
      <w:pPr>
        <w:pStyle w:val="1060"/>
        <w:ind w:left="4320" w:hanging="360"/>
      </w:pPr>
      <w:rPr>
        <w:rFonts w:ascii="Wingdings" w:hAnsi="Wingdings" w:eastAsia="Wingdings" w:cs="Wingdings"/>
      </w:rPr>
    </w:lvl>
    <w:lvl w:ilvl="6">
      <w:start w:val="1"/>
      <w:numFmt w:val="bullet"/>
      <w:isLgl w:val="false"/>
      <w:suff w:val="tab"/>
      <w:lvlText w:val="·"/>
      <w:lvlJc w:val="left"/>
      <w:pPr>
        <w:pStyle w:val="1060"/>
        <w:ind w:left="5040" w:hanging="360"/>
      </w:pPr>
      <w:rPr>
        <w:rFonts w:ascii="Symbol" w:hAnsi="Symbol" w:eastAsia="Symbol" w:cs="Symbol"/>
      </w:rPr>
    </w:lvl>
    <w:lvl w:ilvl="7">
      <w:start w:val="1"/>
      <w:numFmt w:val="bullet"/>
      <w:isLgl w:val="false"/>
      <w:suff w:val="tab"/>
      <w:lvlText w:val="o"/>
      <w:lvlJc w:val="left"/>
      <w:pPr>
        <w:pStyle w:val="1060"/>
        <w:ind w:left="5760" w:hanging="360"/>
      </w:pPr>
      <w:rPr>
        <w:rFonts w:ascii="Courier New" w:hAnsi="Courier New" w:eastAsia="Courier New" w:cs="Courier New"/>
      </w:rPr>
    </w:lvl>
    <w:lvl w:ilvl="8">
      <w:start w:val="1"/>
      <w:numFmt w:val="bullet"/>
      <w:isLgl w:val="false"/>
      <w:suff w:val="tab"/>
      <w:lvlText w:val="§"/>
      <w:lvlJc w:val="left"/>
      <w:pPr>
        <w:pStyle w:val="1060"/>
        <w:ind w:left="6480" w:hanging="360"/>
      </w:pPr>
      <w:rPr>
        <w:rFonts w:ascii="Wingdings" w:hAnsi="Wingdings" w:eastAsia="Wingdings" w:cs="Wingdings"/>
      </w:rPr>
    </w:lvl>
  </w:abstractNum>
  <w:num w:numId="1">
    <w:abstractNumId w:val="3"/>
  </w:num>
  <w:num w:numId="2">
    <w:abstractNumId w:val="2"/>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82">
    <w:name w:val="Heading 1"/>
    <w:basedOn w:val="1060"/>
    <w:next w:val="1060"/>
    <w:link w:val="883"/>
    <w:uiPriority w:val="9"/>
    <w:qFormat/>
    <w:pPr>
      <w:keepLines/>
      <w:keepNext/>
      <w:spacing w:before="480" w:after="200"/>
      <w:outlineLvl w:val="0"/>
    </w:pPr>
    <w:rPr>
      <w:rFonts w:ascii="Arial" w:hAnsi="Arial" w:eastAsia="Arial" w:cs="Arial"/>
      <w:sz w:val="40"/>
      <w:szCs w:val="40"/>
    </w:rPr>
  </w:style>
  <w:style w:type="character" w:styleId="883">
    <w:name w:val="Heading 1 Char"/>
    <w:link w:val="882"/>
    <w:uiPriority w:val="9"/>
    <w:rPr>
      <w:rFonts w:ascii="Arial" w:hAnsi="Arial" w:eastAsia="Arial" w:cs="Arial"/>
      <w:sz w:val="40"/>
      <w:szCs w:val="40"/>
    </w:rPr>
  </w:style>
  <w:style w:type="paragraph" w:styleId="884">
    <w:name w:val="Heading 2"/>
    <w:basedOn w:val="1060"/>
    <w:next w:val="1060"/>
    <w:link w:val="885"/>
    <w:uiPriority w:val="9"/>
    <w:unhideWhenUsed/>
    <w:qFormat/>
    <w:pPr>
      <w:keepLines/>
      <w:keepNext/>
      <w:spacing w:before="360" w:after="200"/>
      <w:outlineLvl w:val="1"/>
    </w:pPr>
    <w:rPr>
      <w:rFonts w:ascii="Arial" w:hAnsi="Arial" w:eastAsia="Arial" w:cs="Arial"/>
      <w:sz w:val="34"/>
    </w:rPr>
  </w:style>
  <w:style w:type="character" w:styleId="885">
    <w:name w:val="Heading 2 Char"/>
    <w:link w:val="884"/>
    <w:uiPriority w:val="9"/>
    <w:rPr>
      <w:rFonts w:ascii="Arial" w:hAnsi="Arial" w:eastAsia="Arial" w:cs="Arial"/>
      <w:sz w:val="34"/>
    </w:rPr>
  </w:style>
  <w:style w:type="paragraph" w:styleId="886">
    <w:name w:val="Heading 3"/>
    <w:basedOn w:val="1060"/>
    <w:next w:val="1060"/>
    <w:link w:val="887"/>
    <w:uiPriority w:val="9"/>
    <w:unhideWhenUsed/>
    <w:qFormat/>
    <w:pPr>
      <w:keepLines/>
      <w:keepNext/>
      <w:spacing w:before="320" w:after="200"/>
      <w:outlineLvl w:val="2"/>
    </w:pPr>
    <w:rPr>
      <w:rFonts w:ascii="Arial" w:hAnsi="Arial" w:eastAsia="Arial" w:cs="Arial"/>
      <w:sz w:val="30"/>
      <w:szCs w:val="30"/>
    </w:rPr>
  </w:style>
  <w:style w:type="character" w:styleId="887">
    <w:name w:val="Heading 3 Char"/>
    <w:link w:val="886"/>
    <w:uiPriority w:val="9"/>
    <w:rPr>
      <w:rFonts w:ascii="Arial" w:hAnsi="Arial" w:eastAsia="Arial" w:cs="Arial"/>
      <w:sz w:val="30"/>
      <w:szCs w:val="30"/>
    </w:rPr>
  </w:style>
  <w:style w:type="paragraph" w:styleId="888">
    <w:name w:val="Heading 4"/>
    <w:basedOn w:val="1060"/>
    <w:next w:val="1060"/>
    <w:link w:val="889"/>
    <w:uiPriority w:val="9"/>
    <w:unhideWhenUsed/>
    <w:qFormat/>
    <w:pPr>
      <w:keepLines/>
      <w:keepNext/>
      <w:spacing w:before="320" w:after="200"/>
      <w:outlineLvl w:val="3"/>
    </w:pPr>
    <w:rPr>
      <w:rFonts w:ascii="Arial" w:hAnsi="Arial" w:eastAsia="Arial" w:cs="Arial"/>
      <w:b/>
      <w:bCs/>
      <w:sz w:val="26"/>
      <w:szCs w:val="26"/>
    </w:rPr>
  </w:style>
  <w:style w:type="character" w:styleId="889">
    <w:name w:val="Heading 4 Char"/>
    <w:link w:val="888"/>
    <w:uiPriority w:val="9"/>
    <w:rPr>
      <w:rFonts w:ascii="Arial" w:hAnsi="Arial" w:eastAsia="Arial" w:cs="Arial"/>
      <w:b/>
      <w:bCs/>
      <w:sz w:val="26"/>
      <w:szCs w:val="26"/>
    </w:rPr>
  </w:style>
  <w:style w:type="paragraph" w:styleId="890">
    <w:name w:val="Heading 5"/>
    <w:basedOn w:val="1060"/>
    <w:next w:val="1060"/>
    <w:link w:val="891"/>
    <w:uiPriority w:val="9"/>
    <w:unhideWhenUsed/>
    <w:qFormat/>
    <w:pPr>
      <w:keepLines/>
      <w:keepNext/>
      <w:spacing w:before="320" w:after="200"/>
      <w:outlineLvl w:val="4"/>
    </w:pPr>
    <w:rPr>
      <w:rFonts w:ascii="Arial" w:hAnsi="Arial" w:eastAsia="Arial" w:cs="Arial"/>
      <w:b/>
      <w:bCs/>
      <w:sz w:val="24"/>
      <w:szCs w:val="24"/>
    </w:rPr>
  </w:style>
  <w:style w:type="character" w:styleId="891">
    <w:name w:val="Heading 5 Char"/>
    <w:link w:val="890"/>
    <w:uiPriority w:val="9"/>
    <w:rPr>
      <w:rFonts w:ascii="Arial" w:hAnsi="Arial" w:eastAsia="Arial" w:cs="Arial"/>
      <w:b/>
      <w:bCs/>
      <w:sz w:val="24"/>
      <w:szCs w:val="24"/>
    </w:rPr>
  </w:style>
  <w:style w:type="paragraph" w:styleId="892">
    <w:name w:val="Heading 6"/>
    <w:basedOn w:val="1060"/>
    <w:next w:val="1060"/>
    <w:link w:val="893"/>
    <w:uiPriority w:val="9"/>
    <w:unhideWhenUsed/>
    <w:qFormat/>
    <w:pPr>
      <w:keepLines/>
      <w:keepNext/>
      <w:spacing w:before="320" w:after="200"/>
      <w:outlineLvl w:val="5"/>
    </w:pPr>
    <w:rPr>
      <w:rFonts w:ascii="Arial" w:hAnsi="Arial" w:eastAsia="Arial" w:cs="Arial"/>
      <w:b/>
      <w:bCs/>
      <w:sz w:val="22"/>
      <w:szCs w:val="22"/>
    </w:rPr>
  </w:style>
  <w:style w:type="character" w:styleId="893">
    <w:name w:val="Heading 6 Char"/>
    <w:link w:val="892"/>
    <w:uiPriority w:val="9"/>
    <w:rPr>
      <w:rFonts w:ascii="Arial" w:hAnsi="Arial" w:eastAsia="Arial" w:cs="Arial"/>
      <w:b/>
      <w:bCs/>
      <w:sz w:val="22"/>
      <w:szCs w:val="22"/>
    </w:rPr>
  </w:style>
  <w:style w:type="paragraph" w:styleId="894">
    <w:name w:val="Heading 7"/>
    <w:basedOn w:val="1060"/>
    <w:next w:val="1060"/>
    <w:link w:val="895"/>
    <w:uiPriority w:val="9"/>
    <w:unhideWhenUsed/>
    <w:qFormat/>
    <w:pPr>
      <w:keepLines/>
      <w:keepNext/>
      <w:spacing w:before="320" w:after="200"/>
      <w:outlineLvl w:val="6"/>
    </w:pPr>
    <w:rPr>
      <w:rFonts w:ascii="Arial" w:hAnsi="Arial" w:eastAsia="Arial" w:cs="Arial"/>
      <w:b/>
      <w:bCs/>
      <w:i/>
      <w:iCs/>
      <w:sz w:val="22"/>
      <w:szCs w:val="22"/>
    </w:rPr>
  </w:style>
  <w:style w:type="character" w:styleId="895">
    <w:name w:val="Heading 7 Char"/>
    <w:link w:val="894"/>
    <w:uiPriority w:val="9"/>
    <w:rPr>
      <w:rFonts w:ascii="Arial" w:hAnsi="Arial" w:eastAsia="Arial" w:cs="Arial"/>
      <w:b/>
      <w:bCs/>
      <w:i/>
      <w:iCs/>
      <w:sz w:val="22"/>
      <w:szCs w:val="22"/>
    </w:rPr>
  </w:style>
  <w:style w:type="paragraph" w:styleId="896">
    <w:name w:val="Heading 8"/>
    <w:basedOn w:val="1060"/>
    <w:next w:val="1060"/>
    <w:link w:val="897"/>
    <w:uiPriority w:val="9"/>
    <w:unhideWhenUsed/>
    <w:qFormat/>
    <w:pPr>
      <w:keepLines/>
      <w:keepNext/>
      <w:spacing w:before="320" w:after="200"/>
      <w:outlineLvl w:val="7"/>
    </w:pPr>
    <w:rPr>
      <w:rFonts w:ascii="Arial" w:hAnsi="Arial" w:eastAsia="Arial" w:cs="Arial"/>
      <w:i/>
      <w:iCs/>
      <w:sz w:val="22"/>
      <w:szCs w:val="22"/>
    </w:rPr>
  </w:style>
  <w:style w:type="character" w:styleId="897">
    <w:name w:val="Heading 8 Char"/>
    <w:link w:val="896"/>
    <w:uiPriority w:val="9"/>
    <w:rPr>
      <w:rFonts w:ascii="Arial" w:hAnsi="Arial" w:eastAsia="Arial" w:cs="Arial"/>
      <w:i/>
      <w:iCs/>
      <w:sz w:val="22"/>
      <w:szCs w:val="22"/>
    </w:rPr>
  </w:style>
  <w:style w:type="paragraph" w:styleId="898">
    <w:name w:val="Heading 9"/>
    <w:basedOn w:val="1060"/>
    <w:next w:val="1060"/>
    <w:link w:val="899"/>
    <w:uiPriority w:val="9"/>
    <w:unhideWhenUsed/>
    <w:qFormat/>
    <w:pPr>
      <w:keepLines/>
      <w:keepNext/>
      <w:spacing w:before="320" w:after="200"/>
      <w:outlineLvl w:val="8"/>
    </w:pPr>
    <w:rPr>
      <w:rFonts w:ascii="Arial" w:hAnsi="Arial" w:eastAsia="Arial" w:cs="Arial"/>
      <w:i/>
      <w:iCs/>
      <w:sz w:val="21"/>
      <w:szCs w:val="21"/>
    </w:rPr>
  </w:style>
  <w:style w:type="character" w:styleId="899">
    <w:name w:val="Heading 9 Char"/>
    <w:link w:val="898"/>
    <w:uiPriority w:val="9"/>
    <w:rPr>
      <w:rFonts w:ascii="Arial" w:hAnsi="Arial" w:eastAsia="Arial" w:cs="Arial"/>
      <w:i/>
      <w:iCs/>
      <w:sz w:val="21"/>
      <w:szCs w:val="21"/>
    </w:rPr>
  </w:style>
  <w:style w:type="paragraph" w:styleId="900">
    <w:name w:val="List Paragraph"/>
    <w:basedOn w:val="1060"/>
    <w:uiPriority w:val="34"/>
    <w:qFormat/>
    <w:pPr>
      <w:contextualSpacing/>
      <w:ind w:left="720"/>
    </w:pPr>
  </w:style>
  <w:style w:type="paragraph" w:styleId="901">
    <w:name w:val="No Spacing"/>
    <w:uiPriority w:val="1"/>
    <w:qFormat/>
    <w:pPr>
      <w:spacing w:before="0" w:after="0" w:line="240" w:lineRule="auto"/>
    </w:pPr>
  </w:style>
  <w:style w:type="paragraph" w:styleId="902">
    <w:name w:val="Title"/>
    <w:basedOn w:val="1060"/>
    <w:next w:val="1060"/>
    <w:link w:val="903"/>
    <w:uiPriority w:val="10"/>
    <w:qFormat/>
    <w:pPr>
      <w:contextualSpacing/>
      <w:spacing w:before="300" w:after="200"/>
    </w:pPr>
    <w:rPr>
      <w:sz w:val="48"/>
      <w:szCs w:val="48"/>
    </w:rPr>
  </w:style>
  <w:style w:type="character" w:styleId="903">
    <w:name w:val="Title Char"/>
    <w:link w:val="902"/>
    <w:uiPriority w:val="10"/>
    <w:rPr>
      <w:sz w:val="48"/>
      <w:szCs w:val="48"/>
    </w:rPr>
  </w:style>
  <w:style w:type="paragraph" w:styleId="904">
    <w:name w:val="Subtitle"/>
    <w:basedOn w:val="1060"/>
    <w:next w:val="1060"/>
    <w:link w:val="905"/>
    <w:uiPriority w:val="11"/>
    <w:qFormat/>
    <w:pPr>
      <w:spacing w:before="200" w:after="200"/>
    </w:pPr>
    <w:rPr>
      <w:sz w:val="24"/>
      <w:szCs w:val="24"/>
    </w:rPr>
  </w:style>
  <w:style w:type="character" w:styleId="905">
    <w:name w:val="Subtitle Char"/>
    <w:link w:val="904"/>
    <w:uiPriority w:val="11"/>
    <w:rPr>
      <w:sz w:val="24"/>
      <w:szCs w:val="24"/>
    </w:rPr>
  </w:style>
  <w:style w:type="paragraph" w:styleId="906">
    <w:name w:val="Quote"/>
    <w:basedOn w:val="1060"/>
    <w:next w:val="1060"/>
    <w:link w:val="907"/>
    <w:uiPriority w:val="29"/>
    <w:qFormat/>
    <w:pPr>
      <w:ind w:left="720" w:right="720"/>
    </w:pPr>
    <w:rPr>
      <w:i/>
    </w:rPr>
  </w:style>
  <w:style w:type="character" w:styleId="907">
    <w:name w:val="Quote Char"/>
    <w:link w:val="906"/>
    <w:uiPriority w:val="29"/>
    <w:rPr>
      <w:i/>
    </w:rPr>
  </w:style>
  <w:style w:type="paragraph" w:styleId="908">
    <w:name w:val="Intense Quote"/>
    <w:basedOn w:val="1060"/>
    <w:next w:val="1060"/>
    <w:link w:val="90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9">
    <w:name w:val="Intense Quote Char"/>
    <w:link w:val="908"/>
    <w:uiPriority w:val="30"/>
    <w:rPr>
      <w:i/>
    </w:rPr>
  </w:style>
  <w:style w:type="paragraph" w:styleId="910">
    <w:name w:val="Header"/>
    <w:basedOn w:val="1060"/>
    <w:link w:val="911"/>
    <w:uiPriority w:val="99"/>
    <w:unhideWhenUsed/>
    <w:pPr>
      <w:spacing w:after="0" w:line="240" w:lineRule="auto"/>
      <w:tabs>
        <w:tab w:val="center" w:pos="7143" w:leader="none"/>
        <w:tab w:val="right" w:pos="14287" w:leader="none"/>
      </w:tabs>
    </w:pPr>
  </w:style>
  <w:style w:type="character" w:styleId="911">
    <w:name w:val="Header Char"/>
    <w:link w:val="910"/>
    <w:uiPriority w:val="99"/>
  </w:style>
  <w:style w:type="paragraph" w:styleId="912">
    <w:name w:val="Footer"/>
    <w:basedOn w:val="1060"/>
    <w:link w:val="915"/>
    <w:uiPriority w:val="99"/>
    <w:unhideWhenUsed/>
    <w:pPr>
      <w:spacing w:after="0" w:line="240" w:lineRule="auto"/>
      <w:tabs>
        <w:tab w:val="center" w:pos="7143" w:leader="none"/>
        <w:tab w:val="right" w:pos="14287" w:leader="none"/>
      </w:tabs>
    </w:pPr>
  </w:style>
  <w:style w:type="character" w:styleId="913">
    <w:name w:val="Footer Char"/>
    <w:link w:val="912"/>
    <w:uiPriority w:val="99"/>
  </w:style>
  <w:style w:type="paragraph" w:styleId="914">
    <w:name w:val="Caption"/>
    <w:basedOn w:val="1060"/>
    <w:next w:val="1060"/>
    <w:uiPriority w:val="35"/>
    <w:semiHidden/>
    <w:unhideWhenUsed/>
    <w:qFormat/>
    <w:pPr>
      <w:spacing w:line="276" w:lineRule="auto"/>
    </w:pPr>
    <w:rPr>
      <w:b/>
      <w:bCs/>
      <w:color w:val="4f81bd" w:themeColor="accent1"/>
      <w:sz w:val="18"/>
      <w:szCs w:val="18"/>
    </w:rPr>
  </w:style>
  <w:style w:type="character" w:styleId="915">
    <w:name w:val="Caption Char"/>
    <w:basedOn w:val="914"/>
    <w:link w:val="912"/>
    <w:uiPriority w:val="99"/>
  </w:style>
  <w:style w:type="table" w:styleId="91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1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1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2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2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2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2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2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2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2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3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3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3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3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3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3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3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3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4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4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4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4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5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5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5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5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5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5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5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5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5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5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6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6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6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6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6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6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6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6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7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7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7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7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7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7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7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7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7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8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8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8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8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8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8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8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8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8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8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9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9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9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9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9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9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9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9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9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0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0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0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1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1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1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1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1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1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1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1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1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1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2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2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2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2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2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2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2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2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2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2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3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3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3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3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3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3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3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3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3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3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4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4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42">
    <w:name w:val="Hyperlink"/>
    <w:uiPriority w:val="99"/>
    <w:unhideWhenUsed/>
    <w:rPr>
      <w:color w:val="0000ff" w:themeColor="hyperlink"/>
      <w:u w:val="single"/>
    </w:rPr>
  </w:style>
  <w:style w:type="paragraph" w:styleId="1043">
    <w:name w:val="footnote text"/>
    <w:basedOn w:val="1060"/>
    <w:link w:val="1044"/>
    <w:uiPriority w:val="99"/>
    <w:semiHidden/>
    <w:unhideWhenUsed/>
    <w:pPr>
      <w:spacing w:after="40" w:line="240" w:lineRule="auto"/>
    </w:pPr>
    <w:rPr>
      <w:sz w:val="18"/>
    </w:rPr>
  </w:style>
  <w:style w:type="character" w:styleId="1044">
    <w:name w:val="Footnote Text Char"/>
    <w:link w:val="1043"/>
    <w:uiPriority w:val="99"/>
    <w:rPr>
      <w:sz w:val="18"/>
    </w:rPr>
  </w:style>
  <w:style w:type="character" w:styleId="1045">
    <w:name w:val="footnote reference"/>
    <w:uiPriority w:val="99"/>
    <w:unhideWhenUsed/>
    <w:rPr>
      <w:vertAlign w:val="superscript"/>
    </w:rPr>
  </w:style>
  <w:style w:type="paragraph" w:styleId="1046">
    <w:name w:val="endnote text"/>
    <w:basedOn w:val="1060"/>
    <w:link w:val="1047"/>
    <w:uiPriority w:val="99"/>
    <w:semiHidden/>
    <w:unhideWhenUsed/>
    <w:pPr>
      <w:spacing w:after="0" w:line="240" w:lineRule="auto"/>
    </w:pPr>
    <w:rPr>
      <w:sz w:val="20"/>
    </w:rPr>
  </w:style>
  <w:style w:type="character" w:styleId="1047">
    <w:name w:val="Endnote Text Char"/>
    <w:link w:val="1046"/>
    <w:uiPriority w:val="99"/>
    <w:rPr>
      <w:sz w:val="20"/>
    </w:rPr>
  </w:style>
  <w:style w:type="character" w:styleId="1048">
    <w:name w:val="endnote reference"/>
    <w:uiPriority w:val="99"/>
    <w:semiHidden/>
    <w:unhideWhenUsed/>
    <w:rPr>
      <w:vertAlign w:val="superscript"/>
    </w:rPr>
  </w:style>
  <w:style w:type="paragraph" w:styleId="1049">
    <w:name w:val="toc 1"/>
    <w:basedOn w:val="1060"/>
    <w:next w:val="1060"/>
    <w:uiPriority w:val="39"/>
    <w:unhideWhenUsed/>
    <w:pPr>
      <w:ind w:left="0" w:right="0" w:firstLine="0"/>
      <w:spacing w:after="57"/>
    </w:pPr>
  </w:style>
  <w:style w:type="paragraph" w:styleId="1050">
    <w:name w:val="toc 2"/>
    <w:basedOn w:val="1060"/>
    <w:next w:val="1060"/>
    <w:uiPriority w:val="39"/>
    <w:unhideWhenUsed/>
    <w:pPr>
      <w:ind w:left="283" w:right="0" w:firstLine="0"/>
      <w:spacing w:after="57"/>
    </w:pPr>
  </w:style>
  <w:style w:type="paragraph" w:styleId="1051">
    <w:name w:val="toc 3"/>
    <w:basedOn w:val="1060"/>
    <w:next w:val="1060"/>
    <w:uiPriority w:val="39"/>
    <w:unhideWhenUsed/>
    <w:pPr>
      <w:ind w:left="567" w:right="0" w:firstLine="0"/>
      <w:spacing w:after="57"/>
    </w:pPr>
  </w:style>
  <w:style w:type="paragraph" w:styleId="1052">
    <w:name w:val="toc 4"/>
    <w:basedOn w:val="1060"/>
    <w:next w:val="1060"/>
    <w:uiPriority w:val="39"/>
    <w:unhideWhenUsed/>
    <w:pPr>
      <w:ind w:left="850" w:right="0" w:firstLine="0"/>
      <w:spacing w:after="57"/>
    </w:pPr>
  </w:style>
  <w:style w:type="paragraph" w:styleId="1053">
    <w:name w:val="toc 5"/>
    <w:basedOn w:val="1060"/>
    <w:next w:val="1060"/>
    <w:uiPriority w:val="39"/>
    <w:unhideWhenUsed/>
    <w:pPr>
      <w:ind w:left="1134" w:right="0" w:firstLine="0"/>
      <w:spacing w:after="57"/>
    </w:pPr>
  </w:style>
  <w:style w:type="paragraph" w:styleId="1054">
    <w:name w:val="toc 6"/>
    <w:basedOn w:val="1060"/>
    <w:next w:val="1060"/>
    <w:uiPriority w:val="39"/>
    <w:unhideWhenUsed/>
    <w:pPr>
      <w:ind w:left="1417" w:right="0" w:firstLine="0"/>
      <w:spacing w:after="57"/>
    </w:pPr>
  </w:style>
  <w:style w:type="paragraph" w:styleId="1055">
    <w:name w:val="toc 7"/>
    <w:basedOn w:val="1060"/>
    <w:next w:val="1060"/>
    <w:uiPriority w:val="39"/>
    <w:unhideWhenUsed/>
    <w:pPr>
      <w:ind w:left="1701" w:right="0" w:firstLine="0"/>
      <w:spacing w:after="57"/>
    </w:pPr>
  </w:style>
  <w:style w:type="paragraph" w:styleId="1056">
    <w:name w:val="toc 8"/>
    <w:basedOn w:val="1060"/>
    <w:next w:val="1060"/>
    <w:uiPriority w:val="39"/>
    <w:unhideWhenUsed/>
    <w:pPr>
      <w:ind w:left="1984" w:right="0" w:firstLine="0"/>
      <w:spacing w:after="57"/>
    </w:pPr>
  </w:style>
  <w:style w:type="paragraph" w:styleId="1057">
    <w:name w:val="toc 9"/>
    <w:basedOn w:val="1060"/>
    <w:next w:val="1060"/>
    <w:uiPriority w:val="39"/>
    <w:unhideWhenUsed/>
    <w:pPr>
      <w:ind w:left="2268" w:right="0" w:firstLine="0"/>
      <w:spacing w:after="57"/>
    </w:pPr>
  </w:style>
  <w:style w:type="paragraph" w:styleId="1058">
    <w:name w:val="TOC Heading"/>
    <w:uiPriority w:val="39"/>
    <w:unhideWhenUsed/>
  </w:style>
  <w:style w:type="paragraph" w:styleId="1059">
    <w:name w:val="table of figures"/>
    <w:basedOn w:val="1060"/>
    <w:next w:val="1060"/>
    <w:uiPriority w:val="99"/>
    <w:unhideWhenUsed/>
    <w:pPr>
      <w:spacing w:after="0" w:afterAutospacing="0"/>
    </w:pPr>
  </w:style>
  <w:style w:type="paragraph" w:styleId="1060" w:default="1">
    <w:name w:val="Normal"/>
    <w:next w:val="1060"/>
    <w:link w:val="1060"/>
    <w:qFormat/>
    <w:pPr>
      <w:jc w:val="both"/>
      <w:widowControl w:val="off"/>
    </w:pPr>
    <w:rPr>
      <w:sz w:val="21"/>
      <w:szCs w:val="24"/>
      <w:lang w:val="en-US" w:eastAsia="zh-CN" w:bidi="ar-SA"/>
    </w:rPr>
  </w:style>
  <w:style w:type="paragraph" w:styleId="1061">
    <w:name w:val="标题 1"/>
    <w:basedOn w:val="1060"/>
    <w:next w:val="1060"/>
    <w:link w:val="1072"/>
    <w:qFormat/>
    <w:pPr>
      <w:keepLines/>
      <w:keepNext/>
      <w:spacing w:before="340" w:after="330" w:line="578" w:lineRule="auto"/>
      <w:outlineLvl w:val="0"/>
    </w:pPr>
    <w:rPr>
      <w:b/>
      <w:bCs/>
      <w:sz w:val="44"/>
      <w:szCs w:val="44"/>
    </w:rPr>
  </w:style>
  <w:style w:type="paragraph" w:styleId="1062">
    <w:name w:val="标题 2"/>
    <w:basedOn w:val="1060"/>
    <w:next w:val="1060"/>
    <w:link w:val="1073"/>
    <w:qFormat/>
    <w:pPr>
      <w:jc w:val="left"/>
      <w:keepLines/>
      <w:keepNext/>
      <w:outlineLvl w:val="1"/>
    </w:pPr>
    <w:rPr>
      <w:rFonts w:ascii="宋体" w:hAnsi="宋体" w:eastAsia="楷体_GB2312"/>
      <w:b/>
      <w:sz w:val="26"/>
      <w:szCs w:val="20"/>
    </w:rPr>
  </w:style>
  <w:style w:type="paragraph" w:styleId="1063">
    <w:name w:val="标题 3"/>
    <w:basedOn w:val="1060"/>
    <w:next w:val="1075"/>
    <w:link w:val="1074"/>
    <w:qFormat/>
    <w:pPr>
      <w:jc w:val="left"/>
      <w:keepLines/>
      <w:keepNext/>
      <w:outlineLvl w:val="2"/>
    </w:pPr>
    <w:rPr>
      <w:rFonts w:eastAsia="楷体_GB2312"/>
      <w:b/>
      <w:sz w:val="26"/>
      <w:szCs w:val="20"/>
    </w:rPr>
  </w:style>
  <w:style w:type="paragraph" w:styleId="1064">
    <w:name w:val="标题 4"/>
    <w:basedOn w:val="1060"/>
    <w:next w:val="1060"/>
    <w:link w:val="1077"/>
    <w:qFormat/>
    <w:pPr>
      <w:keepNext/>
      <w:spacing w:before="240" w:after="60"/>
      <w:outlineLvl w:val="3"/>
    </w:pPr>
    <w:rPr>
      <w:b/>
      <w:bCs/>
      <w:sz w:val="28"/>
      <w:szCs w:val="28"/>
    </w:rPr>
  </w:style>
  <w:style w:type="paragraph" w:styleId="1065">
    <w:name w:val="标题 5"/>
    <w:basedOn w:val="1060"/>
    <w:next w:val="1060"/>
    <w:link w:val="1078"/>
    <w:qFormat/>
    <w:pPr>
      <w:spacing w:before="240" w:after="60"/>
      <w:outlineLvl w:val="4"/>
    </w:pPr>
    <w:rPr>
      <w:b/>
      <w:bCs/>
      <w:i/>
      <w:iCs/>
      <w:sz w:val="26"/>
      <w:szCs w:val="26"/>
    </w:rPr>
  </w:style>
  <w:style w:type="paragraph" w:styleId="1066">
    <w:name w:val="标题 6"/>
    <w:basedOn w:val="1060"/>
    <w:next w:val="1060"/>
    <w:link w:val="1079"/>
    <w:qFormat/>
    <w:pPr>
      <w:jc w:val="left"/>
      <w:keepLines/>
      <w:keepNext/>
      <w:spacing w:before="240" w:after="64" w:line="320" w:lineRule="atLeast"/>
      <w:outlineLvl w:val="5"/>
    </w:pPr>
    <w:rPr>
      <w:rFonts w:ascii="黑体" w:hAnsi="Tms Rmn" w:eastAsia="黑体"/>
      <w:b/>
      <w:sz w:val="24"/>
      <w:szCs w:val="20"/>
    </w:rPr>
  </w:style>
  <w:style w:type="paragraph" w:styleId="1067">
    <w:name w:val="标题 7"/>
    <w:basedOn w:val="1060"/>
    <w:next w:val="1060"/>
    <w:link w:val="1080"/>
    <w:qFormat/>
    <w:pPr>
      <w:jc w:val="left"/>
      <w:keepLines/>
      <w:keepNext/>
      <w:spacing w:before="240" w:after="64" w:line="320" w:lineRule="atLeast"/>
      <w:outlineLvl w:val="6"/>
    </w:pPr>
    <w:rPr>
      <w:rFonts w:ascii="宋体" w:hAnsi="Tms Rmn"/>
      <w:b/>
      <w:sz w:val="24"/>
      <w:szCs w:val="20"/>
    </w:rPr>
  </w:style>
  <w:style w:type="paragraph" w:styleId="1068">
    <w:name w:val="标题 8"/>
    <w:basedOn w:val="1060"/>
    <w:next w:val="1060"/>
    <w:link w:val="1081"/>
    <w:qFormat/>
    <w:pPr>
      <w:keepLines/>
      <w:keepNext/>
      <w:spacing w:before="240" w:after="64" w:line="320" w:lineRule="auto"/>
      <w:outlineLvl w:val="7"/>
    </w:pPr>
    <w:rPr>
      <w:rFonts w:ascii="Arial" w:hAnsi="Arial" w:eastAsia="黑体"/>
      <w:sz w:val="24"/>
    </w:rPr>
  </w:style>
  <w:style w:type="paragraph" w:styleId="1069">
    <w:name w:val="标题 9"/>
    <w:basedOn w:val="1060"/>
    <w:next w:val="1060"/>
    <w:link w:val="1082"/>
    <w:qFormat/>
    <w:pPr>
      <w:keepLines/>
      <w:keepNext/>
      <w:spacing w:before="240" w:after="64" w:line="320" w:lineRule="auto"/>
      <w:outlineLvl w:val="8"/>
    </w:pPr>
    <w:rPr>
      <w:rFonts w:ascii="Arial" w:hAnsi="Arial" w:eastAsia="黑体"/>
      <w:szCs w:val="21"/>
    </w:rPr>
  </w:style>
  <w:style w:type="character" w:styleId="1070">
    <w:name w:val="默认段落字体"/>
    <w:next w:val="1070"/>
    <w:link w:val="1060"/>
    <w:uiPriority w:val="1"/>
    <w:unhideWhenUsed/>
  </w:style>
  <w:style w:type="table" w:styleId="1071">
    <w:name w:val="普通表格"/>
    <w:next w:val="1071"/>
    <w:link w:val="1060"/>
    <w:uiPriority w:val="99"/>
    <w:unhideWhenUsed/>
    <w:qFormat/>
    <w:pPr>
      <w:ind w:left="0" w:right="0"/>
      <w:keepLines w:val="0"/>
      <w:keepNext w:val="0"/>
      <w:spacing w:before="0" w:beforeAutospacing="0" w:after="0" w:afterAutospacing="0"/>
      <w:widowControl/>
      <w:suppressLineNumbers w:val="0"/>
    </w:pPr>
    <w:rPr>
      <w:rFonts w:ascii="Calibri" w:hAnsi="Calibri" w:cs="Calibri"/>
      <w:sz w:val="20"/>
      <w:szCs w:val="20"/>
    </w:rPr>
    <w:tblPr/>
  </w:style>
  <w:style w:type="character" w:styleId="1072">
    <w:name w:val="标题 1 Char"/>
    <w:next w:val="1072"/>
    <w:link w:val="1061"/>
    <w:rPr>
      <w:b/>
      <w:bCs/>
      <w:sz w:val="44"/>
      <w:szCs w:val="44"/>
    </w:rPr>
  </w:style>
  <w:style w:type="character" w:styleId="1073">
    <w:name w:val="标题 2 Char"/>
    <w:next w:val="1073"/>
    <w:link w:val="1062"/>
    <w:rPr>
      <w:rFonts w:ascii="宋体" w:hAnsi="宋体" w:eastAsia="楷体_GB2312"/>
      <w:b/>
      <w:sz w:val="26"/>
    </w:rPr>
  </w:style>
  <w:style w:type="character" w:styleId="1074">
    <w:name w:val="标题 3 Char"/>
    <w:next w:val="1074"/>
    <w:link w:val="1063"/>
    <w:rPr>
      <w:rFonts w:eastAsia="楷体_GB2312"/>
      <w:b/>
      <w:sz w:val="26"/>
    </w:rPr>
  </w:style>
  <w:style w:type="paragraph" w:styleId="1075">
    <w:name w:val="正文缩进"/>
    <w:basedOn w:val="1060"/>
    <w:next w:val="1075"/>
    <w:link w:val="1076"/>
    <w:qFormat/>
    <w:pPr>
      <w:ind w:firstLine="420"/>
      <w:jc w:val="left"/>
      <w:widowControl/>
    </w:pPr>
    <w:rPr>
      <w:rFonts w:eastAsia="楷体_GB2312"/>
      <w:sz w:val="24"/>
      <w:szCs w:val="20"/>
    </w:rPr>
  </w:style>
  <w:style w:type="character" w:styleId="1076">
    <w:name w:val="正文缩进 Char"/>
    <w:next w:val="1076"/>
    <w:link w:val="1075"/>
    <w:rPr>
      <w:rFonts w:eastAsia="楷体_GB2312"/>
      <w:sz w:val="24"/>
      <w:lang w:val="en-US" w:eastAsia="zh-CN" w:bidi="ar-SA"/>
    </w:rPr>
  </w:style>
  <w:style w:type="character" w:styleId="1077">
    <w:name w:val="标题 4 Char"/>
    <w:next w:val="1077"/>
    <w:link w:val="1064"/>
    <w:rPr>
      <w:rFonts w:eastAsia="宋体"/>
      <w:b/>
      <w:bCs/>
      <w:sz w:val="28"/>
      <w:szCs w:val="28"/>
      <w:lang w:val="en-US" w:eastAsia="zh-CN" w:bidi="ar-SA"/>
    </w:rPr>
  </w:style>
  <w:style w:type="character" w:styleId="1078">
    <w:name w:val="标题 5 Char"/>
    <w:next w:val="1078"/>
    <w:link w:val="1065"/>
    <w:rPr>
      <w:rFonts w:eastAsia="宋体"/>
      <w:b/>
      <w:bCs/>
      <w:i/>
      <w:iCs/>
      <w:sz w:val="26"/>
      <w:szCs w:val="26"/>
      <w:lang w:val="en-US" w:eastAsia="zh-CN" w:bidi="ar-SA"/>
    </w:rPr>
  </w:style>
  <w:style w:type="character" w:styleId="1079">
    <w:name w:val="标题 6 Char"/>
    <w:next w:val="1079"/>
    <w:link w:val="1066"/>
    <w:rPr>
      <w:rFonts w:ascii="黑体" w:hAnsi="Tms Rmn" w:eastAsia="黑体"/>
      <w:b/>
      <w:sz w:val="24"/>
    </w:rPr>
  </w:style>
  <w:style w:type="character" w:styleId="1080">
    <w:name w:val="标题 7 Char"/>
    <w:next w:val="1080"/>
    <w:link w:val="1067"/>
    <w:rPr>
      <w:rFonts w:ascii="宋体" w:hAnsi="Tms Rmn"/>
      <w:b/>
      <w:sz w:val="24"/>
    </w:rPr>
  </w:style>
  <w:style w:type="character" w:styleId="1081">
    <w:name w:val="标题 8 Char"/>
    <w:next w:val="1081"/>
    <w:link w:val="1068"/>
    <w:rPr>
      <w:rFonts w:ascii="Arial" w:hAnsi="Arial" w:eastAsia="黑体"/>
      <w:sz w:val="24"/>
      <w:szCs w:val="24"/>
    </w:rPr>
  </w:style>
  <w:style w:type="character" w:styleId="1082">
    <w:name w:val="标题 9 Char"/>
    <w:next w:val="1082"/>
    <w:link w:val="1069"/>
    <w:rPr>
      <w:rFonts w:ascii="Arial" w:hAnsi="Arial" w:eastAsia="黑体"/>
      <w:sz w:val="21"/>
      <w:szCs w:val="21"/>
    </w:rPr>
  </w:style>
  <w:style w:type="paragraph" w:styleId="1083">
    <w:name w:val="目录 7"/>
    <w:basedOn w:val="1060"/>
    <w:next w:val="1060"/>
    <w:link w:val="1060"/>
    <w:pPr>
      <w:ind w:left="2520"/>
    </w:pPr>
    <w:rPr>
      <w:rFonts w:eastAsia="楷体_GB2312"/>
      <w:sz w:val="26"/>
      <w:szCs w:val="20"/>
    </w:rPr>
  </w:style>
  <w:style w:type="paragraph" w:styleId="1084">
    <w:name w:val="索引 8"/>
    <w:basedOn w:val="1060"/>
    <w:next w:val="1060"/>
    <w:link w:val="1060"/>
    <w:pPr>
      <w:ind w:left="2940"/>
    </w:pPr>
    <w:rPr>
      <w:rFonts w:eastAsia="楷体_GB2312"/>
      <w:sz w:val="26"/>
      <w:szCs w:val="20"/>
    </w:rPr>
  </w:style>
  <w:style w:type="paragraph" w:styleId="1085">
    <w:name w:val="列表编号"/>
    <w:basedOn w:val="1060"/>
    <w:next w:val="1085"/>
    <w:link w:val="1060"/>
    <w:pPr>
      <w:ind w:left="1125" w:hanging="555"/>
      <w:tabs>
        <w:tab w:val="left" w:pos="1125" w:leader="none"/>
      </w:tabs>
    </w:pPr>
  </w:style>
  <w:style w:type="paragraph" w:styleId="1086">
    <w:name w:val="索引 5"/>
    <w:basedOn w:val="1060"/>
    <w:next w:val="1060"/>
    <w:link w:val="1060"/>
    <w:pPr>
      <w:ind w:left="1680"/>
    </w:pPr>
    <w:rPr>
      <w:rFonts w:eastAsia="楷体_GB2312"/>
      <w:sz w:val="26"/>
      <w:szCs w:val="20"/>
    </w:rPr>
  </w:style>
  <w:style w:type="paragraph" w:styleId="1087">
    <w:name w:val="文档结构图"/>
    <w:basedOn w:val="1060"/>
    <w:next w:val="1087"/>
    <w:link w:val="1088"/>
    <w:pPr>
      <w:shd w:val="clear" w:color="auto" w:fill="000080"/>
    </w:pPr>
  </w:style>
  <w:style w:type="character" w:styleId="1088">
    <w:name w:val="文档结构图 Char"/>
    <w:next w:val="1088"/>
    <w:link w:val="1087"/>
    <w:semiHidden/>
    <w:rPr>
      <w:sz w:val="21"/>
      <w:szCs w:val="24"/>
      <w:shd w:val="clear" w:color="auto" w:fill="000080"/>
    </w:rPr>
  </w:style>
  <w:style w:type="paragraph" w:styleId="1089">
    <w:name w:val="批注文字"/>
    <w:basedOn w:val="1060"/>
    <w:next w:val="1089"/>
    <w:link w:val="1090"/>
    <w:pPr>
      <w:jc w:val="left"/>
    </w:pPr>
    <w:rPr>
      <w:rFonts w:eastAsia="楷体_GB2312"/>
      <w:sz w:val="26"/>
      <w:szCs w:val="20"/>
    </w:rPr>
  </w:style>
  <w:style w:type="character" w:styleId="1090">
    <w:name w:val="批注文字 Char"/>
    <w:next w:val="1090"/>
    <w:link w:val="1089"/>
    <w:rPr>
      <w:rFonts w:eastAsia="楷体_GB2312"/>
      <w:sz w:val="26"/>
    </w:rPr>
  </w:style>
  <w:style w:type="paragraph" w:styleId="1091">
    <w:name w:val="索引 6"/>
    <w:basedOn w:val="1060"/>
    <w:next w:val="1060"/>
    <w:link w:val="1060"/>
    <w:pPr>
      <w:ind w:left="2100"/>
    </w:pPr>
    <w:rPr>
      <w:rFonts w:eastAsia="楷体_GB2312"/>
      <w:sz w:val="26"/>
      <w:szCs w:val="20"/>
    </w:rPr>
  </w:style>
  <w:style w:type="paragraph" w:styleId="1092">
    <w:name w:val="正文文本 3"/>
    <w:basedOn w:val="1060"/>
    <w:next w:val="1092"/>
    <w:link w:val="1093"/>
    <w:pPr>
      <w:spacing w:line="500" w:lineRule="exact"/>
    </w:pPr>
    <w:rPr>
      <w:rFonts w:ascii="宋体" w:hAnsi="宋体"/>
      <w:b/>
      <w:color w:val="ff9900"/>
      <w:szCs w:val="20"/>
    </w:rPr>
  </w:style>
  <w:style w:type="character" w:styleId="1093">
    <w:name w:val="正文文本 3 Char"/>
    <w:next w:val="1093"/>
    <w:link w:val="1092"/>
    <w:rPr>
      <w:rFonts w:ascii="宋体" w:hAnsi="宋体"/>
      <w:b/>
      <w:color w:val="ff9900"/>
      <w:sz w:val="21"/>
    </w:rPr>
  </w:style>
  <w:style w:type="paragraph" w:styleId="1094">
    <w:name w:val="正文文本"/>
    <w:basedOn w:val="1060"/>
    <w:next w:val="1075"/>
    <w:link w:val="1095"/>
    <w:pPr>
      <w:spacing w:line="400" w:lineRule="exact"/>
    </w:pPr>
    <w:rPr>
      <w:rFonts w:ascii="楷体_GB2312" w:eastAsia="楷体_GB2312"/>
      <w:sz w:val="28"/>
      <w:szCs w:val="20"/>
    </w:rPr>
  </w:style>
  <w:style w:type="character" w:styleId="1095">
    <w:name w:val="正文文本 Char"/>
    <w:next w:val="1095"/>
    <w:link w:val="1094"/>
    <w:rPr>
      <w:rFonts w:ascii="楷体_GB2312" w:eastAsia="楷体_GB2312"/>
      <w:sz w:val="28"/>
    </w:rPr>
  </w:style>
  <w:style w:type="paragraph" w:styleId="1096">
    <w:name w:val="正文文本缩进"/>
    <w:basedOn w:val="1060"/>
    <w:next w:val="1096"/>
    <w:link w:val="1097"/>
    <w:pPr>
      <w:ind w:left="570"/>
      <w:spacing w:line="520" w:lineRule="exact"/>
    </w:pPr>
    <w:rPr>
      <w:rFonts w:ascii="方正仿宋简体" w:hAnsi="创艺简仿宋" w:eastAsia="方正仿宋简体"/>
      <w:sz w:val="24"/>
      <w:szCs w:val="20"/>
    </w:rPr>
  </w:style>
  <w:style w:type="character" w:styleId="1097">
    <w:name w:val="正文文本缩进 Char"/>
    <w:next w:val="1097"/>
    <w:link w:val="1096"/>
    <w:rPr>
      <w:rFonts w:ascii="方正仿宋简体" w:hAnsi="创艺简仿宋" w:eastAsia="方正仿宋简体"/>
      <w:sz w:val="24"/>
    </w:rPr>
  </w:style>
  <w:style w:type="paragraph" w:styleId="1098">
    <w:name w:val="文本块"/>
    <w:basedOn w:val="1060"/>
    <w:next w:val="1098"/>
    <w:link w:val="1060"/>
    <w:pPr>
      <w:ind w:left="630" w:right="-609" w:firstLine="420"/>
      <w:spacing w:line="360" w:lineRule="auto"/>
    </w:pPr>
    <w:rPr>
      <w:rFonts w:hint="eastAsia" w:ascii="仿宋_GB2312" w:eastAsia="仿宋_GB2312"/>
      <w:szCs w:val="20"/>
    </w:rPr>
  </w:style>
  <w:style w:type="paragraph" w:styleId="1099">
    <w:name w:val="索引 4"/>
    <w:basedOn w:val="1060"/>
    <w:next w:val="1060"/>
    <w:link w:val="1060"/>
    <w:pPr>
      <w:ind w:left="1260"/>
    </w:pPr>
    <w:rPr>
      <w:rFonts w:eastAsia="楷体_GB2312"/>
      <w:sz w:val="26"/>
      <w:szCs w:val="20"/>
    </w:rPr>
  </w:style>
  <w:style w:type="paragraph" w:styleId="1100">
    <w:name w:val="目录 5"/>
    <w:basedOn w:val="1060"/>
    <w:next w:val="1060"/>
    <w:link w:val="1060"/>
    <w:pPr>
      <w:ind w:left="1680"/>
    </w:pPr>
    <w:rPr>
      <w:rFonts w:eastAsia="楷体_GB2312"/>
      <w:sz w:val="26"/>
      <w:szCs w:val="20"/>
    </w:rPr>
  </w:style>
  <w:style w:type="paragraph" w:styleId="1101">
    <w:name w:val="目录 3"/>
    <w:basedOn w:val="1060"/>
    <w:next w:val="1060"/>
    <w:link w:val="1060"/>
    <w:pPr>
      <w:ind w:left="840"/>
    </w:pPr>
    <w:rPr>
      <w:rFonts w:eastAsia="楷体_GB2312"/>
      <w:sz w:val="26"/>
      <w:szCs w:val="20"/>
    </w:rPr>
  </w:style>
  <w:style w:type="paragraph" w:styleId="1102">
    <w:name w:val="纯文本"/>
    <w:basedOn w:val="1060"/>
    <w:next w:val="1102"/>
    <w:link w:val="1103"/>
    <w:pPr>
      <w:jc w:val="left"/>
      <w:widowControl/>
    </w:pPr>
    <w:rPr>
      <w:rFonts w:ascii="宋体" w:hAnsi="Courier New" w:eastAsia="楷体_GB2312"/>
      <w:sz w:val="26"/>
    </w:rPr>
  </w:style>
  <w:style w:type="character" w:styleId="1103">
    <w:name w:val="纯文本 Char"/>
    <w:next w:val="1103"/>
    <w:link w:val="1102"/>
    <w:rPr>
      <w:rFonts w:ascii="宋体" w:hAnsi="Courier New" w:eastAsia="楷体_GB2312"/>
      <w:sz w:val="26"/>
      <w:szCs w:val="24"/>
    </w:rPr>
  </w:style>
  <w:style w:type="paragraph" w:styleId="1104">
    <w:name w:val="目录 8"/>
    <w:basedOn w:val="1060"/>
    <w:next w:val="1060"/>
    <w:link w:val="1060"/>
    <w:pPr>
      <w:ind w:left="2940"/>
    </w:pPr>
    <w:rPr>
      <w:rFonts w:eastAsia="楷体_GB2312"/>
      <w:sz w:val="26"/>
      <w:szCs w:val="20"/>
    </w:rPr>
  </w:style>
  <w:style w:type="paragraph" w:styleId="1105">
    <w:name w:val="索引 3"/>
    <w:basedOn w:val="1060"/>
    <w:next w:val="1060"/>
    <w:link w:val="1060"/>
    <w:pPr>
      <w:ind w:left="840"/>
    </w:pPr>
    <w:rPr>
      <w:rFonts w:eastAsia="楷体_GB2312"/>
      <w:sz w:val="26"/>
      <w:szCs w:val="20"/>
    </w:rPr>
  </w:style>
  <w:style w:type="paragraph" w:styleId="1106">
    <w:name w:val="日期"/>
    <w:basedOn w:val="1060"/>
    <w:next w:val="1060"/>
    <w:link w:val="1107"/>
    <w:rPr>
      <w:rFonts w:ascii="宋体" w:hAnsi="宋体" w:eastAsia="楷体_GB2312"/>
      <w:sz w:val="24"/>
      <w:szCs w:val="20"/>
    </w:rPr>
  </w:style>
  <w:style w:type="character" w:styleId="1107">
    <w:name w:val="日期 Char"/>
    <w:next w:val="1107"/>
    <w:link w:val="1106"/>
    <w:rPr>
      <w:rFonts w:ascii="宋体" w:hAnsi="宋体" w:eastAsia="楷体_GB2312"/>
      <w:sz w:val="24"/>
    </w:rPr>
  </w:style>
  <w:style w:type="paragraph" w:styleId="1108">
    <w:name w:val="正文文本缩进 2"/>
    <w:basedOn w:val="1060"/>
    <w:next w:val="1108"/>
    <w:link w:val="1109"/>
    <w:pPr>
      <w:ind w:left="420"/>
      <w:spacing w:after="120" w:line="480" w:lineRule="auto"/>
    </w:pPr>
  </w:style>
  <w:style w:type="character" w:styleId="1109">
    <w:name w:val="正文文本缩进 2 Char"/>
    <w:next w:val="1109"/>
    <w:link w:val="1108"/>
    <w:rPr>
      <w:sz w:val="21"/>
      <w:szCs w:val="24"/>
    </w:rPr>
  </w:style>
  <w:style w:type="paragraph" w:styleId="1110">
    <w:name w:val="尾注文本"/>
    <w:basedOn w:val="1060"/>
    <w:next w:val="1110"/>
    <w:link w:val="1111"/>
    <w:pPr>
      <w:jc w:val="left"/>
    </w:pPr>
    <w:rPr>
      <w:rFonts w:eastAsia="楷体_GB2312"/>
      <w:sz w:val="26"/>
      <w:szCs w:val="20"/>
    </w:rPr>
  </w:style>
  <w:style w:type="character" w:styleId="1111">
    <w:name w:val="尾注文本 Char"/>
    <w:next w:val="1111"/>
    <w:link w:val="1110"/>
    <w:rPr>
      <w:rFonts w:eastAsia="楷体_GB2312"/>
      <w:sz w:val="26"/>
    </w:rPr>
  </w:style>
  <w:style w:type="paragraph" w:styleId="1112">
    <w:name w:val="批注框文本"/>
    <w:basedOn w:val="1060"/>
    <w:next w:val="1112"/>
    <w:link w:val="1113"/>
    <w:rPr>
      <w:sz w:val="18"/>
      <w:szCs w:val="18"/>
    </w:rPr>
  </w:style>
  <w:style w:type="character" w:styleId="1113">
    <w:name w:val="批注框文本 Char"/>
    <w:next w:val="1113"/>
    <w:link w:val="1112"/>
    <w:semiHidden/>
    <w:rPr>
      <w:sz w:val="18"/>
      <w:szCs w:val="18"/>
    </w:rPr>
  </w:style>
  <w:style w:type="paragraph" w:styleId="1114">
    <w:name w:val="页脚"/>
    <w:basedOn w:val="1060"/>
    <w:next w:val="1060"/>
    <w:link w:val="1115"/>
    <w:pPr>
      <w:jc w:val="left"/>
      <w:tabs>
        <w:tab w:val="center" w:pos="4153" w:leader="none"/>
        <w:tab w:val="right" w:pos="8306" w:leader="none"/>
      </w:tabs>
    </w:pPr>
    <w:rPr>
      <w:sz w:val="18"/>
      <w:szCs w:val="18"/>
    </w:rPr>
  </w:style>
  <w:style w:type="character" w:styleId="1115">
    <w:name w:val="页脚 Char"/>
    <w:next w:val="1115"/>
    <w:link w:val="1114"/>
    <w:rPr>
      <w:rFonts w:eastAsia="宋体"/>
      <w:sz w:val="18"/>
      <w:szCs w:val="18"/>
      <w:lang w:val="en-US" w:eastAsia="zh-CN" w:bidi="ar-SA"/>
    </w:rPr>
  </w:style>
  <w:style w:type="paragraph" w:styleId="1116">
    <w:name w:val="寄信人地址"/>
    <w:next w:val="1116"/>
    <w:link w:val="1060"/>
    <w:qFormat/>
    <w:pPr>
      <w:jc w:val="both"/>
      <w:widowControl w:val="off"/>
    </w:pPr>
    <w:rPr>
      <w:rFonts w:ascii="Arial" w:hAnsi="Arial"/>
      <w:sz w:val="21"/>
      <w:szCs w:val="24"/>
      <w:lang w:val="en-US" w:eastAsia="zh-CN" w:bidi="ar-SA"/>
    </w:rPr>
  </w:style>
  <w:style w:type="paragraph" w:styleId="1117">
    <w:name w:val="页眉"/>
    <w:basedOn w:val="1060"/>
    <w:next w:val="1060"/>
    <w:link w:val="1118"/>
    <w:uiPriority w:val="99"/>
    <w:pPr>
      <w:jc w:val="center"/>
      <w:tabs>
        <w:tab w:val="center" w:pos="4153" w:leader="none"/>
        <w:tab w:val="right" w:pos="8306" w:leader="none"/>
      </w:tabs>
      <w:pBdr>
        <w:bottom w:val="single" w:color="000000" w:sz="6" w:space="1"/>
      </w:pBdr>
    </w:pPr>
    <w:rPr>
      <w:sz w:val="18"/>
      <w:szCs w:val="18"/>
    </w:rPr>
  </w:style>
  <w:style w:type="character" w:styleId="1118">
    <w:name w:val="页眉 Char"/>
    <w:next w:val="1118"/>
    <w:link w:val="1117"/>
    <w:uiPriority w:val="99"/>
    <w:rPr>
      <w:rFonts w:eastAsia="宋体"/>
      <w:sz w:val="18"/>
      <w:szCs w:val="18"/>
      <w:lang w:val="en-US" w:eastAsia="zh-CN" w:bidi="ar-SA"/>
    </w:rPr>
  </w:style>
  <w:style w:type="paragraph" w:styleId="1119">
    <w:name w:val="目录 1"/>
    <w:basedOn w:val="1060"/>
    <w:next w:val="1060"/>
    <w:link w:val="1060"/>
    <w:pPr>
      <w:jc w:val="left"/>
    </w:pPr>
    <w:rPr>
      <w:rFonts w:eastAsia="楷体_GB2312"/>
      <w:sz w:val="24"/>
      <w:szCs w:val="20"/>
    </w:rPr>
  </w:style>
  <w:style w:type="paragraph" w:styleId="1120">
    <w:name w:val="目录 4"/>
    <w:basedOn w:val="1060"/>
    <w:next w:val="1060"/>
    <w:link w:val="1060"/>
    <w:pPr>
      <w:ind w:left="1260"/>
    </w:pPr>
    <w:rPr>
      <w:rFonts w:eastAsia="楷体_GB2312"/>
      <w:sz w:val="26"/>
      <w:szCs w:val="20"/>
    </w:rPr>
  </w:style>
  <w:style w:type="paragraph" w:styleId="1121">
    <w:name w:val="索引标题"/>
    <w:basedOn w:val="1060"/>
    <w:next w:val="1122"/>
    <w:link w:val="1060"/>
    <w:rPr>
      <w:rFonts w:eastAsia="楷体_GB2312"/>
      <w:sz w:val="26"/>
      <w:szCs w:val="20"/>
    </w:rPr>
  </w:style>
  <w:style w:type="paragraph" w:styleId="1122">
    <w:name w:val="索引 1"/>
    <w:basedOn w:val="1060"/>
    <w:next w:val="1060"/>
    <w:link w:val="1060"/>
    <w:unhideWhenUsed/>
    <w:rPr>
      <w:rFonts w:eastAsia="楷体_GB2312"/>
      <w:sz w:val="26"/>
      <w:szCs w:val="20"/>
    </w:rPr>
  </w:style>
  <w:style w:type="paragraph" w:styleId="1123">
    <w:name w:val="副标题"/>
    <w:basedOn w:val="1060"/>
    <w:next w:val="1123"/>
    <w:link w:val="1124"/>
    <w:qFormat/>
    <w:pPr>
      <w:jc w:val="center"/>
      <w:spacing w:before="240" w:after="60" w:line="312" w:lineRule="auto"/>
      <w:outlineLvl w:val="1"/>
    </w:pPr>
    <w:rPr>
      <w:rFonts w:ascii="Arial" w:hAnsi="Arial"/>
      <w:b/>
      <w:bCs/>
      <w:sz w:val="32"/>
      <w:szCs w:val="32"/>
    </w:rPr>
  </w:style>
  <w:style w:type="character" w:styleId="1124">
    <w:name w:val="副标题 Char"/>
    <w:next w:val="1124"/>
    <w:link w:val="1123"/>
    <w:rPr>
      <w:rFonts w:ascii="Arial" w:hAnsi="Arial" w:cs="Arial"/>
      <w:b/>
      <w:bCs/>
      <w:sz w:val="32"/>
      <w:szCs w:val="32"/>
    </w:rPr>
  </w:style>
  <w:style w:type="paragraph" w:styleId="1125">
    <w:name w:val="脚注文本"/>
    <w:basedOn w:val="1060"/>
    <w:next w:val="1125"/>
    <w:link w:val="1126"/>
    <w:pPr>
      <w:jc w:val="left"/>
    </w:pPr>
    <w:rPr>
      <w:rFonts w:eastAsia="楷体_GB2312"/>
      <w:sz w:val="18"/>
      <w:szCs w:val="20"/>
    </w:rPr>
  </w:style>
  <w:style w:type="character" w:styleId="1126">
    <w:name w:val="脚注文本 Char"/>
    <w:next w:val="1126"/>
    <w:link w:val="1125"/>
    <w:rPr>
      <w:rFonts w:eastAsia="楷体_GB2312"/>
      <w:sz w:val="18"/>
    </w:rPr>
  </w:style>
  <w:style w:type="paragraph" w:styleId="1127">
    <w:name w:val="目录 6"/>
    <w:basedOn w:val="1060"/>
    <w:next w:val="1060"/>
    <w:link w:val="1060"/>
    <w:pPr>
      <w:ind w:left="2100"/>
    </w:pPr>
    <w:rPr>
      <w:rFonts w:eastAsia="楷体_GB2312"/>
      <w:sz w:val="26"/>
      <w:szCs w:val="20"/>
    </w:rPr>
  </w:style>
  <w:style w:type="paragraph" w:styleId="1128">
    <w:name w:val="正文文本缩进 3"/>
    <w:basedOn w:val="1060"/>
    <w:next w:val="1060"/>
    <w:link w:val="1129"/>
    <w:pPr>
      <w:ind w:firstLine="480"/>
      <w:jc w:val="left"/>
      <w:spacing w:line="440" w:lineRule="atLeast"/>
    </w:pPr>
    <w:rPr>
      <w:sz w:val="24"/>
    </w:rPr>
  </w:style>
  <w:style w:type="character" w:styleId="1129">
    <w:name w:val="正文文本缩进 3 Char"/>
    <w:next w:val="1129"/>
    <w:link w:val="1128"/>
    <w:rPr>
      <w:sz w:val="24"/>
      <w:szCs w:val="24"/>
    </w:rPr>
  </w:style>
  <w:style w:type="paragraph" w:styleId="1130">
    <w:name w:val="索引 7"/>
    <w:basedOn w:val="1060"/>
    <w:next w:val="1060"/>
    <w:link w:val="1060"/>
    <w:pPr>
      <w:ind w:left="2520"/>
    </w:pPr>
    <w:rPr>
      <w:rFonts w:eastAsia="楷体_GB2312"/>
      <w:sz w:val="26"/>
      <w:szCs w:val="20"/>
    </w:rPr>
  </w:style>
  <w:style w:type="paragraph" w:styleId="1131">
    <w:name w:val="索引 9"/>
    <w:basedOn w:val="1060"/>
    <w:next w:val="1060"/>
    <w:link w:val="1060"/>
    <w:pPr>
      <w:ind w:left="3360"/>
    </w:pPr>
    <w:rPr>
      <w:rFonts w:eastAsia="楷体_GB2312"/>
      <w:sz w:val="26"/>
      <w:szCs w:val="20"/>
    </w:rPr>
  </w:style>
  <w:style w:type="paragraph" w:styleId="1132">
    <w:name w:val="图表目录"/>
    <w:basedOn w:val="1060"/>
    <w:next w:val="1060"/>
    <w:link w:val="1060"/>
    <w:pPr>
      <w:ind w:left="420" w:hanging="420"/>
      <w:jc w:val="left"/>
    </w:pPr>
    <w:rPr>
      <w:rFonts w:eastAsia="楷体_GB2312"/>
      <w:smallCaps/>
      <w:sz w:val="24"/>
      <w:szCs w:val="20"/>
    </w:rPr>
  </w:style>
  <w:style w:type="paragraph" w:styleId="1133">
    <w:name w:val="目录 2"/>
    <w:basedOn w:val="1060"/>
    <w:next w:val="1060"/>
    <w:link w:val="1060"/>
    <w:pPr>
      <w:ind w:left="420"/>
    </w:pPr>
    <w:rPr>
      <w:rFonts w:eastAsia="楷体_GB2312"/>
      <w:sz w:val="26"/>
      <w:szCs w:val="20"/>
    </w:rPr>
  </w:style>
  <w:style w:type="paragraph" w:styleId="1134">
    <w:name w:val="目录 9"/>
    <w:basedOn w:val="1060"/>
    <w:next w:val="1060"/>
    <w:link w:val="1060"/>
    <w:pPr>
      <w:ind w:left="3360"/>
    </w:pPr>
    <w:rPr>
      <w:rFonts w:eastAsia="楷体_GB2312"/>
      <w:sz w:val="26"/>
      <w:szCs w:val="20"/>
    </w:rPr>
  </w:style>
  <w:style w:type="paragraph" w:styleId="1135">
    <w:name w:val="正文文本 2"/>
    <w:basedOn w:val="1060"/>
    <w:next w:val="1135"/>
    <w:link w:val="1136"/>
    <w:pPr>
      <w:spacing w:after="120" w:line="480" w:lineRule="auto"/>
    </w:pPr>
    <w:rPr>
      <w:rFonts w:eastAsia="楷体_GB2312"/>
      <w:sz w:val="26"/>
      <w:szCs w:val="20"/>
    </w:rPr>
  </w:style>
  <w:style w:type="character" w:styleId="1136">
    <w:name w:val="正文文本 2 Char"/>
    <w:next w:val="1136"/>
    <w:link w:val="1135"/>
    <w:rPr>
      <w:rFonts w:eastAsia="楷体_GB2312"/>
      <w:sz w:val="26"/>
    </w:rPr>
  </w:style>
  <w:style w:type="paragraph" w:styleId="1137">
    <w:name w:val="HTML 预设格式"/>
    <w:basedOn w:val="1060"/>
    <w:next w:val="1137"/>
    <w:link w:val="1138"/>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1138">
    <w:name w:val="HTML 预设格式 Char"/>
    <w:next w:val="1138"/>
    <w:link w:val="1137"/>
    <w:rPr>
      <w:rFonts w:ascii="黑体" w:hAnsi="Courier New" w:eastAsia="黑体" w:cs="楷体_GB2312"/>
    </w:rPr>
  </w:style>
  <w:style w:type="paragraph" w:styleId="1139">
    <w:name w:val="普通(网站)"/>
    <w:basedOn w:val="1060"/>
    <w:next w:val="1139"/>
    <w:link w:val="1060"/>
    <w:pPr>
      <w:jc w:val="left"/>
      <w:spacing w:before="100" w:beforeAutospacing="1" w:after="100" w:afterAutospacing="1"/>
      <w:widowControl/>
    </w:pPr>
    <w:rPr>
      <w:rFonts w:ascii="宋体" w:hAnsi="宋体" w:cs="宋体"/>
      <w:sz w:val="24"/>
    </w:rPr>
  </w:style>
  <w:style w:type="paragraph" w:styleId="1140">
    <w:name w:val="索引 2"/>
    <w:basedOn w:val="1060"/>
    <w:next w:val="1060"/>
    <w:link w:val="1060"/>
    <w:pPr>
      <w:ind w:left="420"/>
    </w:pPr>
    <w:rPr>
      <w:rFonts w:eastAsia="楷体_GB2312"/>
      <w:sz w:val="26"/>
      <w:szCs w:val="20"/>
    </w:rPr>
  </w:style>
  <w:style w:type="paragraph" w:styleId="1141">
    <w:name w:val="批注主题"/>
    <w:basedOn w:val="1089"/>
    <w:next w:val="1089"/>
    <w:link w:val="1142"/>
    <w:rPr>
      <w:b/>
      <w:bCs/>
    </w:rPr>
  </w:style>
  <w:style w:type="character" w:styleId="1142">
    <w:name w:val="批注主题 Char"/>
    <w:next w:val="1142"/>
    <w:link w:val="1141"/>
    <w:rPr>
      <w:rFonts w:eastAsia="楷体_GB2312"/>
      <w:b/>
      <w:bCs/>
      <w:sz w:val="26"/>
    </w:rPr>
  </w:style>
  <w:style w:type="paragraph" w:styleId="1143">
    <w:name w:val="正文首行缩进"/>
    <w:basedOn w:val="1060"/>
    <w:next w:val="1060"/>
    <w:link w:val="1144"/>
    <w:pPr>
      <w:ind w:firstLine="420"/>
      <w:spacing w:after="120" w:line="240" w:lineRule="auto"/>
    </w:pPr>
    <w:rPr>
      <w:rFonts w:ascii="楷体_GB2312" w:eastAsia="楷体_GB2312"/>
      <w:sz w:val="26"/>
      <w:szCs w:val="20"/>
    </w:rPr>
  </w:style>
  <w:style w:type="character" w:styleId="1144">
    <w:name w:val="正文首行缩进 Char"/>
    <w:next w:val="1144"/>
    <w:link w:val="1143"/>
    <w:rPr>
      <w:rFonts w:ascii="楷体_GB2312" w:eastAsia="楷体_GB2312"/>
      <w:sz w:val="26"/>
    </w:rPr>
  </w:style>
  <w:style w:type="paragraph" w:styleId="1145">
    <w:name w:val="正文首行缩进 2"/>
    <w:basedOn w:val="1096"/>
    <w:next w:val="1145"/>
    <w:link w:val="1060"/>
    <w:pPr>
      <w:ind w:firstLine="200"/>
      <w:spacing w:line="360" w:lineRule="auto"/>
    </w:pPr>
    <w:rPr>
      <w:rFonts w:ascii="宋体" w:eastAsia="宋体"/>
      <w:sz w:val="21"/>
      <w:szCs w:val="20"/>
    </w:rPr>
  </w:style>
  <w:style w:type="table" w:styleId="1146">
    <w:name w:val="网格型"/>
    <w:basedOn w:val="1071"/>
    <w:next w:val="1146"/>
    <w:link w:val="1060"/>
    <w:uiPriority w:val="59"/>
    <w:pPr>
      <w:jc w:val="both"/>
      <w:widowControl w:val="off"/>
    </w:pPr>
    <w:tblPr/>
  </w:style>
  <w:style w:type="character" w:styleId="1147">
    <w:name w:val="要点"/>
    <w:next w:val="1147"/>
    <w:link w:val="1060"/>
    <w:qFormat/>
    <w:rPr>
      <w:b/>
      <w:bCs/>
    </w:rPr>
  </w:style>
  <w:style w:type="character" w:styleId="1148">
    <w:name w:val="尾注引用"/>
    <w:next w:val="1148"/>
    <w:link w:val="1060"/>
    <w:rPr>
      <w:vertAlign w:val="superscript"/>
    </w:rPr>
  </w:style>
  <w:style w:type="character" w:styleId="1149">
    <w:name w:val="页码"/>
    <w:basedOn w:val="1070"/>
    <w:next w:val="1149"/>
    <w:link w:val="1060"/>
  </w:style>
  <w:style w:type="character" w:styleId="1150">
    <w:name w:val="已访问的超链接"/>
    <w:next w:val="1150"/>
    <w:link w:val="1060"/>
    <w:uiPriority w:val="99"/>
    <w:rPr>
      <w:color w:val="136ec2"/>
      <w:u w:val="single"/>
    </w:rPr>
  </w:style>
  <w:style w:type="character" w:styleId="1151">
    <w:name w:val="强调"/>
    <w:next w:val="1151"/>
    <w:link w:val="1060"/>
    <w:qFormat/>
    <w:rPr>
      <w:i/>
      <w:iCs/>
    </w:rPr>
  </w:style>
  <w:style w:type="character" w:styleId="1152">
    <w:name w:val="HTML 定义"/>
    <w:next w:val="1152"/>
    <w:link w:val="1060"/>
  </w:style>
  <w:style w:type="character" w:styleId="1153">
    <w:name w:val="HTML 打字机"/>
    <w:next w:val="1153"/>
    <w:link w:val="1060"/>
    <w:rPr>
      <w:rFonts w:ascii="黑体" w:hAnsi="Courier New" w:eastAsia="黑体"/>
      <w:sz w:val="14"/>
    </w:rPr>
  </w:style>
  <w:style w:type="character" w:styleId="1154">
    <w:name w:val="HTML 变量"/>
    <w:next w:val="1154"/>
    <w:link w:val="1060"/>
  </w:style>
  <w:style w:type="character" w:styleId="1155">
    <w:name w:val="超链接"/>
    <w:next w:val="1155"/>
    <w:link w:val="1060"/>
    <w:rPr>
      <w:color w:val="000000"/>
      <w:u w:val="none"/>
    </w:rPr>
  </w:style>
  <w:style w:type="character" w:styleId="1156">
    <w:name w:val="HTML 代码"/>
    <w:next w:val="1156"/>
    <w:link w:val="1060"/>
    <w:rPr>
      <w:rFonts w:ascii="Courier New" w:hAnsi="Courier New" w:eastAsia="Courier New" w:cs="Courier New"/>
      <w:sz w:val="20"/>
    </w:rPr>
  </w:style>
  <w:style w:type="character" w:styleId="1157">
    <w:name w:val="批注引用"/>
    <w:next w:val="1157"/>
    <w:link w:val="1060"/>
    <w:rPr>
      <w:sz w:val="21"/>
      <w:szCs w:val="21"/>
    </w:rPr>
  </w:style>
  <w:style w:type="character" w:styleId="1158">
    <w:name w:val="HTML 引文"/>
    <w:next w:val="1158"/>
    <w:link w:val="1060"/>
  </w:style>
  <w:style w:type="character" w:styleId="1159">
    <w:name w:val="脚注引用"/>
    <w:next w:val="1159"/>
    <w:link w:val="1060"/>
    <w:rPr>
      <w:vertAlign w:val="superscript"/>
    </w:rPr>
  </w:style>
  <w:style w:type="character" w:styleId="1160">
    <w:name w:val="HTML 键盘"/>
    <w:next w:val="1160"/>
    <w:link w:val="1060"/>
    <w:rPr>
      <w:rFonts w:ascii="Courier New" w:hAnsi="Courier New" w:eastAsia="Courier New" w:cs="Courier New"/>
      <w:sz w:val="20"/>
    </w:rPr>
  </w:style>
  <w:style w:type="character" w:styleId="1161">
    <w:name w:val="HTML 样本"/>
    <w:next w:val="1161"/>
    <w:link w:val="1060"/>
    <w:rPr>
      <w:rFonts w:ascii="Courier New" w:hAnsi="Courier New" w:eastAsia="Courier New" w:cs="Courier New"/>
    </w:rPr>
  </w:style>
  <w:style w:type="paragraph" w:styleId="1162">
    <w:name w:val="正文首行缩进 211"/>
    <w:basedOn w:val="1163"/>
    <w:next w:val="1060"/>
    <w:link w:val="1060"/>
    <w:qFormat/>
    <w:pPr>
      <w:ind w:left="420"/>
      <w:spacing w:after="120" w:line="240" w:lineRule="auto"/>
    </w:pPr>
    <w:rPr>
      <w:sz w:val="21"/>
      <w:szCs w:val="20"/>
    </w:rPr>
  </w:style>
  <w:style w:type="paragraph" w:styleId="1163">
    <w:name w:val="正文文本缩进111"/>
    <w:basedOn w:val="1060"/>
    <w:next w:val="1060"/>
    <w:link w:val="1060"/>
    <w:qFormat/>
    <w:pPr>
      <w:ind w:firstLine="420"/>
      <w:spacing w:line="360" w:lineRule="exact"/>
    </w:pPr>
    <w:rPr>
      <w:sz w:val="24"/>
    </w:rPr>
  </w:style>
  <w:style w:type="paragraph" w:styleId="1164">
    <w:name w:val="Default"/>
    <w:next w:val="1164"/>
    <w:link w:val="1060"/>
    <w:qFormat/>
    <w:pPr>
      <w:widowControl w:val="off"/>
    </w:pPr>
    <w:rPr>
      <w:rFonts w:ascii="宋体"/>
      <w:color w:val="000000"/>
      <w:sz w:val="24"/>
      <w:szCs w:val="24"/>
      <w:lang w:val="en-US" w:eastAsia="zh-CN" w:bidi="ar-SA"/>
    </w:rPr>
  </w:style>
  <w:style w:type="character" w:styleId="1165">
    <w:name w:val="polysemyred"/>
    <w:next w:val="1165"/>
    <w:link w:val="1060"/>
    <w:rPr>
      <w:color w:val="ff6666"/>
      <w:sz w:val="18"/>
      <w:szCs w:val="18"/>
    </w:rPr>
  </w:style>
  <w:style w:type="character" w:styleId="1166">
    <w:name w:val="无间隔 Char"/>
    <w:next w:val="1166"/>
    <w:link w:val="1167"/>
    <w:uiPriority w:val="1"/>
    <w:rPr>
      <w:sz w:val="21"/>
      <w:szCs w:val="24"/>
      <w:lang w:val="en-US" w:eastAsia="zh-CN" w:bidi="ar-SA"/>
    </w:rPr>
  </w:style>
  <w:style w:type="paragraph" w:styleId="1167">
    <w:name w:val="无间隔"/>
    <w:next w:val="1167"/>
    <w:link w:val="1166"/>
    <w:uiPriority w:val="1"/>
    <w:qFormat/>
    <w:pPr>
      <w:jc w:val="both"/>
      <w:widowControl w:val="off"/>
    </w:pPr>
    <w:rPr>
      <w:sz w:val="21"/>
      <w:szCs w:val="24"/>
      <w:lang w:val="en-US" w:eastAsia="zh-CN" w:bidi="ar-SA"/>
    </w:rPr>
  </w:style>
  <w:style w:type="character" w:styleId="1168">
    <w:name w:val="bds_more4"/>
    <w:basedOn w:val="1070"/>
    <w:next w:val="1168"/>
    <w:link w:val="1060"/>
  </w:style>
  <w:style w:type="character" w:styleId="1169">
    <w:name w:val="sidecatalog-dot4"/>
    <w:basedOn w:val="1070"/>
    <w:next w:val="1169"/>
    <w:link w:val="1060"/>
  </w:style>
  <w:style w:type="character" w:styleId="1170">
    <w:name w:val="ca-221"/>
    <w:next w:val="1170"/>
    <w:link w:val="1060"/>
    <w:rPr>
      <w:rFonts w:hint="eastAsia" w:ascii="宋体" w:hAnsi="宋体" w:eastAsia="宋体"/>
      <w:color w:val="ff0000"/>
      <w:sz w:val="24"/>
      <w:szCs w:val="24"/>
    </w:rPr>
  </w:style>
  <w:style w:type="character" w:styleId="1171">
    <w:name w:val="plus"/>
    <w:next w:val="1171"/>
    <w:link w:val="1060"/>
    <w:rPr>
      <w:b/>
      <w:vanish/>
      <w:color w:val="1f8def"/>
      <w:sz w:val="24"/>
      <w:szCs w:val="24"/>
    </w:rPr>
  </w:style>
  <w:style w:type="character" w:styleId="1172">
    <w:name w:val="bds_more7"/>
    <w:basedOn w:val="1070"/>
    <w:next w:val="1172"/>
    <w:link w:val="1060"/>
  </w:style>
  <w:style w:type="character" w:styleId="1173">
    <w:name w:val="副标题 Char1"/>
    <w:next w:val="1173"/>
    <w:link w:val="1060"/>
    <w:uiPriority w:val="11"/>
    <w:rPr>
      <w:rFonts w:ascii="Cambria" w:hAnsi="Cambria" w:cs="Times New Roman"/>
      <w:b/>
      <w:bCs/>
      <w:sz w:val="32"/>
      <w:szCs w:val="32"/>
    </w:rPr>
  </w:style>
  <w:style w:type="character" w:styleId="1174">
    <w:name w:val="s1"/>
    <w:next w:val="1174"/>
    <w:link w:val="1060"/>
    <w:qFormat/>
  </w:style>
  <w:style w:type="character" w:styleId="1175">
    <w:name w:val="sort"/>
    <w:next w:val="1175"/>
    <w:link w:val="1060"/>
    <w:rPr>
      <w:color w:val="ffffff"/>
    </w:rPr>
  </w:style>
  <w:style w:type="character" w:styleId="1176">
    <w:name w:val="尾注文本 Char1"/>
    <w:next w:val="1176"/>
    <w:link w:val="1060"/>
    <w:uiPriority w:val="99"/>
    <w:rPr>
      <w:sz w:val="21"/>
      <w:szCs w:val="24"/>
    </w:rPr>
  </w:style>
  <w:style w:type="character" w:styleId="1177">
    <w:name w:val="正文文本缩进 2 Char1"/>
    <w:next w:val="1177"/>
    <w:link w:val="1060"/>
    <w:uiPriority w:val="99"/>
    <w:semiHidden/>
    <w:rPr>
      <w:rFonts w:eastAsia="楷体_GB2312"/>
      <w:sz w:val="26"/>
    </w:rPr>
  </w:style>
  <w:style w:type="character" w:styleId="1178">
    <w:name w:val="lemmatitleh12"/>
    <w:basedOn w:val="1070"/>
    <w:next w:val="1178"/>
    <w:link w:val="1060"/>
  </w:style>
  <w:style w:type="character" w:styleId="1179">
    <w:name w:val="sidecatalog-dot1"/>
    <w:basedOn w:val="1070"/>
    <w:next w:val="1179"/>
    <w:link w:val="1060"/>
  </w:style>
  <w:style w:type="character" w:styleId="1180">
    <w:name w:val="bds_more"/>
    <w:basedOn w:val="1070"/>
    <w:next w:val="1180"/>
    <w:link w:val="1060"/>
  </w:style>
  <w:style w:type="character" w:styleId="1181">
    <w:name w:val="正文文本缩进 3 Char1"/>
    <w:next w:val="1181"/>
    <w:link w:val="1060"/>
    <w:semiHidden/>
    <w:rPr>
      <w:rFonts w:ascii="Times New Roman" w:hAnsi="Times New Roman" w:eastAsia="宋体" w:cs="Times New Roman"/>
      <w:sz w:val="24"/>
      <w:szCs w:val="24"/>
    </w:rPr>
  </w:style>
  <w:style w:type="character" w:styleId="1182">
    <w:name w:val="bds_nopic"/>
    <w:basedOn w:val="1070"/>
    <w:next w:val="1182"/>
    <w:link w:val="1060"/>
  </w:style>
  <w:style w:type="character" w:styleId="1183">
    <w:name w:val="font11"/>
    <w:next w:val="1183"/>
    <w:link w:val="1060"/>
    <w:rPr>
      <w:rFonts w:hint="eastAsia" w:ascii="宋体" w:hAnsi="宋体" w:eastAsia="宋体" w:cs="宋体"/>
      <w:color w:val="000000"/>
      <w:sz w:val="21"/>
      <w:szCs w:val="21"/>
      <w:u w:val="none"/>
    </w:rPr>
  </w:style>
  <w:style w:type="character" w:styleId="1184">
    <w:name w:val="morelink-item"/>
    <w:next w:val="1184"/>
    <w:link w:val="1060"/>
  </w:style>
  <w:style w:type="character" w:styleId="1185">
    <w:name w:val="纯文本 Char1,普通文字 Char1,孙普文字 Char,普通文字 Char Char,纯文本 Char Char2,普通文字2 Char,普通文字3 Char,普通文字4 Char,普通文字5 Char,普通文字6 Char,普通文字11 Char,普通文字21 Char,普通文字31 Char,普通文字41 Char,普通文字7 Char,正 文 1 Char,Texte Char,纯文本 Char Char Char1,纯文本 Char1 Char Char Char,小 Char"/>
    <w:next w:val="1185"/>
    <w:link w:val="1060"/>
    <w:rPr>
      <w:rFonts w:ascii="宋体" w:hAnsi="Courier New" w:cs="Courier New"/>
      <w:sz w:val="21"/>
      <w:szCs w:val="21"/>
    </w:rPr>
  </w:style>
  <w:style w:type="character" w:styleId="1186">
    <w:name w:val="sidecatalog-index1"/>
    <w:next w:val="1186"/>
    <w:link w:val="1060"/>
    <w:rPr>
      <w:rFonts w:ascii="Arial" w:hAnsi="Arial" w:cs="Arial"/>
      <w:b/>
      <w:color w:val="999999"/>
      <w:sz w:val="21"/>
      <w:szCs w:val="21"/>
    </w:rPr>
  </w:style>
  <w:style w:type="character" w:styleId="1187">
    <w:name w:val="sidecatalog-dot5"/>
    <w:basedOn w:val="1070"/>
    <w:next w:val="1187"/>
    <w:link w:val="1060"/>
  </w:style>
  <w:style w:type="character" w:styleId="1188">
    <w:name w:val="sort1"/>
    <w:basedOn w:val="1070"/>
    <w:next w:val="1188"/>
    <w:link w:val="1060"/>
  </w:style>
  <w:style w:type="character" w:styleId="1189">
    <w:name w:val="desc"/>
    <w:next w:val="1189"/>
    <w:link w:val="1060"/>
    <w:rPr>
      <w:color w:val="000000"/>
      <w:sz w:val="18"/>
      <w:szCs w:val="18"/>
    </w:rPr>
  </w:style>
  <w:style w:type="character" w:styleId="1190">
    <w:name w:val="bds_more2"/>
    <w:basedOn w:val="1070"/>
    <w:next w:val="1190"/>
    <w:link w:val="1060"/>
  </w:style>
  <w:style w:type="character" w:styleId="1191">
    <w:name w:val="bds_more1"/>
    <w:next w:val="1191"/>
    <w:link w:val="1060"/>
    <w:rPr>
      <w:rFonts w:hint="eastAsia" w:ascii="宋体" w:hAnsi="宋体" w:eastAsia="宋体" w:cs="宋体"/>
    </w:rPr>
  </w:style>
  <w:style w:type="character" w:styleId="1192">
    <w:name w:val="sidecatalog-dot"/>
    <w:basedOn w:val="1070"/>
    <w:next w:val="1192"/>
    <w:link w:val="1060"/>
  </w:style>
  <w:style w:type="character" w:styleId="1193">
    <w:name w:val="c lh15"/>
    <w:basedOn w:val="1070"/>
    <w:next w:val="1193"/>
    <w:link w:val="1060"/>
  </w:style>
  <w:style w:type="character" w:styleId="1194">
    <w:name w:val="sidecatalog-index2"/>
    <w:next w:val="1194"/>
    <w:link w:val="1060"/>
    <w:rPr>
      <w:rFonts w:ascii="Arail" w:hAnsi="Arail" w:eastAsia="Arail" w:cs="Arail"/>
      <w:color w:val="999999"/>
      <w:sz w:val="21"/>
      <w:szCs w:val="21"/>
    </w:rPr>
  </w:style>
  <w:style w:type="character" w:styleId="1195">
    <w:name w:val="bds_nopic2"/>
    <w:basedOn w:val="1070"/>
    <w:next w:val="1195"/>
    <w:link w:val="1060"/>
  </w:style>
  <w:style w:type="character" w:styleId="1196">
    <w:name w:val="正文缩进 Char1,±íÕýÎÄ Char1,ÕýÎÄ·ÇËõ½ø Char1,特点 Char1,四号 Char1,缩进 Char1,ALT+Z Char1,段1 Char1,正文不缩进 Char1,正文缩进（首行缩进两字） Char1,表正文 Char1,正文非缩进 Char2,正文非缩进 Char Char Char1,正文非缩进 Char Char2,TBNet5 Char1,标题4 Char1,标题四 Char1,正文双线 Char1,正文2级 Char1,水上软件 Char1,二 Char"/>
    <w:next w:val="1196"/>
    <w:link w:val="1060"/>
    <w:rPr>
      <w:rFonts w:eastAsia="楷体_GB2312"/>
      <w:sz w:val="24"/>
      <w:lang w:val="en-US" w:eastAsia="zh-CN" w:bidi="ar-SA"/>
    </w:rPr>
  </w:style>
  <w:style w:type="character" w:styleId="1197">
    <w:name w:val="polysemyexp"/>
    <w:next w:val="1197"/>
    <w:link w:val="1060"/>
    <w:rPr>
      <w:color w:val="aaaaaa"/>
      <w:sz w:val="18"/>
      <w:szCs w:val="18"/>
    </w:rPr>
  </w:style>
  <w:style w:type="character" w:styleId="1198">
    <w:name w:val="Plain Text Char"/>
    <w:next w:val="1198"/>
    <w:link w:val="1199"/>
    <w:qFormat/>
    <w:rPr>
      <w:rFonts w:ascii="宋体" w:hAnsi="Courier New" w:eastAsia="楷体_GB2312"/>
      <w:sz w:val="28"/>
    </w:rPr>
  </w:style>
  <w:style w:type="paragraph" w:styleId="1199">
    <w:name w:val="纯文本1"/>
    <w:basedOn w:val="1060"/>
    <w:next w:val="1199"/>
    <w:link w:val="1198"/>
    <w:rPr>
      <w:rFonts w:ascii="宋体" w:hAnsi="Courier New" w:eastAsia="楷体_GB2312"/>
      <w:sz w:val="28"/>
      <w:szCs w:val="20"/>
    </w:rPr>
  </w:style>
  <w:style w:type="character" w:styleId="1200">
    <w:name w:val="bds_more6"/>
    <w:basedOn w:val="1070"/>
    <w:next w:val="1200"/>
    <w:link w:val="1060"/>
  </w:style>
  <w:style w:type="character" w:styleId="1201">
    <w:name w:val="bds_nopic1"/>
    <w:basedOn w:val="1070"/>
    <w:next w:val="1201"/>
    <w:link w:val="1060"/>
  </w:style>
  <w:style w:type="character" w:styleId="1202">
    <w:name w:val="bds_more3"/>
    <w:basedOn w:val="1070"/>
    <w:next w:val="1202"/>
    <w:link w:val="1060"/>
  </w:style>
  <w:style w:type="character" w:styleId="1203">
    <w:name w:val="NormalCharacter1"/>
    <w:next w:val="1203"/>
    <w:link w:val="1060"/>
    <w:qFormat/>
    <w:rPr>
      <w:sz w:val="21"/>
      <w:lang w:val="en-US" w:eastAsia="zh-CN" w:bidi="ar-SA"/>
    </w:rPr>
  </w:style>
  <w:style w:type="paragraph" w:styleId="1204">
    <w:name w:val="xl59"/>
    <w:basedOn w:val="1060"/>
    <w:next w:val="1204"/>
    <w:link w:val="106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205">
    <w:name w:val="_正文段落"/>
    <w:basedOn w:val="1060"/>
    <w:next w:val="1205"/>
    <w:link w:val="1060"/>
    <w:qFormat/>
    <w:pPr>
      <w:ind w:firstLine="480"/>
      <w:spacing w:line="360" w:lineRule="auto"/>
    </w:pPr>
    <w:rPr>
      <w:rFonts w:ascii="宋体" w:hAnsi="宋体" w:eastAsia="楷体_GB2312"/>
      <w:sz w:val="26"/>
      <w:szCs w:val="20"/>
    </w:rPr>
  </w:style>
  <w:style w:type="paragraph" w:styleId="1206">
    <w:name w:val="正文 A"/>
    <w:next w:val="1207"/>
    <w:link w:val="1060"/>
    <w:qFormat/>
    <w:pPr>
      <w:jc w:val="both"/>
      <w:widowControl w:val="off"/>
    </w:pPr>
    <w:rPr>
      <w:rFonts w:ascii="Arial Unicode MS" w:hAnsi="Arial Unicode MS" w:eastAsia="Times New Roman" w:cs="Arial Unicode MS"/>
      <w:color w:val="000000"/>
      <w:sz w:val="21"/>
      <w:szCs w:val="21"/>
      <w:lang w:val="en-US" w:eastAsia="zh-CN" w:bidi="ar-SA"/>
    </w:rPr>
  </w:style>
  <w:style w:type="paragraph" w:styleId="1207">
    <w:name w:val="段"/>
    <w:next w:val="1060"/>
    <w:link w:val="1060"/>
    <w:qFormat/>
    <w:pPr>
      <w:ind w:firstLine="200"/>
      <w:jc w:val="both"/>
    </w:pPr>
    <w:rPr>
      <w:rFonts w:ascii="宋体"/>
      <w:sz w:val="21"/>
      <w:szCs w:val="22"/>
      <w:lang w:val="en-US" w:eastAsia="zh-CN" w:bidi="ar-SA"/>
    </w:rPr>
  </w:style>
  <w:style w:type="paragraph" w:styleId="1208">
    <w:name w:val="xl46"/>
    <w:basedOn w:val="1060"/>
    <w:next w:val="1208"/>
    <w:link w:val="106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209">
    <w:name w:val="Char Char Char Char Char Char Char Char Char Char"/>
    <w:basedOn w:val="1060"/>
    <w:next w:val="1209"/>
    <w:link w:val="1060"/>
    <w:pPr>
      <w:ind w:left="420" w:hanging="420"/>
      <w:tabs>
        <w:tab w:val="left" w:pos="420" w:leader="none"/>
      </w:tabs>
    </w:pPr>
    <w:rPr>
      <w:sz w:val="24"/>
    </w:rPr>
  </w:style>
  <w:style w:type="paragraph" w:styleId="1210">
    <w:name w:val="Normal_0_0"/>
    <w:next w:val="1210"/>
    <w:link w:val="1060"/>
    <w:qFormat/>
    <w:rPr>
      <w:rFonts w:eastAsia="Times New Roman"/>
      <w:sz w:val="24"/>
      <w:szCs w:val="24"/>
      <w:lang w:val="en-US" w:eastAsia="zh-CN" w:bidi="ar-SA"/>
    </w:rPr>
  </w:style>
  <w:style w:type="paragraph" w:styleId="1211">
    <w:name w:val="Char Char Char Char Char Char Char Char Char1 Char Char Char Char"/>
    <w:basedOn w:val="1087"/>
    <w:next w:val="1211"/>
    <w:link w:val="1060"/>
    <w:pPr>
      <w:spacing w:line="360" w:lineRule="auto"/>
    </w:pPr>
    <w:rPr>
      <w:rFonts w:eastAsia="楷体_GB2312"/>
      <w:sz w:val="26"/>
      <w:szCs w:val="20"/>
    </w:rPr>
  </w:style>
  <w:style w:type="paragraph" w:styleId="1212">
    <w:name w:val="xl63"/>
    <w:basedOn w:val="1060"/>
    <w:next w:val="1212"/>
    <w:link w:val="106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1213">
    <w:name w:val="xl58"/>
    <w:basedOn w:val="1060"/>
    <w:next w:val="1213"/>
    <w:link w:val="10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214">
    <w:name w:val="Char Char Char"/>
    <w:basedOn w:val="1087"/>
    <w:next w:val="1214"/>
    <w:link w:val="1060"/>
    <w:pPr>
      <w:spacing w:line="360" w:lineRule="auto"/>
    </w:pPr>
    <w:rPr>
      <w:rFonts w:ascii="Tahoma" w:hAnsi="Tahoma"/>
      <w:sz w:val="24"/>
    </w:rPr>
  </w:style>
  <w:style w:type="paragraph" w:styleId="1215">
    <w:name w:val="font6"/>
    <w:basedOn w:val="1060"/>
    <w:next w:val="1215"/>
    <w:link w:val="1060"/>
    <w:pPr>
      <w:jc w:val="left"/>
      <w:spacing w:before="100" w:beforeAutospacing="1" w:after="100" w:afterAutospacing="1"/>
      <w:widowControl/>
    </w:pPr>
    <w:rPr>
      <w:rFonts w:hint="eastAsia" w:ascii="宋体" w:hAnsi="宋体" w:cs="Arial Unicode MS"/>
      <w:b/>
      <w:bCs/>
      <w:sz w:val="18"/>
      <w:szCs w:val="18"/>
    </w:rPr>
  </w:style>
  <w:style w:type="paragraph" w:styleId="1216">
    <w:name w:val="xl70"/>
    <w:basedOn w:val="1060"/>
    <w:next w:val="1216"/>
    <w:link w:val="1060"/>
    <w:pPr>
      <w:jc w:val="center"/>
      <w:spacing w:before="100" w:beforeAutospacing="1" w:after="100" w:afterAutospacing="1"/>
      <w:widowControl/>
      <w:pBdr>
        <w:bottom w:val="single" w:color="000000" w:sz="4" w:space="0"/>
        <w:right w:val="single" w:color="000000" w:sz="4" w:space="0"/>
      </w:pBdr>
    </w:pPr>
    <w:rPr>
      <w:rFonts w:ascii="宋体" w:hAnsi="宋体" w:cs="宋体"/>
      <w:sz w:val="24"/>
    </w:rPr>
  </w:style>
  <w:style w:type="paragraph" w:styleId="1217">
    <w:name w:val="xl48"/>
    <w:basedOn w:val="1060"/>
    <w:next w:val="1217"/>
    <w:link w:val="10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1218">
    <w:name w:val="Table Text"/>
    <w:basedOn w:val="1060"/>
    <w:next w:val="1218"/>
    <w:link w:val="1060"/>
    <w:semiHidden/>
    <w:qFormat/>
    <w:rPr>
      <w:rFonts w:ascii="宋体" w:hAnsi="宋体" w:cs="宋体"/>
      <w:szCs w:val="21"/>
      <w:lang w:eastAsia="en-US"/>
    </w:rPr>
  </w:style>
  <w:style w:type="paragraph" w:styleId="1219">
    <w:name w:val="xl47"/>
    <w:basedOn w:val="1060"/>
    <w:next w:val="1219"/>
    <w:link w:val="106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1220">
    <w:name w:val="xl72"/>
    <w:basedOn w:val="1060"/>
    <w:next w:val="1220"/>
    <w:link w:val="106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221">
    <w:name w:val="Char"/>
    <w:basedOn w:val="1060"/>
    <w:next w:val="1221"/>
    <w:link w:val="1060"/>
    <w:pPr>
      <w:ind w:left="420" w:hanging="420"/>
      <w:tabs>
        <w:tab w:val="left" w:pos="420" w:leader="none"/>
      </w:tabs>
    </w:pPr>
    <w:rPr>
      <w:sz w:val="24"/>
    </w:rPr>
  </w:style>
  <w:style w:type="paragraph" w:styleId="1222">
    <w:name w:val="小四 段落 宋体 Char Char Char Char Char Char"/>
    <w:basedOn w:val="1223"/>
    <w:next w:val="1222"/>
    <w:link w:val="1060"/>
    <w:pPr>
      <w:ind w:firstLine="480"/>
    </w:pPr>
    <w:rPr>
      <w:rFonts w:ascii="宋体" w:hAnsi="宋体"/>
    </w:rPr>
  </w:style>
  <w:style w:type="paragraph" w:styleId="1223">
    <w:name w:val="小四 段落 宋体 Char Char Char Char Char Char Char"/>
    <w:basedOn w:val="1085"/>
    <w:next w:val="1223"/>
    <w:link w:val="1060"/>
    <w:semiHidden/>
    <w:pPr>
      <w:ind w:left="0" w:right="-33" w:firstLine="545"/>
      <w:jc w:val="left"/>
      <w:spacing w:line="360" w:lineRule="auto"/>
      <w:tabs>
        <w:tab w:val="clear" w:pos="1125" w:leader="none"/>
      </w:tabs>
    </w:pPr>
    <w:rPr>
      <w:sz w:val="24"/>
    </w:rPr>
  </w:style>
  <w:style w:type="paragraph" w:styleId="1224">
    <w:name w:val="xl56"/>
    <w:basedOn w:val="1060"/>
    <w:next w:val="1224"/>
    <w:link w:val="10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225">
    <w:name w:val="小四 段落 宋体 Char"/>
    <w:basedOn w:val="1085"/>
    <w:next w:val="1225"/>
    <w:link w:val="1060"/>
    <w:pPr>
      <w:ind w:left="0" w:right="-33" w:firstLine="480"/>
      <w:jc w:val="left"/>
      <w:spacing w:line="360" w:lineRule="auto"/>
      <w:tabs>
        <w:tab w:val="clear" w:pos="1125" w:leader="none"/>
      </w:tabs>
    </w:pPr>
    <w:rPr>
      <w:sz w:val="24"/>
    </w:rPr>
  </w:style>
  <w:style w:type="paragraph" w:styleId="1226">
    <w:name w:val="xl51"/>
    <w:basedOn w:val="1060"/>
    <w:next w:val="1226"/>
    <w:link w:val="10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227">
    <w:name w:val="xl62"/>
    <w:basedOn w:val="1060"/>
    <w:next w:val="1227"/>
    <w:link w:val="10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1228">
    <w:name w:val="Char Char Char Char"/>
    <w:basedOn w:val="1087"/>
    <w:next w:val="1228"/>
    <w:link w:val="1060"/>
    <w:pPr>
      <w:spacing w:line="360" w:lineRule="auto"/>
    </w:pPr>
    <w:rPr>
      <w:sz w:val="24"/>
      <w:szCs w:val="20"/>
    </w:rPr>
  </w:style>
  <w:style w:type="paragraph" w:styleId="1229">
    <w:name w:val="Char1 Char Char Char"/>
    <w:basedOn w:val="1060"/>
    <w:next w:val="1229"/>
    <w:link w:val="1060"/>
    <w:rPr>
      <w:rFonts w:ascii="Tahoma" w:hAnsi="Tahoma"/>
      <w:sz w:val="24"/>
      <w:szCs w:val="20"/>
    </w:rPr>
  </w:style>
  <w:style w:type="paragraph" w:styleId="1230">
    <w:name w:val="xl54"/>
    <w:basedOn w:val="1060"/>
    <w:next w:val="1230"/>
    <w:link w:val="106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231">
    <w:name w:val="xl52"/>
    <w:basedOn w:val="1060"/>
    <w:next w:val="1231"/>
    <w:link w:val="106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232">
    <w:name w:val="xl64"/>
    <w:basedOn w:val="1060"/>
    <w:next w:val="1232"/>
    <w:link w:val="106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1233">
    <w:name w:val="xl49"/>
    <w:basedOn w:val="1060"/>
    <w:next w:val="1233"/>
    <w:link w:val="1060"/>
    <w:pPr>
      <w:jc w:val="center"/>
      <w:spacing w:before="100" w:beforeAutospacing="1" w:after="100" w:afterAutospacing="1"/>
      <w:widowControl/>
    </w:pPr>
    <w:rPr>
      <w:rFonts w:ascii="Arial Unicode MS" w:hAnsi="Arial Unicode MS" w:eastAsia="Arial Unicode MS" w:cs="Arial Unicode MS"/>
      <w:b/>
      <w:bCs/>
      <w:sz w:val="32"/>
      <w:szCs w:val="32"/>
    </w:rPr>
  </w:style>
  <w:style w:type="paragraph" w:styleId="1234">
    <w:name w:val="xl68"/>
    <w:basedOn w:val="1060"/>
    <w:next w:val="1234"/>
    <w:link w:val="1060"/>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4"/>
    </w:rPr>
  </w:style>
  <w:style w:type="paragraph" w:styleId="1235">
    <w:name w:val="纯文本3"/>
    <w:basedOn w:val="1060"/>
    <w:next w:val="1235"/>
    <w:link w:val="1060"/>
    <w:qFormat/>
    <w:rPr>
      <w:rFonts w:ascii="宋体" w:hAnsi="Courier New" w:eastAsia="楷体_GB2312"/>
      <w:sz w:val="26"/>
      <w:szCs w:val="20"/>
    </w:rPr>
  </w:style>
  <w:style w:type="paragraph" w:styleId="1236">
    <w:name w:val="WPSOffice手动目录 1"/>
    <w:next w:val="1236"/>
    <w:link w:val="1060"/>
    <w:rPr>
      <w:lang w:val="en-US" w:eastAsia="zh-CN" w:bidi="ar-SA"/>
    </w:rPr>
  </w:style>
  <w:style w:type="paragraph" w:styleId="1237">
    <w:name w:val="xl65"/>
    <w:basedOn w:val="1060"/>
    <w:next w:val="1237"/>
    <w:link w:val="106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238">
    <w:name w:val="p0"/>
    <w:basedOn w:val="1060"/>
    <w:next w:val="1238"/>
    <w:link w:val="1060"/>
    <w:qFormat/>
    <w:rPr>
      <w:sz w:val="21"/>
      <w:szCs w:val="21"/>
    </w:rPr>
  </w:style>
  <w:style w:type="paragraph" w:styleId="1239">
    <w:name w:val="Char1"/>
    <w:basedOn w:val="1060"/>
    <w:next w:val="1239"/>
    <w:link w:val="1060"/>
    <w:rPr>
      <w:rFonts w:ascii="Tahoma" w:hAnsi="Tahoma"/>
      <w:sz w:val="24"/>
      <w:szCs w:val="20"/>
    </w:rPr>
  </w:style>
  <w:style w:type="paragraph" w:styleId="1240">
    <w:name w:val="xl71"/>
    <w:basedOn w:val="1060"/>
    <w:next w:val="1240"/>
    <w:link w:val="106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241">
    <w:name w:val="列出段落"/>
    <w:basedOn w:val="1060"/>
    <w:next w:val="1241"/>
    <w:link w:val="1060"/>
    <w:uiPriority w:val="34"/>
    <w:qFormat/>
    <w:pPr>
      <w:ind w:firstLine="420"/>
    </w:pPr>
    <w:rPr>
      <w:rFonts w:ascii="Calibri" w:hAnsi="Calibri"/>
      <w:szCs w:val="22"/>
    </w:rPr>
  </w:style>
  <w:style w:type="paragraph" w:styleId="1242">
    <w:name w:val="xl69"/>
    <w:basedOn w:val="1060"/>
    <w:next w:val="1242"/>
    <w:link w:val="1060"/>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4"/>
    </w:rPr>
  </w:style>
  <w:style w:type="paragraph" w:styleId="1243">
    <w:name w:val="font5"/>
    <w:basedOn w:val="1060"/>
    <w:next w:val="1243"/>
    <w:link w:val="1060"/>
    <w:pPr>
      <w:jc w:val="left"/>
      <w:spacing w:before="100" w:beforeAutospacing="1" w:after="100" w:afterAutospacing="1"/>
      <w:widowControl/>
    </w:pPr>
    <w:rPr>
      <w:rFonts w:hint="eastAsia" w:ascii="宋体" w:hAnsi="宋体"/>
      <w:sz w:val="18"/>
      <w:szCs w:val="18"/>
    </w:rPr>
  </w:style>
  <w:style w:type="paragraph" w:styleId="1244">
    <w:name w:val="xl67"/>
    <w:basedOn w:val="1060"/>
    <w:next w:val="1244"/>
    <w:link w:val="106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245">
    <w:name w:val="Plain Text"/>
    <w:basedOn w:val="1060"/>
    <w:next w:val="1245"/>
    <w:link w:val="1060"/>
    <w:rPr>
      <w:rFonts w:ascii="宋体" w:hAnsi="Courier New" w:eastAsia="楷体_GB2312"/>
      <w:sz w:val="26"/>
    </w:rPr>
  </w:style>
  <w:style w:type="paragraph" w:styleId="1246">
    <w:name w:val="纯文本4"/>
    <w:basedOn w:val="1060"/>
    <w:next w:val="1246"/>
    <w:link w:val="1060"/>
    <w:qFormat/>
    <w:rPr>
      <w:rFonts w:ascii="宋体" w:hAnsi="Courier New" w:eastAsia="楷体_GB2312"/>
      <w:sz w:val="28"/>
      <w:szCs w:val="20"/>
    </w:rPr>
  </w:style>
  <w:style w:type="paragraph" w:styleId="1247">
    <w:name w:val="xl45"/>
    <w:basedOn w:val="1060"/>
    <w:next w:val="1247"/>
    <w:link w:val="10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248">
    <w:name w:val="xl60"/>
    <w:basedOn w:val="1060"/>
    <w:next w:val="1248"/>
    <w:link w:val="10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249">
    <w:name w:val="正文_0"/>
    <w:next w:val="1060"/>
    <w:link w:val="1060"/>
    <w:uiPriority w:val="99"/>
    <w:qFormat/>
    <w:rPr>
      <w:sz w:val="21"/>
      <w:lang w:val="en-US" w:eastAsia="zh-CN" w:bidi="ar-SA"/>
    </w:rPr>
  </w:style>
  <w:style w:type="paragraph" w:styleId="1250">
    <w:name w:val="xl66"/>
    <w:basedOn w:val="1060"/>
    <w:next w:val="1250"/>
    <w:link w:val="10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251">
    <w:name w:val="Default Paragraph Font Para Char"/>
    <w:basedOn w:val="1060"/>
    <w:next w:val="1251"/>
    <w:link w:val="1060"/>
    <w:semiHidden/>
    <w:pPr>
      <w:jc w:val="left"/>
      <w:spacing w:after="160" w:line="240" w:lineRule="exact"/>
      <w:widowControl/>
    </w:pPr>
    <w:rPr>
      <w:rFonts w:ascii="Verdana" w:hAnsi="Verdana"/>
      <w:sz w:val="20"/>
      <w:szCs w:val="20"/>
      <w:lang w:eastAsia="en-US"/>
    </w:rPr>
  </w:style>
  <w:style w:type="paragraph" w:styleId="1252">
    <w:name w:val="xl61"/>
    <w:basedOn w:val="1060"/>
    <w:next w:val="1252"/>
    <w:link w:val="106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253">
    <w:name w:val="xl53"/>
    <w:basedOn w:val="1060"/>
    <w:next w:val="1253"/>
    <w:link w:val="10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254">
    <w:name w:val="列出段落1"/>
    <w:basedOn w:val="1249"/>
    <w:next w:val="1060"/>
    <w:link w:val="1060"/>
    <w:qFormat/>
    <w:pPr>
      <w:ind w:firstLine="420"/>
      <w:jc w:val="both"/>
      <w:widowControl w:val="off"/>
    </w:pPr>
    <w:rPr>
      <w:rFonts w:ascii="Calibri" w:hAnsi="Calibri" w:eastAsia="宋体" w:cs="Times New Roman"/>
      <w:szCs w:val="24"/>
    </w:rPr>
  </w:style>
  <w:style w:type="paragraph" w:styleId="1255">
    <w:name w:val="+正文"/>
    <w:basedOn w:val="1060"/>
    <w:next w:val="1255"/>
    <w:link w:val="1060"/>
    <w:pPr>
      <w:ind w:firstLine="200"/>
      <w:spacing w:line="360" w:lineRule="auto"/>
    </w:pPr>
    <w:rPr>
      <w:sz w:val="24"/>
    </w:rPr>
  </w:style>
  <w:style w:type="paragraph" w:styleId="1256">
    <w:name w:val="正文2"/>
    <w:basedOn w:val="1060"/>
    <w:next w:val="1256"/>
    <w:link w:val="1060"/>
    <w:pPr>
      <w:ind w:firstLine="200"/>
      <w:jc w:val="left"/>
      <w:spacing w:after="160" w:line="360" w:lineRule="auto"/>
      <w:widowControl/>
    </w:pPr>
    <w:rPr>
      <w:rFonts w:ascii="Verdana" w:hAnsi="Verdana" w:eastAsia="黑体"/>
      <w:szCs w:val="20"/>
      <w:lang w:eastAsia="en-US"/>
    </w:rPr>
  </w:style>
  <w:style w:type="paragraph" w:styleId="1257">
    <w:name w:val="Char Char Char1 Char Char Char Char"/>
    <w:basedOn w:val="1060"/>
    <w:next w:val="1257"/>
    <w:link w:val="1060"/>
    <w:pPr>
      <w:jc w:val="left"/>
      <w:spacing w:after="160" w:line="240" w:lineRule="exact"/>
      <w:widowControl/>
    </w:pPr>
    <w:rPr>
      <w:sz w:val="24"/>
    </w:rPr>
  </w:style>
  <w:style w:type="paragraph" w:styleId="1258">
    <w:name w:val="xl55"/>
    <w:basedOn w:val="1060"/>
    <w:next w:val="1258"/>
    <w:link w:val="106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259">
    <w:name w:val="Char Char Char Char Char Char Char Char Char1 Char"/>
    <w:basedOn w:val="1087"/>
    <w:next w:val="1259"/>
    <w:link w:val="1060"/>
    <w:pPr>
      <w:spacing w:line="360" w:lineRule="auto"/>
    </w:pPr>
    <w:rPr>
      <w:rFonts w:ascii="Tahoma" w:hAnsi="Tahoma"/>
      <w:sz w:val="24"/>
    </w:rPr>
  </w:style>
  <w:style w:type="paragraph" w:styleId="1260">
    <w:name w:val="xl50"/>
    <w:basedOn w:val="1060"/>
    <w:next w:val="1260"/>
    <w:link w:val="106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261">
    <w:name w:val="样式 标题 3 + 小四 非加粗 段前: 0 磅 段后: 0 磅 行距: 单倍行距"/>
    <w:basedOn w:val="1063"/>
    <w:next w:val="1261"/>
    <w:link w:val="1060"/>
    <w:pPr>
      <w:ind w:left="-19" w:firstLine="19"/>
      <w:keepLines w:val="0"/>
      <w:keepNext w:val="0"/>
      <w:spacing w:before="120" w:after="120"/>
      <w:tabs>
        <w:tab w:val="left" w:pos="-567" w:leader="none"/>
      </w:tabs>
    </w:pPr>
    <w:rPr>
      <w:rFonts w:eastAsia="宋体"/>
      <w:b w:val="0"/>
      <w:color w:val="000000"/>
      <w:sz w:val="24"/>
      <w:lang w:val="en-US" w:eastAsia="zh-CN"/>
    </w:rPr>
  </w:style>
  <w:style w:type="paragraph" w:styleId="1262">
    <w:name w:val="xl57"/>
    <w:basedOn w:val="1060"/>
    <w:next w:val="1262"/>
    <w:link w:val="1060"/>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263">
    <w:name w:val="首行缩进"/>
    <w:basedOn w:val="1060"/>
    <w:next w:val="1263"/>
    <w:link w:val="1060"/>
    <w:qFormat/>
    <w:pPr>
      <w:ind w:firstLine="480"/>
    </w:pPr>
    <w:rPr>
      <w:lang w:val="zh-CN"/>
    </w:rPr>
  </w:style>
  <w:style w:type="table" w:styleId="1264">
    <w:name w:val="网格型1"/>
    <w:basedOn w:val="1071"/>
    <w:next w:val="1264"/>
    <w:link w:val="1060"/>
    <w:uiPriority w:val="59"/>
    <w:unhideWhenUsed/>
    <w:qFormat/>
    <w:rPr>
      <w:rFonts w:ascii="Calibri" w:hAnsi="Calibri" w:eastAsia="宋体" w:cs="Times New Roman"/>
    </w:rPr>
    <w:tblPr/>
  </w:style>
  <w:style w:type="paragraph" w:styleId="1265">
    <w:name w:val="纯文本2"/>
    <w:basedOn w:val="1060"/>
    <w:next w:val="1265"/>
    <w:link w:val="1060"/>
    <w:qFormat/>
    <w:rPr>
      <w:rFonts w:ascii="宋体" w:hAnsi="Courier New"/>
      <w:sz w:val="28"/>
    </w:rPr>
  </w:style>
  <w:style w:type="character" w:styleId="1266">
    <w:name w:val="font101"/>
    <w:basedOn w:val="1070"/>
    <w:next w:val="1266"/>
    <w:link w:val="1060"/>
    <w:rPr>
      <w:rFonts w:hint="eastAsia" w:ascii="宋体" w:hAnsi="宋体" w:eastAsia="宋体" w:cs="宋体"/>
      <w:i w:val="0"/>
      <w:iCs w:val="0"/>
      <w:color w:val="000000"/>
      <w:sz w:val="28"/>
      <w:szCs w:val="28"/>
      <w:u w:val="none"/>
    </w:rPr>
  </w:style>
  <w:style w:type="character" w:styleId="1267">
    <w:name w:val="font301"/>
    <w:basedOn w:val="1070"/>
    <w:next w:val="1267"/>
    <w:link w:val="1060"/>
    <w:rPr>
      <w:rFonts w:ascii="Times New Roman" w:hAnsi="Times New Roman" w:cs="Times New Roman"/>
      <w:i w:val="0"/>
      <w:iCs w:val="0"/>
      <w:color w:val="000000"/>
      <w:sz w:val="28"/>
      <w:szCs w:val="28"/>
      <w:u w:val="none"/>
    </w:rPr>
  </w:style>
  <w:style w:type="character" w:styleId="1268">
    <w:name w:val="font151"/>
    <w:basedOn w:val="1070"/>
    <w:next w:val="1268"/>
    <w:link w:val="1060"/>
    <w:rPr>
      <w:rFonts w:ascii="Times New Roman" w:hAnsi="Times New Roman" w:cs="Times New Roman"/>
      <w:i w:val="0"/>
      <w:iCs w:val="0"/>
      <w:color w:val="000000"/>
      <w:sz w:val="28"/>
      <w:szCs w:val="28"/>
      <w:u w:val="none"/>
    </w:rPr>
  </w:style>
  <w:style w:type="character" w:styleId="1269" w:default="1">
    <w:name w:val="Default Paragraph Font"/>
    <w:uiPriority w:val="1"/>
    <w:semiHidden/>
    <w:unhideWhenUsed/>
  </w:style>
  <w:style w:type="numbering" w:styleId="1270" w:default="1">
    <w:name w:val="No List"/>
    <w:uiPriority w:val="99"/>
    <w:semiHidden/>
    <w:unhideWhenUsed/>
  </w:style>
  <w:style w:type="table" w:styleId="127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image" Target="media/image1.png"/><Relationship Id="rId19" Type="http://schemas.openxmlformats.org/officeDocument/2006/relationships/image" Target="media/image2.png"/><Relationship Id="rId20" Type="http://schemas.openxmlformats.org/officeDocument/2006/relationships/image" Target="media/image3.png"/><Relationship Id="rId21" Type="http://schemas.openxmlformats.org/officeDocument/2006/relationships/image" Target="media/image4.png"/><Relationship Id="rId22" Type="http://schemas.openxmlformats.org/officeDocument/2006/relationships/image" Target="media/image5.png"/><Relationship Id="rId23" Type="http://schemas.openxmlformats.org/officeDocument/2006/relationships/image" Target="media/image6.png"/><Relationship Id="rId24" Type="http://schemas.openxmlformats.org/officeDocument/2006/relationships/image" Target="media/image7.png"/><Relationship Id="rId25" Type="http://schemas.openxmlformats.org/officeDocument/2006/relationships/image" Target="media/image8.png"/><Relationship Id="rId26" Type="http://schemas.openxmlformats.org/officeDocument/2006/relationships/image" Target="media/image9.png"/><Relationship Id="rId27" Type="http://schemas.openxmlformats.org/officeDocument/2006/relationships/image" Target="media/image10.png"/><Relationship Id="rId28" Type="http://schemas.openxmlformats.org/officeDocument/2006/relationships/image" Target="media/image11.png"/><Relationship Id="rId29" Type="http://schemas.openxmlformats.org/officeDocument/2006/relationships/image" Target="media/image12.png"/><Relationship Id="rId30" Type="http://schemas.openxmlformats.org/officeDocument/2006/relationships/image" Target="media/image1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谈判邀</dc:title>
  <dc:creator>Lenovo</dc:creator>
  <cp:lastModifiedBy>蔡艳平</cp:lastModifiedBy>
  <cp:revision>6</cp:revision>
  <dcterms:created xsi:type="dcterms:W3CDTF">2022-07-21T08:13:00Z</dcterms:created>
  <dcterms:modified xsi:type="dcterms:W3CDTF">2026-08-25T01:58:06Z</dcterms:modified>
</cp:coreProperties>
</file>