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5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7"/>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南京鼓楼医院干细胞信息系统 </w:t>
      </w:r>
      <w:r>
        <w:rPr>
          <w:rFonts w:hint="eastAsia" w:ascii="Arial" w:hAnsi="Arial" w:cs="Times New Roman"/>
          <w:b/>
          <w:bCs/>
          <w:color w:val="000000"/>
          <w:sz w:val="32"/>
          <w:szCs w:val="24"/>
          <w:highlight w:val="none"/>
          <w:u w:val="single"/>
          <w:lang w:val="en-US" w:eastAsia="zh-CN"/>
        </w:rPr>
      </w:r>
      <w:r/>
    </w:p>
    <w:p>
      <w:pPr>
        <w:pStyle w:val="867"/>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JSZC-320100-JZCG-C2026-0319</w:t>
      </w:r>
      <w:r>
        <w:rPr>
          <w:color w:val="000000"/>
          <w:highlight w:val="none"/>
        </w:rPr>
      </w:r>
      <w:r/>
    </w:p>
    <w:p>
      <w:pPr>
        <w:pStyle w:val="867"/>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Change w:id="0" w:author="Administrator" w:date="2026-09-04T02:27:27Z">
            <w:rPr>
              <w:rFonts w:hint="eastAsia" w:ascii="Times New Roman" w:hAnsi="Times New Roman" w:eastAsia="宋体" w:cs="Times New Roman"/>
              <w:b/>
              <w:color w:val="000000"/>
              <w:sz w:val="30"/>
              <w:szCs w:val="30"/>
              <w:highlight w:val="none"/>
              <w:lang w:eastAsia="zh-CN"/>
            </w:rPr>
          </w:rPrChang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879"/>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59"/>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9</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67"/>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7"/>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7"/>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7"/>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7"/>
        <w:spacing w:line="480" w:lineRule="auto"/>
        <w:rPr>
          <w:rFonts w:hint="eastAsia" w:ascii="仿宋_GB2312" w:hAnsi="Arial" w:eastAsia="仿宋_GB2312"/>
          <w:b/>
          <w:sz w:val="28"/>
          <w:szCs w:val="21"/>
          <w:highlight w:val="none"/>
        </w:rPr>
      </w:pPr>
      <w:r/>
      <w:bookmarkStart w:id="0" w:name="_Toc479757206"/>
      <w:r/>
      <w:bookmarkStart w:id="1" w:name="_Toc16938516"/>
      <w:r/>
      <w:bookmarkStart w:id="2" w:name="_Toc120614210"/>
      <w:r/>
      <w:bookmarkStart w:id="3" w:name="_Toc513029200"/>
      <w:r/>
      <w:bookmarkStart w:id="4" w:name="_Toc523127445"/>
      <w:r/>
      <w:bookmarkStart w:id="5" w:name="_Toc20823272"/>
      <w:r>
        <w:rPr>
          <w:rFonts w:hint="eastAsia" w:ascii="仿宋_GB2312" w:hAnsi="Arial" w:eastAsia="仿宋_GB2312"/>
          <w:b/>
          <w:sz w:val="28"/>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w:t>
      </w:r>
      <w:r>
        <w:rPr>
          <w:rFonts w:hint="eastAsia" w:ascii="黑体" w:hAnsi="宋体" w:eastAsia="黑体" w:cs="Times New Roman"/>
          <w:color w:val="000000"/>
          <w:sz w:val="36"/>
          <w:szCs w:val="21"/>
          <w:highlight w:val="none"/>
        </w:rPr>
        <w:t xml:space="preserve">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JSZC-320100-JZCG-C2026-0319</w:t>
      </w:r>
      <w:r>
        <w:rPr>
          <w:rFonts w:ascii="宋体" w:hAnsi="宋体"/>
          <w:color w:val="000000"/>
          <w:sz w:val="24"/>
          <w:szCs w:val="24"/>
          <w:highlight w:val="none"/>
        </w:rPr>
      </w:r>
      <w:r/>
    </w:p>
    <w:p>
      <w:pPr>
        <w:pStyle w:val="867"/>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南京鼓楼医院干细胞信息系统</w:t>
      </w:r>
      <w:r>
        <w:rPr>
          <w:rFonts w:hint="eastAsia" w:ascii="宋体" w:hAnsi="宋体" w:eastAsia="宋体"/>
          <w:color w:val="000000"/>
          <w:sz w:val="24"/>
          <w:szCs w:val="24"/>
          <w:highlight w:val="none"/>
          <w:lang w:eastAsia="zh-CN"/>
        </w:rPr>
      </w:r>
      <w:r/>
    </w:p>
    <w:p>
      <w:pPr>
        <w:pStyle w:val="867"/>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40万元</w:t>
      </w:r>
      <w:r>
        <w:rPr>
          <w:rFonts w:ascii="宋体" w:hAnsi="宋体"/>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35万元</w:t>
      </w:r>
      <w:r>
        <w:rPr>
          <w:rFonts w:hint="eastAsia" w:ascii="宋体" w:hAnsi="宋体" w:eastAsia="宋体" w:cs="宋体"/>
          <w:color w:val="000000"/>
          <w:sz w:val="24"/>
          <w:szCs w:val="24"/>
          <w:highlight w:val="none"/>
        </w:rPr>
      </w:r>
      <w:r/>
    </w:p>
    <w:p>
      <w:pPr>
        <w:pStyle w:val="867"/>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南京鼓楼医院</w:t>
      </w:r>
      <w:r>
        <w:rPr>
          <w:rFonts w:hint="eastAsia" w:ascii="宋体" w:hAnsi="宋体"/>
          <w:color w:val="000000"/>
          <w:sz w:val="24"/>
          <w:szCs w:val="24"/>
          <w:highlight w:val="none"/>
          <w:lang w:val="en-US" w:eastAsia="zh-CN"/>
        </w:rPr>
        <w:t xml:space="preserve">建设一套适用于临床干细胞中心的信息化管理系统，实现物料、临床组织样本、细胞制品、细胞库、人员、设备、环境、质控、出入库、运输交接及临床使用全过程可追溯管理。</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7"/>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30天（系统开发及验收时间为合同签订后30天内。）</w:t>
      </w:r>
      <w:r>
        <w:rPr>
          <w:rFonts w:ascii="宋体" w:hAnsi="宋体" w:eastAsia="宋体" w:cs="宋体"/>
          <w:color w:val="000000"/>
          <w:sz w:val="24"/>
          <w:szCs w:val="24"/>
          <w:highlight w:val="none"/>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7"/>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67"/>
        <w:spacing w:line="240" w:lineRule="auto"/>
        <w:rPr>
          <w:rFonts w:hint="eastAsia" w:ascii="宋体" w:hAnsi="宋体" w:eastAsia="宋体"/>
          <w:b w:val="0"/>
          <w:bCs w:val="0"/>
          <w:sz w:val="24"/>
          <w:szCs w:val="24"/>
          <w:highlight w:val="none"/>
          <w:lang w:eastAsia="zh-CN"/>
        </w:rPr>
        <w:outlineLvl w:val="9"/>
      </w:pPr>
      <w:r>
        <w:rPr>
          <w:rFonts w:hint="eastAsia" w:ascii="宋体" w:hAnsi="宋体" w:eastAsia="宋体" w:cs="宋体"/>
          <w:b w:val="0"/>
          <w:bCs w:val="0"/>
          <w:color w:val="0000ff"/>
          <w:sz w:val="24"/>
          <w:szCs w:val="24"/>
          <w:highlight w:val="none"/>
          <w:u w:val="none"/>
        </w:rPr>
        <w:t xml:space="preserve"> </w:t>
      </w:r>
      <w:r>
        <w:rPr>
          <w:rFonts w:hint="eastAsia" w:ascii="宋体" w:hAnsi="宋体" w:cs="宋体"/>
          <w:b w:val="0"/>
          <w:bCs w:val="0"/>
          <w:color w:val="0000ff"/>
          <w:sz w:val="24"/>
          <w:szCs w:val="24"/>
          <w:highlight w:val="none"/>
          <w:u w:val="none"/>
          <w:lang w:val="en-US" w:eastAsia="zh-CN"/>
        </w:rPr>
        <w:t xml:space="preserve">   </w:t>
      </w:r>
      <w:r>
        <w:rPr>
          <w:rFonts w:hint="eastAsia" w:ascii="宋体" w:hAnsi="宋体" w:eastAsia="宋体" w:cs="宋体"/>
          <w:b w:val="0"/>
          <w:bCs w:val="0"/>
          <w:color w:val="000000" w:themeColor="text1"/>
          <w:sz w:val="24"/>
          <w:szCs w:val="24"/>
          <w:highlight w:val="none"/>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cs="宋体"/>
          <w:b w:val="0"/>
          <w:bCs w:val="0"/>
          <w:color w:val="000000" w:themeColor="text1"/>
          <w:sz w:val="24"/>
          <w:szCs w:val="24"/>
          <w:highlight w:val="none"/>
          <w:u w:val="none"/>
          <w:lang w:val="en-US" w:eastAsia="zh-CN"/>
        </w:rPr>
        <w:t xml:space="preserve">6</w:t>
      </w:r>
      <w:r>
        <w:rPr>
          <w:rFonts w:hint="eastAsia" w:ascii="宋体" w:hAnsi="宋体"/>
          <w:b w:val="0"/>
          <w:bCs w:val="0"/>
          <w:color w:val="000000" w:themeColor="text1"/>
          <w:sz w:val="24"/>
          <w:szCs w:val="24"/>
          <w:highlight w:val="none"/>
          <w:u w:val="none"/>
        </w:rPr>
        <w:t xml:space="preserve">年</w:t>
      </w:r>
      <w:r>
        <w:rPr>
          <w:rFonts w:hint="eastAsia" w:ascii="宋体" w:hAnsi="宋体" w:cs="宋体"/>
          <w:b w:val="0"/>
          <w:bCs w:val="0"/>
          <w:color w:val="000000" w:themeColor="text1"/>
          <w:sz w:val="24"/>
          <w:szCs w:val="24"/>
          <w:highlight w:val="none"/>
          <w:u w:val="none"/>
          <w:lang w:val="en-US" w:eastAsia="zh-CN"/>
        </w:rPr>
        <w:t xml:space="preserve">9</w:t>
      </w:r>
      <w:r>
        <w:rPr>
          <w:rFonts w:hint="eastAsia" w:ascii="宋体" w:hAnsi="宋体"/>
          <w:b w:val="0"/>
          <w:bCs w:val="0"/>
          <w:color w:val="000000" w:themeColor="text1"/>
          <w:sz w:val="24"/>
          <w:szCs w:val="24"/>
          <w:highlight w:val="none"/>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21</w:t>
      </w:r>
      <w:r>
        <w:rPr>
          <w:rFonts w:hint="eastAsia" w:ascii="宋体" w:hAnsi="宋体"/>
          <w:b w:val="0"/>
          <w:bCs w:val="0"/>
          <w:color w:val="000000" w:themeColor="text1"/>
          <w:sz w:val="24"/>
          <w:szCs w:val="24"/>
          <w:highlight w:val="none"/>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highlight w:val="none"/>
          <w:u w:val="none"/>
          <w:lang w:val="en-US" w:eastAsia="zh-CN"/>
        </w:rPr>
        <w:t xml:space="preserve">时30</w:t>
      </w:r>
      <w:r>
        <w:rPr>
          <w:rFonts w:hint="eastAsia" w:ascii="宋体" w:hAnsi="宋体"/>
          <w:b w:val="0"/>
          <w:bCs w:val="0"/>
          <w:color w:val="000000" w:themeColor="text1"/>
          <w:sz w:val="24"/>
          <w:szCs w:val="24"/>
          <w:highlight w:val="none"/>
          <w:u w:val="none"/>
        </w:rPr>
        <w:t xml:space="preserve">分</w:t>
      </w:r>
      <w:r>
        <w:rPr>
          <w:rFonts w:hint="eastAsia" w:ascii="宋体" w:hAnsi="宋体"/>
          <w:b w:val="0"/>
          <w:bCs w:val="0"/>
          <w:sz w:val="24"/>
          <w:szCs w:val="24"/>
          <w:highlight w:val="none"/>
          <w:u w:val="none"/>
        </w:rPr>
        <w:t xml:space="preserve">（</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eastAsia="宋体"/>
          <w:b w:val="0"/>
          <w:bCs w:val="0"/>
          <w:sz w:val="24"/>
          <w:szCs w:val="24"/>
          <w:highlight w:val="none"/>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7"/>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采购人《质疑函》收件人：张老师，收件地址：</w:t>
      </w:r>
      <w:r>
        <w:rPr>
          <w:rFonts w:hint="eastAsia" w:ascii="宋体" w:hAnsi="宋体" w:eastAsia="宋体" w:cs="宋体"/>
          <w:color w:val="000000"/>
          <w:sz w:val="24"/>
          <w:szCs w:val="24"/>
          <w:highlight w:val="none"/>
          <w:u w:val="none"/>
          <w:lang w:val="en-US" w:eastAsia="zh-CN"/>
        </w:rPr>
        <w:t xml:space="preserve">南京市玄武区双龙巷5号4楼410，</w:t>
      </w:r>
      <w:r>
        <w:rPr>
          <w:rFonts w:hint="eastAsia" w:ascii="宋体" w:hAnsi="宋体" w:eastAsia="宋体" w:cs="Times New Roman"/>
          <w:b w:val="0"/>
          <w:bCs w:val="0"/>
          <w:color w:val="000000"/>
          <w:sz w:val="24"/>
          <w:highlight w:val="none"/>
          <w:lang w:val="en-US" w:eastAsia="zh-CN"/>
        </w:rPr>
        <w:t xml:space="preserve">联系电话：025-83105006。</w:t>
      </w:r>
      <w:r>
        <w:rPr>
          <w:rFonts w:ascii="宋体" w:hAnsi="宋体" w:eastAsia="宋体" w:cs="Times New Roman"/>
          <w:b w:val="0"/>
          <w:bCs w:val="0"/>
          <w:color w:val="000000"/>
          <w:sz w:val="24"/>
          <w:highlight w:val="none"/>
          <w:lang w:val="en-US" w:eastAsia="zh-CN"/>
        </w:rPr>
      </w:r>
      <w:r/>
    </w:p>
    <w:p>
      <w:pPr>
        <w:pStyle w:val="867"/>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南京市鼓楼区中山路321号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联系电话：025-83105006 </w:t>
      </w:r>
      <w:bookmarkStart w:id="6" w:name="_Toc28359086"/>
      <w:r/>
      <w:bookmarkStart w:id="7" w:name="_Toc28359009"/>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联系电话：025-68505967 </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867"/>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 w:name="_Hlt16619475"/>
      <w:r/>
      <w:bookmarkEnd w:id="8"/>
      <w:r/>
      <w:bookmarkStart w:id="9" w:name="_Toc458694821"/>
      <w:r/>
      <w:bookmarkStart w:id="10" w:name="_Toc20823276"/>
      <w:r/>
      <w:bookmarkStart w:id="11" w:name="_Toc16938520"/>
      <w:r/>
      <w:bookmarkStart w:id="12" w:name="_Toc513029204"/>
      <w:r>
        <w:rPr>
          <w:rFonts w:hint="eastAsia" w:ascii="方正楷体_GBK" w:hAnsi="方正楷体_GBK" w:eastAsia="方正楷体_GBK" w:cs="方正楷体_GBK"/>
          <w:b/>
          <w:bCs/>
          <w:sz w:val="28"/>
          <w:szCs w:val="28"/>
          <w:highlight w:val="none"/>
          <w:lang w:val="en-US" w:eastAsia="zh-CN"/>
        </w:rPr>
        <w:t xml:space="preserve">1</w:t>
      </w:r>
      <w:bookmarkEnd w:id="9"/>
      <w:r>
        <w:rPr>
          <w:rFonts w:hint="eastAsia" w:ascii="方正楷体_GBK" w:hAnsi="方正楷体_GBK" w:eastAsia="方正楷体_GBK" w:cs="方正楷体_GBK"/>
          <w:b/>
          <w:bCs/>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Toc513029205"/>
      <w:r/>
      <w:bookmarkStart w:id="14" w:name="_Toc16938521"/>
      <w:r/>
      <w:bookmarkStart w:id="15" w:name="_Toc20823277"/>
      <w:r>
        <w:rPr>
          <w:rFonts w:hint="eastAsia" w:ascii="方正楷体_GBK" w:hAnsi="方正楷体_GBK" w:eastAsia="方正楷体_GBK" w:cs="方正楷体_GBK"/>
          <w:b/>
          <w:bCs/>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6" w:name="_Toc513029206"/>
      <w:r/>
      <w:bookmarkStart w:id="17" w:name="_Toc16938522"/>
      <w:r/>
      <w:bookmarkStart w:id="18" w:name="_Toc20823278"/>
      <w:r>
        <w:rPr>
          <w:rFonts w:hint="eastAsia" w:ascii="方正楷体_GBK" w:hAnsi="方正楷体_GBK" w:eastAsia="方正楷体_GBK" w:cs="方正楷体_GBK"/>
          <w:b/>
          <w:bCs/>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sz w:val="28"/>
          <w:szCs w:val="28"/>
          <w:highlight w:val="none"/>
          <w:lang w:val="en-US" w:eastAsia="zh-CN"/>
        </w:rPr>
      </w:r>
      <w:r/>
    </w:p>
    <w:p>
      <w:pPr>
        <w:pStyle w:val="867"/>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9" w:name="_Toc20823279"/>
      <w:r/>
      <w:bookmarkStart w:id="20" w:name="_Toc462564067"/>
      <w:r/>
      <w:bookmarkStart w:id="21" w:name="_Toc16938523"/>
      <w:r/>
      <w:bookmarkStart w:id="22" w:name="_Toc513029207"/>
      <w:r>
        <w:rPr>
          <w:rFonts w:hint="eastAsia" w:ascii="方正楷体_GBK" w:hAnsi="方正楷体_GBK" w:eastAsia="方正楷体_GBK" w:cs="方正楷体_GBK"/>
          <w:b/>
          <w:bCs/>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513029209"/>
      <w:r/>
      <w:bookmarkStart w:id="24" w:name="_Toc16938525"/>
      <w:r/>
      <w:bookmarkStart w:id="25" w:name="_Toc120614215"/>
      <w:r/>
      <w:bookmarkStart w:id="26" w:name="_Toc20823281"/>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7" w:name="_Toc513029210"/>
      <w:r/>
      <w:bookmarkStart w:id="28" w:name="_Toc20823282"/>
      <w:r/>
      <w:bookmarkStart w:id="29" w:name="_Toc16938526"/>
      <w:r>
        <w:rPr>
          <w:rFonts w:hint="eastAsia" w:ascii="方正楷体_GBK" w:hAnsi="方正楷体_GBK" w:eastAsia="方正楷体_GBK" w:cs="方正楷体_GBK"/>
          <w:b/>
          <w:bCs/>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0" w:name="_Toc462564070"/>
      <w:r/>
      <w:bookmarkStart w:id="31" w:name="_Toc20823283"/>
      <w:r/>
      <w:bookmarkStart w:id="32" w:name="_Toc16938527"/>
      <w:r/>
      <w:bookmarkStart w:id="33" w:name="_Toc513029211"/>
      <w:r>
        <w:rPr>
          <w:rFonts w:hint="eastAsia" w:ascii="方正楷体_GBK" w:hAnsi="方正楷体_GBK" w:eastAsia="方正楷体_GBK" w:cs="方正楷体_GBK"/>
          <w:b/>
          <w:bCs/>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Hlt26668975"/>
      <w:r/>
      <w:bookmarkEnd w:id="34"/>
      <w:r/>
      <w:bookmarkStart w:id="35" w:name="_Hlt26954838"/>
      <w:r/>
      <w:bookmarkEnd w:id="35"/>
      <w:r/>
      <w:bookmarkStart w:id="36" w:name="_Hlt26670360"/>
      <w:r/>
      <w:bookmarkEnd w:id="36"/>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7"/>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Hlt26954846"/>
      <w:r/>
      <w:bookmarkEnd w:id="37"/>
      <w:r/>
      <w:bookmarkStart w:id="38" w:name="_Hlt26670482"/>
      <w:r/>
      <w:bookmarkEnd w:id="38"/>
      <w:r/>
      <w:bookmarkStart w:id="39" w:name="_Hlt26954731"/>
      <w:r/>
      <w:bookmarkEnd w:id="39"/>
      <w:r/>
      <w:bookmarkStart w:id="40" w:name="_Hlt26670486"/>
      <w:r/>
      <w:bookmarkEnd w:id="40"/>
      <w:r/>
      <w:bookmarkStart w:id="41" w:name="_Hlt26954848"/>
      <w:r/>
      <w:bookmarkEnd w:id="41"/>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1"/>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7"/>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852"/>
      <w:r/>
      <w:bookmarkEnd w:id="44"/>
      <w:r/>
      <w:bookmarkStart w:id="45" w:name="_Hlt26954739"/>
      <w:r/>
      <w:bookmarkEnd w:id="45"/>
      <w:r/>
      <w:bookmarkStart w:id="46" w:name="_Toc20823296"/>
      <w:r/>
      <w:bookmarkStart w:id="47" w:name="_Toc120614217"/>
      <w:r/>
      <w:bookmarkStart w:id="48" w:name="_Toc16938540"/>
      <w:r/>
      <w:bookmarkStart w:id="49"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462564084"/>
      <w:r/>
      <w:bookmarkStart w:id="51" w:name="_Toc16938541"/>
      <w:r/>
      <w:bookmarkStart w:id="52" w:name="_Toc513029225"/>
      <w:r/>
      <w:bookmarkStart w:id="53" w:name="_Toc20823297"/>
      <w:r>
        <w:rPr>
          <w:rFonts w:hint="eastAsia" w:ascii="方正楷体_GBK" w:hAnsi="方正楷体_GBK" w:eastAsia="方正楷体_GBK" w:cs="方正楷体_GBK"/>
          <w:b/>
          <w:bCs/>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513029226"/>
      <w:r/>
      <w:bookmarkStart w:id="55" w:name="_Toc16938542"/>
      <w:r/>
      <w:bookmarkStart w:id="56"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120614218"/>
      <w:r/>
      <w:bookmarkStart w:id="61" w:name="_Toc513029229"/>
      <w:r/>
      <w:bookmarkStart w:id="62" w:name="_Toc20823301"/>
      <w:r/>
      <w:bookmarkStart w:id="63" w:name="_Toc16938545"/>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513029232"/>
      <w:r/>
      <w:bookmarkStart w:id="65" w:name="_Toc20823304"/>
      <w:r/>
      <w:bookmarkStart w:id="66" w:name="_Toc16938548"/>
      <w:r>
        <w:rPr>
          <w:rFonts w:hint="eastAsia" w:ascii="方正楷体_GBK" w:hAnsi="方正楷体_GBK" w:eastAsia="方正楷体_GBK" w:cs="方正楷体_GBK"/>
          <w:b/>
          <w:bCs/>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20823305"/>
      <w:r/>
      <w:bookmarkStart w:id="68" w:name="_Toc16938549"/>
      <w:r/>
      <w:bookmarkStart w:id="69" w:name="_Toc513029233"/>
      <w:r>
        <w:rPr>
          <w:rFonts w:hint="eastAsia" w:ascii="方正楷体_GBK" w:hAnsi="方正楷体_GBK" w:eastAsia="方正楷体_GBK" w:cs="方正楷体_GBK"/>
          <w:b/>
          <w:bCs/>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ff"/>
          <w:sz w:val="24"/>
          <w:szCs w:val="24"/>
          <w:highlight w:val="none"/>
          <w:lang w:val="en-US" w:eastAsia="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7"/>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7"/>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513029235"/>
      <w:r/>
      <w:bookmarkStart w:id="71" w:name="_Toc20823307"/>
      <w:r/>
      <w:bookmarkStart w:id="72" w:name="_Toc120614219"/>
      <w:r/>
      <w:bookmarkStart w:id="73" w:name="_Toc16938551"/>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w:t>
      </w:r>
      <w:r>
        <w:rPr>
          <w:rFonts w:hint="eastAsia" w:ascii="宋体" w:hAnsi="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en-US" w:eastAsia="zh-CN"/>
        </w:rPr>
        <w:t xml:space="preserve">.1.2条第三款规定的情形外，磋商过程中符合要求的供应商或者提交最后报价且未超过采购预算或最高限价的供应商不足三家。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Toc513029238"/>
      <w:r/>
      <w:bookmarkStart w:id="75" w:name="_Toc20823310"/>
      <w:r/>
      <w:bookmarkStart w:id="76" w:name="_Toc16938554"/>
      <w:r>
        <w:rPr>
          <w:rFonts w:hint="eastAsia" w:ascii="方正楷体_GBK" w:hAnsi="方正楷体_GBK" w:eastAsia="方正楷体_GBK" w:cs="方正楷体_GBK"/>
          <w:b/>
          <w:bCs/>
          <w:sz w:val="28"/>
          <w:szCs w:val="28"/>
          <w:highlight w:val="none"/>
          <w:lang w:val="en-US" w:eastAsia="zh-CN"/>
        </w:rPr>
        <w:t xml:space="preserve">2</w:t>
      </w:r>
      <w:bookmarkEnd w:id="74"/>
      <w:r>
        <w:rPr>
          <w:rFonts w:hint="eastAsia" w:ascii="方正楷体_GBK" w:hAnsi="方正楷体_GBK" w:eastAsia="方正楷体_GBK" w:cs="方正楷体_GBK"/>
          <w:b/>
          <w:bCs/>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7"/>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themeColor="text1"/>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1"/>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1"/>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7"/>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7"/>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7"/>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87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7"/>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w:t>
      </w:r>
      <w:r>
        <w:rPr>
          <w:rFonts w:ascii="宋体" w:hAnsi="宋体" w:cs="Courier New"/>
          <w:color w:val="000000"/>
          <w:sz w:val="24"/>
          <w:szCs w:val="24"/>
          <w:highlight w:val="none"/>
        </w:rPr>
        <w:t xml:space="preserve">果，签署本合同。</w:t>
      </w:r>
      <w:r>
        <w:rPr>
          <w:rFonts w:ascii="宋体" w:hAnsi="宋体" w:cs="Courier New"/>
          <w:b/>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7"/>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7"/>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7"/>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系统开发完成并验收合格后，甲方支付合同总价款的70%。</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w:t>
      </w:r>
      <w:r>
        <w:rPr>
          <w:rFonts w:hint="eastAsia" w:ascii="宋体" w:hAnsi="宋体" w:eastAsia="宋体" w:cs="Courier New"/>
          <w:sz w:val="24"/>
          <w:szCs w:val="24"/>
          <w:highlight w:val="none"/>
        </w:rPr>
        <w:t xml:space="preserve">关部门投诉。</w:t>
      </w:r>
      <w:r>
        <w:rPr>
          <w:rFonts w:hint="eastAsia" w:ascii="宋体" w:hAnsi="宋体" w:eastAsia="宋体" w:cs="Courier New"/>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0.01%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120614244"/>
      <w:r/>
      <w:bookmarkStart w:id="79" w:name="_Hlt16619350"/>
      <w:r/>
      <w:bookmarkStart w:id="80" w:name="_Toc20823346"/>
      <w:r/>
      <w:bookmarkStart w:id="81" w:name="_Toc16938590"/>
      <w:r/>
      <w:bookmarkStart w:id="82" w:name="_Toc462564139"/>
      <w:r/>
      <w:bookmarkStart w:id="83" w:name="_Toc479757211"/>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建设目标</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南京鼓楼医院</w:t>
      </w:r>
      <w:r>
        <w:rPr>
          <w:rFonts w:hint="eastAsia" w:ascii="宋体" w:hAnsi="宋体" w:eastAsia="宋体" w:cs="Times New Roman"/>
          <w:color w:val="000000"/>
          <w:sz w:val="24"/>
          <w:szCs w:val="24"/>
          <w:highlight w:val="none"/>
          <w:lang w:val="en-US" w:eastAsia="zh-CN"/>
        </w:rPr>
        <w:t xml:space="preserve">建设一套适用于临床干细胞中心的信息化管理系统，实现物料、临床组织样本、细胞制品、细胞库、人员、设备、环境、质控、出入库、运输交接及临床使用全过程可追溯管理。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总体建设要求</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系统应支持三甲医院临床干细胞中心日常运行管理，包括物料管理、样品管理、细胞库管理、人员管理、制备过程管理、质控管理、设备环境管理、运输交接管理、质量事件管理和统计报表管理。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系统应建立统一编码体系，对患者</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供者、临床组织样本、分离批次、细胞制品、物料、设备、人员、库位和流程记录进行唯一标识。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系统应支持全过程追溯，可根据患者、样本编号、分离批次、制品编号、物料批号、设备编号、人员、时间、项目等维度进行正向追踪和反向追溯。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系统应支持多院区管理，不同院区数据可独立管理，中心管理部门可按权限进行统一监管、统计和审计。</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系统应支持电子记录、电子签名、审计追踪、权限控制、数据备份和安全管理。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t xml:space="preserve">符合CNAS/ISO20387和ISO17025的样本库质量管理理念，为临床干细胞中心顺利通过CNAS评审和长期运营提供良好的软件平台支撑。</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85"/>
        <w:tblW w:w="511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7"/>
        <w:gridCol w:w="2463"/>
        <w:gridCol w:w="997"/>
        <w:gridCol w:w="911"/>
        <w:gridCol w:w="1412"/>
        <w:gridCol w:w="2055"/>
        <w:gridCol w:w="1376"/>
      </w:tblGrid>
      <w:tr>
        <w:trPr>
          <w:trHeight w:val="495"/>
        </w:trPr>
        <w:tc>
          <w:tcPr>
            <w:tcW w:w="38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23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9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07" w:type="dxa"/>
            <w:vAlign w:val="center"/>
            <w:textDirection w:val="lrTb"/>
            <w:noWrap w:val="false"/>
          </w:tcPr>
          <w:p>
            <w:pPr>
              <w:pStyle w:val="867"/>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0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68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38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233" w:type="dxa"/>
            <w:vAlign w:val="center"/>
            <w:textDirection w:val="lrTb"/>
            <w:noWrap w:val="false"/>
          </w:tcPr>
          <w:p>
            <w:pPr>
              <w:pStyle w:val="867"/>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干细胞管理信息系统</w:t>
            </w:r>
            <w:r>
              <w:rPr>
                <w:rFonts w:hint="eastAsia" w:ascii="宋体" w:hAnsi="宋体" w:eastAsia="宋体" w:cs="Times New Roman"/>
                <w:bCs/>
                <w:color w:val="000000"/>
                <w:sz w:val="24"/>
                <w:szCs w:val="24"/>
                <w:highlight w:val="none"/>
              </w:rPr>
            </w:r>
            <w:r/>
          </w:p>
        </w:tc>
        <w:tc>
          <w:tcPr>
            <w:tcW w:w="49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45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70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10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8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86" w:name="_Toc120614281"/>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1、基础数据、患者/供者与系统管理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★（1）支持院区、科室、实验室、库房、液氮罐、冰箱、货架、冻存盒、孔位、物料目录、样本类型、检测项目、制备工艺、流程模板、标签模板等基础数据维护，支持定期备份。</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▲（2）支持用户、角色、权限、流程、编码规则、标签模板、日志、备份、接口配置管理。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系统应支持业务人员完成患者/供者档案的新增、编辑维护操作及附件管理功能，支持多维度数据导出功能，可自定义选择导出表头与数据内容，可精细化配置患者/供者资料查看权限，严格保障患者/供者信息数据安全。</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（4）系统应支持单患者/供者关联多条业务订单及多项运输任务，满足多业务场景关联管理需求。</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2、样品全流程管理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以多种临床组织样本为主要管理对象，覆盖登记、采集、运输、接收、分离、路径选择、回输衔接、冻存复苏和异常处置全过程。</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应以临床组织样本为核心管理对象，实现多种样本采集、运输、接收、分离提取、分离后处置路径、回输衔接的全流程业务管控与完整记录，重点覆盖临床组织样本经细胞分离提取后直接回输、经培养/分选/扩增后回输、冻存后依据申请复苏使用等多类业务路径，并支持组织样本与患者/供者、临床科室、治疗申请、知情同意、项目编号及采集记录建立关联关系。</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系统应支持组织样本唯一编码管理，支持条码/二维码标签打印，标签内容应包括样本编号、患者/供者标识、样本类型、采集时间、项目编号等。样本在接收、分离、流转、交接、出库等关键节点均可通过扫码确认。</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（3）采集信息管理：支持记录采集方式、采集量、组织重量/体积、采集容器、保存液、抗凝剂、样本外观、知情同意或治疗申请关联信息。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（4）系统应支持样本运输交接管理，记录离体时间、送达时间、运输时长、运输温度、运输容器、封签编号及交接双方信息。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（5）系统应支持样本接收验收管理，对标签一致性、容器完整性、样本量、样本外观、运输条件、送达时限等进行记录和判定。</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（6）系统应支持细胞分离提取过程记录，包括分离批次、分离方法、操作人员、复核人员、使用试剂耗材、关键设备、分离开始时间、结束时间、关键工艺参数等，操作完成后能加入电子签章并提交复核。</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7）系统应支持分离完成后的路径选择：分离后直接回输患者体内；分离后进入培养、分选、扩增流程，再回输患者体内；分离或制备后进入冻存，后续根据临床申请复苏后使用；因质量、数量、污染、申请取消等原因终止或销毁。</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（8）系统应支持样本状态全过程管理，所有状态变化均应记录操作者、操作时间、变化原因和关联单据。</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（9）系统应支持异常样本处理，包括送达超时、温度异常、标签不符、容器破损、样本量不足、污染疑似、分离失败、细胞活率不足等情况登记、评估、审批和处置。</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（10）系统应支持样本全过程追溯，可从患者/供者追溯到组织样本、分离批次、培养扩增批次、冻存批次、复苏记录、出库记录和回输记录；也可从任一分离批次反查原始组织样本和患者来源。</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3、制备全流程管理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应支持制备工艺（SOP）的自定义配置，包括但不限于原料、物料、设备、场地、产物、检测等信息，需提供灵活的表单设计工具，包含但不限于输入框、选择器、时间选择器、附件上传等控件，支持定义默认数据以节省填写时间，双人复核、电子签名，打印。</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（2）细胞分离提取管理：支持基于组织样本建立细胞分离提取记录，记录分离批次、分离方法、使用物料、关键设备、操作人员、分离时间、过程参数和分离结果等。</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（3）分离结果记录：支持记录分离后细胞总数、细胞浓度、细胞活率、外观观察、初步质控结果等以及是否进入下一步处理。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（4）对于分离后直接回输的样本，系统应支持生成待回输记录，并关联质控确认、放行审批、出库交接、临床接收及回输记录。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（5）对于需培养、分选、扩增后回输的样本，系统应支持将样本分离结果流转至制备过程管理模块，形成后续制备批次，并保留原始组织样本与制备批次之间的追溯关系。</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（6）对于需冻存备用的样本或细胞制品，系统应支持与细胞库管理模块衔接，将分离或制备后的细胞转入细胞库管理模块，记录冻存批次、冻存管数量、冻存位置、冻存时间及后续复苏使用申请。</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（7）复苏使用衔接：对已冻存样本或细胞制品，应支持根据临床申请进行复苏使用，并关联复苏申请、复苏记录、复苏后质控和回输记录。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8）系统应支持统一的制备任务台账管理，所有制备任务在台账中集中管理，可通过制备类型、制备状态等快速筛选相应任务，查看任务明细。制备任务明细应以分类明确、直观的形式展示，包括基础信息、负责人信息、生产工序进度、任务动态、原料使用情况、产物收获情况、质检信息、任务问题信息及附件等，保证信息易读性和可追溯性。</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9）系统应支持制备任务池的管理，通过任务池统一管理尚未分配的制备任务。操作人员只能看到自己有资质操作的任务。管理人员可将任务分配给相应人员，系统会提供有资质承接人员的近期任务量供决策参考。</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▲（10）系统应支持完整的制备全流程管理，包括原料申请、扫码开启、制备准备清单、制备任务操作导航、制备工艺操作指导、制备记录填写等流程。</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（11）系统应支持在制备过程中记录原料使用、物料使用、设备使用、区域房间使用、产物生成、发起送检、产物交付等，这些操作与系统其他业务关联，实现各平台业务联动和生产信息追溯。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（12）系统应支持操作日志的自动记录，记录所有操作人员的填写、修改等动作，详细记录操作时间、人员、项目及内容，达到替代纸质记录的效力。</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13）系统应支持制备任务的复核与审核流程，支持在复核和审核环节对制备任务进行驳回，可由操作人员修改后重新提交；制备任务结束后，系统自动形成制备原始记录，内容包括数据记录、日志、原料、产物、检测、审批情况，所有审批人员均携带电子签章，确保记录效力，记录永久保存在系统内，随时可以下载可打印，原始记录需满足不可篡改的要求。</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4、质量控制与质量保证</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★（1）系统应支持检测方案与报告的自定义</w:t>
      </w:r>
      <w:r>
        <w:rPr>
          <w:rFonts w:hint="eastAsia" w:ascii="宋体" w:hAnsi="宋体" w:eastAsia="宋体" w:cs="Times New Roman"/>
          <w:color w:val="000000"/>
          <w:sz w:val="24"/>
          <w:szCs w:val="24"/>
          <w:highlight w:val="none"/>
          <w:lang w:val="en-US" w:eastAsia="zh-CN"/>
        </w:rPr>
        <w:t xml:space="preserve">配置及更新，可针对不同检测项目配置对应的执行方案与报告形式，检测执行过程按照既定方案开展；方案配置包含准备清单与原始记录单，可为各检测项目配置准备清单用于自查核对，同时提供灵活的表单设计工具用于各项目原始记录单设计并支持默认数据定义，覆盖取样、送检、检测项目配置、检测结果录入/回传、结果复核、放行审批、不合格处理、报告归档全业务环节；系统需支持电子记录与电子签名，对关键操作完整记录操作者、操作时间、操作内容及操作原因，并具备完整审计追踪功能，对新增、修改、删除、审批、导出、打印、登录等操作行为进行留痕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（2）关键业务数据不得物理删除，应支持作废、冻结、归档等状态管理。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▲（3）系统应支持偏差、CAPA、变更、OOS/OOT、不合格品处理等质量流程的记录。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（4）系统应支持监管检查所需报表和追溯报告一键导出。</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（5）系统应支持送检单管理，统一管理所有送检单，可按任务状态、类型等快速筛选查找。系统自动生成送检单并可打印，同时根据送检单下的质检任务生成检测报告。</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（6）收检：由固定权限人员完成收检，核对检品与送检单信息，决定是否接收送检任务。被驳回的送检任务可修改后重新发起。</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（7）检测任务执行：具体检测项目操作分为核查、操作两个阶段。核查阶段通过清单自查质检前的准备动作；操作阶段根据系统提供的SOP提示参照执行，并按预设数据记录表填写实验数据。</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（8）系统应支持内检和外检流程，内检流程用于实验室内部检测，外检流程适用于检验科及第三方委外检测。</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▲（9）系统应支持质量保证管理流程，支持对样本、物料、细胞、制剂的放行流程。</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5、细胞库与核心追溯管理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应支持细胞制品入库、冻存位置管理、液氮罐管理、冻存盒管理、孔位图管理、复苏、发放、回库、盘点及容量预警，实现细胞制品与患者/供者、组织样本、分离批次、制备批次、质控结果、放行记录的关联绑定，并支持按照制品编号、批号、项目、患者、院区、库位开展快速检索。</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（2）支持液氮罐、冰箱、冻存架、冻存盒、孔位多级库位管理，支持对不同容器进行库区、样本类型限制等属性配置，也可进行区域、冻存架结构等内部结构设置。</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（3）支持二维库位图展示，可查看占用、空闲、冻结、异常状态。</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（4）支持液氮罐容量预警、温度/液位异常提醒。</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（5）细胞制品信息管理：制备批号、工艺版本、关键物料、设备、人员、质控结果、放行结论、冻存位置、发放记录。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系统应支持根据细胞按批次收获的特点，系统支持按生产批次多份数登记，可一次性完成多批次大批量的细胞登记工作；支持多种信息录入模式，包括手动键盘录入、扫预置码录入、整盒扫描录入，可根据现场硬件设备自主选择。</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6、物料、设备与环境管理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★（1）支持物料采购、到货验收、入库、领用、退库、移库、盘点、报废、效期预警、批号追溯、供应商资质、COA附件管理。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（2）支持物料分类管理，包括试剂、耗材、包装材料、一次性用品等。</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（3）支持供应商档案、资质文件、有效期、审核状态管理。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（4）支持到货验收、入库审批、批号管理、效期管理、储存条件管理。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（5）支持按用途进行物料领用，近效期优先、库存下限预警、过期锁定。</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（6）支持物料与样本、分离批次、制备批次、质控记录建立关联。</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（7）支持物料出入库流水、库存台账、批号追溯报告导出。物料信息管理：供应商、批号、效期、COA、入库、领用、关联批记录、剩余库存、使用去向。</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8）系统应实现设备信息管理，涵盖设备编号、校准状态、使用记录、维护记录、报警记录及上传记录；同时支持房间巡检信息在线记录，可自定义巡检点，覆盖温度、湿度、压差等监控数据，并支持对接智能监控设备。</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（9）支持设备台账、校准、维护、验证、清洁、故障、温湿度、液氮液位、报警记录和处置闭环。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▲（10）系统应支持物料入库后的请检流程，关联至质量模块进行质量检测和质量放行，只有检测合格和已放行的物料才能参与制备、检测任务。</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7、状态流转及运输交接</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（1）状态流转管理：支持已采集、运输中、已接收、待分离、分离中、分离完成、待直接回输、转培养扩增、转冻存、已回输、已终止、已销毁等状态。</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系统应支持样本由临床科室向干细胞中心、生物制剂由干细胞中心向临床科室进行运输交接业务，支持运输单在线打印，系统可完整留存交接双方人员、交接时间、运输容器、冷链条件、运输温度记录、封签编号、送达时间、运输时长、异常记录等关键信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8、人员权限、报表与审计管理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应实现人员全生命周期管理，支持维护人员所属院区、科室、岗位、职称、联系方式等基础档案信息，完成培训记录、考核结果、岗位授权、操作资质及资质有效期管理，实现岗位角色授权管控，可对角色权限、数据权限、院区权限、项目权限、审批权限进行分级配置，关键操作支持双人复核与电子签名，并具备完整审计追踪能力，对登录、新增、修改、删除、审批、导出、打印等全部人员操作行为完整留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（2）报表与数据导出管理：支持库存台账、样本流转、细胞库库存、批记录、质控结果、追溯报告、审计记录、报警记录等数据导出，可一键输出监管检查所需报表及追溯报告。</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9、接口扩展、系统安全与预警风险</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（1）预留接口，为后续连接 HIS/EMR、LIS 升级准备。</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▲（2）统一身份认证：支持医院账号体系、单点登录、LDAP/AD 等方式。</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（3）支持OA/审批平台对接，实现审批流、待办、消息提醒。</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（4）支持脱敏数据导出，展示和科研项目数据管理。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（5）系统应支持系统异常日志、接口日志、操作日志查询和导出。系统应支持账号密码策略、登录失败锁定、会话超时、权限分级等安全管控。</w:t>
      </w:r>
      <w:r>
        <w:rPr>
          <w:rFonts w:hint="eastAsia" w:ascii="黑体" w:hAnsi="黑体" w:eastAsia="黑体" w:cs="黑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①供应商提供的系统能够根据采购人实际需求与医院各院区所有信息系统、集成</w:t>
      </w:r>
      <w:r>
        <w:rPr>
          <w:rFonts w:hint="eastAsia" w:ascii="宋体" w:hAnsi="宋体" w:eastAsia="宋体" w:cs="Times New Roman"/>
          <w:color w:val="000000"/>
          <w:sz w:val="24"/>
          <w:szCs w:val="24"/>
          <w:highlight w:val="none"/>
          <w:lang w:val="en-US" w:eastAsia="zh-CN"/>
        </w:rPr>
        <w:t xml:space="preserve">平台做对接及集成（对接人：朱工；联系电话：025-83106666转60618）。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color w:val="000000"/>
          <w:sz w:val="24"/>
          <w:szCs w:val="24"/>
          <w:highlight w:val="none"/>
          <w:lang w:val="en-US" w:eastAsia="zh-CN"/>
        </w:rPr>
      </w:r>
      <w:r/>
    </w:p>
    <w:p>
      <w:pPr>
        <w:pStyle w:val="867"/>
        <w:ind w:left="479" w:firstLine="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②本章中所列技术要求为医院项目初步需求，具体需求以国家最新政策标准为准。</w:t>
      </w:r>
      <w:r>
        <w:rPr>
          <w:rFonts w:hint="eastAsia" w:ascii="宋体" w:hAnsi="宋体" w:eastAsia="宋体" w:cs="Times New Roman"/>
          <w:color w:val="000000"/>
          <w:sz w:val="24"/>
          <w:szCs w:val="24"/>
          <w:highlight w:val="none"/>
          <w:lang w:val="en-US" w:eastAsia="zh-CN"/>
        </w:rPr>
      </w:r>
      <w:r/>
    </w:p>
    <w:p>
      <w:pPr>
        <w:pStyle w:val="867"/>
        <w:ind w:left="479" w:firstLine="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运维期：供应商应确保本次采购所有项目的安全稳定运行，提供3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⑤本采购项目出保后每年的维护费不超过合同总金额的5%。</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⑥运维期内供应商提供的系统软件升级，保证采购人使用最新版本软件。运维期满后软件版本内终身升级。</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⑦提供本系统故障上门解决、排除服务。服务响应及到达现场的时间：2小时内响应，紧急情况下24小时内安排技术工程师上门服务，上述费用包含在报价中。</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⑧提供每季度一次的系统巡检服务，在应用系统出现初期故障征兆时，即能及时解决问题，最大限度保证系统正常高效运行。</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⑨根据需要随时为医院相关人员提供产品功能和使用培训，确保工作人员熟练掌握样本库管理系统软件的应用及基本的运维知识。</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⑩针对采购人提出的一些针对本系统软件的合理的功能微调，若当前软件本身能够解决的，需予以解决。</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⑪定期对本系统进行分析，并及时针对科室干细胞管理的实际工作需求提供系统优化扩展方案。</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①项目经理：1人，不得兼任其他岗位。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③开发实施人员：不少于3人，项目开发期间须提供至少1人驻场服务。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④项目组所有人员必须为供应商正式工作人员，不得兼任其他项目工作，未经采购人同意，人员不得更换。</w:t>
      </w:r>
      <w:r>
        <w:rPr>
          <w:rFonts w:hint="eastAsia" w:ascii="宋体" w:hAnsi="宋体" w:eastAsia="宋体" w:cs="Times New Roman"/>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⑤遵守医院的信息安全规定，对医院的网络、主机、系统软件、应用软件等的密码、核心参数、业务数据等负有保密责任，未经医院书面同意不得随意复制和传播。</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67"/>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ascii="宋体" w:hAnsi="宋体" w:eastAsia="宋体" w:cs="Times New Roman"/>
          <w:color w:val="000000"/>
          <w:sz w:val="24"/>
          <w:szCs w:val="24"/>
          <w:highlight w:val="none"/>
          <w:lang w:val="en-US" w:eastAsia="zh-CN"/>
        </w:rPr>
      </w:r>
      <w:r/>
    </w:p>
    <w:p>
      <w:pPr>
        <w:pStyle w:val="867"/>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（10）系统培训要求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rPr>
          <w:rFonts w:hint="eastAsia" w:ascii="宋体" w:hAnsi="宋体" w:eastAsia="宋体" w:cs="Times New Roman"/>
          <w:color w:val="000000"/>
          <w:sz w:val="24"/>
          <w:szCs w:val="24"/>
          <w:highlight w:val="none"/>
          <w:lang w:val="en-US" w:eastAsia="zh-CN"/>
        </w:rPr>
      </w:r>
      <w:r/>
    </w:p>
    <w:p>
      <w:pPr>
        <w:pStyle w:val="867"/>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（11）网络安全和数据安全要求，外包网络安全管理要求</w:t>
      </w:r>
      <w:r>
        <w:rPr>
          <w:rFonts w:hint="eastAsia" w:ascii="宋体" w:hAnsi="宋体" w:eastAsia="宋体" w:cs="Times New Roman"/>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合同签订后30天内完成系统开发及整体交付验收工作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87"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7"/>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r>
      <w:r/>
    </w:p>
    <w:p>
      <w:pPr>
        <w:pStyle w:val="879"/>
        <w:numPr>
          <w:ilvl w:val="0"/>
          <w:numId w:val="0"/>
        </w:numPr>
        <w:jc w:val="both"/>
        <w:spacing w:after="0" w:line="264" w:lineRule="auto"/>
        <w:widowControl w:val="off"/>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879"/>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color w:val="000000"/>
          <w:sz w:val="24"/>
          <w:szCs w:val="24"/>
          <w:highlight w:val="none"/>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b/>
          <w:bCs/>
          <w:color w:val="0000ff"/>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w:t>
      </w:r>
      <w:r>
        <w:rPr>
          <w:rFonts w:hint="eastAsia" w:ascii="宋体" w:hAnsi="宋体" w:eastAsia="宋体" w:cs="宋体"/>
          <w:sz w:val="24"/>
          <w:szCs w:val="24"/>
          <w:highlight w:val="none"/>
        </w:rPr>
        <w:t xml:space="preserve">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b/>
          <w:bCs/>
          <w:color w:val="0000ff"/>
          <w:sz w:val="24"/>
          <w:szCs w:val="24"/>
          <w:highlight w:val="none"/>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ascii="宋体" w:hAnsi="宋体" w:eastAsia="宋体" w:cs="宋体"/>
                <w:highlight w:val="none"/>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rPr>
                <w:rFonts w:ascii="宋体" w:hAnsi="宋体" w:eastAsia="宋体" w:cs="宋体"/>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2"/>
                <w:highlight w:val="none"/>
              </w:rPr>
              <w:t xml:space="preserve">价格分</w:t>
            </w:r>
            <w:r>
              <w:rPr>
                <w:rFonts w:ascii="宋体" w:hAnsi="宋体" w:eastAsia="宋体" w:cs="宋体"/>
                <w:highlight w:val="none"/>
              </w:rPr>
            </w:r>
            <w:r/>
          </w:p>
        </w:tc>
        <w:tc>
          <w:tcPr>
            <w:tcW w:w="6330" w:type="dxa"/>
            <w:vAlign w:val="center"/>
            <w:textDirection w:val="lrTb"/>
            <w:noWrap w:val="false"/>
          </w:tcPr>
          <w:p>
            <w:pPr>
              <w:pStyle w:val="867"/>
              <w:jc w:val="left"/>
              <w:spacing w:line="264" w:lineRule="auto"/>
              <w:rPr>
                <w:rFonts w:hint="eastAsia" w:ascii="宋体" w:hAnsi="宋体" w:eastAsia="宋体" w:cs="宋体"/>
                <w:szCs w:val="22"/>
                <w:highlight w:val="none"/>
                <w:lang w:val="en-US" w:eastAsia="zh-CN"/>
              </w:rPr>
            </w:pPr>
            <w:r>
              <w:rPr>
                <w:rFonts w:hint="eastAsia" w:ascii="宋体" w:hAnsi="宋体" w:eastAsia="宋体" w:cs="宋体"/>
                <w:spacing w:val="0"/>
                <w:szCs w:val="22"/>
                <w:highlight w:val="none"/>
              </w:rPr>
              <w:t xml:space="preserve">采用低价优先</w:t>
            </w:r>
            <w:r>
              <w:rPr>
                <w:rFonts w:hint="eastAsia" w:ascii="宋体" w:hAnsi="宋体" w:eastAsia="宋体" w:cs="宋体"/>
                <w:szCs w:val="22"/>
                <w:highlight w:val="none"/>
              </w:rPr>
              <w:t xml:space="preserve">法计算</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即满足</w:t>
            </w:r>
            <w:r>
              <w:rPr>
                <w:rFonts w:hint="eastAsia" w:ascii="宋体" w:hAnsi="宋体" w:eastAsia="宋体" w:cs="宋体"/>
                <w:szCs w:val="22"/>
                <w:highlight w:val="none"/>
                <w:lang w:eastAsia="zh-CN"/>
              </w:rPr>
              <w:t xml:space="preserve">磋商文件</w:t>
            </w:r>
            <w:r>
              <w:rPr>
                <w:rFonts w:hint="eastAsia" w:ascii="宋体" w:hAnsi="宋体" w:eastAsia="宋体" w:cs="宋体"/>
                <w:szCs w:val="22"/>
                <w:highlight w:val="none"/>
              </w:rPr>
              <w:t xml:space="preserve">要求且</w:t>
            </w:r>
            <w:r>
              <w:rPr>
                <w:rFonts w:hint="eastAsia" w:ascii="宋体" w:hAnsi="宋体" w:eastAsia="宋体" w:cs="宋体"/>
                <w:szCs w:val="22"/>
                <w:highlight w:val="none"/>
                <w:lang w:eastAsia="zh-CN"/>
              </w:rPr>
              <w:t xml:space="preserve">最终报价</w:t>
            </w:r>
            <w:r>
              <w:rPr>
                <w:rFonts w:hint="eastAsia" w:ascii="宋体" w:hAnsi="宋体" w:eastAsia="宋体" w:cs="宋体"/>
                <w:szCs w:val="22"/>
                <w:highlight w:val="none"/>
              </w:rPr>
              <w:t xml:space="preserve">最低的</w:t>
            </w:r>
            <w:r>
              <w:rPr>
                <w:rFonts w:hint="eastAsia" w:ascii="宋体" w:hAnsi="宋体" w:eastAsia="宋体" w:cs="宋体"/>
                <w:szCs w:val="22"/>
                <w:highlight w:val="none"/>
                <w:lang w:eastAsia="zh-CN"/>
              </w:rPr>
              <w:t xml:space="preserve">供应商</w:t>
            </w:r>
            <w:r>
              <w:rPr>
                <w:rFonts w:hint="eastAsia" w:ascii="宋体" w:hAnsi="宋体" w:eastAsia="宋体" w:cs="宋体"/>
                <w:spacing w:val="0"/>
                <w:szCs w:val="22"/>
                <w:highlight w:val="none"/>
              </w:rPr>
              <w:t xml:space="preserve">报价为评</w:t>
            </w:r>
            <w:r>
              <w:rPr>
                <w:rFonts w:hint="eastAsia"/>
                <w:highlight w:val="none"/>
                <w:lang w:val="en-US" w:eastAsia="zh-CN"/>
              </w:rPr>
              <w:t xml:space="preserve">审</w:t>
            </w:r>
            <w:r>
              <w:rPr>
                <w:rFonts w:hint="eastAsia" w:ascii="宋体" w:hAnsi="宋体" w:eastAsia="宋体" w:cs="宋体"/>
                <w:spacing w:val="0"/>
                <w:szCs w:val="22"/>
                <w:highlight w:val="none"/>
              </w:rPr>
              <w:t xml:space="preserve">基准</w:t>
            </w:r>
            <w:r>
              <w:rPr>
                <w:rFonts w:hint="eastAsia" w:ascii="宋体" w:hAnsi="宋体" w:eastAsia="宋体" w:cs="宋体"/>
                <w:szCs w:val="22"/>
                <w:highlight w:val="none"/>
              </w:rPr>
              <w:t xml:space="preserve">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其价格分为满分。其他</w:t>
            </w:r>
            <w:r>
              <w:rPr>
                <w:rFonts w:hint="eastAsia" w:ascii="宋体" w:hAnsi="宋体" w:eastAsia="宋体" w:cs="宋体"/>
                <w:szCs w:val="22"/>
                <w:highlight w:val="none"/>
                <w:lang w:eastAsia="zh-CN"/>
              </w:rPr>
              <w:t xml:space="preserve">供应商</w:t>
            </w:r>
            <w:r>
              <w:rPr>
                <w:rFonts w:hint="eastAsia" w:ascii="宋体" w:hAnsi="宋体" w:eastAsia="宋体" w:cs="宋体"/>
                <w:szCs w:val="22"/>
                <w:highlight w:val="none"/>
              </w:rPr>
              <w:t xml:space="preserve">的价格分统一按</w:t>
            </w:r>
            <w:r>
              <w:rPr>
                <w:rFonts w:hint="eastAsia" w:ascii="宋体" w:hAnsi="宋体" w:eastAsia="宋体" w:cs="宋体"/>
                <w:spacing w:val="0"/>
                <w:szCs w:val="22"/>
                <w:highlight w:val="none"/>
              </w:rPr>
              <w:t xml:space="preserve">照下列公</w:t>
            </w:r>
            <w:r>
              <w:rPr>
                <w:rFonts w:hint="eastAsia" w:ascii="宋体" w:hAnsi="宋体" w:eastAsia="宋体" w:cs="宋体"/>
                <w:szCs w:val="22"/>
                <w:highlight w:val="none"/>
              </w:rPr>
              <w:t xml:space="preserve">式计算：报价得分=</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评</w:t>
            </w:r>
            <w:r>
              <w:rPr>
                <w:rFonts w:hint="eastAsia"/>
                <w:highlight w:val="none"/>
                <w:lang w:val="en-US" w:eastAsia="zh-CN"/>
              </w:rPr>
              <w:t xml:space="preserve">审</w:t>
            </w:r>
            <w:r>
              <w:rPr>
                <w:rFonts w:hint="eastAsia" w:ascii="宋体" w:hAnsi="宋体" w:eastAsia="宋体" w:cs="宋体"/>
                <w:szCs w:val="22"/>
                <w:highlight w:val="none"/>
              </w:rPr>
              <w:t xml:space="preserve">基准价/</w:t>
            </w:r>
            <w:r>
              <w:rPr>
                <w:rFonts w:hint="eastAsia" w:ascii="宋体" w:hAnsi="宋体" w:eastAsia="宋体" w:cs="宋体"/>
                <w:szCs w:val="22"/>
                <w:highlight w:val="none"/>
                <w:lang w:eastAsia="zh-CN"/>
              </w:rPr>
              <w:t xml:space="preserve">最终</w:t>
            </w:r>
            <w:r>
              <w:rPr>
                <w:rFonts w:hint="eastAsia" w:ascii="宋体" w:hAnsi="宋体" w:eastAsia="宋体" w:cs="宋体"/>
                <w:szCs w:val="22"/>
                <w:highlight w:val="none"/>
              </w:rPr>
              <w:t xml:space="preserve">报价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价格分值（小数点保留两位）</w:t>
            </w:r>
            <w:r>
              <w:rPr>
                <w:rFonts w:hint="eastAsia" w:ascii="宋体" w:hAnsi="宋体" w:eastAsia="宋体" w:cs="宋体"/>
                <w:szCs w:val="22"/>
                <w:highlight w:val="none"/>
                <w:lang w:val="en-US" w:eastAsia="zh-CN"/>
              </w:rPr>
            </w:r>
            <w:r/>
          </w:p>
          <w:p>
            <w:pPr>
              <w:pStyle w:val="867"/>
              <w:jc w:val="left"/>
              <w:spacing w:line="264" w:lineRule="auto"/>
              <w:rPr>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w:t>
            </w:r>
            <w:r>
              <w:rPr>
                <w:rFonts w:hint="eastAsia" w:ascii="宋体" w:hAnsi="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hint="eastAsia"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Times New Roman" w:hAnsi="Times New Roman" w:eastAsia="宋体" w:cs="Times New Roman"/>
                <w:color w:val="000000"/>
                <w:highlight w:val="none"/>
                <w:lang w:val="en-US" w:eastAsia="zh-CN"/>
              </w:rPr>
              <w:t xml:space="preserve">产品技术参数</w:t>
            </w:r>
            <w:r>
              <w:rPr>
                <w:rFonts w:hint="eastAsia" w:ascii="宋体" w:hAnsi="宋体" w:eastAsia="宋体" w:cs="宋体"/>
                <w:color w:val="000000"/>
                <w:spacing w:val="-2"/>
                <w:highlight w:val="none"/>
                <w:lang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 xml:space="preserve">产品</w:t>
            </w:r>
            <w:r>
              <w:rPr>
                <w:rFonts w:ascii="宋体" w:hAnsi="宋体" w:eastAsia="宋体" w:cs="宋体"/>
                <w:color w:val="000000"/>
                <w:sz w:val="21"/>
                <w:szCs w:val="21"/>
                <w:highlight w:val="none"/>
                <w:lang w:val="en-US" w:eastAsia="zh-CN" w:bidi="ar-SA"/>
              </w:rPr>
              <w:t xml:space="preserve">技术参数全部满足</w:t>
            </w:r>
            <w:r>
              <w:rPr>
                <w:rFonts w:hint="eastAsia" w:ascii="宋体" w:hAnsi="宋体" w:eastAsia="宋体" w:cs="宋体"/>
                <w:color w:val="000000"/>
                <w:sz w:val="21"/>
                <w:szCs w:val="21"/>
                <w:highlight w:val="none"/>
                <w:lang w:val="en-US" w:eastAsia="zh-CN" w:bidi="ar-SA"/>
              </w:rPr>
              <w:t xml:space="preserve">磋商文件技术</w:t>
            </w:r>
            <w:r>
              <w:rPr>
                <w:rFonts w:ascii="宋体" w:hAnsi="宋体" w:eastAsia="宋体" w:cs="宋体"/>
                <w:color w:val="000000"/>
                <w:sz w:val="21"/>
                <w:szCs w:val="21"/>
                <w:highlight w:val="none"/>
                <w:lang w:val="en-US" w:eastAsia="zh-CN" w:bidi="ar-SA"/>
              </w:rPr>
              <w:t xml:space="preserve">要求的得满分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打★指标为必须满足项，如有负偏离将作为无效</w:t>
            </w:r>
            <w:r>
              <w:rPr>
                <w:rFonts w:hint="eastAsia" w:ascii="宋体" w:hAnsi="宋体" w:eastAsia="宋体" w:cs="宋体"/>
                <w:color w:val="000000"/>
                <w:sz w:val="21"/>
                <w:szCs w:val="21"/>
                <w:highlight w:val="none"/>
                <w:shd w:val="clear" w:color="ffffff" w:themeColor="background1" w:fill="ffffff" w:themeFill="background1"/>
                <w:lang w:val="en-US" w:eastAsia="zh-CN" w:bidi="ar-SA"/>
              </w:rPr>
              <w:t xml:space="preserve">响</w:t>
            </w:r>
            <w:r>
              <w:rPr>
                <w:rFonts w:hint="eastAsia" w:ascii="宋体" w:hAnsi="宋体" w:eastAsia="宋体" w:cs="宋体"/>
                <w:color w:val="000000"/>
                <w:sz w:val="21"/>
                <w:szCs w:val="21"/>
                <w:highlight w:val="none"/>
                <w:lang w:val="en-US" w:eastAsia="zh-CN" w:bidi="ar-SA"/>
              </w:rPr>
              <w:t xml:space="preserve">应，</w:t>
            </w:r>
            <w:r>
              <w:rPr>
                <w:rFonts w:ascii="宋体" w:hAnsi="宋体" w:eastAsia="宋体" w:cs="宋体"/>
                <w:color w:val="000000"/>
                <w:sz w:val="21"/>
                <w:szCs w:val="21"/>
                <w:highlight w:val="none"/>
                <w:lang w:val="en-US" w:eastAsia="zh-CN" w:bidi="ar-SA"/>
              </w:rPr>
              <w:t xml:space="preserve">打▲</w:t>
            </w:r>
            <w:r>
              <w:rPr>
                <w:rFonts w:hint="eastAsia" w:ascii="宋体" w:hAnsi="宋体" w:eastAsia="宋体" w:cs="宋体"/>
                <w:color w:val="000000"/>
                <w:sz w:val="21"/>
                <w:szCs w:val="21"/>
                <w:highlight w:val="none"/>
                <w:lang w:val="en-US" w:eastAsia="zh-CN" w:bidi="ar-SA"/>
              </w:rPr>
              <w:t xml:space="preserve">（8项）</w:t>
            </w:r>
            <w:r>
              <w:rPr>
                <w:rFonts w:ascii="宋体" w:hAnsi="宋体" w:eastAsia="宋体" w:cs="宋体"/>
                <w:color w:val="000000"/>
                <w:sz w:val="21"/>
                <w:szCs w:val="21"/>
                <w:highlight w:val="none"/>
                <w:lang w:val="en-US" w:eastAsia="zh-CN" w:bidi="ar-SA"/>
              </w:rPr>
              <w:t xml:space="preserve">指标为重要指标，</w:t>
            </w:r>
            <w:r>
              <w:rPr>
                <w:rFonts w:hint="eastAsia" w:ascii="宋体" w:hAnsi="宋体" w:eastAsia="宋体" w:cs="宋体"/>
                <w:color w:val="000000"/>
                <w:sz w:val="21"/>
                <w:szCs w:val="21"/>
                <w:highlight w:val="none"/>
                <w:lang w:val="en-US" w:eastAsia="zh-CN" w:bidi="ar-SA"/>
              </w:rPr>
              <w:t xml:space="preserve">有1项负偏离扣1.5分，其余指标有1项负偏离扣0.2分。</w:t>
            </w:r>
            <w:r>
              <w:rPr>
                <w:rFonts w:hint="eastAsia" w:ascii="宋体" w:hAnsi="宋体" w:eastAsia="宋体" w:cs="宋体"/>
                <w:color w:val="000000"/>
                <w:sz w:val="21"/>
                <w:szCs w:val="21"/>
                <w:highlight w:val="none"/>
                <w:lang w:val="en-US"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lang w:eastAsia="zh-CN"/>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highlight w:val="none"/>
              </w:rPr>
            </w:pPr>
            <w:r>
              <w:rPr>
                <w:rFonts w:hint="eastAsia" w:ascii="Times New Roman" w:hAnsi="Times New Roman" w:eastAsia="宋体" w:cs="Times New Roman"/>
                <w:color w:val="000000"/>
                <w:sz w:val="21"/>
                <w:szCs w:val="21"/>
                <w:highlight w:val="none"/>
                <w:lang w:val="en-US" w:eastAsia="zh-CN"/>
              </w:rPr>
              <w:t xml:space="preserve">需求理解</w:t>
            </w:r>
            <w:r>
              <w:rPr>
                <w:rFonts w:hint="eastAsia" w:ascii="Times New Roman" w:hAnsi="Times New Roman" w:eastAsia="宋体" w:cs="Times New Roman"/>
                <w:color w:val="000000"/>
                <w:spacing w:val="0"/>
                <w:highlight w:val="none"/>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bidi="ar-SA"/>
              </w:rPr>
            </w:pPr>
            <w:r/>
            <w:bookmarkStart w:id="88" w:name="OLE_LINK5"/>
            <w:r>
              <w:rPr>
                <w:rFonts w:hint="eastAsia" w:ascii="宋体" w:hAnsi="宋体" w:eastAsia="宋体" w:cs="宋体"/>
                <w:color w:val="000000"/>
                <w:sz w:val="21"/>
                <w:szCs w:val="21"/>
                <w:highlight w:val="none"/>
                <w:lang w:val="en-US" w:bidi="ar-SA"/>
              </w:rPr>
              <w:t xml:space="preserve">根据本项目采购需求及相关要求编制方案，内容包含：1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bidi="ar-SA"/>
              </w:rPr>
              <w:t xml:space="preserve">业务需求分析；2.建设目标分析；3.建设依据、必要性分析。以上每项内容逐项评分：</w:t>
            </w:r>
            <w:r>
              <w:rPr>
                <w:rFonts w:hint="eastAsia" w:ascii="宋体" w:hAnsi="宋体" w:eastAsia="宋体" w:cs="宋体"/>
                <w:color w:val="000000"/>
                <w:sz w:val="21"/>
                <w:szCs w:val="21"/>
                <w:highlight w:val="none"/>
                <w:lang w:val="en-US" w:bidi="ar-SA"/>
              </w:rPr>
            </w:r>
            <w:r/>
          </w:p>
          <w:p>
            <w:pPr>
              <w:pStyle w:val="996"/>
              <w:rPr>
                <w:rFonts w:hint="eastAsia" w:ascii="宋体" w:hAnsi="宋体" w:eastAsia="宋体" w:cs="宋体"/>
                <w:color w:val="000000"/>
                <w:sz w:val="21"/>
                <w:szCs w:val="21"/>
                <w:highlight w:val="none"/>
                <w:lang w:val="en-US" w:bidi="ar-SA"/>
              </w:rPr>
            </w:pPr>
            <w:r/>
            <w:bookmarkEnd w:id="88"/>
            <w:r>
              <w:rPr>
                <w:rFonts w:hint="eastAsia" w:ascii="宋体" w:hAnsi="宋体" w:eastAsia="宋体" w:cs="宋体"/>
                <w:color w:val="000000"/>
                <w:sz w:val="21"/>
                <w:szCs w:val="21"/>
                <w:highlight w:val="none"/>
                <w:lang w:val="en-US" w:bidi="ar-SA"/>
              </w:rPr>
              <w:t xml:space="preserve">方案内容</w:t>
            </w:r>
            <w:r>
              <w:rPr>
                <w:rFonts w:ascii="宋体" w:hAnsi="宋体" w:eastAsia="宋体" w:cs="宋体"/>
                <w:color w:val="000000"/>
                <w:sz w:val="21"/>
                <w:szCs w:val="21"/>
                <w:highlight w:val="none"/>
                <w:lang w:val="en-US" w:eastAsia="zh-CN" w:bidi="ar-SA"/>
              </w:rPr>
              <w:t xml:space="preserve">完整深刻</w:t>
            </w:r>
            <w:r>
              <w:rPr>
                <w:rFonts w:hint="eastAsia" w:ascii="宋体" w:hAnsi="宋体" w:eastAsia="宋体" w:cs="宋体"/>
                <w:color w:val="000000"/>
                <w:sz w:val="21"/>
                <w:szCs w:val="21"/>
                <w:highlight w:val="none"/>
                <w:lang w:val="en-US" w:eastAsia="zh-CN" w:bidi="ar-SA"/>
              </w:rPr>
              <w:t xml:space="preserve">、具有可行性</w:t>
            </w:r>
            <w:r>
              <w:rPr>
                <w:rFonts w:hint="eastAsia" w:ascii="宋体" w:hAnsi="宋体" w:eastAsia="宋体" w:cs="宋体"/>
                <w:color w:val="000000"/>
                <w:sz w:val="21"/>
                <w:szCs w:val="21"/>
                <w:highlight w:val="none"/>
                <w:lang w:val="en-US" w:bidi="ar-SA"/>
              </w:rPr>
              <w:t xml:space="preserve">，且专门针对本项目，</w:t>
            </w:r>
            <w:r>
              <w:rPr>
                <w:rFonts w:hint="eastAsia" w:ascii="宋体" w:hAnsi="宋体" w:eastAsia="宋体" w:cs="宋体"/>
                <w:color w:val="000000"/>
                <w:sz w:val="21"/>
                <w:szCs w:val="21"/>
                <w:highlight w:val="none"/>
                <w:lang w:val="en-US" w:eastAsia="zh-CN" w:bidi="ar-SA"/>
              </w:rPr>
              <w:t xml:space="preserve">契合</w:t>
            </w:r>
            <w:r>
              <w:rPr>
                <w:rFonts w:hint="eastAsia" w:ascii="宋体" w:hAnsi="宋体" w:eastAsia="宋体" w:cs="宋体"/>
                <w:color w:val="000000"/>
                <w:sz w:val="21"/>
                <w:szCs w:val="21"/>
                <w:highlight w:val="none"/>
                <w:lang w:val="en-US" w:bidi="ar-SA"/>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bidi="ar-SA"/>
              </w:rPr>
              <w:t xml:space="preserve">契合采购需求</w:t>
            </w:r>
            <w:r>
              <w:rPr>
                <w:rFonts w:hint="eastAsia" w:ascii="宋体" w:hAnsi="宋体" w:eastAsia="宋体" w:cs="宋体"/>
                <w:color w:val="000000"/>
                <w:sz w:val="21"/>
                <w:szCs w:val="21"/>
                <w:highlight w:val="none"/>
                <w:lang w:val="en-US" w:bidi="ar-SA"/>
              </w:rPr>
              <w:t xml:space="preserve">视为部分符合；方案内容非专门针对本项目</w:t>
            </w:r>
            <w:r>
              <w:rPr>
                <w:rFonts w:hint="eastAsia" w:ascii="宋体" w:hAnsi="宋体" w:eastAsia="宋体" w:cs="宋体"/>
                <w:color w:val="000000"/>
                <w:sz w:val="21"/>
                <w:szCs w:val="21"/>
                <w:highlight w:val="none"/>
                <w:lang w:val="en-US" w:eastAsia="zh-CN" w:bidi="ar-SA"/>
              </w:rPr>
              <w:t xml:space="preserve">，脱离</w:t>
            </w:r>
            <w:r>
              <w:rPr>
                <w:rFonts w:hint="eastAsia" w:ascii="宋体" w:hAnsi="宋体" w:eastAsia="宋体" w:cs="宋体"/>
                <w:color w:val="000000"/>
                <w:sz w:val="21"/>
                <w:szCs w:val="21"/>
                <w:highlight w:val="none"/>
                <w:lang w:val="en-US" w:bidi="ar-SA"/>
              </w:rPr>
              <w:t xml:space="preserve">采购需求视为不符合。</w:t>
            </w:r>
            <w:r>
              <w:rPr>
                <w:rFonts w:hint="eastAsia" w:ascii="宋体" w:hAnsi="宋体" w:eastAsia="宋体" w:cs="宋体"/>
                <w:color w:val="000000"/>
                <w:sz w:val="21"/>
                <w:szCs w:val="21"/>
                <w:highlight w:val="none"/>
                <w:lang w:val="en-US" w:bidi="ar-SA"/>
              </w:rPr>
            </w:r>
            <w:r/>
          </w:p>
          <w:p>
            <w:pPr>
              <w:pStyle w:val="996"/>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bidi="ar-SA"/>
              </w:rPr>
              <w:t xml:space="preserve">上述每项内容符合得2分；部分符合得1分；不符合或不提供不得分。</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highlight w:val="none"/>
              </w:rPr>
            </w:r>
            <w:r/>
          </w:p>
        </w:tc>
      </w:tr>
      <w:tr>
        <w:trPr>
          <w:trHeight w:val="33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2.3</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总体技术方案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评根据本项目采购需求及相关要求编制方案，内容包括：1.总体架构和性能设计；2.用户界面和应用功能设计；3.系统部署和安全防护设计。以上每项内容逐项评分：</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清晰完整、科学、具有前瞻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996"/>
              <w:rPr>
                <w:rFonts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上述每项内容符合得2分；部分符合得1分；不符合或不提供不得分。</w:t>
            </w:r>
            <w:r>
              <w:rPr>
                <w:rFonts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w:t>
            </w:r>
            <w:r>
              <w:rPr>
                <w:rFonts w:hint="eastAsia" w:ascii="宋体" w:hAnsi="宋体" w:eastAsia="宋体" w:cs="宋体"/>
                <w:color w:val="000000"/>
                <w:spacing w:val="-6"/>
                <w:highlight w:val="none"/>
                <w:lang w:eastAsia="zh-CN"/>
              </w:rPr>
              <w:t xml:space="preserve">观分</w:t>
            </w:r>
            <w:r>
              <w:rPr>
                <w:rFonts w:hint="eastAsia" w:ascii="宋体" w:hAnsi="宋体" w:eastAsia="宋体" w:cs="宋体"/>
                <w:color w:val="000000"/>
                <w:spacing w:val="-6"/>
                <w:sz w:val="21"/>
                <w:szCs w:val="22"/>
                <w:highlight w:val="none"/>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实施方案</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96"/>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根据本项目采购需求及相关要求编制方案，内容包含：1.实施流程；2.实施进度安排；3.项目管理方案。以上每项内容逐项评分：</w:t>
            </w:r>
            <w:r>
              <w:rPr>
                <w:rFonts w:ascii="宋体" w:hAnsi="宋体" w:eastAsia="宋体" w:cs="宋体"/>
                <w:color w:val="000000"/>
                <w:sz w:val="21"/>
                <w:szCs w:val="21"/>
                <w:highlight w:val="none"/>
                <w:lang w:val="zh-CN" w:eastAsia="zh-CN" w:bidi="ar-SA"/>
              </w:rPr>
            </w:r>
            <w:r/>
          </w:p>
          <w:p>
            <w:pPr>
              <w:pStyle w:val="996"/>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highlight w:val="none"/>
                <w:lang w:val="zh-CN" w:eastAsia="zh-CN" w:bidi="ar-SA"/>
              </w:rPr>
            </w:r>
            <w:r/>
          </w:p>
          <w:p>
            <w:pPr>
              <w:pStyle w:val="996"/>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上述每项内容符合得2分；部分符合得1分；不符合或不提供不得分。</w:t>
            </w:r>
            <w:r>
              <w:rPr>
                <w:rFonts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运维服务方案</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96"/>
              <w:rPr>
                <w:color w:val="000000"/>
                <w:sz w:val="21"/>
                <w:szCs w:val="21"/>
                <w:highlight w:val="none"/>
                <w:lang w:val="en-US" w:bidi="ar-SA"/>
              </w:rPr>
            </w:pPr>
            <w:r>
              <w:rPr>
                <w:rFonts w:hint="eastAsia"/>
                <w:color w:val="000000"/>
                <w:sz w:val="21"/>
                <w:szCs w:val="21"/>
                <w:highlight w:val="none"/>
                <w:lang w:val="en-US" w:bidi="ar-SA"/>
              </w:rPr>
              <w:t xml:space="preserve">根据本项目采购需求及相关要求编制方案，内容包括：1.服务保障体系；2.服务内容；3.故障解决方案。以上每项内容逐项评分：</w:t>
            </w:r>
            <w:r>
              <w:rPr>
                <w:color w:val="000000"/>
                <w:sz w:val="21"/>
                <w:szCs w:val="21"/>
                <w:highlight w:val="none"/>
                <w:lang w:val="en-US" w:bidi="ar-SA"/>
              </w:rPr>
            </w:r>
            <w:r/>
          </w:p>
          <w:p>
            <w:pPr>
              <w:pStyle w:val="996"/>
              <w:rPr>
                <w:rFonts w:hint="eastAsia" w:ascii="宋体" w:hAnsi="宋体" w:eastAsia="宋体" w:cs="宋体"/>
                <w:color w:val="000000"/>
                <w:sz w:val="21"/>
                <w:szCs w:val="21"/>
                <w:highlight w:val="none"/>
                <w:lang w:val="en-US" w:bidi="ar-SA"/>
              </w:rPr>
            </w:pPr>
            <w:r>
              <w:rPr>
                <w:color w:val="000000"/>
                <w:highlight w:val="none"/>
                <w:lang w:val="en-US"/>
              </w:rPr>
              <w:t xml:space="preserve">方案内容</w:t>
            </w:r>
            <w:r>
              <w:rPr>
                <w:color w:val="000000"/>
                <w:highlight w:val="none"/>
                <w:lang w:val="en-US" w:eastAsia="zh-CN"/>
              </w:rPr>
              <w:t xml:space="preserve">完整、合理、</w:t>
            </w:r>
            <w:r>
              <w:rPr>
                <w:rFonts w:hint="eastAsia"/>
                <w:color w:val="000000"/>
                <w:highlight w:val="none"/>
                <w:lang w:val="en-US" w:eastAsia="zh-CN"/>
              </w:rPr>
              <w:t xml:space="preserve">具有可</w:t>
            </w:r>
            <w:r>
              <w:rPr>
                <w:color w:val="000000"/>
                <w:highlight w:val="none"/>
                <w:lang w:val="en-US" w:eastAsia="zh-CN"/>
              </w:rPr>
              <w:t xml:space="preserve">操作性</w:t>
            </w:r>
            <w:r>
              <w:rPr>
                <w:rFonts w:hint="eastAsia"/>
                <w:color w:val="000000"/>
                <w:highlight w:val="none"/>
                <w:lang w:val="en-US"/>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rFonts w:hint="eastAsia" w:ascii="宋体" w:hAnsi="宋体" w:eastAsia="宋体" w:cs="宋体"/>
                <w:color w:val="000000"/>
                <w:sz w:val="21"/>
                <w:szCs w:val="21"/>
                <w:highlight w:val="none"/>
                <w:lang w:val="en-US" w:bidi="ar-SA"/>
              </w:rPr>
            </w:r>
            <w:r/>
          </w:p>
          <w:p>
            <w:pPr>
              <w:pStyle w:val="996"/>
              <w:rPr>
                <w:color w:val="000000"/>
                <w:highlight w:val="none"/>
                <w:lang w:val="zh-CN" w:eastAsia="zh-CN"/>
              </w:rPr>
            </w:pPr>
            <w:r>
              <w:rPr>
                <w:rFonts w:hint="eastAsia" w:ascii="宋体" w:hAnsi="宋体" w:eastAsia="宋体" w:cs="宋体"/>
                <w:color w:val="000000"/>
                <w:sz w:val="21"/>
                <w:szCs w:val="21"/>
                <w:highlight w:val="none"/>
                <w:lang w:val="en-US" w:bidi="ar-SA"/>
              </w:rPr>
              <w:t xml:space="preserve">上述每项内容符合得2分；部分符合得 1 分；不符合或不提供不得分。</w:t>
            </w:r>
            <w:r>
              <w:rPr>
                <w:color w:val="000000"/>
                <w:highlight w:val="none"/>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highlight w:val="none"/>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培训方案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根据本项目采购需求及相关要求编制方案，内容包括：1.培训计划；2.培训内容；3.</w:t>
            </w:r>
            <w:r>
              <w:rPr>
                <w:rFonts w:hint="eastAsia" w:ascii="Times New Roman" w:hAnsi="Times New Roman" w:eastAsia="宋体" w:cs="Times New Roman"/>
                <w:color w:val="000000"/>
                <w:sz w:val="21"/>
                <w:szCs w:val="21"/>
                <w:lang w:val="en-US" w:eastAsia="zh-CN" w:bidi="ar-SA"/>
              </w:rPr>
              <w:t xml:space="preserve">培训质量保障措施</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pacing w:val="-2"/>
                <w:highlight w:val="none"/>
                <w:lang w:val="en-US" w:eastAsia="zh-CN"/>
              </w:rPr>
            </w:pPr>
            <w:r>
              <w:rPr>
                <w:rFonts w:hint="eastAsia" w:ascii="宋体" w:hAnsi="宋体" w:eastAsia="宋体" w:cs="宋体"/>
                <w:color w:val="000000"/>
                <w:sz w:val="21"/>
                <w:szCs w:val="21"/>
                <w:highlight w:val="none"/>
                <w:lang w:val="en-US" w:eastAsia="zh-CN" w:bidi="ar-SA"/>
              </w:rPr>
              <w:t xml:space="preserve">上述每项内容符合得1分；部分符合得0.5分；不符合或不提供不得分。</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供应商提供</w:t>
            </w:r>
            <w:r>
              <w:rPr>
                <w:rFonts w:ascii="宋体" w:hAnsi="宋体" w:eastAsia="宋体" w:cs="宋体"/>
                <w:color w:val="000000"/>
                <w:sz w:val="21"/>
                <w:szCs w:val="21"/>
                <w:highlight w:val="none"/>
                <w:lang w:val="en-US" w:eastAsia="zh-CN" w:bidi="ar-SA"/>
              </w:rPr>
              <w:t xml:space="preserve">2023年1月1日（含）以来类似项目业绩</w:t>
            </w:r>
            <w:bookmarkStart w:id="89" w:name="OLE_LINK2"/>
            <w:r>
              <w:rPr>
                <w:rFonts w:ascii="宋体" w:hAnsi="宋体" w:eastAsia="宋体" w:cs="宋体"/>
                <w:color w:val="000000"/>
                <w:sz w:val="21"/>
                <w:szCs w:val="21"/>
                <w:highlight w:val="none"/>
                <w:lang w:val="en-US" w:eastAsia="zh-CN" w:bidi="ar-SA"/>
              </w:rPr>
              <w:t xml:space="preserve">（至少包含干细胞管理类）</w:t>
            </w:r>
            <w:bookmarkEnd w:id="89"/>
            <w:r>
              <w:rPr>
                <w:rFonts w:ascii="宋体" w:hAnsi="宋体" w:eastAsia="宋体" w:cs="宋体"/>
                <w:color w:val="000000"/>
                <w:sz w:val="21"/>
                <w:szCs w:val="21"/>
                <w:highlight w:val="none"/>
                <w:lang w:val="en-US" w:eastAsia="zh-CN" w:bidi="ar-SA"/>
              </w:rPr>
              <w:t xml:space="preserve">，每提供1个得2分，最多得4分。（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bidi="ar-SA"/>
              </w:rPr>
              <w:t xml:space="preserve">提供有效合同</w:t>
            </w:r>
            <w:r>
              <w:rPr>
                <w:rFonts w:hint="eastAsia" w:ascii="宋体" w:hAnsi="宋体" w:eastAsia="宋体" w:cs="宋体"/>
                <w:color w:val="000000"/>
                <w:sz w:val="21"/>
                <w:szCs w:val="21"/>
                <w:highlight w:val="none"/>
                <w:lang w:val="en-US" w:eastAsia="zh-CN" w:bidi="ar-SA"/>
              </w:rPr>
              <w:t xml:space="preserve">和</w:t>
            </w:r>
            <w:r>
              <w:rPr>
                <w:rFonts w:ascii="宋体" w:hAnsi="宋体" w:eastAsia="宋体" w:cs="宋体"/>
                <w:color w:val="000000"/>
                <w:sz w:val="21"/>
                <w:szCs w:val="21"/>
                <w:highlight w:val="none"/>
                <w:lang w:val="en-US" w:eastAsia="zh-CN" w:bidi="ar-SA"/>
              </w:rPr>
              <w:t xml:space="preserve">甲方盖章的验收报告</w:t>
            </w:r>
            <w:r>
              <w:rPr>
                <w:rFonts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相应内容</w:t>
            </w:r>
            <w:r>
              <w:rPr>
                <w:rFonts w:hint="eastAsia" w:ascii="宋体" w:hAnsi="宋体" w:eastAsia="宋体" w:cs="宋体"/>
                <w:color w:val="000000"/>
                <w:sz w:val="21"/>
                <w:szCs w:val="21"/>
                <w:highlight w:val="none"/>
                <w:lang w:val="en-US" w:eastAsia="zh-CN" w:bidi="ar-SA"/>
              </w:rPr>
              <w:t xml:space="preserve">应</w:t>
            </w:r>
            <w:r>
              <w:rPr>
                <w:rFonts w:ascii="宋体" w:hAnsi="宋体" w:eastAsia="宋体" w:cs="宋体"/>
                <w:color w:val="000000"/>
                <w:sz w:val="21"/>
                <w:szCs w:val="21"/>
                <w:highlight w:val="none"/>
                <w:lang w:val="en-US" w:eastAsia="zh-CN" w:bidi="ar-SA"/>
              </w:rPr>
              <w:t xml:space="preserve">清晰可见）</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1</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项目经理能力：</w:t>
            </w:r>
            <w:r>
              <w:rPr>
                <w:rFonts w:hint="eastAsia" w:ascii="宋体" w:hAnsi="宋体" w:eastAsia="宋体" w:cs="宋体"/>
                <w:color w:val="000000"/>
                <w:sz w:val="21"/>
                <w:szCs w:val="21"/>
                <w:highlight w:val="none"/>
                <w:lang w:val="en-US" w:eastAsia="zh-CN" w:bidi="ar-SA"/>
              </w:rPr>
            </w:r>
            <w:r/>
          </w:p>
          <w:p>
            <w:pPr>
              <w:pStyle w:val="996"/>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具</w:t>
            </w:r>
            <w:r>
              <w:rPr>
                <w:rFonts w:hint="eastAsia" w:ascii="宋体" w:hAnsi="宋体" w:eastAsia="宋体" w:cs="宋体"/>
                <w:color w:val="000000"/>
                <w:sz w:val="21"/>
                <w:szCs w:val="21"/>
                <w:highlight w:val="none"/>
                <w:lang w:val="en-US" w:eastAsia="zh-CN" w:bidi="ar-SA"/>
              </w:rPr>
              <w:t xml:space="preserve">有</w:t>
            </w:r>
            <w:r>
              <w:rPr>
                <w:rFonts w:ascii="宋体" w:hAnsi="宋体" w:eastAsia="宋体" w:cs="宋体"/>
                <w:color w:val="000000"/>
                <w:sz w:val="21"/>
                <w:szCs w:val="21"/>
                <w:highlight w:val="none"/>
                <w:lang w:val="en-US" w:eastAsia="zh-CN" w:bidi="ar-SA"/>
              </w:rPr>
              <w:t xml:space="preserve">工信部和人社部颁发的信息系统项目管理师（高级）证书，得3分。</w:t>
            </w:r>
            <w:r>
              <w:rPr>
                <w:rFonts w:ascii="宋体" w:hAnsi="宋体" w:eastAsia="宋体" w:cs="宋体"/>
                <w:color w:val="000000"/>
                <w:sz w:val="21"/>
                <w:szCs w:val="21"/>
                <w:highlight w:val="none"/>
                <w:lang w:val="en-US" w:eastAsia="zh-CN" w:bidi="ar-SA"/>
              </w:rPr>
            </w:r>
            <w:r/>
          </w:p>
          <w:p>
            <w:pPr>
              <w:pStyle w:val="996"/>
              <w:rPr>
                <w:color w:val="000000"/>
                <w:highlight w:val="none"/>
                <w:lang w:val="en-US" w:eastAsia="zh-CN"/>
              </w:rPr>
            </w:pPr>
            <w:r>
              <w:rPr>
                <w:rFonts w:ascii="宋体" w:hAnsi="宋体" w:eastAsia="宋体" w:cs="宋体"/>
                <w:color w:val="000000"/>
                <w:sz w:val="21"/>
                <w:szCs w:val="21"/>
                <w:highlight w:val="none"/>
                <w:lang w:val="zh-CN" w:eastAsia="zh-CN" w:bidi="ar-SA"/>
              </w:rPr>
              <w:t xml:space="preserve">（提供人员证书及供应商为其缴纳的2026年1月以来任意一个月的社保证明材料，缺一不可）</w:t>
            </w:r>
            <w:r>
              <w:rPr>
                <w:color w:val="000000"/>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5.2</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2</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技术负责人能力：</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具有工信部和人社部颁发的系统架构设计师(高级)证书，得3分。</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（提供人员证书及供应商为其缴纳的2026年1月以来任意一个月的社保证明材料，缺一不可）</w:t>
            </w:r>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客观</w:t>
            </w:r>
            <w:r>
              <w:rPr>
                <w:rFonts w:hint="eastAsia" w:ascii="宋体" w:hAnsi="宋体" w:eastAsia="宋体" w:cs="宋体"/>
                <w:color w:val="000000"/>
                <w:spacing w:val="-6"/>
                <w:highlight w:val="none"/>
                <w:lang w:eastAsia="zh-CN"/>
              </w:rPr>
              <w:t xml:space="preserve">分</w:t>
            </w:r>
            <w:r>
              <w:rPr>
                <w:rFonts w:hint="eastAsia" w:ascii="宋体" w:hAnsi="宋体" w:eastAsia="宋体" w:cs="宋体"/>
                <w:color w:val="000000"/>
                <w:spacing w:val="-6"/>
                <w:highlight w:val="none"/>
              </w:rPr>
            </w:r>
            <w:r/>
          </w:p>
        </w:tc>
      </w:tr>
      <w:tr>
        <w:trPr>
          <w:trHeight w:val="18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3</w:t>
            </w:r>
            <w:r>
              <w:rPr>
                <w:rFonts w:hint="eastAsia" w:ascii="宋体" w:hAnsi="宋体" w:eastAsia="宋体" w:cs="宋体"/>
                <w:color w:val="000000"/>
                <w:spacing w:val="-2"/>
                <w:highlight w:val="none"/>
                <w:lang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3</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项目实施团队能力（不含项目经理和技术负责人）：</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en-US" w:eastAsia="zh-CN" w:bidi="ar-SA"/>
              </w:rPr>
              <w:t xml:space="preserve">团队成员具有工信部和人社部颁发的系统分析师证书、系统架构设计师证书，每提供一个证书得3分。</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②</w:t>
            </w:r>
            <w:r>
              <w:rPr>
                <w:rFonts w:hint="eastAsia" w:ascii="宋体" w:hAnsi="宋体" w:eastAsia="宋体" w:cs="宋体"/>
                <w:color w:val="000000"/>
                <w:sz w:val="21"/>
                <w:szCs w:val="21"/>
                <w:highlight w:val="none"/>
                <w:lang w:val="en-US" w:eastAsia="zh-CN" w:bidi="ar-SA"/>
              </w:rPr>
              <w:t xml:space="preserve">团队成员具有工信部和人社部颁发的软件设计师、系统集成项目管理工程师证书，每提供1个证书得2分。</w:t>
            </w:r>
            <w:r>
              <w:rPr>
                <w:rFonts w:hint="eastAsia" w:ascii="宋体" w:hAnsi="宋体" w:eastAsia="宋体" w:cs="宋体"/>
                <w:color w:val="000000"/>
                <w:sz w:val="21"/>
                <w:szCs w:val="21"/>
                <w:highlight w:val="none"/>
                <w:lang w:val="en-US" w:eastAsia="zh-CN" w:bidi="ar-SA"/>
              </w:rPr>
            </w:r>
            <w:r/>
          </w:p>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本项最多得6分。</w:t>
            </w:r>
            <w:r>
              <w:rPr>
                <w:rFonts w:hint="eastAsia" w:ascii="宋体" w:hAnsi="宋体" w:eastAsia="宋体" w:cs="宋体"/>
                <w:color w:val="000000"/>
                <w:sz w:val="21"/>
                <w:szCs w:val="21"/>
                <w:highlight w:val="none"/>
                <w:lang w:val="en-US" w:eastAsia="zh-CN" w:bidi="ar-SA"/>
              </w:rPr>
            </w:r>
            <w:r/>
          </w:p>
          <w:p>
            <w:pPr>
              <w:pStyle w:val="996"/>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（一人多证及一证多人不重复得分。提供上述人员证书及供应商为其缴纳的2026年1月以来任意一个月的社保证明材料，缺一不可）</w:t>
            </w:r>
            <w:r>
              <w:rPr>
                <w:rFonts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5.4</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4</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供应商具有本项目相关的软件著作权证书，包括</w:t>
            </w:r>
            <w:r>
              <w:rPr>
                <w:rFonts w:ascii="宋体" w:hAnsi="宋体" w:eastAsia="宋体" w:cs="宋体"/>
                <w:color w:val="000000"/>
                <w:sz w:val="21"/>
                <w:szCs w:val="21"/>
                <w:highlight w:val="none"/>
                <w:lang w:val="en-US" w:eastAsia="zh-CN" w:bidi="ar-SA"/>
              </w:rPr>
              <w:t xml:space="preserve">“干细胞管理类</w:t>
            </w:r>
            <w:r>
              <w:rPr>
                <w:rFonts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或</w:t>
            </w:r>
            <w:r>
              <w:rPr>
                <w:rFonts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生物样本库类”</w:t>
            </w:r>
            <w:r>
              <w:rPr>
                <w:rFonts w:hint="eastAsia" w:ascii="宋体" w:hAnsi="宋体" w:eastAsia="宋体" w:cs="宋体"/>
                <w:color w:val="000000"/>
                <w:sz w:val="21"/>
                <w:szCs w:val="21"/>
                <w:highlight w:val="none"/>
                <w:lang w:val="en-US" w:eastAsia="zh-CN" w:bidi="ar-SA"/>
              </w:rPr>
              <w:t xml:space="preserve">等，每提供一个证书得</w:t>
            </w: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分，最多得6分。 </w:t>
            </w:r>
            <w:r>
              <w:rPr>
                <w:rFonts w:hint="eastAsia" w:ascii="宋体" w:hAnsi="宋体" w:eastAsia="宋体" w:cs="宋体"/>
                <w:color w:val="000000"/>
                <w:sz w:val="21"/>
                <w:szCs w:val="21"/>
                <w:highlight w:val="none"/>
                <w:lang w:val="en-US" w:eastAsia="zh-CN" w:bidi="ar-SA"/>
              </w:rPr>
            </w:r>
            <w:r/>
          </w:p>
          <w:p>
            <w:pPr>
              <w:pStyle w:val="996"/>
              <w:rPr>
                <w:rFonts w:hint="eastAsia"/>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（所提供证书</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软件名称</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与评分细则规定不同时，应提供符合上述要求的内容（功能）说明及关键信息，否则不予认可。）</w:t>
            </w:r>
            <w:r>
              <w:rPr>
                <w:rFonts w:hint="eastAsia"/>
                <w:color w:val="000000"/>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867"/>
        <w:keepLines w:val="0"/>
        <w:keepNext w:val="0"/>
        <w:pageBreakBefore w:val="0"/>
        <w:spacing w:line="264" w:lineRule="auto"/>
        <w:widowControl w:val="off"/>
        <w:rPr>
          <w:rFonts w:hint="eastAsia"/>
          <w:highlight w:val="none"/>
        </w:rPr>
      </w:pPr>
      <w:r>
        <w:rPr>
          <w:rFonts w:hint="eastAsia"/>
          <w:highlight w:val="none"/>
        </w:rPr>
      </w:r>
      <w:r/>
    </w:p>
    <w:p>
      <w:pPr>
        <w:pStyle w:val="867"/>
        <w:keepLines w:val="0"/>
        <w:keepNext w:val="0"/>
        <w:pageBreakBefore w:val="0"/>
        <w:spacing w:line="288" w:lineRule="auto"/>
        <w:widowControl w:val="off"/>
        <w:rPr>
          <w:rFonts w:hint="eastAsia"/>
          <w:highlight w:val="none"/>
        </w:rPr>
      </w:pPr>
      <w:r>
        <w:rPr>
          <w:rFonts w:hint="eastAsia"/>
          <w:highlight w:val="none"/>
        </w:rPr>
      </w:r>
      <w:r/>
    </w:p>
    <w:p>
      <w:pPr>
        <w:pStyle w:val="947"/>
        <w:keepLines w:val="0"/>
        <w:keepNext w:val="0"/>
        <w:pageBreakBefore w:val="0"/>
        <w:spacing w:line="288" w:lineRule="auto"/>
        <w:widowControl w:val="off"/>
        <w:rPr>
          <w:rFonts w:hint="eastAsia"/>
          <w:highlight w:val="none"/>
        </w:rPr>
      </w:pPr>
      <w:r>
        <w:rPr>
          <w:rFonts w:hint="eastAsia"/>
          <w:highlight w:val="none"/>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67"/>
        <w:jc w:val="center"/>
        <w:rPr>
          <w:rFonts w:hint="eastAsia" w:ascii="宋体" w:hAnsi="宋体"/>
          <w:b/>
          <w:sz w:val="72"/>
          <w:szCs w:val="21"/>
          <w:highlight w:val="none"/>
        </w:rPr>
      </w:pPr>
      <w:r/>
      <w:bookmarkStart w:id="90" w:name="_Hlt26671244"/>
      <w:r/>
      <w:bookmarkEnd w:id="90"/>
      <w:r/>
      <w:bookmarkStart w:id="91" w:name="_Hlt26955039"/>
      <w:r/>
      <w:bookmarkEnd w:id="91"/>
      <w:r/>
      <w:bookmarkStart w:id="92" w:name="_Toc26554094"/>
      <w:r/>
      <w:bookmarkStart w:id="93" w:name="_Toc120614282"/>
      <w:r/>
      <w:bookmarkStart w:id="94" w:name="_Toc49090576"/>
      <w:r>
        <w:rPr>
          <w:rFonts w:hint="eastAsia" w:ascii="宋体" w:hAnsi="宋体"/>
          <w:b/>
          <w:sz w:val="72"/>
          <w:szCs w:val="21"/>
          <w:highlight w:val="none"/>
        </w:rPr>
      </w:r>
      <w:r/>
    </w:p>
    <w:p>
      <w:pPr>
        <w:pStyle w:val="867"/>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7"/>
        <w:jc w:val="center"/>
        <w:rPr>
          <w:rFonts w:hint="eastAsia" w:ascii="宋体" w:hAnsi="宋体"/>
          <w:b/>
          <w:sz w:val="72"/>
          <w:szCs w:val="21"/>
          <w:highlight w:val="none"/>
        </w:rPr>
      </w:pPr>
      <w:r>
        <w:rPr>
          <w:rFonts w:hint="eastAsia" w:ascii="宋体" w:hAnsi="宋体"/>
          <w:b/>
          <w:sz w:val="72"/>
          <w:szCs w:val="21"/>
          <w:highlight w:val="none"/>
        </w:rPr>
      </w:r>
      <w:r/>
    </w:p>
    <w:p>
      <w:pPr>
        <w:pStyle w:val="867"/>
        <w:jc w:val="center"/>
        <w:rPr>
          <w:rFonts w:hint="eastAsia" w:ascii="宋体" w:hAnsi="宋体"/>
          <w:b/>
          <w:sz w:val="72"/>
          <w:szCs w:val="21"/>
          <w:highlight w:val="none"/>
        </w:rPr>
      </w:pPr>
      <w:r>
        <w:rPr>
          <w:rFonts w:hint="eastAsia" w:ascii="宋体" w:hAnsi="宋体"/>
          <w:b/>
          <w:sz w:val="72"/>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7"/>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7"/>
        <w:spacing w:line="440" w:lineRule="exact"/>
        <w:rPr>
          <w:rFonts w:ascii="宋体" w:hAnsi="宋体"/>
          <w:szCs w:val="21"/>
          <w:highlight w:val="none"/>
        </w:rPr>
      </w:pPr>
      <w:r>
        <w:rPr>
          <w:rFonts w:ascii="宋体" w:hAnsi="宋体"/>
          <w:szCs w:val="21"/>
          <w:highlight w:val="none"/>
        </w:rPr>
      </w:r>
      <w:r/>
    </w:p>
    <w:p>
      <w:pPr>
        <w:pStyle w:val="867"/>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867"/>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7"/>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7"/>
        <w:ind w:firstLine="492"/>
        <w:spacing w:line="460" w:lineRule="exact"/>
        <w:rPr>
          <w:color w:val="000000"/>
          <w:sz w:val="24"/>
          <w:szCs w:val="24"/>
          <w:highlight w:val="none"/>
        </w:rPr>
      </w:pPr>
      <w:r>
        <w:rPr>
          <w:color w:val="000000"/>
          <w:sz w:val="24"/>
          <w:szCs w:val="24"/>
          <w:highlight w:val="none"/>
        </w:rPr>
      </w:r>
      <w:r/>
    </w:p>
    <w:p>
      <w:pPr>
        <w:pStyle w:val="986"/>
        <w:rPr>
          <w:color w:val="000000"/>
          <w:sz w:val="24"/>
          <w:szCs w:val="24"/>
          <w:highlight w:val="none"/>
        </w:rPr>
      </w:pPr>
      <w:r>
        <w:rPr>
          <w:color w:val="000000"/>
          <w:sz w:val="24"/>
          <w:szCs w:val="24"/>
          <w:highlight w:val="none"/>
        </w:rPr>
      </w:r>
      <w:r/>
    </w:p>
    <w:p>
      <w:pPr>
        <w:pStyle w:val="867"/>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7"/>
        <w:rPr>
          <w:sz w:val="24"/>
          <w:szCs w:val="24"/>
          <w:highlight w:val="none"/>
        </w:rPr>
      </w:pPr>
      <w:r>
        <w:rPr>
          <w:sz w:val="24"/>
          <w:szCs w:val="24"/>
          <w:highlight w:val="none"/>
        </w:rPr>
      </w:r>
      <w:r/>
    </w:p>
    <w:p>
      <w:pPr>
        <w:pStyle w:val="867"/>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5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4"/>
        <w:ind w:firstLine="0"/>
        <w:rPr>
          <w:rFonts w:hint="eastAsia"/>
          <w:highlight w:val="none"/>
        </w:rPr>
      </w:pPr>
      <w:r>
        <w:rPr>
          <w:rFonts w:hint="eastAsia"/>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7"/>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92"/>
      <w:r/>
      <w:bookmarkEnd w:id="93"/>
      <w:r/>
      <w:bookmarkEnd w:id="94"/>
      <w:r/>
      <w:bookmarkStart w:id="95"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7"/>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rPr>
          <w:rFonts w:hint="eastAsia" w:ascii="宋体" w:hAnsi="宋体" w:eastAsia="宋体"/>
          <w:sz w:val="24"/>
          <w:szCs w:val="21"/>
          <w:highlight w:val="none"/>
          <w:lang w:eastAsia="zh-CN"/>
        </w:rPr>
      </w:r>
      <w:r/>
    </w:p>
    <w:p>
      <w:pPr>
        <w:pStyle w:val="959"/>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rPr>
          <w:rFonts w:hint="eastAsia" w:ascii="宋体" w:hAnsi="宋体" w:eastAsia="宋体" w:cs="Times New Roman"/>
          <w:sz w:val="24"/>
          <w:szCs w:val="21"/>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79"/>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59"/>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7"/>
        <w:rPr>
          <w:rFonts w:hint="eastAsia" w:ascii="宋体" w:hAnsi="宋体"/>
          <w:szCs w:val="21"/>
          <w:highlight w:val="none"/>
        </w:rPr>
      </w:pPr>
      <w:r>
        <w:rPr>
          <w:rFonts w:hint="eastAsia" w:ascii="宋体" w:hAnsi="宋体"/>
          <w:szCs w:val="21"/>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7"/>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7"/>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7"/>
        <w:rPr>
          <w:rFonts w:ascii="宋体" w:hAnsi="宋体"/>
          <w:sz w:val="24"/>
          <w:szCs w:val="24"/>
          <w:highlight w:val="none"/>
        </w:rPr>
      </w:pPr>
      <w:r>
        <w:rPr>
          <w:rFonts w:ascii="宋体" w:hAnsi="宋体"/>
          <w:sz w:val="24"/>
          <w:szCs w:val="24"/>
          <w:highlight w:val="none"/>
        </w:rPr>
      </w:r>
      <w:r/>
    </w:p>
    <w:p>
      <w:pPr>
        <w:pStyle w:val="867"/>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7"/>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9"/>
        <w:ind w:firstLine="0"/>
        <w:rPr>
          <w:rFonts w:hint="eastAsia"/>
          <w:highlight w:val="none"/>
        </w:rPr>
      </w:pPr>
      <w:r>
        <w:rPr>
          <w:rFonts w:hint="eastAsia"/>
          <w:highlight w:val="none"/>
        </w:rPr>
      </w:r>
      <w:r/>
    </w:p>
    <w:p>
      <w:pPr>
        <w:pStyle w:val="947"/>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7"/>
        <w:rPr>
          <w:rFonts w:hint="eastAsia"/>
          <w:highlight w:val="none"/>
        </w:rPr>
      </w:pPr>
      <w:r>
        <w:rPr>
          <w:rFonts w:hint="eastAsia"/>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7"/>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7"/>
              <w:ind w:right="1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67"/>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7"/>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7"/>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7"/>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7"/>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7"/>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2"/>
      <w:r/>
      <w:bookmarkEnd w:id="83"/>
      <w:r/>
      <w:bookmarkEnd w:id="95"/>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934"/>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7"/>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highlight w:val="none"/>
              </w:rPr>
            </w:pPr>
            <w:r/>
            <w:bookmarkStart w:id="96" w:name="_Hlt24879081"/>
            <w:r/>
            <w:bookmarkEnd w:id="96"/>
            <w:r/>
            <w:bookmarkStart w:id="97" w:name="_Hlt26955064"/>
            <w:r/>
            <w:bookmarkEnd w:id="97"/>
            <w:r/>
            <w:bookmarkStart w:id="98" w:name="_Hlt26580838"/>
            <w:r/>
            <w:bookmarkEnd w:id="98"/>
            <w:r/>
            <w:bookmarkStart w:id="99" w:name="_Hlt26609391"/>
            <w:r/>
            <w:bookmarkEnd w:id="99"/>
            <w:r/>
            <w:bookmarkStart w:id="100" w:name="_Hlt26671343"/>
            <w:r/>
            <w:bookmarkEnd w:id="100"/>
            <w:r/>
            <w:bookmarkStart w:id="101" w:name="_Hlt26671372"/>
            <w:r/>
            <w:bookmarkEnd w:id="101"/>
            <w:r/>
            <w:bookmarkStart w:id="102" w:name="_Hlt26955056"/>
            <w:r/>
            <w:bookmarkEnd w:id="102"/>
            <w:r/>
            <w:bookmarkStart w:id="103" w:name="_Hlt26782999"/>
            <w:r/>
            <w:bookmarkEnd w:id="10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7"/>
        <w:rPr>
          <w:highlight w:val="none"/>
        </w:rPr>
      </w:pPr>
      <w:r>
        <w:rPr>
          <w:highlight w:val="none"/>
        </w:rPr>
      </w:r>
      <w:r/>
    </w:p>
    <w:p>
      <w:pPr>
        <w:pStyle w:val="867"/>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7"/>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47"/>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7"/>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7"/>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7"/>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7"/>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rPr>
          <w:rFonts w:hint="eastAsia" w:ascii="宋体" w:hAnsi="宋体"/>
          <w:sz w:val="24"/>
          <w:szCs w:val="24"/>
          <w:highlight w:val="none"/>
        </w:rPr>
      </w:pPr>
      <w:r>
        <w:rPr>
          <w:rFonts w:hint="eastAsia"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2"/>
    <w:qFormat/>
    <w:pPr>
      <w:jc w:val="center"/>
      <w:keepNext/>
      <w:outlineLvl w:val="0"/>
    </w:pPr>
    <w:rPr>
      <w:rFonts w:ascii="楷体_GB2312" w:hAnsi="Times New Roman" w:eastAsia="楷体_GB2312" w:cs="Times New Roman"/>
      <w:sz w:val="28"/>
      <w:szCs w:val="28"/>
    </w:rPr>
  </w:style>
  <w:style w:type="paragraph" w:styleId="869">
    <w:name w:val="标题 2"/>
    <w:basedOn w:val="867"/>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4"/>
    <w:link w:val="887"/>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4"/>
    <w:link w:val="888"/>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
    <w:basedOn w:val="880"/>
    <w:next w:val="867"/>
    <w:link w:val="881"/>
    <w:pPr>
      <w:ind w:left="0" w:firstLine="420"/>
      <w:spacing w:after="0" w:line="360" w:lineRule="auto"/>
    </w:pPr>
    <w:rPr>
      <w:rFonts w:ascii="宋体" w:hAnsi="宋体" w:eastAsia="宋体" w:cs="Times New Roman"/>
      <w:szCs w:val="20"/>
    </w:rPr>
  </w:style>
  <w:style w:type="paragraph" w:styleId="880">
    <w:name w:val="正文文本缩进1"/>
    <w:basedOn w:val="867"/>
    <w:next w:val="879"/>
    <w:link w:val="867"/>
    <w:unhideWhenUsed/>
    <w:qFormat/>
    <w:pPr>
      <w:ind w:left="420"/>
      <w:spacing w:after="120"/>
    </w:pPr>
  </w:style>
  <w:style w:type="character" w:styleId="881">
    <w:name w:val="正文首行缩进 2 Char"/>
    <w:next w:val="881"/>
    <w:link w:val="879"/>
    <w:rPr>
      <w:rFonts w:ascii="宋体" w:hAnsi="宋体" w:eastAsia="宋体" w:cs="Times New Roman"/>
      <w:szCs w:val="20"/>
    </w:rPr>
  </w:style>
  <w:style w:type="character" w:styleId="882">
    <w:name w:val="标题 1 Char"/>
    <w:next w:val="882"/>
    <w:link w:val="868"/>
    <w:rPr>
      <w:rFonts w:ascii="楷体_GB2312" w:hAnsi="Times New Roman" w:eastAsia="楷体_GB2312" w:cs="Times New Roman"/>
      <w:sz w:val="28"/>
      <w:szCs w:val="28"/>
    </w:rPr>
  </w:style>
  <w:style w:type="character" w:styleId="883">
    <w:name w:val="标题 2 Char"/>
    <w:next w:val="883"/>
    <w:link w:val="869"/>
    <w:qFormat/>
    <w:rPr>
      <w:rFonts w:ascii="Arial" w:hAnsi="Arial" w:eastAsia="幼圆" w:cs="Arial"/>
      <w:b/>
      <w:bCs/>
      <w:sz w:val="44"/>
      <w:szCs w:val="44"/>
    </w:rPr>
  </w:style>
  <w:style w:type="paragraph" w:styleId="884">
    <w:name w:val="正文缩进"/>
    <w:basedOn w:val="867"/>
    <w:next w:val="884"/>
    <w:link w:val="885"/>
    <w:qFormat/>
    <w:pPr>
      <w:ind w:firstLine="420"/>
    </w:pPr>
    <w:rPr>
      <w:szCs w:val="21"/>
    </w:rPr>
  </w:style>
  <w:style w:type="character" w:styleId="885">
    <w:name w:val="正文缩进 Char"/>
    <w:next w:val="885"/>
    <w:link w:val="884"/>
    <w:qFormat/>
    <w:rPr>
      <w:szCs w:val="21"/>
    </w:rPr>
  </w:style>
  <w:style w:type="character" w:styleId="886">
    <w:name w:val="标题 3 Char"/>
    <w:next w:val="886"/>
    <w:link w:val="870"/>
    <w:qFormat/>
    <w:rPr>
      <w:rFonts w:ascii="Times New Roman" w:hAnsi="Times New Roman" w:eastAsia="宋体" w:cs="Times New Roman"/>
      <w:b/>
      <w:bCs/>
      <w:sz w:val="32"/>
      <w:szCs w:val="32"/>
    </w:rPr>
  </w:style>
  <w:style w:type="character" w:styleId="887">
    <w:name w:val="标题 4 Char"/>
    <w:next w:val="887"/>
    <w:link w:val="871"/>
    <w:qFormat/>
    <w:rPr>
      <w:rFonts w:ascii="Arial" w:hAnsi="Arial" w:eastAsia="黑体" w:cs="Arial"/>
      <w:b/>
      <w:bCs/>
      <w:sz w:val="28"/>
      <w:szCs w:val="28"/>
    </w:rPr>
  </w:style>
  <w:style w:type="character" w:styleId="888">
    <w:name w:val="标题 5 Char"/>
    <w:next w:val="888"/>
    <w:link w:val="872"/>
    <w:qFormat/>
    <w:rPr>
      <w:rFonts w:ascii="宋体" w:hAnsi="Times New Roman" w:eastAsia="宋体" w:cs="Times New Roman"/>
      <w:color w:val="000000"/>
      <w:sz w:val="28"/>
      <w:szCs w:val="28"/>
    </w:rPr>
  </w:style>
  <w:style w:type="character" w:styleId="889">
    <w:name w:val="标题 6 Char"/>
    <w:next w:val="889"/>
    <w:link w:val="873"/>
    <w:qFormat/>
    <w:rPr>
      <w:rFonts w:ascii="Arial" w:hAnsi="Arial" w:eastAsia="黑体" w:cs="Times New Roman"/>
      <w:b/>
      <w:bCs/>
      <w:sz w:val="24"/>
      <w:szCs w:val="24"/>
    </w:rPr>
  </w:style>
  <w:style w:type="character" w:styleId="890">
    <w:name w:val="标题 7 Char"/>
    <w:next w:val="890"/>
    <w:link w:val="874"/>
    <w:qFormat/>
    <w:rPr>
      <w:rFonts w:ascii="Times New Roman" w:hAnsi="Times New Roman" w:eastAsia="宋体" w:cs="Times New Roman"/>
      <w:b/>
      <w:bCs/>
      <w:sz w:val="24"/>
      <w:szCs w:val="24"/>
    </w:rPr>
  </w:style>
  <w:style w:type="character" w:styleId="891">
    <w:name w:val="标题 8 Char"/>
    <w:next w:val="891"/>
    <w:link w:val="875"/>
    <w:qFormat/>
    <w:rPr>
      <w:rFonts w:ascii="Arial" w:hAnsi="Arial" w:eastAsia="黑体" w:cs="Times New Roman"/>
      <w:sz w:val="24"/>
      <w:szCs w:val="24"/>
    </w:rPr>
  </w:style>
  <w:style w:type="character" w:styleId="892">
    <w:name w:val="标题 9 Char"/>
    <w:next w:val="892"/>
    <w:link w:val="876"/>
    <w:qFormat/>
    <w:rPr>
      <w:rFonts w:ascii="Arial" w:hAnsi="Arial" w:eastAsia="黑体" w:cs="Times New Roman"/>
      <w:szCs w:val="21"/>
    </w:rPr>
  </w:style>
  <w:style w:type="paragraph" w:styleId="893">
    <w:name w:val="列表 3"/>
    <w:basedOn w:val="867"/>
    <w:next w:val="893"/>
    <w:link w:val="867"/>
    <w:pPr>
      <w:ind w:left="100" w:hanging="200"/>
    </w:pPr>
    <w:rPr>
      <w:rFonts w:ascii="Times New Roman" w:hAnsi="Times New Roman" w:eastAsia="宋体" w:cs="Times New Roman"/>
      <w:szCs w:val="21"/>
    </w:rPr>
  </w:style>
  <w:style w:type="paragraph" w:styleId="894">
    <w:name w:val="目录 7"/>
    <w:basedOn w:val="867"/>
    <w:next w:val="867"/>
    <w:link w:val="867"/>
    <w:semiHidden/>
    <w:pPr>
      <w:ind w:left="1260"/>
      <w:jc w:val="left"/>
    </w:pPr>
    <w:rPr>
      <w:rFonts w:ascii="Times New Roman" w:hAnsi="Times New Roman" w:eastAsia="宋体" w:cs="Times New Roman"/>
      <w:szCs w:val="21"/>
    </w:rPr>
  </w:style>
  <w:style w:type="paragraph" w:styleId="895">
    <w:name w:val="文档结构图"/>
    <w:basedOn w:val="867"/>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qFormat/>
    <w:rPr>
      <w:rFonts w:ascii="Times New Roman" w:hAnsi="Times New Roman" w:eastAsia="宋体" w:cs="Times New Roman"/>
      <w:szCs w:val="21"/>
      <w:shd w:val="clear" w:color="auto" w:fill="000080"/>
    </w:rPr>
  </w:style>
  <w:style w:type="paragraph" w:styleId="897">
    <w:name w:val="批注文字"/>
    <w:basedOn w:val="867"/>
    <w:next w:val="897"/>
    <w:link w:val="89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basedOn w:val="877"/>
    <w:next w:val="898"/>
    <w:link w:val="897"/>
    <w:uiPriority w:val="99"/>
    <w:semiHidden/>
    <w:qFormat/>
  </w:style>
  <w:style w:type="paragraph" w:styleId="899">
    <w:name w:val="正文文本 3"/>
    <w:basedOn w:val="867"/>
    <w:next w:val="899"/>
    <w:link w:val="900"/>
    <w:rPr>
      <w:rFonts w:ascii="仿宋_GB2312" w:hAnsi="Arial" w:eastAsia="仿宋_GB2312" w:cs="Times New Roman"/>
      <w:sz w:val="32"/>
      <w:szCs w:val="32"/>
    </w:rPr>
  </w:style>
  <w:style w:type="character" w:styleId="900">
    <w:name w:val="正文文本 3 Char"/>
    <w:next w:val="900"/>
    <w:link w:val="899"/>
    <w:qFormat/>
    <w:rPr>
      <w:rFonts w:ascii="仿宋_GB2312" w:hAnsi="Arial" w:eastAsia="仿宋_GB2312" w:cs="Times New Roman"/>
      <w:sz w:val="32"/>
      <w:szCs w:val="32"/>
    </w:rPr>
  </w:style>
  <w:style w:type="paragraph" w:styleId="901">
    <w:name w:val="正文文本"/>
    <w:basedOn w:val="867"/>
    <w:next w:val="901"/>
    <w:link w:val="902"/>
    <w:qFormat/>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7"/>
    <w:next w:val="905"/>
    <w:link w:val="904"/>
    <w:unhideWhenUsed/>
    <w:qFormat/>
    <w:pPr>
      <w:ind w:left="420"/>
      <w:spacing w:after="120"/>
    </w:pPr>
  </w:style>
  <w:style w:type="character" w:styleId="904">
    <w:name w:val="正文文本缩进 Char"/>
    <w:basedOn w:val="877"/>
    <w:next w:val="904"/>
    <w:link w:val="903"/>
    <w:uiPriority w:val="99"/>
    <w:semiHidden/>
    <w:qFormat/>
  </w:style>
  <w:style w:type="paragraph" w:styleId="905">
    <w:name w:val="寄信人地址"/>
    <w:basedOn w:val="867"/>
    <w:next w:val="905"/>
    <w:link w:val="867"/>
    <w:qFormat/>
    <w:rPr>
      <w:rFonts w:ascii="Arial" w:hAnsi="Arial" w:eastAsia="宋体" w:cs="宋体"/>
    </w:rPr>
  </w:style>
  <w:style w:type="paragraph" w:styleId="906">
    <w:name w:val="列表 2"/>
    <w:basedOn w:val="867"/>
    <w:next w:val="906"/>
    <w:link w:val="867"/>
    <w:qFormat/>
    <w:pPr>
      <w:ind w:left="100" w:hanging="200"/>
    </w:pPr>
    <w:rPr>
      <w:rFonts w:ascii="Times New Roman" w:hAnsi="Times New Roman" w:eastAsia="宋体" w:cs="Times New Roman"/>
      <w:szCs w:val="21"/>
    </w:rPr>
  </w:style>
  <w:style w:type="paragraph" w:styleId="907">
    <w:name w:val="索引 4"/>
    <w:basedOn w:val="867"/>
    <w:next w:val="867"/>
    <w:link w:val="867"/>
    <w:semiHidden/>
    <w:qFormat/>
    <w:pPr>
      <w:ind w:left="1260"/>
    </w:pPr>
    <w:rPr>
      <w:rFonts w:ascii="Calibri" w:hAnsi="Calibri" w:eastAsia="Calibri" w:cs="宋体"/>
      <w:sz w:val="20"/>
      <w:lang w:val="zh-CN"/>
    </w:rPr>
  </w:style>
  <w:style w:type="paragraph" w:styleId="908">
    <w:name w:val="目录 5"/>
    <w:basedOn w:val="867"/>
    <w:next w:val="867"/>
    <w:link w:val="867"/>
    <w:semiHidden/>
    <w:qFormat/>
    <w:pPr>
      <w:ind w:left="840"/>
      <w:jc w:val="left"/>
    </w:pPr>
    <w:rPr>
      <w:rFonts w:ascii="Times New Roman" w:hAnsi="Times New Roman" w:eastAsia="宋体" w:cs="Times New Roman"/>
      <w:szCs w:val="21"/>
    </w:rPr>
  </w:style>
  <w:style w:type="paragraph" w:styleId="909">
    <w:name w:val="目录 3"/>
    <w:basedOn w:val="867"/>
    <w:next w:val="867"/>
    <w:link w:val="867"/>
    <w:semiHidden/>
    <w:qFormat/>
    <w:pPr>
      <w:ind w:left="420"/>
      <w:jc w:val="left"/>
    </w:pPr>
    <w:rPr>
      <w:rFonts w:ascii="Times New Roman" w:hAnsi="Times New Roman" w:eastAsia="宋体" w:cs="Times New Roman"/>
      <w:i/>
      <w:iCs/>
      <w:szCs w:val="24"/>
    </w:rPr>
  </w:style>
  <w:style w:type="paragraph" w:styleId="910">
    <w:name w:val="纯文本"/>
    <w:basedOn w:val="867"/>
    <w:next w:val="910"/>
    <w:link w:val="911"/>
    <w:qFormat/>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7"/>
    <w:next w:val="867"/>
    <w:link w:val="867"/>
    <w:semiHidden/>
    <w:qFormat/>
    <w:pPr>
      <w:ind w:left="1470"/>
      <w:jc w:val="left"/>
    </w:pPr>
    <w:rPr>
      <w:rFonts w:ascii="Times New Roman" w:hAnsi="Times New Roman" w:eastAsia="宋体" w:cs="Times New Roman"/>
      <w:szCs w:val="21"/>
    </w:rPr>
  </w:style>
  <w:style w:type="paragraph" w:styleId="913">
    <w:name w:val="日期"/>
    <w:basedOn w:val="867"/>
    <w:next w:val="867"/>
    <w:link w:val="914"/>
    <w:qFormat/>
    <w:rPr>
      <w:rFonts w:ascii="Times New Roman" w:hAnsi="Times New Roman" w:eastAsia="宋体" w:cs="Times New Roman"/>
      <w:sz w:val="24"/>
      <w:szCs w:val="24"/>
    </w:rPr>
  </w:style>
  <w:style w:type="character" w:styleId="914">
    <w:name w:val="日期 Char"/>
    <w:next w:val="914"/>
    <w:link w:val="913"/>
    <w:qFormat/>
    <w:rPr>
      <w:rFonts w:ascii="Times New Roman" w:hAnsi="Times New Roman" w:eastAsia="宋体" w:cs="Times New Roman"/>
      <w:sz w:val="24"/>
      <w:szCs w:val="24"/>
    </w:rPr>
  </w:style>
  <w:style w:type="paragraph" w:styleId="915">
    <w:name w:val="正文文本缩进 2"/>
    <w:basedOn w:val="867"/>
    <w:next w:val="915"/>
    <w:link w:val="916"/>
    <w:qFormat/>
    <w:pPr>
      <w:ind w:left="630" w:firstLine="645"/>
    </w:pPr>
    <w:rPr>
      <w:rFonts w:ascii="Arial" w:hAnsi="Arial" w:eastAsia="仿宋_GB2312" w:cs="Arial"/>
      <w:sz w:val="32"/>
      <w:szCs w:val="32"/>
    </w:rPr>
  </w:style>
  <w:style w:type="character" w:styleId="916">
    <w:name w:val="正文文本缩进 2 Char"/>
    <w:next w:val="916"/>
    <w:link w:val="915"/>
    <w:qFormat/>
    <w:rPr>
      <w:rFonts w:ascii="Arial" w:hAnsi="Arial" w:eastAsia="仿宋_GB2312" w:cs="Arial"/>
      <w:sz w:val="32"/>
      <w:szCs w:val="32"/>
    </w:rPr>
  </w:style>
  <w:style w:type="paragraph" w:styleId="917">
    <w:name w:val="批注框文本"/>
    <w:basedOn w:val="867"/>
    <w:next w:val="917"/>
    <w:link w:val="918"/>
    <w:semiHidden/>
    <w:rPr>
      <w:rFonts w:ascii="Times New Roman" w:hAnsi="Times New Roman" w:eastAsia="宋体" w:cs="Times New Roman"/>
      <w:sz w:val="18"/>
      <w:szCs w:val="18"/>
    </w:rPr>
  </w:style>
  <w:style w:type="character" w:styleId="918">
    <w:name w:val="批注框文本 Char"/>
    <w:next w:val="918"/>
    <w:link w:val="917"/>
    <w:semiHidden/>
    <w:qFormat/>
    <w:rPr>
      <w:rFonts w:ascii="Times New Roman" w:hAnsi="Times New Roman" w:eastAsia="宋体" w:cs="Times New Roman"/>
      <w:sz w:val="18"/>
      <w:szCs w:val="18"/>
    </w:rPr>
  </w:style>
  <w:style w:type="paragraph" w:styleId="919">
    <w:name w:val="页脚"/>
    <w:basedOn w:val="867"/>
    <w:next w:val="919"/>
    <w:link w:val="920"/>
    <w:qFormat/>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qFormat/>
    <w:rPr>
      <w:rFonts w:ascii="Times New Roman" w:hAnsi="Times New Roman" w:eastAsia="宋体" w:cs="Times New Roman"/>
      <w:sz w:val="18"/>
      <w:szCs w:val="18"/>
    </w:rPr>
  </w:style>
  <w:style w:type="paragraph" w:styleId="921">
    <w:name w:val="页眉"/>
    <w:basedOn w:val="867"/>
    <w:next w:val="921"/>
    <w:link w:val="92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7"/>
    <w:next w:val="867"/>
    <w:link w:val="867"/>
    <w:semiHidden/>
    <w:pPr>
      <w:ind w:left="630"/>
      <w:jc w:val="left"/>
    </w:pPr>
    <w:rPr>
      <w:rFonts w:ascii="Times New Roman" w:hAnsi="Times New Roman" w:eastAsia="宋体" w:cs="Times New Roman"/>
      <w:szCs w:val="21"/>
    </w:rPr>
  </w:style>
  <w:style w:type="paragraph" w:styleId="925">
    <w:name w:val="列表"/>
    <w:basedOn w:val="867"/>
    <w:next w:val="925"/>
    <w:link w:val="867"/>
    <w:qFormat/>
    <w:pPr>
      <w:ind w:left="200" w:hanging="200"/>
    </w:pPr>
    <w:rPr>
      <w:rFonts w:ascii="Times New Roman" w:hAnsi="Times New Roman" w:eastAsia="宋体" w:cs="Times New Roman"/>
      <w:szCs w:val="21"/>
    </w:rPr>
  </w:style>
  <w:style w:type="paragraph" w:styleId="926">
    <w:name w:val="目录 6"/>
    <w:basedOn w:val="867"/>
    <w:next w:val="867"/>
    <w:link w:val="867"/>
    <w:semiHidden/>
    <w:qFormat/>
    <w:pPr>
      <w:ind w:left="1050"/>
      <w:jc w:val="left"/>
    </w:pPr>
    <w:rPr>
      <w:rFonts w:ascii="Times New Roman" w:hAnsi="Times New Roman" w:eastAsia="宋体" w:cs="Times New Roman"/>
      <w:szCs w:val="21"/>
    </w:rPr>
  </w:style>
  <w:style w:type="paragraph" w:styleId="927">
    <w:name w:val="正文文本缩进 3"/>
    <w:basedOn w:val="867"/>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7"/>
    <w:next w:val="867"/>
    <w:link w:val="867"/>
    <w:semiHidden/>
    <w:qFormat/>
    <w:pPr>
      <w:ind w:left="840" w:hanging="420"/>
    </w:pPr>
    <w:rPr>
      <w:rFonts w:ascii="Times New Roman" w:hAnsi="Times New Roman" w:eastAsia="宋体" w:cs="Times New Roman"/>
      <w:szCs w:val="21"/>
    </w:rPr>
  </w:style>
  <w:style w:type="paragraph" w:styleId="930">
    <w:name w:val="目录 2"/>
    <w:basedOn w:val="867"/>
    <w:next w:val="867"/>
    <w:link w:val="867"/>
    <w:semiHidden/>
    <w:pPr>
      <w:ind w:left="210"/>
      <w:jc w:val="left"/>
    </w:pPr>
    <w:rPr>
      <w:rFonts w:ascii="Times New Roman" w:hAnsi="Times New Roman" w:eastAsia="宋体" w:cs="Times New Roman"/>
      <w:smallCaps/>
      <w:szCs w:val="24"/>
    </w:rPr>
  </w:style>
  <w:style w:type="paragraph" w:styleId="931">
    <w:name w:val="目录 9"/>
    <w:basedOn w:val="867"/>
    <w:next w:val="867"/>
    <w:link w:val="867"/>
    <w:semiHidden/>
    <w:pPr>
      <w:ind w:left="1680"/>
      <w:jc w:val="left"/>
    </w:pPr>
    <w:rPr>
      <w:rFonts w:ascii="Times New Roman" w:hAnsi="Times New Roman" w:eastAsia="宋体" w:cs="Times New Roman"/>
      <w:szCs w:val="21"/>
    </w:rPr>
  </w:style>
  <w:style w:type="paragraph" w:styleId="932">
    <w:name w:val="正文文本 2"/>
    <w:basedOn w:val="867"/>
    <w:next w:val="932"/>
    <w:link w:val="933"/>
    <w:qFormat/>
    <w:pPr>
      <w:jc w:val="center"/>
      <w:widowControl/>
    </w:pPr>
    <w:rPr>
      <w:rFonts w:ascii="楷体_GB2312" w:hAnsi="Times New Roman" w:eastAsia="楷体_GB2312" w:cs="Times New Roman"/>
      <w:sz w:val="28"/>
      <w:szCs w:val="28"/>
    </w:rPr>
  </w:style>
  <w:style w:type="character" w:styleId="933">
    <w:name w:val="正文文本 2 Char"/>
    <w:next w:val="933"/>
    <w:link w:val="932"/>
    <w:qFormat/>
    <w:rPr>
      <w:rFonts w:ascii="楷体_GB2312" w:hAnsi="Times New Roman" w:eastAsia="楷体_GB2312" w:cs="Times New Roman"/>
      <w:sz w:val="28"/>
      <w:szCs w:val="28"/>
    </w:rPr>
  </w:style>
  <w:style w:type="paragraph" w:styleId="934">
    <w:name w:val="普通(网站)"/>
    <w:basedOn w:val="867"/>
    <w:next w:val="934"/>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5">
    <w:name w:val="索引 1"/>
    <w:basedOn w:val="867"/>
    <w:next w:val="867"/>
    <w:link w:val="867"/>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qFormat/>
    <w:rPr>
      <w:rFonts w:ascii="Times New Roman" w:hAnsi="Times New Roman" w:eastAsia="宋体" w:cs="Times New Roman"/>
      <w:b/>
      <w:bCs/>
      <w:szCs w:val="21"/>
    </w:rPr>
  </w:style>
  <w:style w:type="character" w:styleId="937">
    <w:name w:val="批注主题 Char"/>
    <w:next w:val="937"/>
    <w:link w:val="936"/>
    <w:semiHidden/>
    <w:qFormat/>
    <w:rPr>
      <w:rFonts w:ascii="Times New Roman" w:hAnsi="Times New Roman" w:eastAsia="宋体" w:cs="Times New Roman"/>
      <w:b/>
      <w:bCs/>
      <w:szCs w:val="21"/>
    </w:rPr>
  </w:style>
  <w:style w:type="paragraph" w:styleId="938">
    <w:name w:val="正文首行缩进"/>
    <w:basedOn w:val="867"/>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qFormat/>
    <w:rPr>
      <w:rFonts w:ascii="仿宋_GB2312" w:hAnsi="Times New Roman" w:eastAsia="仿宋_GB2312" w:cs="Times New Roman"/>
      <w:sz w:val="30"/>
      <w:szCs w:val="3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索引 41"/>
    <w:basedOn w:val="867"/>
    <w:next w:val="867"/>
    <w:link w:val="867"/>
    <w:semiHidden/>
    <w:qFormat/>
    <w:pPr>
      <w:ind w:left="1260"/>
    </w:pPr>
    <w:rPr>
      <w:rFonts w:ascii="Calibri" w:hAnsi="Calibri" w:eastAsia="Calibri" w:cs="宋体"/>
      <w:sz w:val="20"/>
      <w:lang w:val="zh-CN"/>
    </w:rPr>
  </w:style>
  <w:style w:type="paragraph" w:styleId="948">
    <w:name w:val="正文文本首行缩进 2"/>
    <w:basedOn w:val="880"/>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901"/>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5"/>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5"/>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7"/>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5"/>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character" w:styleId="992">
    <w:name w:val="15"/>
    <w:basedOn w:val="877"/>
    <w:next w:val="992"/>
    <w:link w:val="867"/>
    <w:rPr>
      <w:rFonts w:ascii="Times New Roman" w:hAnsi="Times New Roman" w:cs="Times New Roman"/>
    </w:rPr>
  </w:style>
  <w:style w:type="paragraph" w:styleId="993">
    <w:name w:val="正文首行缩进 211"/>
    <w:basedOn w:val="994"/>
    <w:next w:val="867"/>
    <w:link w:val="867"/>
    <w:qFormat/>
    <w:pPr>
      <w:ind w:left="0" w:firstLine="420"/>
      <w:spacing w:after="0" w:line="360" w:lineRule="auto"/>
    </w:pPr>
    <w:rPr>
      <w:rFonts w:ascii="宋体" w:hAnsi="宋体" w:eastAsia="宋体" w:cs="Times New Roman"/>
      <w:szCs w:val="20"/>
    </w:rPr>
  </w:style>
  <w:style w:type="paragraph" w:styleId="994">
    <w:name w:val="正文文本缩进11"/>
    <w:basedOn w:val="867"/>
    <w:next w:val="995"/>
    <w:link w:val="867"/>
    <w:unhideWhenUsed/>
    <w:qFormat/>
    <w:pPr>
      <w:ind w:left="420"/>
      <w:spacing w:after="120"/>
    </w:pPr>
  </w:style>
  <w:style w:type="paragraph" w:styleId="995">
    <w:name w:val="寄信人地址1"/>
    <w:basedOn w:val="867"/>
    <w:next w:val="995"/>
    <w:link w:val="867"/>
    <w:qFormat/>
    <w:rPr>
      <w:rFonts w:ascii="Arial" w:hAnsi="Arial" w:eastAsia="宋体" w:cs="宋体"/>
    </w:rPr>
  </w:style>
  <w:style w:type="paragraph" w:styleId="996">
    <w:name w:val="Table Paragraph"/>
    <w:basedOn w:val="867"/>
    <w:next w:val="996"/>
    <w:link w:val="867"/>
    <w:uiPriority w:val="1"/>
    <w:qFormat/>
    <w:pPr>
      <w:jc w:val="left"/>
    </w:pPr>
    <w:rPr>
      <w:rFonts w:ascii="宋体" w:hAnsi="宋体" w:eastAsia="宋体" w:cs="宋体"/>
      <w:sz w:val="22"/>
      <w:szCs w:val="22"/>
      <w:lang w:val="zh-CN" w:bidi="zh-CN"/>
    </w:rPr>
  </w:style>
  <w:style w:type="paragraph" w:styleId="997">
    <w:name w:val="正文首行缩进 21"/>
    <w:basedOn w:val="880"/>
    <w:next w:val="867"/>
    <w:link w:val="867"/>
    <w:qFormat/>
    <w:pPr>
      <w:ind w:firstLine="420"/>
      <w:spacing w:line="360" w:lineRule="auto"/>
    </w:pPr>
    <w:rPr>
      <w:rFonts w:ascii="宋体" w:hAnsi="宋体" w:eastAsia="宋体"/>
      <w:sz w:val="21"/>
      <w:szCs w:val="20"/>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2023-03-27T07:28:00Z</dcterms:created>
  <dcterms:modified xsi:type="dcterms:W3CDTF">2026-09-07T06:43:49Z</dcterms:modified>
</cp:coreProperties>
</file>