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CA4FB7">
      <w:pPr>
        <w:jc w:val="center"/>
        <w:rPr>
          <w:rFonts w:asciiTheme="minorEastAsia" w:hAnsiTheme="minorEastAsia" w:eastAsiaTheme="minorEastAsia"/>
          <w:b/>
          <w:color w:val="auto"/>
          <w:spacing w:val="0"/>
          <w:sz w:val="44"/>
          <w:highlight w:val="none"/>
        </w:rPr>
      </w:pPr>
      <w:r>
        <w:rPr>
          <w:rFonts w:hint="eastAsia" w:asciiTheme="minorEastAsia" w:hAnsiTheme="minorEastAsia" w:eastAsiaTheme="minorEastAsia"/>
          <w:b/>
          <w:color w:val="auto"/>
          <w:spacing w:val="0"/>
          <w:sz w:val="44"/>
          <w:highlight w:val="none"/>
          <w:lang w:eastAsia="zh-CN"/>
        </w:rPr>
        <w:t>启东市吕四港镇开发边界控制性详细规划全覆盖及重点地区城市设计项目</w:t>
      </w:r>
    </w:p>
    <w:p w14:paraId="420070C4">
      <w:pPr>
        <w:pStyle w:val="10"/>
        <w:rPr>
          <w:rFonts w:asciiTheme="minorEastAsia" w:hAnsiTheme="minorEastAsia" w:eastAsiaTheme="minorEastAsia"/>
          <w:color w:val="auto"/>
          <w:highlight w:val="none"/>
        </w:rPr>
      </w:pPr>
    </w:p>
    <w:p w14:paraId="2988A212">
      <w:pPr>
        <w:pStyle w:val="10"/>
        <w:rPr>
          <w:rFonts w:asciiTheme="minorEastAsia" w:hAnsiTheme="minorEastAsia" w:eastAsiaTheme="minorEastAsia"/>
          <w:color w:val="auto"/>
          <w:highlight w:val="none"/>
        </w:rPr>
      </w:pPr>
    </w:p>
    <w:p w14:paraId="35B8835B">
      <w:pPr>
        <w:jc w:val="center"/>
        <w:rPr>
          <w:rFonts w:asciiTheme="minorEastAsia" w:hAnsiTheme="minorEastAsia" w:eastAsiaTheme="minorEastAsia"/>
          <w:b/>
          <w:color w:val="auto"/>
          <w:sz w:val="100"/>
          <w:szCs w:val="100"/>
          <w:highlight w:val="none"/>
        </w:rPr>
      </w:pPr>
      <w:r>
        <w:rPr>
          <w:rFonts w:hint="eastAsia" w:asciiTheme="minorEastAsia" w:hAnsiTheme="minorEastAsia" w:eastAsiaTheme="minorEastAsia"/>
          <w:b/>
          <w:color w:val="auto"/>
          <w:sz w:val="100"/>
          <w:szCs w:val="100"/>
          <w:highlight w:val="none"/>
          <w:lang w:val="en-US" w:eastAsia="zh-CN"/>
        </w:rPr>
        <w:t>分散</w:t>
      </w:r>
      <w:r>
        <w:rPr>
          <w:rFonts w:hint="eastAsia" w:asciiTheme="minorEastAsia" w:hAnsiTheme="minorEastAsia" w:eastAsiaTheme="minorEastAsia"/>
          <w:b/>
          <w:color w:val="auto"/>
          <w:sz w:val="100"/>
          <w:szCs w:val="100"/>
          <w:highlight w:val="none"/>
        </w:rPr>
        <w:t>采购磋商文件</w:t>
      </w:r>
    </w:p>
    <w:p w14:paraId="7F5AA37B">
      <w:pPr>
        <w:keepNext/>
        <w:spacing w:line="500" w:lineRule="exact"/>
        <w:ind w:firstLine="1084"/>
        <w:jc w:val="both"/>
        <w:outlineLvl w:val="5"/>
        <w:rPr>
          <w:rFonts w:hint="eastAsia" w:asciiTheme="minorEastAsia" w:hAnsiTheme="minorEastAsia" w:eastAsiaTheme="minorEastAsia"/>
          <w:b/>
          <w:color w:val="auto"/>
          <w:sz w:val="36"/>
          <w:szCs w:val="36"/>
          <w:highlight w:val="none"/>
        </w:rPr>
      </w:pPr>
    </w:p>
    <w:p w14:paraId="31F510D4">
      <w:pPr>
        <w:keepNext/>
        <w:spacing w:line="500" w:lineRule="exact"/>
        <w:ind w:firstLine="1084"/>
        <w:jc w:val="both"/>
        <w:outlineLvl w:val="5"/>
        <w:rPr>
          <w:rFonts w:hint="eastAsia" w:asciiTheme="minorEastAsia" w:hAnsiTheme="minorEastAsia" w:eastAsiaTheme="minorEastAsia"/>
          <w:b/>
          <w:color w:val="auto"/>
          <w:sz w:val="36"/>
          <w:szCs w:val="36"/>
          <w:highlight w:val="none"/>
          <w:lang w:val="en-US" w:eastAsia="zh-CN"/>
        </w:rPr>
      </w:pPr>
      <w:r>
        <w:rPr>
          <w:rFonts w:hint="eastAsia" w:asciiTheme="minorEastAsia" w:hAnsiTheme="minorEastAsia" w:eastAsiaTheme="minorEastAsia"/>
          <w:b/>
          <w:color w:val="auto"/>
          <w:sz w:val="36"/>
          <w:szCs w:val="36"/>
          <w:highlight w:val="none"/>
        </w:rPr>
        <w:t>项目编号：</w:t>
      </w:r>
      <w:bookmarkStart w:id="99" w:name="_GoBack"/>
      <w:bookmarkEnd w:id="99"/>
      <w:r>
        <w:rPr>
          <w:rFonts w:hint="eastAsia" w:asciiTheme="minorEastAsia" w:hAnsiTheme="minorEastAsia" w:eastAsiaTheme="minorEastAsia"/>
          <w:b/>
          <w:color w:val="auto"/>
          <w:sz w:val="36"/>
          <w:szCs w:val="36"/>
          <w:highlight w:val="none"/>
          <w:lang w:eastAsia="zh-CN"/>
        </w:rPr>
        <w:t>JSZC-320681-HXTH-C2026-0037</w:t>
      </w:r>
    </w:p>
    <w:p w14:paraId="2A771574">
      <w:pPr>
        <w:spacing w:line="500" w:lineRule="exact"/>
        <w:jc w:val="center"/>
        <w:rPr>
          <w:rFonts w:asciiTheme="minorEastAsia" w:hAnsiTheme="minorEastAsia" w:eastAsiaTheme="minorEastAsia"/>
          <w:b/>
          <w:color w:val="auto"/>
          <w:sz w:val="36"/>
          <w:highlight w:val="none"/>
        </w:rPr>
      </w:pPr>
    </w:p>
    <w:p w14:paraId="660475CF">
      <w:pPr>
        <w:pStyle w:val="10"/>
        <w:rPr>
          <w:rFonts w:asciiTheme="minorEastAsia" w:hAnsiTheme="minorEastAsia" w:eastAsiaTheme="minorEastAsia"/>
          <w:color w:val="auto"/>
          <w:highlight w:val="none"/>
        </w:rPr>
      </w:pPr>
    </w:p>
    <w:p w14:paraId="1C650E0E">
      <w:pPr>
        <w:pStyle w:val="10"/>
        <w:rPr>
          <w:rFonts w:asciiTheme="minorEastAsia" w:hAnsiTheme="minorEastAsia" w:eastAsiaTheme="minorEastAsia"/>
          <w:color w:val="auto"/>
          <w:highlight w:val="none"/>
        </w:rPr>
      </w:pPr>
    </w:p>
    <w:p w14:paraId="7466964F">
      <w:pPr>
        <w:rPr>
          <w:rFonts w:asciiTheme="minorEastAsia" w:hAnsiTheme="minorEastAsia" w:eastAsiaTheme="minorEastAsia"/>
          <w:color w:val="auto"/>
          <w:highlight w:val="none"/>
        </w:rPr>
      </w:pPr>
    </w:p>
    <w:p w14:paraId="2331B7F5">
      <w:pPr>
        <w:spacing w:line="500" w:lineRule="exact"/>
        <w:jc w:val="center"/>
        <w:rPr>
          <w:rFonts w:asciiTheme="minorEastAsia" w:hAnsiTheme="minorEastAsia" w:eastAsiaTheme="minorEastAsia"/>
          <w:b/>
          <w:color w:val="auto"/>
          <w:sz w:val="36"/>
          <w:highlight w:val="none"/>
        </w:rPr>
      </w:pPr>
    </w:p>
    <w:p w14:paraId="37578EDF">
      <w:pPr>
        <w:spacing w:line="500" w:lineRule="exact"/>
        <w:jc w:val="center"/>
        <w:rPr>
          <w:rFonts w:asciiTheme="minorEastAsia" w:hAnsiTheme="minorEastAsia" w:eastAsiaTheme="minorEastAsia"/>
          <w:b/>
          <w:color w:val="auto"/>
          <w:sz w:val="36"/>
          <w:highlight w:val="none"/>
        </w:rPr>
      </w:pPr>
    </w:p>
    <w:p w14:paraId="17FC2090">
      <w:pPr>
        <w:spacing w:line="500" w:lineRule="exact"/>
        <w:rPr>
          <w:rFonts w:asciiTheme="minorEastAsia" w:hAnsiTheme="minorEastAsia" w:eastAsiaTheme="minorEastAsia"/>
          <w:color w:val="auto"/>
          <w:highlight w:val="none"/>
        </w:rPr>
      </w:pPr>
    </w:p>
    <w:p w14:paraId="64AF519E">
      <w:pPr>
        <w:spacing w:line="500" w:lineRule="exact"/>
        <w:jc w:val="center"/>
        <w:rPr>
          <w:rFonts w:asciiTheme="minorEastAsia" w:hAnsiTheme="minorEastAsia" w:eastAsiaTheme="minorEastAsia"/>
          <w:color w:val="auto"/>
          <w:sz w:val="32"/>
          <w:highlight w:val="none"/>
        </w:rPr>
      </w:pPr>
    </w:p>
    <w:p w14:paraId="12E34006">
      <w:pPr>
        <w:pStyle w:val="10"/>
        <w:rPr>
          <w:color w:val="auto"/>
        </w:rPr>
      </w:pPr>
    </w:p>
    <w:p w14:paraId="6BA1A759">
      <w:pPr>
        <w:rPr>
          <w:color w:val="auto"/>
        </w:rPr>
      </w:pPr>
    </w:p>
    <w:p w14:paraId="35C88B33">
      <w:pPr>
        <w:rPr>
          <w:color w:val="auto"/>
        </w:rPr>
      </w:pPr>
    </w:p>
    <w:p w14:paraId="2252CA29">
      <w:pPr>
        <w:spacing w:line="500" w:lineRule="exact"/>
        <w:jc w:val="both"/>
        <w:rPr>
          <w:rFonts w:asciiTheme="minorEastAsia" w:hAnsiTheme="minorEastAsia" w:eastAsiaTheme="minorEastAsia"/>
          <w:color w:val="auto"/>
          <w:sz w:val="32"/>
          <w:highlight w:val="none"/>
        </w:rPr>
      </w:pPr>
    </w:p>
    <w:p w14:paraId="0B9C503A">
      <w:pPr>
        <w:pStyle w:val="10"/>
        <w:rPr>
          <w:rFonts w:asciiTheme="minorEastAsia" w:hAnsiTheme="minorEastAsia" w:eastAsiaTheme="minorEastAsia"/>
          <w:color w:val="auto"/>
          <w:highlight w:val="none"/>
        </w:rPr>
      </w:pPr>
    </w:p>
    <w:p w14:paraId="48DCC210">
      <w:pPr>
        <w:rPr>
          <w:rFonts w:asciiTheme="minorEastAsia" w:hAnsiTheme="minorEastAsia" w:eastAsiaTheme="minorEastAsia"/>
          <w:color w:val="auto"/>
          <w:highlight w:val="none"/>
        </w:rPr>
      </w:pPr>
    </w:p>
    <w:p w14:paraId="2C53834E">
      <w:pPr>
        <w:spacing w:line="500" w:lineRule="exact"/>
        <w:jc w:val="center"/>
        <w:rPr>
          <w:rFonts w:hint="eastAsia" w:asciiTheme="minorEastAsia" w:hAnsiTheme="minorEastAsia" w:eastAsiaTheme="minorEastAsia"/>
          <w:b/>
          <w:color w:val="auto"/>
          <w:sz w:val="44"/>
          <w:highlight w:val="none"/>
          <w:lang w:eastAsia="zh-CN"/>
        </w:rPr>
      </w:pPr>
      <w:r>
        <w:rPr>
          <w:rFonts w:hint="eastAsia" w:asciiTheme="minorEastAsia" w:hAnsiTheme="minorEastAsia" w:eastAsiaTheme="minorEastAsia"/>
          <w:b/>
          <w:color w:val="auto"/>
          <w:sz w:val="44"/>
          <w:highlight w:val="none"/>
          <w:lang w:eastAsia="zh-CN"/>
        </w:rPr>
        <w:t>启东市吕四港镇人民政府</w:t>
      </w:r>
    </w:p>
    <w:p w14:paraId="1DF2E98D">
      <w:pPr>
        <w:spacing w:before="120" w:after="120" w:line="500" w:lineRule="exact"/>
        <w:ind w:left="-2" w:right="120"/>
        <w:jc w:val="center"/>
        <w:rPr>
          <w:rFonts w:asciiTheme="minorEastAsia" w:hAnsiTheme="minorEastAsia" w:eastAsiaTheme="minorEastAsia"/>
          <w:b/>
          <w:bCs/>
          <w:color w:val="auto"/>
          <w:sz w:val="32"/>
          <w:highlight w:val="none"/>
        </w:rPr>
      </w:pPr>
      <w:r>
        <w:rPr>
          <w:rFonts w:hint="eastAsia" w:asciiTheme="minorEastAsia" w:hAnsiTheme="minorEastAsia" w:eastAsiaTheme="minorEastAsia"/>
          <w:b/>
          <w:bCs/>
          <w:color w:val="auto"/>
          <w:sz w:val="32"/>
          <w:highlight w:val="none"/>
          <w:u w:val="single"/>
        </w:rPr>
        <w:t xml:space="preserve">  202</w:t>
      </w:r>
      <w:r>
        <w:rPr>
          <w:rFonts w:hint="eastAsia" w:asciiTheme="minorEastAsia" w:hAnsiTheme="minorEastAsia" w:eastAsiaTheme="minorEastAsia"/>
          <w:b/>
          <w:bCs/>
          <w:color w:val="auto"/>
          <w:sz w:val="32"/>
          <w:highlight w:val="none"/>
          <w:u w:val="single"/>
          <w:lang w:val="en-US" w:eastAsia="zh-CN"/>
        </w:rPr>
        <w:t>6</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年</w:t>
      </w:r>
      <w:r>
        <w:rPr>
          <w:rFonts w:hint="eastAsia" w:asciiTheme="minorEastAsia" w:hAnsiTheme="minorEastAsia" w:eastAsiaTheme="minorEastAsia"/>
          <w:b/>
          <w:bCs/>
          <w:color w:val="auto"/>
          <w:sz w:val="32"/>
          <w:highlight w:val="none"/>
          <w:u w:val="single"/>
          <w:lang w:val="en-US" w:eastAsia="zh-CN"/>
        </w:rPr>
        <w:t xml:space="preserve"> 9</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月</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u w:val="single"/>
          <w:lang w:val="en-US" w:eastAsia="zh-CN"/>
        </w:rPr>
        <w:t>4</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日</w:t>
      </w:r>
    </w:p>
    <w:p w14:paraId="11D58EA6">
      <w:pPr>
        <w:pStyle w:val="10"/>
        <w:rPr>
          <w:rFonts w:asciiTheme="minorEastAsia" w:hAnsiTheme="minorEastAsia" w:eastAsiaTheme="minorEastAsia"/>
          <w:color w:val="auto"/>
          <w:highlight w:val="none"/>
        </w:rPr>
      </w:pPr>
    </w:p>
    <w:p w14:paraId="5429B0CF">
      <w:pPr>
        <w:spacing w:line="500" w:lineRule="exact"/>
        <w:ind w:left="-158"/>
        <w:rPr>
          <w:rFonts w:asciiTheme="minorEastAsia" w:hAnsiTheme="minorEastAsia" w:eastAsiaTheme="minorEastAsia"/>
          <w:b/>
          <w:color w:val="auto"/>
          <w:sz w:val="26"/>
          <w:szCs w:val="28"/>
          <w:highlight w:val="none"/>
          <w:u w:val="single"/>
        </w:rPr>
      </w:pPr>
      <w:r>
        <w:rPr>
          <w:rFonts w:hint="eastAsia" w:asciiTheme="minorEastAsia" w:hAnsiTheme="minorEastAsia" w:eastAsiaTheme="minorEastAsia"/>
          <w:b/>
          <w:color w:val="auto"/>
          <w:sz w:val="26"/>
          <w:szCs w:val="28"/>
          <w:highlight w:val="none"/>
          <w:u w:val="single"/>
        </w:rPr>
        <w:t>_</w:t>
      </w:r>
      <w:r>
        <w:rPr>
          <w:rFonts w:asciiTheme="minorEastAsia" w:hAnsiTheme="minorEastAsia" w:eastAsiaTheme="minorEastAsia"/>
          <w:b/>
          <w:color w:val="auto"/>
          <w:sz w:val="26"/>
          <w:szCs w:val="28"/>
          <w:highlight w:val="none"/>
          <w:u w:val="single"/>
        </w:rPr>
        <w:t>_______________________________________________________________</w:t>
      </w:r>
      <w:r>
        <w:rPr>
          <w:rFonts w:hint="eastAsia" w:asciiTheme="minorEastAsia" w:hAnsiTheme="minorEastAsia" w:eastAsiaTheme="minorEastAsia"/>
          <w:b/>
          <w:color w:val="auto"/>
          <w:sz w:val="26"/>
          <w:szCs w:val="28"/>
          <w:highlight w:val="none"/>
          <w:u w:val="single"/>
        </w:rPr>
        <w:t xml:space="preserve">    </w:t>
      </w:r>
    </w:p>
    <w:p w14:paraId="253B5A01">
      <w:pPr>
        <w:ind w:left="-158"/>
        <w:jc w:val="left"/>
        <w:rPr>
          <w:rFonts w:cs="Times New Roman" w:asciiTheme="minorEastAsia" w:hAnsiTheme="minorEastAsia" w:eastAsiaTheme="minorEastAsia"/>
          <w:color w:val="auto"/>
          <w:sz w:val="32"/>
          <w:szCs w:val="32"/>
          <w:highlight w:val="none"/>
        </w:rPr>
      </w:pPr>
      <w:r>
        <w:rPr>
          <w:rFonts w:asciiTheme="minorEastAsia" w:hAnsiTheme="minorEastAsia" w:eastAsiaTheme="minorEastAsia"/>
          <w:b/>
          <w:color w:val="auto"/>
          <w:sz w:val="32"/>
          <w:szCs w:val="32"/>
          <w:highlight w:val="none"/>
        </w:rPr>
        <w:t>地址：</w:t>
      </w:r>
      <w:r>
        <w:rPr>
          <w:rFonts w:hint="eastAsia" w:cs="Times New Roman" w:asciiTheme="minorEastAsia" w:hAnsiTheme="minorEastAsia" w:eastAsiaTheme="minorEastAsia"/>
          <w:color w:val="auto"/>
          <w:sz w:val="32"/>
          <w:szCs w:val="32"/>
          <w:highlight w:val="none"/>
          <w:lang w:val="en-US" w:eastAsia="zh-CN"/>
        </w:rPr>
        <w:t>启东市吕四港镇环城北路328号</w:t>
      </w:r>
    </w:p>
    <w:p w14:paraId="4B8F67E1">
      <w:pPr>
        <w:ind w:left="-158"/>
        <w:jc w:val="left"/>
        <w:rPr>
          <w:rFonts w:asciiTheme="minorEastAsia" w:hAnsiTheme="minorEastAsia" w:eastAsiaTheme="minorEastAsia"/>
          <w:color w:val="auto"/>
          <w:sz w:val="32"/>
          <w:szCs w:val="32"/>
          <w:highlight w:val="none"/>
        </w:rPr>
      </w:pPr>
      <w:r>
        <w:rPr>
          <w:rFonts w:hint="eastAsia" w:cs="宋体" w:asciiTheme="minorEastAsia" w:hAnsiTheme="minorEastAsia" w:eastAsiaTheme="minorEastAsia"/>
          <w:b/>
          <w:color w:val="auto"/>
          <w:sz w:val="32"/>
          <w:szCs w:val="32"/>
          <w:highlight w:val="none"/>
        </w:rPr>
        <w:t>邮</w:t>
      </w:r>
      <w:r>
        <w:rPr>
          <w:rFonts w:hint="eastAsia" w:cs="Malgun Gothic" w:asciiTheme="minorEastAsia" w:hAnsiTheme="minorEastAsia" w:eastAsiaTheme="minorEastAsia"/>
          <w:b/>
          <w:color w:val="auto"/>
          <w:sz w:val="32"/>
          <w:szCs w:val="32"/>
          <w:highlight w:val="none"/>
        </w:rPr>
        <w:t>政</w:t>
      </w:r>
      <w:r>
        <w:rPr>
          <w:rFonts w:hint="eastAsia" w:cs="宋体" w:asciiTheme="minorEastAsia" w:hAnsiTheme="minorEastAsia" w:eastAsiaTheme="minorEastAsia"/>
          <w:b/>
          <w:color w:val="auto"/>
          <w:sz w:val="32"/>
          <w:szCs w:val="32"/>
          <w:highlight w:val="none"/>
        </w:rPr>
        <w:t>编码</w:t>
      </w:r>
      <w:r>
        <w:rPr>
          <w:rFonts w:hint="eastAsia" w:cs="Malgun Gothic" w:asciiTheme="minorEastAsia" w:hAnsiTheme="minorEastAsia" w:eastAsiaTheme="minorEastAsia"/>
          <w:b/>
          <w:color w:val="auto"/>
          <w:sz w:val="32"/>
          <w:szCs w:val="32"/>
          <w:highlight w:val="none"/>
        </w:rPr>
        <w:t>：</w:t>
      </w:r>
      <w:r>
        <w:rPr>
          <w:rFonts w:asciiTheme="minorEastAsia" w:hAnsiTheme="minorEastAsia" w:eastAsiaTheme="minorEastAsia"/>
          <w:color w:val="auto"/>
          <w:sz w:val="32"/>
          <w:szCs w:val="32"/>
          <w:highlight w:val="none"/>
        </w:rPr>
        <w:t>226</w:t>
      </w:r>
      <w:r>
        <w:rPr>
          <w:rFonts w:hint="eastAsia" w:asciiTheme="minorEastAsia" w:hAnsiTheme="minorEastAsia" w:eastAsiaTheme="minorEastAsia"/>
          <w:color w:val="auto"/>
          <w:sz w:val="32"/>
          <w:szCs w:val="32"/>
          <w:highlight w:val="none"/>
        </w:rPr>
        <w:t>200</w:t>
      </w:r>
    </w:p>
    <w:p w14:paraId="2450142C">
      <w:pPr>
        <w:ind w:left="-158" w:right="-601"/>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江</w:t>
      </w:r>
      <w:r>
        <w:rPr>
          <w:rFonts w:hint="eastAsia" w:cs="宋体" w:asciiTheme="minorEastAsia" w:hAnsiTheme="minorEastAsia" w:eastAsiaTheme="minorEastAsia"/>
          <w:b/>
          <w:color w:val="auto"/>
          <w:sz w:val="32"/>
          <w:szCs w:val="32"/>
          <w:highlight w:val="none"/>
        </w:rPr>
        <w:t>苏</w:t>
      </w:r>
      <w:r>
        <w:rPr>
          <w:rFonts w:hint="eastAsia" w:cs="Malgun Gothic" w:asciiTheme="minorEastAsia" w:hAnsiTheme="minorEastAsia" w:eastAsiaTheme="minorEastAsia"/>
          <w:b/>
          <w:color w:val="auto"/>
          <w:sz w:val="32"/>
          <w:szCs w:val="32"/>
          <w:highlight w:val="none"/>
        </w:rPr>
        <w:t>政府采</w:t>
      </w:r>
      <w:r>
        <w:rPr>
          <w:rFonts w:hint="eastAsia" w:cs="宋体" w:asciiTheme="minorEastAsia" w:hAnsiTheme="minorEastAsia" w:eastAsiaTheme="minorEastAsia"/>
          <w:b/>
          <w:color w:val="auto"/>
          <w:sz w:val="32"/>
          <w:szCs w:val="32"/>
          <w:highlight w:val="none"/>
        </w:rPr>
        <w:t>购网</w:t>
      </w:r>
    </w:p>
    <w:p w14:paraId="3FBC4039">
      <w:pPr>
        <w:pStyle w:val="10"/>
        <w:rPr>
          <w:rFonts w:asciiTheme="minorEastAsia" w:hAnsiTheme="minorEastAsia" w:eastAsiaTheme="minorEastAsia"/>
          <w:color w:val="auto"/>
          <w:sz w:val="32"/>
          <w:szCs w:val="32"/>
          <w:highlight w:val="none"/>
        </w:rPr>
        <w:sectPr>
          <w:footerReference r:id="rId5" w:type="first"/>
          <w:headerReference r:id="rId3" w:type="default"/>
          <w:footerReference r:id="rId4" w:type="default"/>
          <w:pgSz w:w="11907" w:h="16840"/>
          <w:pgMar w:top="1418" w:right="1588" w:bottom="1588" w:left="1588" w:header="567" w:footer="612" w:gutter="0"/>
          <w:cols w:space="1701" w:num="1"/>
          <w:docGrid w:linePitch="360" w:charSpace="0"/>
        </w:sectPr>
      </w:pPr>
    </w:p>
    <w:p w14:paraId="30F1CC37">
      <w:pPr>
        <w:spacing w:line="360" w:lineRule="auto"/>
        <w:jc w:val="center"/>
        <w:rPr>
          <w:rFonts w:asciiTheme="minorEastAsia" w:hAnsiTheme="minorEastAsia" w:eastAsiaTheme="minorEastAsia"/>
          <w:color w:val="auto"/>
          <w:sz w:val="44"/>
          <w:szCs w:val="44"/>
          <w:highlight w:val="none"/>
          <w:lang w:val="zh-CN"/>
        </w:rPr>
      </w:pPr>
      <w:r>
        <w:rPr>
          <w:rFonts w:hint="eastAsia" w:asciiTheme="minorEastAsia" w:hAnsiTheme="minorEastAsia" w:eastAsiaTheme="minorEastAsia"/>
          <w:color w:val="auto"/>
          <w:sz w:val="44"/>
          <w:szCs w:val="44"/>
          <w:highlight w:val="none"/>
          <w:lang w:val="zh-CN"/>
        </w:rPr>
        <w:t>目  录</w:t>
      </w:r>
    </w:p>
    <w:p w14:paraId="23716411">
      <w:pPr>
        <w:spacing w:line="360" w:lineRule="auto"/>
        <w:ind w:firstLine="556"/>
        <w:rPr>
          <w:rFonts w:asciiTheme="minorEastAsia" w:hAnsiTheme="minorEastAsia" w:eastAsiaTheme="minorEastAsia"/>
          <w:color w:val="auto"/>
          <w:sz w:val="32"/>
          <w:szCs w:val="32"/>
          <w:highlight w:val="none"/>
        </w:rPr>
      </w:pPr>
    </w:p>
    <w:p w14:paraId="7458030B">
      <w:pPr>
        <w:spacing w:line="360" w:lineRule="auto"/>
        <w:ind w:firstLine="556"/>
        <w:rPr>
          <w:rFonts w:asciiTheme="minorEastAsia" w:hAnsiTheme="minorEastAsia" w:eastAsiaTheme="minorEastAsia"/>
          <w:color w:val="auto"/>
          <w:sz w:val="32"/>
          <w:szCs w:val="32"/>
          <w:highlight w:val="none"/>
        </w:rPr>
      </w:pPr>
    </w:p>
    <w:p w14:paraId="27B023D5">
      <w:pPr>
        <w:spacing w:line="360" w:lineRule="auto"/>
        <w:ind w:firstLine="556"/>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第一部分  竞争性磋商公告</w:t>
      </w:r>
    </w:p>
    <w:p w14:paraId="67B2C16E">
      <w:pPr>
        <w:spacing w:line="360" w:lineRule="auto"/>
        <w:ind w:firstLine="556"/>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第二部分  磋商须知</w:t>
      </w:r>
    </w:p>
    <w:p w14:paraId="0C6A483D">
      <w:pPr>
        <w:spacing w:line="360" w:lineRule="auto"/>
        <w:ind w:firstLine="537"/>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第三部分  项目需求</w:t>
      </w:r>
    </w:p>
    <w:p w14:paraId="5643C092">
      <w:pPr>
        <w:spacing w:line="360" w:lineRule="auto"/>
        <w:ind w:firstLine="537"/>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第四部分  评审方法和评审标准</w:t>
      </w:r>
    </w:p>
    <w:p w14:paraId="58655F5A">
      <w:pPr>
        <w:spacing w:line="360" w:lineRule="auto"/>
        <w:ind w:firstLine="556"/>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第五部分  响应文件格式</w:t>
      </w:r>
    </w:p>
    <w:p w14:paraId="69559239">
      <w:pPr>
        <w:tabs>
          <w:tab w:val="left" w:pos="7740"/>
        </w:tabs>
        <w:spacing w:line="500" w:lineRule="exact"/>
        <w:rPr>
          <w:rFonts w:asciiTheme="minorEastAsia" w:hAnsiTheme="minorEastAsia" w:eastAsiaTheme="minorEastAsia"/>
          <w:bCs/>
          <w:color w:val="auto"/>
          <w:sz w:val="32"/>
          <w:szCs w:val="32"/>
          <w:highlight w:val="none"/>
        </w:rPr>
      </w:pPr>
    </w:p>
    <w:p w14:paraId="3D85FF42">
      <w:pPr>
        <w:tabs>
          <w:tab w:val="left" w:pos="7740"/>
        </w:tabs>
        <w:spacing w:line="500" w:lineRule="exact"/>
        <w:rPr>
          <w:rFonts w:asciiTheme="minorEastAsia" w:hAnsiTheme="minorEastAsia" w:eastAsiaTheme="minorEastAsia"/>
          <w:bCs/>
          <w:color w:val="auto"/>
          <w:sz w:val="32"/>
          <w:szCs w:val="32"/>
          <w:highlight w:val="none"/>
        </w:rPr>
      </w:pPr>
    </w:p>
    <w:p w14:paraId="2DD3DCE6">
      <w:pPr>
        <w:spacing w:line="500" w:lineRule="exact"/>
        <w:jc w:val="center"/>
        <w:rPr>
          <w:rFonts w:asciiTheme="minorEastAsia" w:hAnsiTheme="minorEastAsia" w:eastAsiaTheme="minorEastAsia"/>
          <w:b/>
          <w:bCs/>
          <w:color w:val="auto"/>
          <w:sz w:val="36"/>
          <w:szCs w:val="36"/>
          <w:highlight w:val="none"/>
          <w:lang w:val="zh-CN"/>
        </w:rPr>
      </w:pPr>
    </w:p>
    <w:p w14:paraId="2EA5B803">
      <w:pPr>
        <w:spacing w:line="500" w:lineRule="exact"/>
        <w:rPr>
          <w:rFonts w:asciiTheme="minorEastAsia" w:hAnsiTheme="minorEastAsia" w:eastAsiaTheme="minorEastAsia"/>
          <w:b/>
          <w:bCs/>
          <w:color w:val="auto"/>
          <w:sz w:val="36"/>
          <w:szCs w:val="36"/>
          <w:highlight w:val="none"/>
          <w:lang w:val="zh-CN"/>
        </w:rPr>
      </w:pPr>
    </w:p>
    <w:p w14:paraId="6A10A438">
      <w:pPr>
        <w:spacing w:line="500" w:lineRule="exact"/>
        <w:jc w:val="center"/>
        <w:rPr>
          <w:rFonts w:asciiTheme="minorEastAsia" w:hAnsiTheme="minorEastAsia" w:eastAsiaTheme="minorEastAsia"/>
          <w:b/>
          <w:bCs/>
          <w:color w:val="auto"/>
          <w:sz w:val="36"/>
          <w:szCs w:val="36"/>
          <w:highlight w:val="none"/>
          <w:lang w:val="zh-CN"/>
        </w:rPr>
      </w:pPr>
    </w:p>
    <w:p w14:paraId="7EEF4640">
      <w:pPr>
        <w:spacing w:line="500" w:lineRule="exact"/>
        <w:jc w:val="center"/>
        <w:rPr>
          <w:rFonts w:asciiTheme="minorEastAsia" w:hAnsiTheme="minorEastAsia" w:eastAsiaTheme="minorEastAsia"/>
          <w:b/>
          <w:bCs/>
          <w:color w:val="auto"/>
          <w:sz w:val="36"/>
          <w:szCs w:val="36"/>
          <w:highlight w:val="none"/>
          <w:lang w:val="zh-CN"/>
        </w:rPr>
      </w:pPr>
    </w:p>
    <w:p w14:paraId="075548A2">
      <w:pPr>
        <w:spacing w:line="500" w:lineRule="exact"/>
        <w:jc w:val="center"/>
        <w:rPr>
          <w:rFonts w:asciiTheme="minorEastAsia" w:hAnsiTheme="minorEastAsia" w:eastAsiaTheme="minorEastAsia"/>
          <w:b/>
          <w:bCs/>
          <w:color w:val="auto"/>
          <w:sz w:val="36"/>
          <w:szCs w:val="36"/>
          <w:highlight w:val="none"/>
          <w:lang w:val="zh-CN"/>
        </w:rPr>
      </w:pPr>
    </w:p>
    <w:p w14:paraId="082B4D0A">
      <w:pPr>
        <w:spacing w:line="500" w:lineRule="exact"/>
        <w:jc w:val="center"/>
        <w:rPr>
          <w:rFonts w:asciiTheme="minorEastAsia" w:hAnsiTheme="minorEastAsia" w:eastAsiaTheme="minorEastAsia"/>
          <w:b/>
          <w:bCs/>
          <w:color w:val="auto"/>
          <w:sz w:val="36"/>
          <w:szCs w:val="36"/>
          <w:highlight w:val="none"/>
          <w:lang w:val="zh-CN"/>
        </w:rPr>
      </w:pPr>
    </w:p>
    <w:p w14:paraId="49F882B1">
      <w:pPr>
        <w:spacing w:line="500" w:lineRule="exact"/>
        <w:jc w:val="center"/>
        <w:rPr>
          <w:rFonts w:asciiTheme="minorEastAsia" w:hAnsiTheme="minorEastAsia" w:eastAsiaTheme="minorEastAsia"/>
          <w:b/>
          <w:bCs/>
          <w:color w:val="auto"/>
          <w:sz w:val="36"/>
          <w:szCs w:val="36"/>
          <w:highlight w:val="none"/>
          <w:lang w:val="zh-CN"/>
        </w:rPr>
      </w:pPr>
    </w:p>
    <w:p w14:paraId="30B5AA4C">
      <w:pPr>
        <w:spacing w:line="500" w:lineRule="exact"/>
        <w:jc w:val="center"/>
        <w:rPr>
          <w:rFonts w:asciiTheme="minorEastAsia" w:hAnsiTheme="minorEastAsia" w:eastAsiaTheme="minorEastAsia"/>
          <w:b/>
          <w:bCs/>
          <w:color w:val="auto"/>
          <w:sz w:val="36"/>
          <w:szCs w:val="36"/>
          <w:highlight w:val="none"/>
          <w:lang w:val="zh-CN"/>
        </w:rPr>
      </w:pPr>
    </w:p>
    <w:p w14:paraId="10844B35">
      <w:pPr>
        <w:pStyle w:val="10"/>
        <w:rPr>
          <w:rFonts w:asciiTheme="minorEastAsia" w:hAnsiTheme="minorEastAsia" w:eastAsiaTheme="minorEastAsia"/>
          <w:color w:val="auto"/>
          <w:highlight w:val="none"/>
          <w:lang w:val="zh-CN"/>
        </w:rPr>
      </w:pPr>
    </w:p>
    <w:p w14:paraId="56A2F65D">
      <w:pPr>
        <w:rPr>
          <w:rFonts w:asciiTheme="minorEastAsia" w:hAnsiTheme="minorEastAsia" w:eastAsiaTheme="minorEastAsia"/>
          <w:color w:val="auto"/>
          <w:highlight w:val="none"/>
          <w:lang w:val="zh-CN"/>
        </w:rPr>
      </w:pPr>
    </w:p>
    <w:p w14:paraId="6A4E5A91">
      <w:pPr>
        <w:pStyle w:val="10"/>
        <w:rPr>
          <w:rFonts w:hint="eastAsia" w:asciiTheme="minorEastAsia" w:hAnsiTheme="minorEastAsia" w:eastAsiaTheme="minorEastAsia"/>
          <w:color w:val="auto"/>
          <w:highlight w:val="none"/>
          <w:lang w:val="zh-CN"/>
        </w:rPr>
      </w:pPr>
    </w:p>
    <w:p w14:paraId="57420F0C">
      <w:pPr>
        <w:rPr>
          <w:rFonts w:hint="eastAsia" w:asciiTheme="minorEastAsia" w:hAnsiTheme="minorEastAsia" w:eastAsiaTheme="minorEastAsia"/>
          <w:color w:val="auto"/>
          <w:highlight w:val="none"/>
          <w:lang w:val="zh-CN"/>
        </w:rPr>
      </w:pPr>
    </w:p>
    <w:p w14:paraId="1040D996">
      <w:pPr>
        <w:pStyle w:val="10"/>
        <w:rPr>
          <w:rFonts w:hint="eastAsia" w:asciiTheme="minorEastAsia" w:hAnsiTheme="minorEastAsia" w:eastAsiaTheme="minorEastAsia"/>
          <w:color w:val="auto"/>
          <w:highlight w:val="none"/>
          <w:lang w:val="zh-CN"/>
        </w:rPr>
      </w:pPr>
    </w:p>
    <w:p w14:paraId="022BD6D9">
      <w:pPr>
        <w:rPr>
          <w:rFonts w:hint="eastAsia" w:asciiTheme="minorEastAsia" w:hAnsiTheme="minorEastAsia" w:eastAsiaTheme="minorEastAsia"/>
          <w:color w:val="auto"/>
          <w:highlight w:val="none"/>
          <w:lang w:val="zh-CN"/>
        </w:rPr>
      </w:pPr>
    </w:p>
    <w:p w14:paraId="4F8EA33D">
      <w:pPr>
        <w:pStyle w:val="10"/>
        <w:rPr>
          <w:rFonts w:asciiTheme="minorEastAsia" w:hAnsiTheme="minorEastAsia" w:eastAsiaTheme="minorEastAsia"/>
          <w:color w:val="auto"/>
          <w:highlight w:val="none"/>
          <w:lang w:val="zh-CN"/>
        </w:rPr>
      </w:pPr>
    </w:p>
    <w:p w14:paraId="12280467">
      <w:pPr>
        <w:pStyle w:val="10"/>
        <w:rPr>
          <w:rFonts w:hint="eastAsia" w:asciiTheme="minorEastAsia" w:hAnsiTheme="minorEastAsia" w:eastAsiaTheme="minorEastAsia"/>
          <w:color w:val="auto"/>
          <w:highlight w:val="none"/>
          <w:lang w:val="zh-CN"/>
        </w:rPr>
      </w:pPr>
    </w:p>
    <w:p w14:paraId="01FEF6C8">
      <w:pPr>
        <w:rPr>
          <w:color w:val="auto"/>
          <w:highlight w:val="none"/>
          <w:lang w:val="zh-CN"/>
        </w:rPr>
      </w:pPr>
    </w:p>
    <w:p w14:paraId="3F08B082">
      <w:pPr>
        <w:rPr>
          <w:rFonts w:asciiTheme="minorEastAsia" w:hAnsiTheme="minorEastAsia" w:eastAsiaTheme="minorEastAsia"/>
          <w:color w:val="auto"/>
          <w:highlight w:val="none"/>
          <w:lang w:val="zh-CN"/>
        </w:rPr>
      </w:pPr>
    </w:p>
    <w:p w14:paraId="11EDCE5C">
      <w:pPr>
        <w:spacing w:line="500" w:lineRule="exact"/>
        <w:jc w:val="center"/>
        <w:outlineLvl w:val="0"/>
        <w:rPr>
          <w:rFonts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lang w:val="zh-CN"/>
        </w:rPr>
        <w:t xml:space="preserve">第一部分  </w:t>
      </w:r>
      <w:r>
        <w:rPr>
          <w:rFonts w:hint="eastAsia" w:cs="宋体" w:asciiTheme="minorEastAsia" w:hAnsiTheme="minorEastAsia" w:eastAsiaTheme="minorEastAsia"/>
          <w:b/>
          <w:bCs/>
          <w:color w:val="auto"/>
          <w:sz w:val="36"/>
          <w:szCs w:val="36"/>
          <w:highlight w:val="none"/>
          <w:lang w:val="zh-CN"/>
        </w:rPr>
        <w:t>竞争</w:t>
      </w:r>
      <w:r>
        <w:rPr>
          <w:rFonts w:hint="eastAsia" w:cs="Malgun Gothic" w:asciiTheme="minorEastAsia" w:hAnsiTheme="minorEastAsia" w:eastAsiaTheme="minorEastAsia"/>
          <w:b/>
          <w:bCs/>
          <w:color w:val="auto"/>
          <w:sz w:val="36"/>
          <w:szCs w:val="36"/>
          <w:highlight w:val="none"/>
          <w:lang w:val="zh-CN"/>
        </w:rPr>
        <w:t>性磋商公告</w:t>
      </w:r>
    </w:p>
    <w:p w14:paraId="37340B9B">
      <w:pPr>
        <w:keepNext w:val="0"/>
        <w:keepLines w:val="0"/>
        <w:pageBreakBefore w:val="0"/>
        <w:widowControl w:val="0"/>
        <w:spacing w:line="500" w:lineRule="exact"/>
        <w:ind w:firstLine="561"/>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受</w:t>
      </w:r>
      <w:r>
        <w:rPr>
          <w:rFonts w:hint="eastAsia" w:asciiTheme="minorEastAsia" w:hAnsiTheme="minorEastAsia" w:eastAsiaTheme="minorEastAsia"/>
          <w:color w:val="auto"/>
          <w:sz w:val="28"/>
          <w:szCs w:val="28"/>
          <w:highlight w:val="none"/>
          <w:lang w:val="en-US" w:eastAsia="zh-CN"/>
        </w:rPr>
        <w:t>[</w:t>
      </w:r>
      <w:r>
        <w:rPr>
          <w:rFonts w:hint="eastAsia" w:cs="宋体" w:asciiTheme="minorEastAsia" w:hAnsiTheme="minorEastAsia" w:eastAsiaTheme="minorEastAsia"/>
          <w:color w:val="auto"/>
          <w:sz w:val="28"/>
          <w:szCs w:val="28"/>
          <w:highlight w:val="none"/>
          <w:lang w:eastAsia="zh-CN"/>
        </w:rPr>
        <w:t>启东市吕四港镇人民政府</w:t>
      </w:r>
      <w:r>
        <w:rPr>
          <w:rFonts w:hint="eastAsia" w:cs="宋体" w:asciiTheme="minorEastAsia" w:hAnsiTheme="minorEastAsia" w:eastAsiaTheme="minorEastAsia"/>
          <w:color w:val="auto"/>
          <w:sz w:val="28"/>
          <w:szCs w:val="28"/>
          <w:highlight w:val="none"/>
          <w:lang w:val="en-US" w:eastAsia="zh-CN"/>
        </w:rPr>
        <w:t>]</w:t>
      </w:r>
      <w:r>
        <w:rPr>
          <w:rFonts w:hint="eastAsia" w:asciiTheme="minorEastAsia" w:hAnsiTheme="minorEastAsia" w:eastAsiaTheme="minorEastAsia"/>
          <w:color w:val="auto"/>
          <w:sz w:val="28"/>
          <w:szCs w:val="28"/>
          <w:highlight w:val="none"/>
        </w:rPr>
        <w:t>的委托，就</w:t>
      </w:r>
      <w:r>
        <w:rPr>
          <w:rFonts w:hint="eastAsia" w:asciiTheme="minorEastAsia" w:hAnsiTheme="minorEastAsia" w:eastAsiaTheme="minorEastAsia"/>
          <w:color w:val="auto"/>
          <w:sz w:val="28"/>
          <w:szCs w:val="28"/>
          <w:highlight w:val="none"/>
          <w:lang w:val="en-US" w:eastAsia="zh-CN"/>
        </w:rPr>
        <w:t>[</w:t>
      </w:r>
      <w:r>
        <w:rPr>
          <w:rFonts w:hint="eastAsia" w:cs="宋体" w:asciiTheme="minorEastAsia" w:hAnsiTheme="minorEastAsia" w:eastAsiaTheme="minorEastAsia"/>
          <w:color w:val="auto"/>
          <w:sz w:val="28"/>
          <w:szCs w:val="28"/>
          <w:highlight w:val="none"/>
          <w:lang w:eastAsia="zh-CN"/>
        </w:rPr>
        <w:t>启东市吕四港镇开发边界控制性详细规划全覆盖及重点地区城市设计项目</w:t>
      </w:r>
      <w:r>
        <w:rPr>
          <w:rFonts w:hint="eastAsia" w:cs="宋体" w:asciiTheme="minorEastAsia" w:hAnsiTheme="minorEastAsia" w:eastAsiaTheme="minorEastAsia"/>
          <w:color w:val="auto"/>
          <w:sz w:val="28"/>
          <w:szCs w:val="28"/>
          <w:highlight w:val="none"/>
          <w:lang w:val="en-US" w:eastAsia="zh-CN"/>
        </w:rPr>
        <w:t>]</w:t>
      </w:r>
      <w:r>
        <w:rPr>
          <w:rFonts w:hint="eastAsia" w:cs="宋体" w:asciiTheme="minorEastAsia" w:hAnsiTheme="minorEastAsia" w:eastAsiaTheme="minorEastAsia"/>
          <w:color w:val="auto"/>
          <w:sz w:val="28"/>
          <w:szCs w:val="28"/>
          <w:highlight w:val="none"/>
          <w:lang w:eastAsia="zh-CN"/>
        </w:rPr>
        <w:t>（</w:t>
      </w:r>
      <w:r>
        <w:rPr>
          <w:rFonts w:hint="eastAsia" w:cs="宋体" w:asciiTheme="minorEastAsia" w:hAnsiTheme="minorEastAsia" w:eastAsiaTheme="minorEastAsia"/>
          <w:color w:val="auto"/>
          <w:sz w:val="28"/>
          <w:szCs w:val="28"/>
          <w:highlight w:val="none"/>
          <w:lang w:val="en-US" w:eastAsia="zh-CN"/>
        </w:rPr>
        <w:t>项目</w:t>
      </w:r>
      <w:r>
        <w:rPr>
          <w:rFonts w:hint="eastAsia" w:cs="宋体" w:asciiTheme="minorEastAsia" w:hAnsiTheme="minorEastAsia" w:eastAsiaTheme="minorEastAsia"/>
          <w:color w:val="auto"/>
          <w:sz w:val="28"/>
          <w:szCs w:val="28"/>
          <w:highlight w:val="none"/>
          <w:lang w:eastAsia="zh-CN"/>
        </w:rPr>
        <w:t>编号JSZC-320681-HXTH-C2026-0037）进行竞争性磋</w:t>
      </w:r>
      <w:r>
        <w:rPr>
          <w:rFonts w:hint="eastAsia" w:cs="宋体" w:asciiTheme="minorEastAsia" w:hAnsiTheme="minorEastAsia" w:eastAsiaTheme="minorEastAsia"/>
          <w:color w:val="auto"/>
          <w:sz w:val="28"/>
          <w:szCs w:val="28"/>
          <w:highlight w:val="none"/>
        </w:rPr>
        <w:t>商采购，欢迎符</w:t>
      </w:r>
      <w:r>
        <w:rPr>
          <w:rFonts w:hint="eastAsia" w:cs="Malgun Gothic" w:asciiTheme="minorEastAsia" w:hAnsiTheme="minorEastAsia" w:eastAsiaTheme="minorEastAsia"/>
          <w:color w:val="auto"/>
          <w:sz w:val="28"/>
          <w:szCs w:val="28"/>
          <w:highlight w:val="none"/>
        </w:rPr>
        <w:t>合</w:t>
      </w:r>
      <w:r>
        <w:rPr>
          <w:rFonts w:hint="eastAsia" w:cs="宋体" w:asciiTheme="minorEastAsia" w:hAnsiTheme="minorEastAsia" w:eastAsiaTheme="minorEastAsia"/>
          <w:color w:val="auto"/>
          <w:sz w:val="28"/>
          <w:szCs w:val="28"/>
          <w:highlight w:val="none"/>
        </w:rPr>
        <w:t>条</w:t>
      </w:r>
      <w:r>
        <w:rPr>
          <w:rFonts w:hint="eastAsia" w:cs="Malgun Gothic" w:asciiTheme="minorEastAsia" w:hAnsiTheme="minorEastAsia" w:eastAsiaTheme="minorEastAsia"/>
          <w:color w:val="auto"/>
          <w:sz w:val="28"/>
          <w:szCs w:val="28"/>
          <w:highlight w:val="none"/>
        </w:rPr>
        <w:t>件的供</w:t>
      </w:r>
      <w:r>
        <w:rPr>
          <w:rFonts w:hint="eastAsia" w:cs="宋体" w:asciiTheme="minorEastAsia" w:hAnsiTheme="minorEastAsia" w:eastAsiaTheme="minorEastAsia"/>
          <w:color w:val="auto"/>
          <w:sz w:val="28"/>
          <w:szCs w:val="28"/>
          <w:highlight w:val="none"/>
        </w:rPr>
        <w:t>应</w:t>
      </w:r>
      <w:r>
        <w:rPr>
          <w:rFonts w:hint="eastAsia" w:cs="Malgun Gothic" w:asciiTheme="minorEastAsia" w:hAnsiTheme="minorEastAsia" w:eastAsiaTheme="minorEastAsia"/>
          <w:color w:val="auto"/>
          <w:sz w:val="28"/>
          <w:szCs w:val="28"/>
          <w:highlight w:val="none"/>
        </w:rPr>
        <w:t>商</w:t>
      </w:r>
      <w:r>
        <w:rPr>
          <w:rFonts w:hint="eastAsia" w:cs="宋体" w:asciiTheme="minorEastAsia" w:hAnsiTheme="minorEastAsia" w:eastAsiaTheme="minorEastAsia"/>
          <w:color w:val="auto"/>
          <w:sz w:val="28"/>
          <w:szCs w:val="28"/>
          <w:highlight w:val="none"/>
        </w:rPr>
        <w:t>参</w:t>
      </w:r>
      <w:r>
        <w:rPr>
          <w:rFonts w:hint="eastAsia" w:cs="Malgun Gothic" w:asciiTheme="minorEastAsia" w:hAnsiTheme="minorEastAsia" w:eastAsiaTheme="minorEastAsia"/>
          <w:color w:val="auto"/>
          <w:sz w:val="28"/>
          <w:szCs w:val="28"/>
          <w:highlight w:val="none"/>
        </w:rPr>
        <w:t>加磋商。</w:t>
      </w:r>
    </w:p>
    <w:p w14:paraId="248DAEB0">
      <w:pPr>
        <w:keepNext w:val="0"/>
        <w:keepLines w:val="0"/>
        <w:pageBreakBefore w:val="0"/>
        <w:widowControl w:val="0"/>
        <w:pBdr>
          <w:top w:val="single" w:color="000000" w:sz="4" w:space="1"/>
          <w:left w:val="single" w:color="000000" w:sz="4" w:space="1"/>
          <w:bottom w:val="single" w:color="000000" w:sz="4" w:space="1"/>
          <w:right w:val="single" w:color="000000" w:sz="4" w:space="4"/>
        </w:pBdr>
        <w:spacing w:line="480" w:lineRule="exact"/>
        <w:ind w:firstLine="561"/>
        <w:rPr>
          <w:rFonts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项</w:t>
      </w:r>
      <w:r>
        <w:rPr>
          <w:rFonts w:hint="eastAsia" w:cs="Malgun Gothic" w:asciiTheme="minorEastAsia" w:hAnsiTheme="minorEastAsia" w:eastAsiaTheme="minorEastAsia"/>
          <w:color w:val="auto"/>
          <w:sz w:val="28"/>
          <w:szCs w:val="28"/>
          <w:highlight w:val="none"/>
        </w:rPr>
        <w:t>目</w:t>
      </w:r>
      <w:r>
        <w:rPr>
          <w:rFonts w:hint="eastAsia" w:cs="宋体" w:asciiTheme="minorEastAsia" w:hAnsiTheme="minorEastAsia" w:eastAsiaTheme="minorEastAsia"/>
          <w:color w:val="auto"/>
          <w:sz w:val="28"/>
          <w:szCs w:val="28"/>
          <w:highlight w:val="none"/>
        </w:rPr>
        <w:t>概况</w:t>
      </w:r>
    </w:p>
    <w:p w14:paraId="3188DF6C">
      <w:pPr>
        <w:keepNext w:val="0"/>
        <w:keepLines w:val="0"/>
        <w:pageBreakBefore w:val="0"/>
        <w:widowControl w:val="0"/>
        <w:pBdr>
          <w:top w:val="single" w:color="000000" w:sz="4" w:space="1"/>
          <w:left w:val="single" w:color="000000" w:sz="4" w:space="1"/>
          <w:bottom w:val="single" w:color="000000" w:sz="4" w:space="1"/>
          <w:right w:val="single" w:color="000000" w:sz="4" w:space="4"/>
        </w:pBdr>
        <w:spacing w:line="480" w:lineRule="exact"/>
        <w:ind w:firstLine="561"/>
        <w:rPr>
          <w:rFonts w:asciiTheme="minorEastAsia" w:hAnsiTheme="minorEastAsia" w:eastAsiaTheme="minorEastAsia"/>
          <w:color w:val="auto"/>
          <w:sz w:val="28"/>
          <w:szCs w:val="28"/>
          <w:highlight w:val="none"/>
        </w:rPr>
      </w:pPr>
      <w:bookmarkStart w:id="0" w:name="_Hlk194482126"/>
      <w:r>
        <w:rPr>
          <w:rFonts w:hint="eastAsia" w:cs="宋体" w:asciiTheme="minorEastAsia" w:hAnsiTheme="minorEastAsia" w:eastAsiaTheme="minorEastAsia"/>
          <w:color w:val="auto"/>
          <w:sz w:val="28"/>
          <w:szCs w:val="28"/>
          <w:highlight w:val="none"/>
          <w:lang w:val="en-US" w:eastAsia="zh-CN"/>
        </w:rPr>
        <w:t>[</w:t>
      </w:r>
      <w:r>
        <w:rPr>
          <w:rFonts w:hint="eastAsia" w:cs="宋体" w:asciiTheme="minorEastAsia" w:hAnsiTheme="minorEastAsia" w:eastAsiaTheme="minorEastAsia"/>
          <w:color w:val="auto"/>
          <w:sz w:val="28"/>
          <w:szCs w:val="28"/>
          <w:highlight w:val="none"/>
          <w:lang w:eastAsia="zh-CN"/>
        </w:rPr>
        <w:t>启东市吕四港镇开发边界控制性详细规划全覆盖及重点地区城市设计项目</w:t>
      </w:r>
      <w:r>
        <w:rPr>
          <w:rFonts w:hint="eastAsia" w:cs="宋体" w:asciiTheme="minorEastAsia" w:hAnsiTheme="minorEastAsia" w:eastAsiaTheme="minorEastAsia"/>
          <w:color w:val="auto"/>
          <w:sz w:val="28"/>
          <w:szCs w:val="28"/>
          <w:highlight w:val="none"/>
          <w:lang w:val="en-US" w:eastAsia="zh-CN"/>
        </w:rPr>
        <w:t>]</w:t>
      </w:r>
      <w:r>
        <w:rPr>
          <w:rFonts w:hint="eastAsia" w:asciiTheme="minorEastAsia" w:hAnsiTheme="minorEastAsia" w:eastAsiaTheme="minorEastAsia"/>
          <w:color w:val="auto"/>
          <w:sz w:val="28"/>
          <w:szCs w:val="28"/>
          <w:highlight w:val="none"/>
        </w:rPr>
        <w:t>的</w:t>
      </w:r>
      <w:bookmarkEnd w:id="0"/>
      <w:r>
        <w:rPr>
          <w:rFonts w:asciiTheme="minorEastAsia" w:hAnsiTheme="minorEastAsia" w:eastAsiaTheme="minorEastAsia"/>
          <w:color w:val="auto"/>
          <w:sz w:val="28"/>
          <w:szCs w:val="28"/>
          <w:highlight w:val="none"/>
        </w:rPr>
        <w:t>潜在供</w:t>
      </w:r>
      <w:r>
        <w:rPr>
          <w:rFonts w:hint="eastAsia" w:cs="宋体" w:asciiTheme="minorEastAsia" w:hAnsiTheme="minorEastAsia" w:eastAsiaTheme="minorEastAsia"/>
          <w:color w:val="auto"/>
          <w:sz w:val="28"/>
          <w:szCs w:val="28"/>
          <w:highlight w:val="none"/>
        </w:rPr>
        <w:t>应</w:t>
      </w:r>
      <w:r>
        <w:rPr>
          <w:rFonts w:hint="eastAsia" w:cs="Malgun Gothic" w:asciiTheme="minorEastAsia" w:hAnsiTheme="minorEastAsia" w:eastAsiaTheme="minorEastAsia"/>
          <w:color w:val="auto"/>
          <w:sz w:val="28"/>
          <w:szCs w:val="28"/>
          <w:highlight w:val="none"/>
        </w:rPr>
        <w:t>商</w:t>
      </w:r>
      <w:r>
        <w:rPr>
          <w:rFonts w:hint="eastAsia" w:cs="宋体" w:asciiTheme="minorEastAsia" w:hAnsiTheme="minorEastAsia" w:eastAsiaTheme="minorEastAsia"/>
          <w:color w:val="auto"/>
          <w:sz w:val="28"/>
          <w:szCs w:val="28"/>
          <w:highlight w:val="none"/>
        </w:rPr>
        <w:t>应</w:t>
      </w:r>
      <w:r>
        <w:rPr>
          <w:rFonts w:hint="eastAsia" w:cs="Malgun Gothic" w:asciiTheme="minorEastAsia" w:hAnsiTheme="minorEastAsia" w:eastAsiaTheme="minorEastAsia"/>
          <w:color w:val="auto"/>
          <w:sz w:val="28"/>
          <w:szCs w:val="28"/>
          <w:highlight w:val="none"/>
        </w:rPr>
        <w:t>在</w:t>
      </w:r>
      <w:r>
        <w:rPr>
          <w:rFonts w:hint="eastAsia" w:asciiTheme="minorEastAsia" w:hAnsiTheme="minorEastAsia" w:eastAsiaTheme="minorEastAsia"/>
          <w:color w:val="auto"/>
          <w:sz w:val="28"/>
          <w:szCs w:val="28"/>
          <w:highlight w:val="none"/>
        </w:rPr>
        <w:t>江</w:t>
      </w:r>
      <w:r>
        <w:rPr>
          <w:rFonts w:hint="eastAsia" w:cs="宋体" w:asciiTheme="minorEastAsia" w:hAnsiTheme="minorEastAsia" w:eastAsiaTheme="minorEastAsia"/>
          <w:color w:val="auto"/>
          <w:sz w:val="28"/>
          <w:szCs w:val="28"/>
          <w:highlight w:val="none"/>
        </w:rPr>
        <w:t>苏</w:t>
      </w:r>
      <w:r>
        <w:rPr>
          <w:rFonts w:hint="eastAsia" w:cs="Malgun Gothic" w:asciiTheme="minorEastAsia" w:hAnsiTheme="minorEastAsia" w:eastAsiaTheme="minorEastAsia"/>
          <w:color w:val="auto"/>
          <w:sz w:val="28"/>
          <w:szCs w:val="28"/>
          <w:highlight w:val="none"/>
        </w:rPr>
        <w:t>政府采</w:t>
      </w:r>
      <w:r>
        <w:rPr>
          <w:rFonts w:hint="eastAsia" w:cs="宋体" w:asciiTheme="minorEastAsia" w:hAnsiTheme="minorEastAsia" w:eastAsiaTheme="minorEastAsia"/>
          <w:color w:val="auto"/>
          <w:sz w:val="28"/>
          <w:szCs w:val="28"/>
          <w:highlight w:val="none"/>
        </w:rPr>
        <w:t>购网获</w:t>
      </w:r>
      <w:r>
        <w:rPr>
          <w:rFonts w:hint="eastAsia" w:cs="Malgun Gothic" w:asciiTheme="minorEastAsia" w:hAnsiTheme="minorEastAsia" w:eastAsiaTheme="minorEastAsia"/>
          <w:color w:val="auto"/>
          <w:sz w:val="28"/>
          <w:szCs w:val="28"/>
          <w:highlight w:val="none"/>
        </w:rPr>
        <w:t>取采</w:t>
      </w:r>
      <w:r>
        <w:rPr>
          <w:rFonts w:hint="eastAsia" w:cs="宋体" w:asciiTheme="minorEastAsia" w:hAnsiTheme="minorEastAsia" w:eastAsiaTheme="minorEastAsia"/>
          <w:color w:val="auto"/>
          <w:sz w:val="28"/>
          <w:szCs w:val="28"/>
          <w:highlight w:val="none"/>
        </w:rPr>
        <w:t>购</w:t>
      </w:r>
      <w:r>
        <w:rPr>
          <w:rFonts w:hint="eastAsia" w:cs="Malgun Gothic" w:asciiTheme="minorEastAsia" w:hAnsiTheme="minorEastAsia" w:eastAsiaTheme="minorEastAsia"/>
          <w:color w:val="auto"/>
          <w:sz w:val="28"/>
          <w:szCs w:val="28"/>
          <w:highlight w:val="none"/>
        </w:rPr>
        <w:t>文件，</w:t>
      </w:r>
      <w:r>
        <w:rPr>
          <w:rFonts w:hint="eastAsia" w:cs="宋体" w:asciiTheme="minorEastAsia" w:hAnsiTheme="minorEastAsia" w:eastAsiaTheme="minorEastAsia"/>
          <w:color w:val="auto"/>
          <w:sz w:val="28"/>
          <w:szCs w:val="28"/>
          <w:highlight w:val="none"/>
        </w:rPr>
        <w:t>并</w:t>
      </w:r>
      <w:r>
        <w:rPr>
          <w:rFonts w:hint="eastAsia" w:cs="Malgun Gothic" w:asciiTheme="minorEastAsia" w:hAnsiTheme="minorEastAsia" w:eastAsiaTheme="minorEastAsia"/>
          <w:color w:val="auto"/>
          <w:sz w:val="28"/>
          <w:szCs w:val="28"/>
          <w:highlight w:val="none"/>
        </w:rPr>
        <w:t>于</w:t>
      </w:r>
      <w:r>
        <w:rPr>
          <w:rFonts w:hint="eastAsia" w:asciiTheme="minorEastAsia" w:hAnsiTheme="minorEastAsia" w:eastAsiaTheme="minorEastAsia"/>
          <w:color w:val="auto"/>
          <w:sz w:val="28"/>
          <w:szCs w:val="28"/>
          <w:highlight w:val="none"/>
        </w:rPr>
        <w:t>202</w:t>
      </w:r>
      <w:r>
        <w:rPr>
          <w:rFonts w:hint="eastAsia" w:asciiTheme="minorEastAsia" w:hAnsiTheme="minorEastAsia" w:eastAsiaTheme="minorEastAsia"/>
          <w:color w:val="auto"/>
          <w:sz w:val="28"/>
          <w:szCs w:val="28"/>
          <w:highlight w:val="none"/>
          <w:lang w:val="en-US" w:eastAsia="zh-CN"/>
        </w:rPr>
        <w:t>6</w:t>
      </w:r>
      <w:r>
        <w:rPr>
          <w:rFonts w:asciiTheme="minorEastAsia" w:hAnsiTheme="minorEastAsia" w:eastAsiaTheme="minorEastAsia"/>
          <w:color w:val="auto"/>
          <w:sz w:val="28"/>
          <w:szCs w:val="28"/>
          <w:highlight w:val="none"/>
        </w:rPr>
        <w:t>年</w:t>
      </w:r>
      <w:r>
        <w:rPr>
          <w:rFonts w:hint="eastAsia" w:asciiTheme="minorEastAsia" w:hAnsiTheme="minorEastAsia" w:eastAsiaTheme="minorEastAsia"/>
          <w:color w:val="auto"/>
          <w:sz w:val="28"/>
          <w:szCs w:val="28"/>
          <w:highlight w:val="none"/>
          <w:lang w:val="en-US" w:eastAsia="zh-CN"/>
        </w:rPr>
        <w:t>9</w:t>
      </w:r>
      <w:r>
        <w:rPr>
          <w:rFonts w:asciiTheme="minorEastAsia" w:hAnsiTheme="minorEastAsia" w:eastAsiaTheme="minorEastAsia"/>
          <w:color w:val="auto"/>
          <w:sz w:val="28"/>
          <w:szCs w:val="28"/>
          <w:highlight w:val="none"/>
        </w:rPr>
        <w:t>月</w:t>
      </w:r>
      <w:r>
        <w:rPr>
          <w:rFonts w:hint="eastAsia" w:asciiTheme="minorEastAsia" w:hAnsiTheme="minorEastAsia" w:eastAsiaTheme="minorEastAsia"/>
          <w:color w:val="auto"/>
          <w:sz w:val="28"/>
          <w:szCs w:val="28"/>
          <w:highlight w:val="none"/>
          <w:lang w:val="en-US" w:eastAsia="zh-CN"/>
        </w:rPr>
        <w:t>15</w:t>
      </w:r>
      <w:r>
        <w:rPr>
          <w:rFonts w:asciiTheme="minorEastAsia" w:hAnsiTheme="minorEastAsia" w:eastAsiaTheme="minorEastAsia"/>
          <w:color w:val="auto"/>
          <w:sz w:val="28"/>
          <w:szCs w:val="28"/>
          <w:highlight w:val="none"/>
        </w:rPr>
        <w:t>日</w:t>
      </w:r>
      <w:r>
        <w:rPr>
          <w:rFonts w:hint="eastAsia" w:asciiTheme="minorEastAsia" w:hAnsiTheme="minorEastAsia" w:eastAsiaTheme="minorEastAsia"/>
          <w:color w:val="auto"/>
          <w:sz w:val="28"/>
          <w:szCs w:val="28"/>
          <w:highlight w:val="none"/>
          <w:lang w:val="en-US" w:eastAsia="zh-CN"/>
        </w:rPr>
        <w:t>09</w:t>
      </w:r>
      <w:r>
        <w:rPr>
          <w:rFonts w:asciiTheme="minorEastAsia" w:hAnsiTheme="minorEastAsia" w:eastAsiaTheme="minorEastAsia"/>
          <w:color w:val="auto"/>
          <w:sz w:val="28"/>
          <w:szCs w:val="28"/>
          <w:highlight w:val="none"/>
        </w:rPr>
        <w:t>点</w:t>
      </w:r>
      <w:r>
        <w:rPr>
          <w:rFonts w:hint="eastAsia" w:asciiTheme="minorEastAsia" w:hAnsiTheme="minorEastAsia" w:eastAsiaTheme="minorEastAsia"/>
          <w:color w:val="auto"/>
          <w:sz w:val="28"/>
          <w:szCs w:val="28"/>
          <w:highlight w:val="none"/>
          <w:lang w:val="en-US" w:eastAsia="zh-CN"/>
        </w:rPr>
        <w:t>00</w:t>
      </w:r>
      <w:r>
        <w:rPr>
          <w:rFonts w:asciiTheme="minorEastAsia" w:hAnsiTheme="minorEastAsia" w:eastAsiaTheme="minorEastAsia"/>
          <w:color w:val="auto"/>
          <w:sz w:val="28"/>
          <w:szCs w:val="28"/>
          <w:highlight w:val="none"/>
        </w:rPr>
        <w:t>分（北京</w:t>
      </w:r>
      <w:r>
        <w:rPr>
          <w:rFonts w:hint="eastAsia" w:cs="宋体" w:asciiTheme="minorEastAsia" w:hAnsiTheme="minorEastAsia" w:eastAsiaTheme="minorEastAsia"/>
          <w:color w:val="auto"/>
          <w:sz w:val="28"/>
          <w:szCs w:val="28"/>
          <w:highlight w:val="none"/>
        </w:rPr>
        <w:t>时间</w:t>
      </w:r>
      <w:r>
        <w:rPr>
          <w:rFonts w:hint="eastAsia" w:cs="Malgun Gothic" w:asciiTheme="minorEastAsia" w:hAnsiTheme="minorEastAsia" w:eastAsiaTheme="minorEastAsia"/>
          <w:color w:val="auto"/>
          <w:sz w:val="28"/>
          <w:szCs w:val="28"/>
          <w:highlight w:val="none"/>
        </w:rPr>
        <w:t>）前提交</w:t>
      </w:r>
      <w:r>
        <w:rPr>
          <w:rFonts w:hint="eastAsia" w:cs="宋体" w:asciiTheme="minorEastAsia" w:hAnsiTheme="minorEastAsia" w:eastAsiaTheme="minorEastAsia"/>
          <w:color w:val="auto"/>
          <w:sz w:val="28"/>
          <w:szCs w:val="28"/>
          <w:highlight w:val="none"/>
        </w:rPr>
        <w:t>响应</w:t>
      </w:r>
      <w:r>
        <w:rPr>
          <w:rFonts w:hint="eastAsia" w:cs="Malgun Gothic" w:asciiTheme="minorEastAsia" w:hAnsiTheme="minorEastAsia" w:eastAsiaTheme="minorEastAsia"/>
          <w:color w:val="auto"/>
          <w:sz w:val="28"/>
          <w:szCs w:val="28"/>
          <w:highlight w:val="none"/>
        </w:rPr>
        <w:t>文件。</w:t>
      </w:r>
    </w:p>
    <w:p w14:paraId="3030AC79">
      <w:pPr>
        <w:keepNext w:val="0"/>
        <w:keepLines w:val="0"/>
        <w:pageBreakBefore w:val="0"/>
        <w:widowControl/>
        <w:shd w:val="clear" w:color="auto" w:fill="FFFFFF"/>
        <w:spacing w:line="500" w:lineRule="exact"/>
        <w:ind w:firstLine="577"/>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rPr>
        <w:t>一、项目基本情况</w:t>
      </w:r>
    </w:p>
    <w:p w14:paraId="5EC9F073">
      <w:pPr>
        <w:keepNext w:val="0"/>
        <w:keepLines w:val="0"/>
        <w:pageBreakBefore w:val="0"/>
        <w:spacing w:line="50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项目编</w:t>
      </w:r>
      <w:r>
        <w:rPr>
          <w:rFonts w:hint="eastAsia" w:ascii="宋体" w:hAnsi="宋体" w:cs="宋体"/>
          <w:color w:val="auto"/>
          <w:spacing w:val="-6"/>
          <w:sz w:val="28"/>
          <w:szCs w:val="28"/>
          <w:highlight w:val="none"/>
          <w:lang w:eastAsia="zh-CN"/>
        </w:rPr>
        <w:t>号：JSZC-320681-HXTH-C2026-0037</w:t>
      </w:r>
    </w:p>
    <w:p w14:paraId="7B649577">
      <w:pPr>
        <w:keepNext w:val="0"/>
        <w:keepLines w:val="0"/>
        <w:pageBreakBefore w:val="0"/>
        <w:spacing w:line="500" w:lineRule="exact"/>
        <w:ind w:firstLine="560"/>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项目名称：</w:t>
      </w:r>
      <w:r>
        <w:rPr>
          <w:rFonts w:hint="eastAsia" w:ascii="宋体" w:hAnsi="宋体" w:cs="宋体"/>
          <w:color w:val="auto"/>
          <w:spacing w:val="-6"/>
          <w:sz w:val="28"/>
          <w:szCs w:val="28"/>
          <w:highlight w:val="none"/>
          <w:lang w:eastAsia="zh-CN"/>
        </w:rPr>
        <w:t>启东市吕四港镇开发边界控制性详细规划全覆盖及重点地区城市设计项目</w:t>
      </w:r>
    </w:p>
    <w:p w14:paraId="5AB44DB4">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项目类型：服务</w:t>
      </w:r>
    </w:p>
    <w:p w14:paraId="7BC9E5E7">
      <w:pPr>
        <w:keepNext w:val="0"/>
        <w:keepLines w:val="0"/>
        <w:pageBreakBefore w:val="0"/>
        <w:spacing w:line="500" w:lineRule="exact"/>
        <w:ind w:firstLine="560"/>
        <w:rPr>
          <w:rFonts w:hint="default" w:ascii="宋体" w:hAnsi="宋体" w:eastAsia="宋体" w:cs="宋体"/>
          <w:color w:val="auto"/>
          <w:spacing w:val="-6"/>
          <w:sz w:val="28"/>
          <w:szCs w:val="28"/>
          <w:highlight w:val="none"/>
          <w:lang w:val="en-US" w:eastAsia="zh-CN"/>
        </w:rPr>
      </w:pPr>
      <w:r>
        <w:rPr>
          <w:rFonts w:hint="eastAsia" w:ascii="宋体" w:hAnsi="宋体" w:eastAsia="宋体" w:cs="宋体"/>
          <w:color w:val="auto"/>
          <w:sz w:val="28"/>
          <w:szCs w:val="28"/>
          <w:highlight w:val="none"/>
        </w:rPr>
        <w:t>所</w:t>
      </w:r>
      <w:r>
        <w:rPr>
          <w:rFonts w:hint="eastAsia" w:ascii="宋体" w:hAnsi="宋体" w:eastAsia="宋体" w:cs="宋体"/>
          <w:color w:val="auto"/>
          <w:spacing w:val="-6"/>
          <w:sz w:val="28"/>
          <w:szCs w:val="28"/>
          <w:highlight w:val="none"/>
          <w:lang w:eastAsia="zh-CN"/>
        </w:rPr>
        <w:t>属行业</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其他未列明行业</w:t>
      </w:r>
    </w:p>
    <w:p w14:paraId="2843320E">
      <w:pPr>
        <w:keepNext w:val="0"/>
        <w:keepLines w:val="0"/>
        <w:pageBreakBefore w:val="0"/>
        <w:spacing w:line="50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预算金额：</w:t>
      </w:r>
      <w:r>
        <w:rPr>
          <w:rFonts w:hint="eastAsia" w:ascii="宋体" w:hAnsi="宋体" w:cs="宋体"/>
          <w:color w:val="auto"/>
          <w:sz w:val="28"/>
          <w:szCs w:val="28"/>
          <w:highlight w:val="none"/>
          <w:lang w:val="en-US" w:eastAsia="zh-CN"/>
        </w:rPr>
        <w:t>230</w:t>
      </w:r>
      <w:r>
        <w:rPr>
          <w:rFonts w:hint="eastAsia" w:ascii="宋体" w:hAnsi="宋体" w:eastAsia="宋体" w:cs="宋体"/>
          <w:color w:val="auto"/>
          <w:sz w:val="28"/>
          <w:szCs w:val="28"/>
          <w:highlight w:val="none"/>
          <w:lang w:val="en-US" w:eastAsia="zh-CN"/>
        </w:rPr>
        <w:t>万元</w:t>
      </w:r>
    </w:p>
    <w:p w14:paraId="273E97CD">
      <w:pPr>
        <w:keepNext w:val="0"/>
        <w:keepLines w:val="0"/>
        <w:pageBreakBefore w:val="0"/>
        <w:spacing w:line="50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最高限价：</w:t>
      </w:r>
      <w:r>
        <w:rPr>
          <w:rFonts w:hint="eastAsia" w:ascii="宋体" w:hAnsi="宋体" w:cs="宋体"/>
          <w:color w:val="auto"/>
          <w:sz w:val="28"/>
          <w:szCs w:val="28"/>
          <w:highlight w:val="none"/>
          <w:lang w:val="en-US" w:eastAsia="zh-CN"/>
        </w:rPr>
        <w:t>230</w:t>
      </w:r>
      <w:r>
        <w:rPr>
          <w:rFonts w:hint="eastAsia" w:ascii="宋体" w:hAnsi="宋体" w:eastAsia="宋体" w:cs="宋体"/>
          <w:color w:val="auto"/>
          <w:sz w:val="28"/>
          <w:szCs w:val="28"/>
          <w:highlight w:val="none"/>
          <w:lang w:val="en-US" w:eastAsia="zh-CN"/>
        </w:rPr>
        <w:t>万元</w:t>
      </w:r>
    </w:p>
    <w:p w14:paraId="345738A5">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采购需求：详见磋商文件，请仔细研究。</w:t>
      </w:r>
    </w:p>
    <w:p w14:paraId="0FC2A500">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合同履行期限：详见磋商文件第三部分项目需求。</w:t>
      </w:r>
    </w:p>
    <w:p w14:paraId="6BFEE3B0">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本项目是否接受联合体投标：否。</w:t>
      </w:r>
    </w:p>
    <w:p w14:paraId="69EF54FC">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本项目是否接受分包：</w:t>
      </w:r>
      <w:r>
        <w:rPr>
          <w:rFonts w:hint="eastAsia" w:ascii="宋体" w:hAnsi="宋体" w:cs="宋体"/>
          <w:color w:val="auto"/>
          <w:sz w:val="28"/>
          <w:szCs w:val="28"/>
          <w:highlight w:val="none"/>
          <w:lang w:val="en-US" w:eastAsia="zh-CN"/>
        </w:rPr>
        <w:t>是</w:t>
      </w:r>
      <w:r>
        <w:rPr>
          <w:rFonts w:hint="eastAsia" w:ascii="宋体" w:hAnsi="宋体" w:eastAsia="宋体" w:cs="宋体"/>
          <w:color w:val="auto"/>
          <w:sz w:val="28"/>
          <w:szCs w:val="28"/>
          <w:highlight w:val="none"/>
        </w:rPr>
        <w:t>。</w:t>
      </w:r>
    </w:p>
    <w:p w14:paraId="3E83A7C6">
      <w:pPr>
        <w:keepNext w:val="0"/>
        <w:keepLines w:val="0"/>
        <w:pageBreakBefore w:val="0"/>
        <w:spacing w:line="500" w:lineRule="exact"/>
        <w:ind w:firstLine="56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二、供应商的资格要求：</w:t>
      </w:r>
    </w:p>
    <w:p w14:paraId="30BB7086">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1.满足《中华人民共和国政府采购法》第二十二条规定。</w:t>
      </w:r>
    </w:p>
    <w:p w14:paraId="0E51F382">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2.落实政府采购政策需满足的资格要求：本项目属于非专门面向中小企业采购的项目，无落实政府采购政策需满足的资格要求。</w:t>
      </w:r>
    </w:p>
    <w:p w14:paraId="530EBE9C">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3.本项目的特定资格要求：</w:t>
      </w:r>
    </w:p>
    <w:p w14:paraId="4F16F250">
      <w:pPr>
        <w:keepNext w:val="0"/>
        <w:keepLines w:val="0"/>
        <w:pageBreakBefore w:val="0"/>
        <w:spacing w:line="50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3.1</w:t>
      </w:r>
      <w:r>
        <w:rPr>
          <w:rFonts w:hint="eastAsia" w:ascii="宋体" w:hAnsi="宋体" w:eastAsia="宋体" w:cs="宋体"/>
          <w:color w:val="auto"/>
          <w:sz w:val="28"/>
          <w:szCs w:val="28"/>
          <w:highlight w:val="none"/>
        </w:rPr>
        <w:t>投标供应商须具备城乡规划</w:t>
      </w:r>
      <w:r>
        <w:rPr>
          <w:rFonts w:hint="eastAsia" w:ascii="宋体" w:hAnsi="宋体" w:eastAsia="宋体" w:cs="宋体"/>
          <w:color w:val="auto"/>
          <w:sz w:val="28"/>
          <w:szCs w:val="28"/>
          <w:highlight w:val="none"/>
          <w:lang w:val="en-US" w:eastAsia="zh-CN"/>
        </w:rPr>
        <w:t>乙</w:t>
      </w:r>
      <w:r>
        <w:rPr>
          <w:rFonts w:hint="eastAsia" w:ascii="宋体" w:hAnsi="宋体" w:eastAsia="宋体" w:cs="宋体"/>
          <w:color w:val="auto"/>
          <w:sz w:val="28"/>
          <w:szCs w:val="28"/>
          <w:highlight w:val="none"/>
        </w:rPr>
        <w:t>级</w:t>
      </w:r>
      <w:r>
        <w:rPr>
          <w:rFonts w:hint="eastAsia" w:ascii="宋体" w:hAnsi="宋体" w:eastAsia="宋体" w:cs="宋体"/>
          <w:color w:val="auto"/>
          <w:sz w:val="28"/>
          <w:szCs w:val="28"/>
          <w:highlight w:val="none"/>
          <w:lang w:val="en-US" w:eastAsia="zh-CN"/>
        </w:rPr>
        <w:t>及以上</w:t>
      </w:r>
      <w:r>
        <w:rPr>
          <w:rFonts w:hint="eastAsia" w:ascii="宋体" w:hAnsi="宋体" w:eastAsia="宋体" w:cs="宋体"/>
          <w:color w:val="auto"/>
          <w:sz w:val="28"/>
          <w:szCs w:val="28"/>
          <w:highlight w:val="none"/>
        </w:rPr>
        <w:t>资质</w:t>
      </w:r>
      <w:r>
        <w:rPr>
          <w:rFonts w:hint="eastAsia" w:ascii="宋体" w:hAnsi="宋体" w:eastAsia="宋体" w:cs="宋体"/>
          <w:color w:val="auto"/>
          <w:sz w:val="28"/>
          <w:szCs w:val="28"/>
          <w:highlight w:val="none"/>
          <w:lang w:eastAsia="zh-CN"/>
        </w:rPr>
        <w:t>。</w:t>
      </w:r>
    </w:p>
    <w:p w14:paraId="13DE33DF">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3.2</w:t>
      </w:r>
      <w:r>
        <w:rPr>
          <w:rFonts w:hint="eastAsia" w:ascii="宋体" w:hAnsi="宋体" w:eastAsia="宋体" w:cs="宋体"/>
          <w:color w:val="auto"/>
          <w:sz w:val="28"/>
          <w:szCs w:val="28"/>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6C9D40BD">
      <w:pPr>
        <w:keepNext w:val="0"/>
        <w:keepLines w:val="0"/>
        <w:pageBreakBefore w:val="0"/>
        <w:spacing w:line="500" w:lineRule="exact"/>
        <w:ind w:firstLine="56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三、获取采购文件</w:t>
      </w:r>
    </w:p>
    <w:p w14:paraId="05B3D9CF">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时间：自本公告发布之日起至202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12</w:t>
      </w:r>
      <w:r>
        <w:rPr>
          <w:rFonts w:hint="eastAsia" w:ascii="宋体" w:hAnsi="宋体" w:eastAsia="宋体" w:cs="宋体"/>
          <w:color w:val="auto"/>
          <w:sz w:val="28"/>
          <w:szCs w:val="28"/>
          <w:highlight w:val="none"/>
        </w:rPr>
        <w:t>日</w:t>
      </w:r>
    </w:p>
    <w:p w14:paraId="3049C182">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地点：江苏政府采购网（网上注册登记成功后系统内免费下载）</w:t>
      </w:r>
    </w:p>
    <w:p w14:paraId="6B06C441">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方式：本项目采用网上注册登记方式。</w:t>
      </w:r>
    </w:p>
    <w:p w14:paraId="0A12395C">
      <w:pPr>
        <w:keepNext w:val="0"/>
        <w:keepLines w:val="0"/>
        <w:pageBreakBefore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282943A4">
      <w:pPr>
        <w:keepNext w:val="0"/>
        <w:keepLines w:val="0"/>
        <w:pageBreakBefore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2.潜在供应商访问“苏采云”系统的网络地址和方法：“苏采云”系统的网址：http://jszfcg.jsczt.cn/。</w:t>
      </w:r>
    </w:p>
    <w:p w14:paraId="78305B32">
      <w:pPr>
        <w:keepNext w:val="0"/>
        <w:keepLines w:val="0"/>
        <w:pageBreakBefore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109BF967">
      <w:pPr>
        <w:keepNext w:val="0"/>
        <w:keepLines w:val="0"/>
        <w:pageBreakBefore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4.采购文件（后缀名为“.kedt”）、供应商操作指南及政府采购客户端工具可通过“苏采云”系统－已报名项目－报名详情页面内相应链接进行下载。</w:t>
      </w:r>
    </w:p>
    <w:p w14:paraId="7C42698F">
      <w:pPr>
        <w:keepNext w:val="0"/>
        <w:keepLines w:val="0"/>
        <w:pageBreakBefore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5.招标代理机构（采购代理机构）将数据电文形式的采购文件加载至“苏采云”系统，供潜在供应商下载或者查阅。</w:t>
      </w:r>
    </w:p>
    <w:p w14:paraId="6B2C4834">
      <w:pPr>
        <w:keepNext w:val="0"/>
        <w:keepLines w:val="0"/>
        <w:pageBreakBefore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6.请潜在响应单位提前安装相应的控件（详见《江苏省政府采购管理交易系统（苏采云）供应商操作指南》）并使用谷歌浏览器登录“苏采云”系统参与不见面开评标。</w:t>
      </w:r>
    </w:p>
    <w:p w14:paraId="7838C0B9">
      <w:pPr>
        <w:keepNext w:val="0"/>
        <w:keepLines w:val="0"/>
        <w:pageBreakBefore w:val="0"/>
        <w:spacing w:line="500" w:lineRule="exact"/>
        <w:ind w:firstLine="562"/>
        <w:rPr>
          <w:rFonts w:hint="eastAsia" w:ascii="宋体" w:hAnsi="宋体" w:eastAsia="宋体" w:cs="宋体"/>
          <w:color w:val="auto"/>
          <w:sz w:val="28"/>
          <w:szCs w:val="28"/>
        </w:rPr>
      </w:pPr>
      <w:r>
        <w:rPr>
          <w:rFonts w:hint="eastAsia" w:ascii="宋体" w:hAnsi="宋体" w:eastAsia="宋体" w:cs="宋体"/>
          <w:b/>
          <w:color w:val="auto"/>
          <w:sz w:val="28"/>
          <w:szCs w:val="28"/>
        </w:rPr>
        <w:t>注：如潜在供应商未按上述要求操作，将自行承担所产生的风险。</w:t>
      </w:r>
    </w:p>
    <w:p w14:paraId="13D466A8">
      <w:pPr>
        <w:keepNext w:val="0"/>
        <w:keepLines w:val="0"/>
        <w:pageBreakBefore w:val="0"/>
        <w:spacing w:line="500" w:lineRule="exact"/>
        <w:ind w:firstLine="562"/>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rPr>
        <w:t>四、提交响应文件截止时间、磋商时间和地点</w:t>
      </w:r>
    </w:p>
    <w:p w14:paraId="53C9A1F4">
      <w:pPr>
        <w:keepNext w:val="0"/>
        <w:keepLines w:val="0"/>
        <w:pageBreakBefore w:val="0"/>
        <w:spacing w:line="500" w:lineRule="exact"/>
        <w:ind w:firstLine="560"/>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1．202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15</w:t>
      </w:r>
      <w:r>
        <w:rPr>
          <w:rFonts w:hint="eastAsia" w:ascii="宋体" w:hAnsi="宋体" w:eastAsia="宋体" w:cs="宋体"/>
          <w:color w:val="auto"/>
          <w:sz w:val="28"/>
          <w:szCs w:val="28"/>
          <w:highlight w:val="none"/>
        </w:rPr>
        <w:t>日</w:t>
      </w:r>
      <w:r>
        <w:rPr>
          <w:rFonts w:hint="eastAsia" w:ascii="宋体" w:hAnsi="宋体" w:eastAsia="宋体" w:cs="宋体"/>
          <w:color w:val="auto"/>
          <w:sz w:val="28"/>
          <w:szCs w:val="28"/>
          <w:highlight w:val="none"/>
          <w:lang w:val="en-US" w:eastAsia="zh-CN"/>
        </w:rPr>
        <w:t>09</w:t>
      </w:r>
      <w:r>
        <w:rPr>
          <w:rFonts w:hint="eastAsia" w:ascii="宋体" w:hAnsi="宋体" w:eastAsia="宋体" w:cs="宋体"/>
          <w:color w:val="auto"/>
          <w:sz w:val="28"/>
          <w:szCs w:val="28"/>
          <w:highlight w:val="none"/>
        </w:rPr>
        <w:t>点</w:t>
      </w:r>
      <w:r>
        <w:rPr>
          <w:rFonts w:hint="eastAsia" w:ascii="宋体" w:hAnsi="宋体" w:eastAsia="宋体" w:cs="宋体"/>
          <w:color w:val="auto"/>
          <w:sz w:val="28"/>
          <w:szCs w:val="28"/>
          <w:highlight w:val="none"/>
          <w:lang w:val="en-US" w:eastAsia="zh-CN"/>
        </w:rPr>
        <w:t>00</w:t>
      </w:r>
      <w:r>
        <w:rPr>
          <w:rFonts w:hint="eastAsia" w:ascii="宋体" w:hAnsi="宋体" w:eastAsia="宋体" w:cs="宋体"/>
          <w:color w:val="auto"/>
          <w:sz w:val="28"/>
          <w:szCs w:val="28"/>
          <w:highlight w:val="none"/>
        </w:rPr>
        <w:t>分（北京时间）</w:t>
      </w:r>
    </w:p>
    <w:p w14:paraId="4616FE6E">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逾时，交易系统将拒绝接受上传响应文件电子文档。</w:t>
      </w:r>
    </w:p>
    <w:p w14:paraId="7E977BB3">
      <w:pPr>
        <w:keepNext w:val="0"/>
        <w:keepLines w:val="0"/>
        <w:pageBreakBefore w:val="0"/>
        <w:spacing w:line="500" w:lineRule="exact"/>
        <w:ind w:firstLine="56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p>
    <w:p w14:paraId="6D5D34C0">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rPr>
        <w:t>线上开标地点：“苏采云”系统（网址：http://jszfcg.jsczt.cn/）“开标大厅”</w:t>
      </w:r>
      <w:r>
        <w:rPr>
          <w:rFonts w:hint="eastAsia" w:ascii="宋体" w:hAnsi="宋体" w:eastAsia="宋体" w:cs="宋体"/>
          <w:color w:val="auto"/>
          <w:sz w:val="28"/>
          <w:szCs w:val="28"/>
          <w:highlight w:val="none"/>
        </w:rPr>
        <w:t>。</w:t>
      </w:r>
    </w:p>
    <w:p w14:paraId="61ADB5F6">
      <w:pPr>
        <w:keepNext w:val="0"/>
        <w:keepLines w:val="0"/>
        <w:pageBreakBefore w:val="0"/>
        <w:spacing w:line="500" w:lineRule="exact"/>
        <w:ind w:firstLine="560"/>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rPr>
        <w:t>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auto"/>
          <w:sz w:val="28"/>
          <w:szCs w:val="28"/>
          <w:highlight w:val="none"/>
        </w:rPr>
        <w:t>。</w:t>
      </w:r>
    </w:p>
    <w:p w14:paraId="785F47D4">
      <w:pPr>
        <w:keepNext w:val="0"/>
        <w:keepLines w:val="0"/>
        <w:pageBreakBefore w:val="0"/>
        <w:spacing w:line="500" w:lineRule="exact"/>
        <w:ind w:firstLine="56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五、公告期限</w:t>
      </w:r>
    </w:p>
    <w:p w14:paraId="0EEF92D4">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自本公告发布之日起3个工作日。</w:t>
      </w:r>
    </w:p>
    <w:p w14:paraId="0C2984AD">
      <w:pPr>
        <w:keepNext w:val="0"/>
        <w:keepLines w:val="0"/>
        <w:pageBreakBefore w:val="0"/>
        <w:spacing w:line="500" w:lineRule="exact"/>
        <w:ind w:firstLine="56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六、其他补充事宜</w:t>
      </w:r>
    </w:p>
    <w:p w14:paraId="7CEE0FB7">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rPr>
        <w:t>保证金：免收</w:t>
      </w:r>
    </w:p>
    <w:p w14:paraId="72034ECA">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2．项目磋商活动模式：不见面远程磋商模式，供应商在各自地点通过“苏采云”系统参加磋商活动。</w:t>
      </w:r>
    </w:p>
    <w:p w14:paraId="61515CDE">
      <w:pPr>
        <w:keepNext w:val="0"/>
        <w:keepLines w:val="0"/>
        <w:pageBreakBefore w:val="0"/>
        <w:spacing w:line="500" w:lineRule="exact"/>
        <w:ind w:firstLine="560"/>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3．项目演示、样品、答辩等：</w:t>
      </w:r>
      <w:r>
        <w:rPr>
          <w:rFonts w:hint="eastAsia" w:ascii="宋体" w:hAnsi="宋体" w:cs="宋体"/>
          <w:color w:val="auto"/>
          <w:sz w:val="28"/>
          <w:szCs w:val="28"/>
          <w:highlight w:val="none"/>
          <w:lang w:val="en-US" w:eastAsia="zh-CN"/>
        </w:rPr>
        <w:t>无。</w:t>
      </w:r>
    </w:p>
    <w:p w14:paraId="7674C87C">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p>
    <w:p w14:paraId="1062917B">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79B74BDC">
      <w:pPr>
        <w:keepNext w:val="0"/>
        <w:keepLines w:val="0"/>
        <w:pageBreakBefore w:val="0"/>
        <w:widowControl/>
        <w:shd w:val="clear" w:color="auto" w:fill="FFFFFF"/>
        <w:spacing w:line="500" w:lineRule="exact"/>
        <w:ind w:firstLine="574"/>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lang w:val="en-US" w:eastAsia="zh-CN"/>
        </w:rPr>
        <w:t>七</w:t>
      </w:r>
      <w:r>
        <w:rPr>
          <w:rFonts w:hint="eastAsia" w:ascii="宋体" w:hAnsi="宋体" w:eastAsia="宋体" w:cs="宋体"/>
          <w:b/>
          <w:color w:val="auto"/>
          <w:spacing w:val="7"/>
          <w:sz w:val="28"/>
          <w:szCs w:val="28"/>
          <w:highlight w:val="none"/>
        </w:rPr>
        <w:t>、凡对本次采购提出询问，请按以下方式联系。</w:t>
      </w:r>
    </w:p>
    <w:p w14:paraId="0D8BC40A">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采购人信息</w:t>
      </w:r>
    </w:p>
    <w:p w14:paraId="2FE55739">
      <w:pPr>
        <w:keepNext w:val="0"/>
        <w:keepLines w:val="0"/>
        <w:pageBreakBefore w:val="0"/>
        <w:spacing w:line="500" w:lineRule="exact"/>
        <w:ind w:firstLine="56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名  称：启东市吕四港镇人民政府</w:t>
      </w:r>
    </w:p>
    <w:p w14:paraId="14B44E4F">
      <w:pPr>
        <w:keepNext w:val="0"/>
        <w:keepLines w:val="0"/>
        <w:pageBreakBefore w:val="0"/>
        <w:spacing w:line="500" w:lineRule="exact"/>
        <w:ind w:firstLine="56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地  址：</w:t>
      </w:r>
      <w:r>
        <w:rPr>
          <w:rFonts w:hint="eastAsia" w:ascii="宋体" w:hAnsi="宋体" w:eastAsia="宋体" w:cs="宋体"/>
          <w:color w:val="auto"/>
          <w:sz w:val="28"/>
          <w:szCs w:val="28"/>
          <w:highlight w:val="none"/>
          <w:lang w:val="en-US" w:eastAsia="zh-CN"/>
        </w:rPr>
        <w:t>启东市吕四港镇环城北路328号</w:t>
      </w:r>
    </w:p>
    <w:p w14:paraId="3BD1B486">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r>
        <w:rPr>
          <w:rFonts w:hint="eastAsia" w:ascii="宋体" w:hAnsi="宋体" w:cs="宋体"/>
          <w:color w:val="auto"/>
          <w:sz w:val="28"/>
          <w:szCs w:val="28"/>
          <w:highlight w:val="none"/>
          <w:lang w:val="en-US" w:eastAsia="zh-CN"/>
        </w:rPr>
        <w:t>方</w:t>
      </w:r>
      <w:r>
        <w:rPr>
          <w:rFonts w:hint="eastAsia" w:ascii="宋体" w:hAnsi="宋体" w:eastAsia="宋体" w:cs="宋体"/>
          <w:color w:val="auto"/>
          <w:sz w:val="28"/>
          <w:szCs w:val="28"/>
          <w:highlight w:val="none"/>
          <w:lang w:val="en-US" w:eastAsia="zh-CN"/>
        </w:rPr>
        <w:t>先生</w:t>
      </w:r>
    </w:p>
    <w:p w14:paraId="2FE2F031">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联系方式：</w:t>
      </w:r>
      <w:r>
        <w:rPr>
          <w:rFonts w:hint="eastAsia" w:ascii="宋体" w:hAnsi="宋体" w:eastAsia="宋体" w:cs="宋体"/>
          <w:color w:val="auto"/>
          <w:sz w:val="28"/>
          <w:szCs w:val="28"/>
          <w:highlight w:val="none"/>
          <w:lang w:val="en-US" w:eastAsia="zh-CN"/>
        </w:rPr>
        <w:t>18921490320</w:t>
      </w:r>
    </w:p>
    <w:p w14:paraId="2A439A0F">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采购代理机构</w:t>
      </w:r>
    </w:p>
    <w:p w14:paraId="18DFEA09">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名 称：江苏天宏华信工程投资管理咨询有限公司</w:t>
      </w:r>
    </w:p>
    <w:p w14:paraId="4561EFC2">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  址：启东市南苑西路1168号国动产业园2号楼402室</w:t>
      </w:r>
    </w:p>
    <w:p w14:paraId="29B0A9CA">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r>
        <w:rPr>
          <w:rFonts w:hint="eastAsia" w:ascii="宋体" w:hAnsi="宋体" w:cs="宋体"/>
          <w:color w:val="auto"/>
          <w:sz w:val="28"/>
          <w:szCs w:val="28"/>
          <w:highlight w:val="none"/>
          <w:lang w:val="en-US" w:eastAsia="zh-CN"/>
        </w:rPr>
        <w:t>徐海燕</w:t>
      </w:r>
      <w:r>
        <w:rPr>
          <w:rFonts w:hint="eastAsia" w:ascii="宋体" w:hAnsi="宋体" w:eastAsia="宋体" w:cs="宋体"/>
          <w:color w:val="auto"/>
          <w:sz w:val="28"/>
          <w:szCs w:val="28"/>
          <w:highlight w:val="none"/>
        </w:rPr>
        <w:t>　　</w:t>
      </w:r>
    </w:p>
    <w:p w14:paraId="21475E12">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联系方式：0513-83248588</w:t>
      </w:r>
    </w:p>
    <w:p w14:paraId="1DDDDD41">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软件技术支持</w:t>
      </w:r>
    </w:p>
    <w:p w14:paraId="31829598">
      <w:pPr>
        <w:keepNext w:val="0"/>
        <w:keepLines w:val="0"/>
        <w:pageBreakBefore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交易系统软件维护人员：0519-86722801、0519-86722806。</w:t>
      </w:r>
    </w:p>
    <w:p w14:paraId="4C99A3AD">
      <w:pPr>
        <w:keepNext w:val="0"/>
        <w:keepLines w:val="0"/>
        <w:pageBreakBefore w:val="0"/>
        <w:spacing w:line="500" w:lineRule="exact"/>
        <w:ind w:firstLine="560"/>
        <w:rPr>
          <w:rFonts w:hint="eastAsia" w:ascii="宋体" w:hAnsi="宋体" w:eastAsia="宋体" w:cs="宋体"/>
          <w:color w:val="auto"/>
          <w:sz w:val="28"/>
          <w:szCs w:val="28"/>
          <w:highlight w:val="none"/>
        </w:rPr>
      </w:pPr>
    </w:p>
    <w:p w14:paraId="23AD7372">
      <w:pPr>
        <w:keepNext w:val="0"/>
        <w:keepLines w:val="0"/>
        <w:pageBreakBefore w:val="0"/>
        <w:spacing w:line="500" w:lineRule="exact"/>
        <w:ind w:firstLine="560"/>
        <w:rPr>
          <w:rFonts w:hint="eastAsia" w:ascii="宋体" w:hAnsi="宋体" w:eastAsia="宋体" w:cs="宋体"/>
          <w:color w:val="auto"/>
          <w:sz w:val="28"/>
          <w:szCs w:val="28"/>
          <w:highlight w:val="none"/>
        </w:rPr>
      </w:pPr>
    </w:p>
    <w:p w14:paraId="2D279C12">
      <w:pPr>
        <w:keepNext w:val="0"/>
        <w:keepLines w:val="0"/>
        <w:pageBreakBefore w:val="0"/>
        <w:spacing w:line="500" w:lineRule="exact"/>
        <w:ind w:firstLine="560"/>
        <w:rPr>
          <w:rFonts w:hint="eastAsia" w:ascii="宋体" w:hAnsi="宋体" w:eastAsia="宋体" w:cs="宋体"/>
          <w:color w:val="auto"/>
          <w:sz w:val="28"/>
          <w:szCs w:val="28"/>
          <w:highlight w:val="none"/>
        </w:rPr>
      </w:pPr>
    </w:p>
    <w:p w14:paraId="19A8D025">
      <w:pPr>
        <w:spacing w:line="500" w:lineRule="exact"/>
        <w:jc w:val="center"/>
        <w:outlineLvl w:val="0"/>
        <w:rPr>
          <w:rFonts w:hint="eastAsia" w:asciiTheme="minorEastAsia" w:hAnsiTheme="minorEastAsia" w:eastAsiaTheme="minorEastAsia"/>
          <w:b/>
          <w:bCs/>
          <w:color w:val="auto"/>
          <w:sz w:val="36"/>
          <w:szCs w:val="36"/>
          <w:highlight w:val="none"/>
          <w:lang w:val="zh-CN"/>
        </w:rPr>
      </w:pPr>
      <w:bookmarkStart w:id="1" w:name="_Toc120614214"/>
      <w:bookmarkStart w:id="2" w:name="_Toc16938519"/>
      <w:bookmarkStart w:id="3" w:name="_Toc513029203"/>
      <w:bookmarkStart w:id="4" w:name="_Toc20823275"/>
      <w:r>
        <w:rPr>
          <w:rFonts w:hint="eastAsia" w:asciiTheme="minorEastAsia" w:hAnsiTheme="minorEastAsia" w:eastAsiaTheme="minorEastAsia"/>
          <w:b/>
          <w:bCs/>
          <w:color w:val="auto"/>
          <w:sz w:val="36"/>
          <w:szCs w:val="36"/>
          <w:highlight w:val="none"/>
          <w:lang w:val="zh-CN"/>
        </w:rPr>
        <w:t>第二部分  磋商须知</w:t>
      </w:r>
    </w:p>
    <w:p w14:paraId="07544487">
      <w:pPr>
        <w:keepNext/>
        <w:keepLines/>
        <w:pageBreakBefore w:val="0"/>
        <w:widowControl w:val="0"/>
        <w:spacing w:line="500" w:lineRule="exact"/>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rPr>
        <w:t>总则</w:t>
      </w:r>
      <w:bookmarkEnd w:id="1"/>
      <w:bookmarkEnd w:id="2"/>
      <w:bookmarkEnd w:id="3"/>
      <w:bookmarkEnd w:id="4"/>
    </w:p>
    <w:p w14:paraId="5ABC4CF8">
      <w:pPr>
        <w:keepNext/>
        <w:pageBreakBefore w:val="0"/>
        <w:widowControl w:val="0"/>
        <w:spacing w:line="500" w:lineRule="exact"/>
        <w:outlineLvl w:val="3"/>
        <w:rPr>
          <w:rFonts w:hint="eastAsia" w:ascii="宋体" w:hAnsi="宋体" w:eastAsia="宋体" w:cs="宋体"/>
          <w:b/>
          <w:bCs/>
          <w:color w:val="auto"/>
          <w:sz w:val="28"/>
          <w:szCs w:val="28"/>
          <w:highlight w:val="none"/>
        </w:rPr>
      </w:pPr>
      <w:bookmarkStart w:id="5" w:name="_Hlt16619475"/>
      <w:bookmarkEnd w:id="5"/>
      <w:bookmarkStart w:id="6" w:name="_Toc458694821"/>
      <w:bookmarkStart w:id="7" w:name="_Toc20823276"/>
      <w:bookmarkStart w:id="8" w:name="_Toc513029204"/>
      <w:bookmarkStart w:id="9" w:name="_Toc16938520"/>
      <w:r>
        <w:rPr>
          <w:rFonts w:hint="eastAsia" w:ascii="宋体" w:hAnsi="宋体" w:eastAsia="宋体" w:cs="宋体"/>
          <w:color w:val="auto"/>
          <w:sz w:val="28"/>
          <w:szCs w:val="28"/>
          <w:highlight w:val="none"/>
        </w:rPr>
        <w:t>1</w:t>
      </w:r>
      <w:bookmarkEnd w:id="6"/>
      <w:r>
        <w:rPr>
          <w:rFonts w:hint="eastAsia" w:ascii="宋体" w:hAnsi="宋体" w:eastAsia="宋体" w:cs="宋体"/>
          <w:color w:val="auto"/>
          <w:sz w:val="28"/>
          <w:szCs w:val="28"/>
          <w:highlight w:val="none"/>
        </w:rPr>
        <w:t>.采购方式</w:t>
      </w:r>
      <w:bookmarkEnd w:id="7"/>
      <w:bookmarkEnd w:id="8"/>
      <w:bookmarkEnd w:id="9"/>
    </w:p>
    <w:p w14:paraId="318DB04F">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1.1本次采取竞争性磋商方式，本磋商文件仅适用于磋商公告中所述项目。</w:t>
      </w:r>
    </w:p>
    <w:p w14:paraId="75F6097F">
      <w:pPr>
        <w:keepNext/>
        <w:pageBreakBefore w:val="0"/>
        <w:widowControl w:val="0"/>
        <w:spacing w:line="500" w:lineRule="exact"/>
        <w:outlineLvl w:val="3"/>
        <w:rPr>
          <w:rFonts w:hint="eastAsia" w:ascii="宋体" w:hAnsi="宋体" w:eastAsia="宋体" w:cs="宋体"/>
          <w:b/>
          <w:bCs/>
          <w:color w:val="auto"/>
          <w:sz w:val="28"/>
          <w:szCs w:val="28"/>
          <w:highlight w:val="none"/>
        </w:rPr>
      </w:pPr>
      <w:bookmarkStart w:id="10" w:name="_Toc513029205"/>
      <w:bookmarkStart w:id="11" w:name="_Toc20823277"/>
      <w:bookmarkStart w:id="12" w:name="_Toc16938521"/>
      <w:r>
        <w:rPr>
          <w:rFonts w:hint="eastAsia" w:ascii="宋体" w:hAnsi="宋体" w:eastAsia="宋体" w:cs="宋体"/>
          <w:color w:val="auto"/>
          <w:sz w:val="28"/>
          <w:szCs w:val="28"/>
          <w:highlight w:val="none"/>
        </w:rPr>
        <w:t>2.合格的</w:t>
      </w:r>
      <w:bookmarkEnd w:id="10"/>
      <w:bookmarkEnd w:id="11"/>
      <w:bookmarkEnd w:id="12"/>
      <w:r>
        <w:rPr>
          <w:rFonts w:hint="eastAsia" w:ascii="宋体" w:hAnsi="宋体" w:eastAsia="宋体" w:cs="宋体"/>
          <w:color w:val="auto"/>
          <w:sz w:val="28"/>
          <w:szCs w:val="28"/>
          <w:highlight w:val="none"/>
        </w:rPr>
        <w:t>供应商</w:t>
      </w:r>
    </w:p>
    <w:p w14:paraId="0C878714">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2.1满足磋商公告中供应商的资格要求的规定。</w:t>
      </w:r>
    </w:p>
    <w:p w14:paraId="53764878">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2.2满足本文件实质性条款的规定。</w:t>
      </w:r>
    </w:p>
    <w:p w14:paraId="0BE94B9C">
      <w:pPr>
        <w:keepNext/>
        <w:pageBreakBefore w:val="0"/>
        <w:widowControl w:val="0"/>
        <w:spacing w:line="500" w:lineRule="exact"/>
        <w:outlineLvl w:val="3"/>
        <w:rPr>
          <w:rFonts w:hint="eastAsia" w:ascii="宋体" w:hAnsi="宋体" w:eastAsia="宋体" w:cs="宋体"/>
          <w:b/>
          <w:bCs/>
          <w:color w:val="auto"/>
          <w:sz w:val="28"/>
          <w:szCs w:val="28"/>
          <w:highlight w:val="none"/>
        </w:rPr>
      </w:pPr>
      <w:bookmarkStart w:id="13" w:name="_Toc513029206"/>
      <w:bookmarkStart w:id="14" w:name="_Toc20823278"/>
      <w:bookmarkStart w:id="15" w:name="_Toc16938522"/>
      <w:r>
        <w:rPr>
          <w:rFonts w:hint="eastAsia" w:ascii="宋体" w:hAnsi="宋体" w:eastAsia="宋体" w:cs="宋体"/>
          <w:color w:val="auto"/>
          <w:sz w:val="28"/>
          <w:szCs w:val="28"/>
          <w:highlight w:val="none"/>
        </w:rPr>
        <w:t>3.适用法律</w:t>
      </w:r>
      <w:bookmarkEnd w:id="13"/>
      <w:bookmarkEnd w:id="14"/>
      <w:bookmarkEnd w:id="15"/>
    </w:p>
    <w:p w14:paraId="05249CBF">
      <w:pPr>
        <w:pageBreakBefore w:val="0"/>
        <w:widowControl w:val="0"/>
        <w:spacing w:line="500" w:lineRule="exact"/>
        <w:ind w:firstLine="49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3.1本次采购及由此产生的合同受中华人民共和国有关的法律法规制约和保护。</w:t>
      </w:r>
    </w:p>
    <w:p w14:paraId="2CA6C770">
      <w:pPr>
        <w:keepNext/>
        <w:pageBreakBefore w:val="0"/>
        <w:widowControl w:val="0"/>
        <w:spacing w:line="500" w:lineRule="exact"/>
        <w:outlineLvl w:val="3"/>
        <w:rPr>
          <w:rFonts w:hint="eastAsia" w:ascii="宋体" w:hAnsi="宋体" w:eastAsia="宋体" w:cs="宋体"/>
          <w:b/>
          <w:bCs/>
          <w:color w:val="auto"/>
          <w:sz w:val="28"/>
          <w:szCs w:val="28"/>
          <w:highlight w:val="none"/>
        </w:rPr>
      </w:pPr>
      <w:bookmarkStart w:id="16" w:name="_Toc462564067"/>
      <w:bookmarkStart w:id="17" w:name="_Toc16938523"/>
      <w:bookmarkStart w:id="18" w:name="_Toc513029207"/>
      <w:bookmarkStart w:id="19" w:name="_Toc20823279"/>
      <w:r>
        <w:rPr>
          <w:rFonts w:hint="eastAsia" w:ascii="宋体" w:hAnsi="宋体" w:eastAsia="宋体" w:cs="宋体"/>
          <w:color w:val="auto"/>
          <w:sz w:val="28"/>
          <w:szCs w:val="28"/>
          <w:highlight w:val="none"/>
        </w:rPr>
        <w:t>4.磋商费用</w:t>
      </w:r>
      <w:bookmarkEnd w:id="16"/>
      <w:bookmarkEnd w:id="17"/>
      <w:bookmarkEnd w:id="18"/>
      <w:bookmarkEnd w:id="19"/>
    </w:p>
    <w:p w14:paraId="57694075">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4.1</w:t>
      </w:r>
      <w:r>
        <w:rPr>
          <w:rFonts w:hint="eastAsia" w:ascii="宋体" w:hAnsi="宋体" w:eastAsia="宋体" w:cs="宋体"/>
          <w:color w:val="auto"/>
          <w:sz w:val="28"/>
          <w:szCs w:val="28"/>
          <w:highlight w:val="none"/>
        </w:rPr>
        <w:t>供应商应自行承担所有与参加磋商有关的费用，无论磋商过程中的做法和结果如何，</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在任何情况下均无义务和责任承担这些费用。</w:t>
      </w:r>
    </w:p>
    <w:p w14:paraId="4F57628A">
      <w:pPr>
        <w:keepNext/>
        <w:pageBreakBefore w:val="0"/>
        <w:widowControl w:val="0"/>
        <w:spacing w:line="500" w:lineRule="exact"/>
        <w:outlineLvl w:val="3"/>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5.磋商文件的约束力</w:t>
      </w:r>
    </w:p>
    <w:p w14:paraId="5F1F03D6">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5.1</w:t>
      </w:r>
      <w:r>
        <w:rPr>
          <w:rFonts w:hint="eastAsia" w:ascii="宋体" w:hAnsi="宋体" w:eastAsia="宋体" w:cs="宋体"/>
          <w:color w:val="auto"/>
          <w:sz w:val="28"/>
          <w:szCs w:val="28"/>
          <w:highlight w:val="none"/>
        </w:rPr>
        <w:t>供应商一旦参加本项目采购活动，即被认为接受了本磋商文件的规定和约束。</w:t>
      </w:r>
    </w:p>
    <w:p w14:paraId="311B5E01">
      <w:pPr>
        <w:keepNext/>
        <w:pageBreakBefore w:val="0"/>
        <w:widowControl w:val="0"/>
        <w:spacing w:line="500" w:lineRule="exact"/>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6.磋商文件的解释</w:t>
      </w:r>
    </w:p>
    <w:p w14:paraId="035C04CD">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6.1</w:t>
      </w:r>
      <w:r>
        <w:rPr>
          <w:rFonts w:hint="eastAsia" w:ascii="宋体" w:hAnsi="宋体" w:eastAsia="宋体" w:cs="宋体"/>
          <w:color w:val="auto"/>
          <w:sz w:val="28"/>
          <w:szCs w:val="28"/>
          <w:highlight w:val="none"/>
        </w:rPr>
        <w:t>磋商文件需求部分（供应商资格要求、项目需求、商务技术评分标准）由采购人解释，其他部分由代理机构解释。</w:t>
      </w:r>
    </w:p>
    <w:p w14:paraId="5D5B0729">
      <w:pPr>
        <w:keepNext/>
        <w:keepLines/>
        <w:pageBreakBefore w:val="0"/>
        <w:widowControl w:val="0"/>
        <w:spacing w:line="500" w:lineRule="exact"/>
        <w:outlineLvl w:val="2"/>
        <w:rPr>
          <w:rFonts w:hint="eastAsia" w:ascii="宋体" w:hAnsi="宋体" w:eastAsia="宋体" w:cs="宋体"/>
          <w:b/>
          <w:bCs/>
          <w:color w:val="auto"/>
          <w:sz w:val="28"/>
          <w:szCs w:val="28"/>
          <w:highlight w:val="none"/>
        </w:rPr>
      </w:pPr>
      <w:bookmarkStart w:id="20" w:name="_Toc513029209"/>
      <w:bookmarkStart w:id="21" w:name="_Toc16938525"/>
      <w:bookmarkStart w:id="22" w:name="_Toc120614215"/>
      <w:bookmarkStart w:id="23" w:name="_Toc20823281"/>
      <w:r>
        <w:rPr>
          <w:rFonts w:hint="eastAsia" w:ascii="宋体" w:hAnsi="宋体" w:eastAsia="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rPr>
        <w:t>磋商文件</w:t>
      </w:r>
      <w:bookmarkEnd w:id="20"/>
      <w:bookmarkEnd w:id="21"/>
      <w:bookmarkEnd w:id="22"/>
      <w:bookmarkEnd w:id="23"/>
    </w:p>
    <w:p w14:paraId="2EAE626F">
      <w:pPr>
        <w:keepNext/>
        <w:pageBreakBefore w:val="0"/>
        <w:widowControl w:val="0"/>
        <w:spacing w:line="500" w:lineRule="exact"/>
        <w:outlineLvl w:val="3"/>
        <w:rPr>
          <w:rFonts w:hint="eastAsia" w:ascii="宋体" w:hAnsi="宋体" w:eastAsia="宋体" w:cs="宋体"/>
          <w:b/>
          <w:bCs/>
          <w:color w:val="auto"/>
          <w:sz w:val="28"/>
          <w:szCs w:val="28"/>
          <w:highlight w:val="none"/>
        </w:rPr>
      </w:pPr>
      <w:bookmarkStart w:id="24" w:name="_Toc513029210"/>
      <w:bookmarkStart w:id="25" w:name="_Toc16938526"/>
      <w:bookmarkStart w:id="26" w:name="_Toc20823282"/>
      <w:r>
        <w:rPr>
          <w:rFonts w:hint="eastAsia" w:ascii="宋体" w:hAnsi="宋体" w:eastAsia="宋体" w:cs="宋体"/>
          <w:color w:val="auto"/>
          <w:sz w:val="28"/>
          <w:szCs w:val="28"/>
          <w:highlight w:val="none"/>
        </w:rPr>
        <w:t>1.磋商文件构成</w:t>
      </w:r>
      <w:bookmarkEnd w:id="24"/>
      <w:bookmarkEnd w:id="25"/>
      <w:bookmarkEnd w:id="26"/>
    </w:p>
    <w:p w14:paraId="0BE5A7B9">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1.1</w:t>
      </w:r>
      <w:r>
        <w:rPr>
          <w:rFonts w:hint="eastAsia" w:ascii="宋体" w:hAnsi="宋体" w:eastAsia="宋体" w:cs="宋体"/>
          <w:color w:val="auto"/>
          <w:sz w:val="28"/>
          <w:szCs w:val="28"/>
          <w:highlight w:val="none"/>
        </w:rPr>
        <w:t>磋商文件由以下部分组成：</w:t>
      </w:r>
    </w:p>
    <w:p w14:paraId="5206CDEC">
      <w:pPr>
        <w:pageBreakBefore w:val="0"/>
        <w:widowControl w:val="0"/>
        <w:spacing w:line="50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（1）采购邀请</w:t>
      </w:r>
    </w:p>
    <w:p w14:paraId="7FC4B3B6">
      <w:pPr>
        <w:pageBreakBefore w:val="0"/>
        <w:widowControl w:val="0"/>
        <w:spacing w:line="50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（2）磋商须知</w:t>
      </w:r>
    </w:p>
    <w:p w14:paraId="47CD14F6">
      <w:pPr>
        <w:pageBreakBefore w:val="0"/>
        <w:widowControl w:val="0"/>
        <w:spacing w:line="50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（3）项目需求</w:t>
      </w:r>
    </w:p>
    <w:p w14:paraId="5BC6F2F1">
      <w:pPr>
        <w:pageBreakBefore w:val="0"/>
        <w:widowControl w:val="0"/>
        <w:spacing w:line="50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（4）评审方法和评审标准</w:t>
      </w:r>
    </w:p>
    <w:p w14:paraId="1B40F950">
      <w:pPr>
        <w:pageBreakBefore w:val="0"/>
        <w:widowControl w:val="0"/>
        <w:spacing w:line="50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（5）响应文件格式</w:t>
      </w:r>
    </w:p>
    <w:p w14:paraId="55DBFB5E">
      <w:pPr>
        <w:pageBreakBefore w:val="0"/>
        <w:widowControl w:val="0"/>
        <w:spacing w:line="50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（6）附件</w:t>
      </w:r>
    </w:p>
    <w:p w14:paraId="2510E073">
      <w:pPr>
        <w:pageBreakBefore w:val="0"/>
        <w:widowControl w:val="0"/>
        <w:spacing w:line="500" w:lineRule="exact"/>
        <w:ind w:firstLine="536"/>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请仔细检查磋商文件是否齐全，如有缺漏请立即与代理机构联系解决。</w:t>
      </w:r>
    </w:p>
    <w:p w14:paraId="42AEAEC5">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1.2</w:t>
      </w:r>
      <w:r>
        <w:rPr>
          <w:rFonts w:hint="eastAsia" w:ascii="宋体" w:hAnsi="宋体" w:eastAsia="宋体" w:cs="宋体"/>
          <w:color w:val="auto"/>
          <w:sz w:val="28"/>
          <w:szCs w:val="28"/>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0C9ABA5">
      <w:pPr>
        <w:keepNext/>
        <w:pageBreakBefore w:val="0"/>
        <w:widowControl w:val="0"/>
        <w:spacing w:line="500" w:lineRule="exact"/>
        <w:outlineLvl w:val="3"/>
        <w:rPr>
          <w:rFonts w:hint="eastAsia" w:ascii="宋体" w:hAnsi="宋体" w:eastAsia="宋体" w:cs="宋体"/>
          <w:b/>
          <w:bCs/>
          <w:color w:val="auto"/>
          <w:sz w:val="28"/>
          <w:szCs w:val="28"/>
          <w:highlight w:val="none"/>
        </w:rPr>
      </w:pPr>
      <w:bookmarkStart w:id="27" w:name="_Toc16938527"/>
      <w:bookmarkStart w:id="28" w:name="_Toc20823283"/>
      <w:bookmarkStart w:id="29" w:name="_Toc513029211"/>
      <w:bookmarkStart w:id="30" w:name="_Toc462564070"/>
      <w:r>
        <w:rPr>
          <w:rFonts w:hint="eastAsia" w:ascii="宋体" w:hAnsi="宋体" w:eastAsia="宋体" w:cs="宋体"/>
          <w:color w:val="auto"/>
          <w:sz w:val="28"/>
          <w:szCs w:val="28"/>
          <w:highlight w:val="none"/>
        </w:rPr>
        <w:t>2.磋商文件的澄清</w:t>
      </w:r>
      <w:bookmarkEnd w:id="27"/>
      <w:bookmarkEnd w:id="28"/>
      <w:bookmarkEnd w:id="29"/>
      <w:bookmarkEnd w:id="30"/>
    </w:p>
    <w:p w14:paraId="211BD45B">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2.1</w:t>
      </w:r>
      <w:r>
        <w:rPr>
          <w:rFonts w:hint="eastAsia" w:ascii="宋体" w:hAnsi="宋体" w:eastAsia="宋体" w:cs="宋体"/>
          <w:color w:val="auto"/>
          <w:sz w:val="28"/>
          <w:szCs w:val="28"/>
          <w:highlight w:val="none"/>
        </w:rPr>
        <w:t>任何要求对磋商文件进行澄清的供应商，应在提交首次响应文件截止时间五日前按磋商公告中的通讯地址，以书面形式通知采购人。采购人有权对发出的磋商文件进行必要的澄清或修改。</w:t>
      </w:r>
    </w:p>
    <w:p w14:paraId="3396654C">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2.2采购人视情组织答疑会</w:t>
      </w:r>
    </w:p>
    <w:p w14:paraId="31CB43A5">
      <w:pPr>
        <w:keepNext/>
        <w:pageBreakBefore w:val="0"/>
        <w:widowControl w:val="0"/>
        <w:spacing w:line="500" w:lineRule="exact"/>
        <w:outlineLvl w:val="3"/>
        <w:rPr>
          <w:rFonts w:hint="eastAsia" w:ascii="宋体" w:hAnsi="宋体" w:eastAsia="宋体" w:cs="宋体"/>
          <w:b/>
          <w:bCs/>
          <w:color w:val="auto"/>
          <w:sz w:val="28"/>
          <w:szCs w:val="28"/>
          <w:highlight w:val="none"/>
        </w:rPr>
      </w:pPr>
      <w:bookmarkStart w:id="31" w:name="_Toc16938528"/>
      <w:bookmarkStart w:id="32" w:name="_Toc513029212"/>
      <w:bookmarkStart w:id="33" w:name="_Toc462564071"/>
      <w:bookmarkStart w:id="34" w:name="_Toc20823284"/>
      <w:r>
        <w:rPr>
          <w:rFonts w:hint="eastAsia" w:ascii="宋体" w:hAnsi="宋体" w:eastAsia="宋体" w:cs="宋体"/>
          <w:color w:val="auto"/>
          <w:sz w:val="28"/>
          <w:szCs w:val="28"/>
          <w:highlight w:val="none"/>
        </w:rPr>
        <w:t>3.磋商文件的修改</w:t>
      </w:r>
      <w:bookmarkEnd w:id="31"/>
      <w:bookmarkEnd w:id="32"/>
      <w:bookmarkEnd w:id="33"/>
      <w:bookmarkEnd w:id="34"/>
    </w:p>
    <w:p w14:paraId="7BACD755">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3.1</w:t>
      </w:r>
      <w:r>
        <w:rPr>
          <w:rFonts w:hint="eastAsia" w:ascii="宋体" w:hAnsi="宋体" w:eastAsia="宋体" w:cs="宋体"/>
          <w:color w:val="auto"/>
          <w:sz w:val="28"/>
          <w:szCs w:val="28"/>
          <w:highlight w:val="none"/>
        </w:rPr>
        <w:t>在响应文件提交截止时间前，采购人可以对磋商文件进行修改。</w:t>
      </w:r>
    </w:p>
    <w:p w14:paraId="2F622034">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3.2</w:t>
      </w:r>
      <w:r>
        <w:rPr>
          <w:rFonts w:hint="eastAsia" w:ascii="宋体" w:hAnsi="宋体" w:eastAsia="宋体" w:cs="宋体"/>
          <w:color w:val="auto"/>
          <w:spacing w:val="-6"/>
          <w:sz w:val="28"/>
          <w:szCs w:val="28"/>
          <w:highlight w:val="none"/>
        </w:rPr>
        <w:t>采购人有权按照法定的要求推迟响应文件提交截止日期和磋商日期。</w:t>
      </w:r>
    </w:p>
    <w:p w14:paraId="270E24AA">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3.3</w:t>
      </w:r>
      <w:r>
        <w:rPr>
          <w:rFonts w:hint="eastAsia" w:ascii="宋体" w:hAnsi="宋体" w:eastAsia="宋体" w:cs="宋体"/>
          <w:color w:val="auto"/>
          <w:sz w:val="28"/>
          <w:szCs w:val="28"/>
          <w:highlight w:val="none"/>
        </w:rPr>
        <w:t>磋商文件的修改将在江苏政府采购网公布，补充文件将作为磋商文件的组成部分，并对供应商具有约束力。</w:t>
      </w:r>
    </w:p>
    <w:p w14:paraId="4AD9F7C1">
      <w:pPr>
        <w:keepNext/>
        <w:keepLines/>
        <w:pageBreakBefore w:val="0"/>
        <w:widowControl w:val="0"/>
        <w:spacing w:line="500" w:lineRule="exact"/>
        <w:outlineLvl w:val="2"/>
        <w:rPr>
          <w:rFonts w:hint="eastAsia" w:ascii="宋体" w:hAnsi="宋体" w:eastAsia="宋体" w:cs="宋体"/>
          <w:b/>
          <w:bCs/>
          <w:color w:val="auto"/>
          <w:sz w:val="28"/>
          <w:szCs w:val="28"/>
          <w:highlight w:val="none"/>
        </w:rPr>
      </w:pPr>
      <w:bookmarkStart w:id="35" w:name="_Toc16938529"/>
      <w:bookmarkStart w:id="36" w:name="_Toc20823285"/>
      <w:bookmarkStart w:id="37" w:name="_Toc120614216"/>
      <w:bookmarkStart w:id="38" w:name="_Toc462564072"/>
      <w:bookmarkStart w:id="39" w:name="_Toc513029213"/>
      <w:r>
        <w:rPr>
          <w:rFonts w:hint="eastAsia" w:ascii="宋体" w:hAnsi="宋体" w:eastAsia="宋体" w:cs="宋体"/>
          <w:b/>
          <w:bCs/>
          <w:color w:val="auto"/>
          <w:sz w:val="28"/>
          <w:szCs w:val="28"/>
          <w:highlight w:val="none"/>
          <w:lang w:eastAsia="zh-CN"/>
        </w:rPr>
        <w:t>三、</w:t>
      </w:r>
      <w:r>
        <w:rPr>
          <w:rFonts w:hint="eastAsia" w:ascii="宋体" w:hAnsi="宋体" w:eastAsia="宋体" w:cs="宋体"/>
          <w:b/>
          <w:bCs/>
          <w:color w:val="auto"/>
          <w:sz w:val="28"/>
          <w:szCs w:val="28"/>
          <w:highlight w:val="none"/>
        </w:rPr>
        <w:t>响应文件的编制</w:t>
      </w:r>
      <w:bookmarkEnd w:id="35"/>
      <w:bookmarkEnd w:id="36"/>
      <w:bookmarkEnd w:id="37"/>
      <w:bookmarkEnd w:id="38"/>
      <w:bookmarkEnd w:id="39"/>
    </w:p>
    <w:p w14:paraId="202B541F">
      <w:pPr>
        <w:keepNext/>
        <w:pageBreakBefore w:val="0"/>
        <w:widowControl w:val="0"/>
        <w:spacing w:line="500" w:lineRule="exact"/>
        <w:outlineLvl w:val="3"/>
        <w:rPr>
          <w:rFonts w:hint="eastAsia" w:ascii="宋体" w:hAnsi="宋体" w:eastAsia="宋体" w:cs="宋体"/>
          <w:bCs/>
          <w:color w:val="auto"/>
          <w:sz w:val="28"/>
          <w:szCs w:val="28"/>
          <w:highlight w:val="none"/>
        </w:rPr>
      </w:pPr>
      <w:bookmarkStart w:id="40" w:name="_Toc20823286"/>
      <w:bookmarkStart w:id="41" w:name="_Toc16938530"/>
      <w:bookmarkStart w:id="42" w:name="_Toc462564073"/>
      <w:bookmarkStart w:id="43" w:name="_Toc513029214"/>
      <w:r>
        <w:rPr>
          <w:rFonts w:hint="eastAsia" w:ascii="宋体" w:hAnsi="宋体" w:eastAsia="宋体" w:cs="宋体"/>
          <w:color w:val="auto"/>
          <w:sz w:val="28"/>
          <w:szCs w:val="28"/>
          <w:highlight w:val="none"/>
        </w:rPr>
        <w:t>1.响应文件的语言及度量衡单位</w:t>
      </w:r>
      <w:bookmarkEnd w:id="40"/>
      <w:bookmarkEnd w:id="41"/>
      <w:bookmarkEnd w:id="42"/>
      <w:bookmarkEnd w:id="43"/>
    </w:p>
    <w:p w14:paraId="7AD0683E">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1.1</w:t>
      </w:r>
      <w:r>
        <w:rPr>
          <w:rFonts w:hint="eastAsia" w:ascii="宋体" w:hAnsi="宋体" w:eastAsia="宋体" w:cs="宋体"/>
          <w:color w:val="auto"/>
          <w:sz w:val="28"/>
          <w:szCs w:val="28"/>
          <w:highlight w:val="none"/>
        </w:rPr>
        <w:t>供应商提交的响应文件以及供应商与采购人就有关磋商的所有来往通知、函件和文件均应使用</w:t>
      </w:r>
      <w:r>
        <w:rPr>
          <w:rFonts w:hint="eastAsia" w:ascii="宋体" w:hAnsi="宋体" w:eastAsia="宋体" w:cs="宋体"/>
          <w:bCs/>
          <w:color w:val="auto"/>
          <w:sz w:val="28"/>
          <w:szCs w:val="28"/>
          <w:highlight w:val="none"/>
        </w:rPr>
        <w:t>简体中文</w:t>
      </w:r>
      <w:r>
        <w:rPr>
          <w:rFonts w:hint="eastAsia" w:ascii="宋体" w:hAnsi="宋体" w:eastAsia="宋体" w:cs="宋体"/>
          <w:color w:val="auto"/>
          <w:sz w:val="28"/>
          <w:szCs w:val="28"/>
          <w:highlight w:val="none"/>
        </w:rPr>
        <w:t>。</w:t>
      </w:r>
    </w:p>
    <w:p w14:paraId="2CA3B729">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1.2</w:t>
      </w:r>
      <w:r>
        <w:rPr>
          <w:rFonts w:hint="eastAsia" w:ascii="宋体" w:hAnsi="宋体" w:eastAsia="宋体" w:cs="宋体"/>
          <w:color w:val="auto"/>
          <w:sz w:val="28"/>
          <w:szCs w:val="28"/>
          <w:highlight w:val="none"/>
        </w:rPr>
        <w:t>除技术性能另有规定外，响应文件所使用的度量衡单位，均须采用国家法定计量单位。</w:t>
      </w:r>
    </w:p>
    <w:p w14:paraId="7C6D02EF">
      <w:pPr>
        <w:keepNext/>
        <w:pageBreakBefore w:val="0"/>
        <w:widowControl w:val="0"/>
        <w:spacing w:line="500" w:lineRule="exact"/>
        <w:outlineLvl w:val="3"/>
        <w:rPr>
          <w:rFonts w:hint="eastAsia" w:ascii="宋体" w:hAnsi="宋体" w:eastAsia="宋体" w:cs="宋体"/>
          <w:b/>
          <w:bCs/>
          <w:color w:val="auto"/>
          <w:sz w:val="28"/>
          <w:szCs w:val="28"/>
          <w:highlight w:val="none"/>
        </w:rPr>
      </w:pPr>
      <w:bookmarkStart w:id="44" w:name="_Toc462564074"/>
      <w:bookmarkStart w:id="45" w:name="_Toc513029215"/>
      <w:bookmarkStart w:id="46" w:name="_Toc16938531"/>
      <w:bookmarkStart w:id="47" w:name="_Toc20823287"/>
      <w:r>
        <w:rPr>
          <w:rFonts w:hint="eastAsia" w:ascii="宋体" w:hAnsi="宋体" w:eastAsia="宋体" w:cs="宋体"/>
          <w:color w:val="auto"/>
          <w:sz w:val="28"/>
          <w:szCs w:val="28"/>
          <w:highlight w:val="none"/>
        </w:rPr>
        <w:t>2.响应文件构成</w:t>
      </w:r>
      <w:bookmarkEnd w:id="44"/>
      <w:bookmarkEnd w:id="45"/>
      <w:bookmarkEnd w:id="46"/>
      <w:bookmarkEnd w:id="47"/>
    </w:p>
    <w:p w14:paraId="35DCE5DE">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p>
    <w:p w14:paraId="41496841">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2.2如标书制作工具中格式和内容与“江苏政府采购网”发布的磋商文件不一致，请以“江苏政府采购网”发布的磋商文件为准。</w:t>
      </w:r>
    </w:p>
    <w:p w14:paraId="4B0CD995">
      <w:pPr>
        <w:pageBreakBefore w:val="0"/>
        <w:widowControl w:val="0"/>
        <w:spacing w:line="500" w:lineRule="exact"/>
        <w:rPr>
          <w:rFonts w:hint="eastAsia" w:ascii="宋体" w:hAnsi="宋体" w:eastAsia="宋体" w:cs="宋体"/>
          <w:color w:val="auto"/>
          <w:sz w:val="28"/>
          <w:szCs w:val="28"/>
        </w:rPr>
      </w:pPr>
      <w:bookmarkStart w:id="48" w:name="_Hlt26668975"/>
      <w:bookmarkEnd w:id="48"/>
      <w:bookmarkStart w:id="49" w:name="_Hlt26670360"/>
      <w:bookmarkEnd w:id="49"/>
      <w:bookmarkStart w:id="50" w:name="_Hlt26954838"/>
      <w:bookmarkEnd w:id="50"/>
      <w:bookmarkStart w:id="51" w:name="_Toc49090511"/>
      <w:bookmarkStart w:id="52" w:name="_Toc14577360"/>
      <w:r>
        <w:rPr>
          <w:rFonts w:hint="eastAsia" w:ascii="宋体" w:hAnsi="宋体" w:eastAsia="宋体" w:cs="宋体"/>
          <w:color w:val="auto"/>
          <w:sz w:val="28"/>
          <w:szCs w:val="28"/>
        </w:rPr>
        <w:t>3.证明供应商及响应标的符合磋商文件规定的文件</w:t>
      </w:r>
    </w:p>
    <w:p w14:paraId="21F667E4">
      <w:pPr>
        <w:pageBreakBefore w:val="0"/>
        <w:widowControl w:val="0"/>
        <w:spacing w:line="500" w:lineRule="exact"/>
        <w:ind w:firstLine="560"/>
        <w:rPr>
          <w:rFonts w:hint="eastAsia" w:ascii="宋体" w:hAnsi="宋体" w:eastAsia="宋体" w:cs="宋体"/>
          <w:color w:val="auto"/>
          <w:sz w:val="28"/>
          <w:szCs w:val="28"/>
        </w:rPr>
      </w:pPr>
      <w:bookmarkStart w:id="53" w:name="_Toc14577355"/>
      <w:bookmarkStart w:id="54" w:name="_Toc49090508"/>
      <w:r>
        <w:rPr>
          <w:rFonts w:hint="eastAsia" w:ascii="宋体" w:hAnsi="宋体" w:eastAsia="宋体" w:cs="宋体"/>
          <w:color w:val="auto"/>
          <w:sz w:val="28"/>
          <w:szCs w:val="28"/>
        </w:rPr>
        <w:t>3.1供应商应按照法律、法规、规章和规范性文件以及磋商文件要求提交证明文件，证明其及响应标的符合磋商文件规定。</w:t>
      </w:r>
    </w:p>
    <w:p w14:paraId="40466036">
      <w:pPr>
        <w:pageBreakBefore w:val="0"/>
        <w:widowControl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3.2磋商文件对证明文件无明确形式要求的，证明文件可以以文字资料、图纸和数据等形式提交。</w:t>
      </w:r>
    </w:p>
    <w:p w14:paraId="5DC130AF">
      <w:pPr>
        <w:pageBreakBefore w:val="0"/>
        <w:widowControl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4.分项报价</w:t>
      </w:r>
      <w:bookmarkEnd w:id="53"/>
      <w:bookmarkStart w:id="55" w:name="_Hlt26670373"/>
      <w:bookmarkEnd w:id="55"/>
      <w:r>
        <w:rPr>
          <w:rFonts w:hint="eastAsia" w:ascii="宋体" w:hAnsi="宋体" w:eastAsia="宋体" w:cs="宋体"/>
          <w:color w:val="auto"/>
          <w:sz w:val="28"/>
          <w:szCs w:val="28"/>
        </w:rPr>
        <w:t>明细表</w:t>
      </w:r>
      <w:bookmarkEnd w:id="54"/>
    </w:p>
    <w:p w14:paraId="03DD7E43">
      <w:pPr>
        <w:pageBreakBefore w:val="0"/>
        <w:widowControl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4.1供应商应按照磋商文件规定格式填报分项报价明细表</w:t>
      </w:r>
      <w:bookmarkStart w:id="56" w:name="_Hlt26670399"/>
      <w:bookmarkEnd w:id="56"/>
      <w:r>
        <w:rPr>
          <w:rFonts w:hint="eastAsia" w:ascii="宋体" w:hAnsi="宋体" w:eastAsia="宋体" w:cs="宋体"/>
          <w:color w:val="auto"/>
          <w:sz w:val="28"/>
          <w:szCs w:val="28"/>
        </w:rPr>
        <w:t>。</w:t>
      </w:r>
    </w:p>
    <w:p w14:paraId="6F9A09DE">
      <w:pPr>
        <w:pageBreakBefore w:val="0"/>
        <w:widowControl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4.2响应货币。磋商文件中的单价和总价无特殊规定的采用人民币报价，以元为单位标注。磋商文件中另有规定的按规定执行。</w:t>
      </w:r>
    </w:p>
    <w:p w14:paraId="20D18755">
      <w:pPr>
        <w:pageBreakBefore w:val="0"/>
        <w:widowControl w:val="0"/>
        <w:spacing w:line="500" w:lineRule="exact"/>
        <w:rPr>
          <w:rFonts w:hint="eastAsia" w:ascii="宋体" w:hAnsi="宋体" w:eastAsia="宋体" w:cs="宋体"/>
          <w:color w:val="auto"/>
          <w:sz w:val="28"/>
          <w:szCs w:val="28"/>
        </w:rPr>
      </w:pPr>
      <w:bookmarkStart w:id="57" w:name="_Hlt26954842"/>
      <w:bookmarkEnd w:id="57"/>
      <w:bookmarkStart w:id="58" w:name="_Hlt26670482"/>
      <w:bookmarkEnd w:id="58"/>
      <w:bookmarkStart w:id="59" w:name="_Hlt26670425"/>
      <w:bookmarkEnd w:id="59"/>
      <w:bookmarkStart w:id="60" w:name="_Hlt26670403"/>
      <w:bookmarkEnd w:id="60"/>
      <w:bookmarkStart w:id="61" w:name="_Hlt26670486"/>
      <w:bookmarkEnd w:id="61"/>
      <w:bookmarkStart w:id="62" w:name="_Hlt26954731"/>
      <w:bookmarkEnd w:id="62"/>
      <w:bookmarkStart w:id="63" w:name="_Hlt26668983"/>
      <w:bookmarkEnd w:id="63"/>
      <w:bookmarkStart w:id="64" w:name="_Hlt26954844"/>
      <w:bookmarkEnd w:id="64"/>
      <w:bookmarkStart w:id="65" w:name="_Hlt26954846"/>
      <w:bookmarkEnd w:id="65"/>
      <w:bookmarkStart w:id="66" w:name="_Hlt26954848"/>
      <w:bookmarkEnd w:id="66"/>
      <w:r>
        <w:rPr>
          <w:rFonts w:hint="eastAsia" w:ascii="宋体" w:hAnsi="宋体" w:eastAsia="宋体" w:cs="宋体"/>
          <w:color w:val="auto"/>
          <w:sz w:val="28"/>
          <w:szCs w:val="28"/>
        </w:rPr>
        <w:t>5.技术部分正负偏离表、商务部分正负偏离表</w:t>
      </w:r>
    </w:p>
    <w:p w14:paraId="4D786831">
      <w:pPr>
        <w:pageBreakBefore w:val="0"/>
        <w:widowControl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5.1供应商需按磋商文件中的技术要求与商务要求作出响应或偏离，并说明原因。</w:t>
      </w:r>
    </w:p>
    <w:p w14:paraId="05E08F37">
      <w:pPr>
        <w:pageBreakBefore w:val="0"/>
        <w:widowControl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5.2供应商可在磋商文件中提供认为需要的其他技术文件或说明。</w:t>
      </w:r>
    </w:p>
    <w:p w14:paraId="66217AA2">
      <w:pPr>
        <w:pageBreakBefore w:val="0"/>
        <w:widowControl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6.磋商响应函和磋商报价表</w:t>
      </w:r>
    </w:p>
    <w:p w14:paraId="31686E3E">
      <w:pPr>
        <w:pageBreakBefore w:val="0"/>
        <w:widowControl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6.1供应商应按照磋商文件中提供的格式完整、正确填写磋商响应函、磋商报价表。</w:t>
      </w:r>
    </w:p>
    <w:p w14:paraId="1DFA0EDC">
      <w:pPr>
        <w:keepNext/>
        <w:pageBreakBefore w:val="0"/>
        <w:widowControl w:val="0"/>
        <w:spacing w:line="500" w:lineRule="exact"/>
        <w:ind w:firstLine="560"/>
        <w:outlineLvl w:val="3"/>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rPr>
        <w:t>6.2对于采用货币报价的项目，磋商报价表中的响应总报价应与分项报价明细表中的响应总报价一致，如不一致，不作为无效响应处理，但评标时按磋商报价表中价格为准</w:t>
      </w:r>
      <w:r>
        <w:rPr>
          <w:rFonts w:hint="eastAsia" w:ascii="宋体" w:hAnsi="宋体" w:eastAsia="宋体" w:cs="宋体"/>
          <w:color w:val="auto"/>
          <w:sz w:val="28"/>
          <w:szCs w:val="28"/>
          <w:lang w:eastAsia="zh-CN"/>
        </w:rPr>
        <w:t>。</w:t>
      </w:r>
    </w:p>
    <w:p w14:paraId="2B727FEE">
      <w:pPr>
        <w:keepNext/>
        <w:pageBreakBefore w:val="0"/>
        <w:widowControl w:val="0"/>
        <w:spacing w:line="500" w:lineRule="exact"/>
        <w:outlineLvl w:val="3"/>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rPr>
        <w:t>.</w:t>
      </w:r>
      <w:bookmarkEnd w:id="51"/>
      <w:bookmarkEnd w:id="52"/>
      <w:r>
        <w:rPr>
          <w:rFonts w:hint="eastAsia" w:ascii="宋体" w:hAnsi="宋体" w:eastAsia="宋体" w:cs="宋体"/>
          <w:color w:val="auto"/>
          <w:sz w:val="28"/>
          <w:szCs w:val="28"/>
          <w:highlight w:val="none"/>
        </w:rPr>
        <w:t>磋商响应有效期</w:t>
      </w:r>
    </w:p>
    <w:p w14:paraId="3C248288">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3.1磋商响应有效期为</w:t>
      </w:r>
      <w:r>
        <w:rPr>
          <w:rFonts w:hint="eastAsia" w:ascii="宋体" w:hAnsi="宋体" w:eastAsia="宋体" w:cs="宋体"/>
          <w:color w:val="auto"/>
          <w:sz w:val="28"/>
          <w:szCs w:val="28"/>
          <w:highlight w:val="none"/>
        </w:rPr>
        <w:t>采购人</w:t>
      </w:r>
      <w:r>
        <w:rPr>
          <w:rFonts w:hint="eastAsia" w:ascii="宋体" w:hAnsi="宋体" w:eastAsia="宋体" w:cs="宋体"/>
          <w:bCs/>
          <w:color w:val="auto"/>
          <w:sz w:val="28"/>
          <w:szCs w:val="28"/>
          <w:highlight w:val="none"/>
        </w:rPr>
        <w:t>规定的响应文件</w:t>
      </w:r>
      <w:r>
        <w:rPr>
          <w:rFonts w:hint="eastAsia" w:ascii="宋体" w:hAnsi="宋体" w:eastAsia="宋体" w:cs="宋体"/>
          <w:color w:val="auto"/>
          <w:sz w:val="28"/>
          <w:szCs w:val="28"/>
          <w:highlight w:val="none"/>
        </w:rPr>
        <w:t>提交</w:t>
      </w:r>
      <w:r>
        <w:rPr>
          <w:rFonts w:hint="eastAsia" w:ascii="宋体" w:hAnsi="宋体" w:eastAsia="宋体" w:cs="宋体"/>
          <w:bCs/>
          <w:color w:val="auto"/>
          <w:sz w:val="28"/>
          <w:szCs w:val="28"/>
          <w:highlight w:val="none"/>
        </w:rPr>
        <w:t>截止时间后</w:t>
      </w:r>
      <w:r>
        <w:rPr>
          <w:rFonts w:hint="eastAsia" w:ascii="宋体" w:hAnsi="宋体" w:eastAsia="宋体" w:cs="宋体"/>
          <w:b/>
          <w:color w:val="auto"/>
          <w:sz w:val="28"/>
          <w:szCs w:val="28"/>
          <w:highlight w:val="none"/>
          <w:u w:val="single"/>
        </w:rPr>
        <w:t>六十（60）天</w:t>
      </w:r>
      <w:r>
        <w:rPr>
          <w:rFonts w:hint="eastAsia" w:ascii="宋体" w:hAnsi="宋体" w:eastAsia="宋体" w:cs="宋体"/>
          <w:bCs/>
          <w:color w:val="auto"/>
          <w:sz w:val="28"/>
          <w:szCs w:val="28"/>
          <w:highlight w:val="none"/>
        </w:rPr>
        <w:t>。磋商响应有效期比规定短的将被视为非实质性响应而予以拒绝。</w:t>
      </w:r>
    </w:p>
    <w:p w14:paraId="663F2EEE">
      <w:pPr>
        <w:keepNext/>
        <w:pageBreakBefore w:val="0"/>
        <w:widowControl w:val="0"/>
        <w:spacing w:line="500" w:lineRule="exact"/>
        <w:outlineLvl w:val="3"/>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rPr>
        <w:t>.磋商响应有效期的延长</w:t>
      </w:r>
    </w:p>
    <w:p w14:paraId="38482219">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8</w:t>
      </w:r>
      <w:r>
        <w:rPr>
          <w:rFonts w:hint="eastAsia" w:ascii="宋体" w:hAnsi="宋体" w:eastAsia="宋体" w:cs="宋体"/>
          <w:bCs/>
          <w:color w:val="auto"/>
          <w:sz w:val="28"/>
          <w:szCs w:val="28"/>
          <w:highlight w:val="none"/>
        </w:rPr>
        <w:t>.1在特殊情况下，</w:t>
      </w:r>
      <w:r>
        <w:rPr>
          <w:rFonts w:hint="eastAsia" w:ascii="宋体" w:hAnsi="宋体" w:eastAsia="宋体" w:cs="宋体"/>
          <w:color w:val="auto"/>
          <w:sz w:val="28"/>
          <w:szCs w:val="28"/>
          <w:highlight w:val="none"/>
        </w:rPr>
        <w:t>采购人</w:t>
      </w:r>
      <w:r>
        <w:rPr>
          <w:rFonts w:hint="eastAsia" w:ascii="宋体" w:hAnsi="宋体" w:eastAsia="宋体" w:cs="宋体"/>
          <w:bCs/>
          <w:color w:val="auto"/>
          <w:sz w:val="28"/>
          <w:szCs w:val="28"/>
          <w:highlight w:val="none"/>
        </w:rPr>
        <w:t>于原磋商响应有效期满之前，可向磋商供应商提出延长磋商响应有效期的要求。这种要求与答复均应采用书面形式。供应商可以拒绝</w:t>
      </w:r>
      <w:r>
        <w:rPr>
          <w:rFonts w:hint="eastAsia" w:ascii="宋体" w:hAnsi="宋体" w:eastAsia="宋体" w:cs="宋体"/>
          <w:color w:val="auto"/>
          <w:sz w:val="28"/>
          <w:szCs w:val="28"/>
          <w:highlight w:val="none"/>
        </w:rPr>
        <w:t>采购人</w:t>
      </w:r>
      <w:r>
        <w:rPr>
          <w:rFonts w:hint="eastAsia" w:ascii="宋体" w:hAnsi="宋体" w:eastAsia="宋体" w:cs="宋体"/>
          <w:bCs/>
          <w:color w:val="auto"/>
          <w:sz w:val="28"/>
          <w:szCs w:val="28"/>
          <w:highlight w:val="none"/>
        </w:rPr>
        <w:t>的这一要求而放弃磋商响应，同意延长磋商响应有效期的供应商既不能要求也不允许修改其响应文件。</w:t>
      </w:r>
      <w:r>
        <w:rPr>
          <w:rFonts w:hint="eastAsia" w:ascii="宋体" w:hAnsi="宋体" w:eastAsia="宋体" w:cs="宋体"/>
          <w:color w:val="auto"/>
          <w:sz w:val="28"/>
          <w:szCs w:val="28"/>
          <w:highlight w:val="none"/>
        </w:rPr>
        <w:t>受磋商响应有效期约束的所有权利与义务均延长至新的有效期</w:t>
      </w:r>
      <w:r>
        <w:rPr>
          <w:rFonts w:hint="eastAsia" w:ascii="宋体" w:hAnsi="宋体" w:eastAsia="宋体" w:cs="宋体"/>
          <w:bCs/>
          <w:color w:val="auto"/>
          <w:sz w:val="28"/>
          <w:szCs w:val="28"/>
          <w:highlight w:val="none"/>
        </w:rPr>
        <w:t>。</w:t>
      </w:r>
    </w:p>
    <w:p w14:paraId="1008E929">
      <w:pPr>
        <w:keepNext/>
        <w:keepLines/>
        <w:pageBreakBefore w:val="0"/>
        <w:widowControl w:val="0"/>
        <w:spacing w:line="500" w:lineRule="exact"/>
        <w:outlineLvl w:val="2"/>
        <w:rPr>
          <w:rFonts w:hint="eastAsia" w:ascii="宋体" w:hAnsi="宋体" w:eastAsia="宋体" w:cs="宋体"/>
          <w:b/>
          <w:bCs/>
          <w:color w:val="auto"/>
          <w:sz w:val="28"/>
          <w:szCs w:val="28"/>
          <w:highlight w:val="none"/>
        </w:rPr>
      </w:pPr>
      <w:bookmarkStart w:id="67" w:name="_Hlt26954739"/>
      <w:bookmarkEnd w:id="67"/>
      <w:bookmarkStart w:id="68" w:name="_Hlt26954852"/>
      <w:bookmarkEnd w:id="68"/>
      <w:bookmarkStart w:id="69" w:name="_Toc513029224"/>
      <w:bookmarkStart w:id="70" w:name="_Toc120614217"/>
      <w:bookmarkStart w:id="71" w:name="_Toc20823296"/>
      <w:bookmarkStart w:id="72" w:name="_Toc16938540"/>
      <w:r>
        <w:rPr>
          <w:rFonts w:hint="eastAsia" w:ascii="宋体" w:hAnsi="宋体" w:eastAsia="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rPr>
        <w:t>响应文件的提交</w:t>
      </w:r>
      <w:bookmarkEnd w:id="69"/>
      <w:bookmarkEnd w:id="70"/>
      <w:bookmarkEnd w:id="71"/>
      <w:bookmarkEnd w:id="72"/>
    </w:p>
    <w:p w14:paraId="696B7CA0">
      <w:pPr>
        <w:keepNext/>
        <w:pageBreakBefore w:val="0"/>
        <w:widowControl w:val="0"/>
        <w:spacing w:line="500" w:lineRule="exact"/>
        <w:outlineLvl w:val="3"/>
        <w:rPr>
          <w:rFonts w:hint="eastAsia" w:ascii="宋体" w:hAnsi="宋体" w:eastAsia="宋体" w:cs="宋体"/>
          <w:b/>
          <w:bCs/>
          <w:color w:val="auto"/>
          <w:sz w:val="28"/>
          <w:szCs w:val="28"/>
          <w:highlight w:val="none"/>
        </w:rPr>
      </w:pPr>
      <w:bookmarkStart w:id="73" w:name="_Toc462564084"/>
      <w:bookmarkStart w:id="74" w:name="_Toc20823297"/>
      <w:bookmarkStart w:id="75" w:name="_Toc513029225"/>
      <w:bookmarkStart w:id="76" w:name="_Toc16938541"/>
      <w:r>
        <w:rPr>
          <w:rFonts w:hint="eastAsia" w:ascii="宋体" w:hAnsi="宋体" w:eastAsia="宋体" w:cs="宋体"/>
          <w:color w:val="auto"/>
          <w:sz w:val="28"/>
          <w:szCs w:val="28"/>
          <w:highlight w:val="none"/>
        </w:rPr>
        <w:t>1.响应文件</w:t>
      </w:r>
      <w:bookmarkEnd w:id="73"/>
      <w:bookmarkEnd w:id="74"/>
      <w:bookmarkEnd w:id="75"/>
      <w:bookmarkEnd w:id="76"/>
      <w:r>
        <w:rPr>
          <w:rFonts w:hint="eastAsia" w:ascii="宋体" w:hAnsi="宋体" w:eastAsia="宋体" w:cs="宋体"/>
          <w:color w:val="auto"/>
          <w:sz w:val="28"/>
          <w:szCs w:val="28"/>
          <w:highlight w:val="none"/>
        </w:rPr>
        <w:t>的提交</w:t>
      </w:r>
    </w:p>
    <w:p w14:paraId="11387E62">
      <w:pPr>
        <w:pageBreakBefore w:val="0"/>
        <w:widowControl w:val="0"/>
        <w:spacing w:line="500" w:lineRule="exact"/>
        <w:ind w:firstLine="556"/>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1.1</w:t>
      </w:r>
      <w:bookmarkStart w:id="77" w:name="_Toc513029226"/>
      <w:bookmarkStart w:id="78" w:name="_Toc20823298"/>
      <w:bookmarkStart w:id="79" w:name="_Toc16938542"/>
      <w:r>
        <w:rPr>
          <w:rFonts w:hint="eastAsia" w:ascii="宋体" w:hAnsi="宋体" w:eastAsia="宋体" w:cs="宋体"/>
          <w:bCs/>
          <w:color w:val="auto"/>
          <w:sz w:val="28"/>
          <w:szCs w:val="28"/>
          <w:highlight w:val="none"/>
        </w:rPr>
        <w:t>供应商应当按照江苏政府采购网—资料下载中《江苏省政府采购管理交易系统（苏采云）供应商操作指南》规定，在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响应文件提交</w:t>
      </w:r>
      <w:r>
        <w:rPr>
          <w:rFonts w:hint="eastAsia" w:ascii="宋体" w:hAnsi="宋体" w:eastAsia="宋体" w:cs="宋体"/>
          <w:bCs/>
          <w:color w:val="auto"/>
          <w:sz w:val="28"/>
          <w:szCs w:val="28"/>
          <w:highlight w:val="none"/>
        </w:rPr>
        <w:t>截止时间前</w:t>
      </w:r>
      <w:r>
        <w:rPr>
          <w:rFonts w:hint="eastAsia" w:ascii="宋体" w:hAnsi="宋体" w:eastAsia="宋体" w:cs="宋体"/>
          <w:bCs/>
          <w:color w:val="auto"/>
          <w:sz w:val="28"/>
          <w:szCs w:val="28"/>
          <w:highlight w:val="none"/>
          <w:lang w:val="en-US" w:eastAsia="zh-CN"/>
        </w:rPr>
        <w:t>按要求</w:t>
      </w:r>
      <w:r>
        <w:rPr>
          <w:rFonts w:hint="eastAsia" w:ascii="宋体" w:hAnsi="宋体" w:eastAsia="宋体" w:cs="宋体"/>
          <w:bCs/>
          <w:color w:val="auto"/>
          <w:sz w:val="28"/>
          <w:szCs w:val="28"/>
          <w:highlight w:val="none"/>
        </w:rPr>
        <w:t>制作并上传电子响应文件。</w:t>
      </w:r>
    </w:p>
    <w:p w14:paraId="7273686B">
      <w:pPr>
        <w:pageBreakBefore w:val="0"/>
        <w:widowControl w:val="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2.响应文件截止日期</w:t>
      </w:r>
      <w:bookmarkEnd w:id="77"/>
      <w:bookmarkEnd w:id="78"/>
      <w:bookmarkEnd w:id="79"/>
    </w:p>
    <w:p w14:paraId="17C00F52">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2.1供应商上传电子响应文件的时间不得迟于磋商公告中规定的响应文件提交截止时间。</w:t>
      </w:r>
    </w:p>
    <w:p w14:paraId="1BCA36E5">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供应商应充分考虑到网络环境、网络带宽、CA数字证书及电子签章故障等风险因素，如因供应商自身原因造成的电子响应文件上传不成功由供应商自行承担全部责任。</w:t>
      </w:r>
    </w:p>
    <w:p w14:paraId="177F6676">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2.2采购人</w:t>
      </w:r>
      <w:r>
        <w:rPr>
          <w:rFonts w:hint="eastAsia" w:ascii="宋体" w:hAnsi="宋体" w:eastAsia="宋体" w:cs="宋体"/>
          <w:bCs/>
          <w:color w:val="auto"/>
          <w:sz w:val="28"/>
          <w:szCs w:val="28"/>
          <w:highlight w:val="none"/>
        </w:rPr>
        <w:t>可以按照规定，通过修改响应文件酌情延长响应文件提交截止日期，在此情况下，供应商的所有权利和义务以及供应商受制的截止日期均应以延长后新的截止日期为准。</w:t>
      </w:r>
    </w:p>
    <w:p w14:paraId="5ABFCC70">
      <w:pPr>
        <w:keepNext/>
        <w:pageBreakBefore w:val="0"/>
        <w:widowControl w:val="0"/>
        <w:spacing w:line="500" w:lineRule="exact"/>
        <w:outlineLvl w:val="3"/>
        <w:rPr>
          <w:rFonts w:hint="eastAsia" w:ascii="宋体" w:hAnsi="宋体" w:eastAsia="宋体" w:cs="宋体"/>
          <w:b/>
          <w:bCs/>
          <w:color w:val="auto"/>
          <w:sz w:val="28"/>
          <w:szCs w:val="28"/>
          <w:highlight w:val="none"/>
        </w:rPr>
      </w:pPr>
      <w:bookmarkStart w:id="80" w:name="_Toc16938543"/>
      <w:bookmarkStart w:id="81" w:name="_Toc20823299"/>
      <w:bookmarkStart w:id="82" w:name="_Toc513029227"/>
      <w:r>
        <w:rPr>
          <w:rFonts w:hint="eastAsia" w:ascii="宋体" w:hAnsi="宋体" w:eastAsia="宋体" w:cs="宋体"/>
          <w:color w:val="auto"/>
          <w:sz w:val="28"/>
          <w:szCs w:val="28"/>
          <w:highlight w:val="none"/>
        </w:rPr>
        <w:t>3.响应文件</w:t>
      </w:r>
      <w:bookmarkEnd w:id="80"/>
      <w:bookmarkEnd w:id="81"/>
      <w:bookmarkEnd w:id="82"/>
      <w:r>
        <w:rPr>
          <w:rFonts w:hint="eastAsia" w:ascii="宋体" w:hAnsi="宋体" w:eastAsia="宋体" w:cs="宋体"/>
          <w:color w:val="auto"/>
          <w:sz w:val="28"/>
          <w:szCs w:val="28"/>
          <w:highlight w:val="none"/>
        </w:rPr>
        <w:t>的拒收</w:t>
      </w:r>
    </w:p>
    <w:p w14:paraId="275996F3">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3.1</w:t>
      </w:r>
      <w:r>
        <w:rPr>
          <w:rFonts w:hint="eastAsia" w:ascii="宋体" w:hAnsi="宋体" w:eastAsia="宋体" w:cs="宋体"/>
          <w:color w:val="auto"/>
          <w:sz w:val="28"/>
          <w:szCs w:val="28"/>
          <w:highlight w:val="none"/>
        </w:rPr>
        <w:t>采购人</w:t>
      </w:r>
      <w:r>
        <w:rPr>
          <w:rFonts w:hint="eastAsia" w:ascii="宋体" w:hAnsi="宋体" w:eastAsia="宋体" w:cs="宋体"/>
          <w:bCs/>
          <w:color w:val="auto"/>
          <w:sz w:val="28"/>
          <w:szCs w:val="28"/>
          <w:highlight w:val="none"/>
        </w:rPr>
        <w:t>拒绝接收在其规定的响应文件提交截止时间后上传的任何响应文件。</w:t>
      </w:r>
    </w:p>
    <w:p w14:paraId="53DA9C4D">
      <w:pPr>
        <w:keepNext/>
        <w:pageBreakBefore w:val="0"/>
        <w:widowControl w:val="0"/>
        <w:spacing w:line="500" w:lineRule="exact"/>
        <w:outlineLvl w:val="3"/>
        <w:rPr>
          <w:rFonts w:hint="eastAsia" w:ascii="宋体" w:hAnsi="宋体" w:eastAsia="宋体" w:cs="宋体"/>
          <w:b/>
          <w:bCs/>
          <w:color w:val="auto"/>
          <w:sz w:val="28"/>
          <w:szCs w:val="28"/>
          <w:highlight w:val="none"/>
        </w:rPr>
      </w:pPr>
      <w:bookmarkStart w:id="83" w:name="_Toc16938544"/>
      <w:bookmarkStart w:id="84" w:name="_Toc20823300"/>
      <w:bookmarkStart w:id="85" w:name="_Toc513029228"/>
      <w:r>
        <w:rPr>
          <w:rFonts w:hint="eastAsia" w:ascii="宋体" w:hAnsi="宋体" w:eastAsia="宋体" w:cs="宋体"/>
          <w:color w:val="auto"/>
          <w:sz w:val="28"/>
          <w:szCs w:val="28"/>
          <w:highlight w:val="none"/>
        </w:rPr>
        <w:t>4.响应文件的撤回和修改</w:t>
      </w:r>
      <w:bookmarkEnd w:id="83"/>
      <w:bookmarkEnd w:id="84"/>
      <w:bookmarkEnd w:id="85"/>
    </w:p>
    <w:p w14:paraId="4FEC72B6">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4.1响应文件的撤回</w:t>
      </w:r>
    </w:p>
    <w:p w14:paraId="7B066670">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4.1.1电子响应文件的撤回</w:t>
      </w:r>
    </w:p>
    <w:p w14:paraId="393EBD7D">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供应商可在响应文件提交截止时间前，撤回其电子响应文件，具体操作方法见《江苏省政府采购管理交易系统（苏采云）供应商操作指南》。</w:t>
      </w:r>
    </w:p>
    <w:p w14:paraId="2E799B2E">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4.1.2供应商撤回电子响应文件，则认为其不再参与本项目磋商活动。</w:t>
      </w:r>
    </w:p>
    <w:p w14:paraId="13A7EF81">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4.2响应文件的修改</w:t>
      </w:r>
    </w:p>
    <w:p w14:paraId="253824E2">
      <w:pPr>
        <w:pageBreakBefore w:val="0"/>
        <w:widowControl w:val="0"/>
        <w:spacing w:line="500" w:lineRule="exact"/>
        <w:ind w:firstLine="555"/>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供应商可在响应文件提交截止时间前，对其电子响应文件进行修改，</w:t>
      </w:r>
      <w:r>
        <w:rPr>
          <w:rFonts w:hint="eastAsia" w:ascii="宋体" w:hAnsi="宋体" w:eastAsia="宋体" w:cs="宋体"/>
          <w:color w:val="auto"/>
          <w:sz w:val="28"/>
          <w:szCs w:val="28"/>
          <w:highlight w:val="none"/>
        </w:rPr>
        <w:t>具体操作方法见《江苏省政府采购管理交易系统（苏采云）供应商操作指南》</w:t>
      </w:r>
      <w:r>
        <w:rPr>
          <w:rFonts w:hint="eastAsia" w:ascii="宋体" w:hAnsi="宋体" w:eastAsia="宋体" w:cs="宋体"/>
          <w:bCs/>
          <w:color w:val="auto"/>
          <w:sz w:val="28"/>
          <w:szCs w:val="28"/>
          <w:highlight w:val="none"/>
        </w:rPr>
        <w:t>。</w:t>
      </w:r>
    </w:p>
    <w:p w14:paraId="6FDF0163">
      <w:pPr>
        <w:pageBreakBefore w:val="0"/>
        <w:widowControl w:val="0"/>
        <w:spacing w:line="500" w:lineRule="exact"/>
        <w:ind w:firstLine="555"/>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4.3</w:t>
      </w:r>
      <w:r>
        <w:rPr>
          <w:rFonts w:hint="eastAsia" w:ascii="宋体" w:hAnsi="宋体" w:eastAsia="宋体" w:cs="宋体"/>
          <w:bCs/>
          <w:color w:val="auto"/>
          <w:sz w:val="28"/>
          <w:szCs w:val="28"/>
          <w:highlight w:val="none"/>
        </w:rPr>
        <w:t>在响应文件提交截止时间之后，供应商不得对其电子响应文件作任何修改。</w:t>
      </w:r>
    </w:p>
    <w:p w14:paraId="2CB66665">
      <w:pPr>
        <w:pageBreakBefore w:val="0"/>
        <w:widowControl w:val="0"/>
        <w:spacing w:line="500" w:lineRule="exact"/>
        <w:ind w:firstLine="555"/>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4.4</w:t>
      </w:r>
      <w:r>
        <w:rPr>
          <w:rFonts w:hint="eastAsia" w:ascii="宋体" w:hAnsi="宋体" w:eastAsia="宋体" w:cs="宋体"/>
          <w:bCs/>
          <w:color w:val="auto"/>
          <w:sz w:val="28"/>
          <w:szCs w:val="28"/>
          <w:highlight w:val="none"/>
        </w:rPr>
        <w:t>在响应文件截止时间至响应文件中规定的磋商响应有效期满之间的这段时间内，供应商不得撤回其响应文件。</w:t>
      </w:r>
    </w:p>
    <w:p w14:paraId="3E89AC2B">
      <w:pPr>
        <w:pageBreakBefore w:val="0"/>
        <w:widowControl w:val="0"/>
        <w:spacing w:line="500" w:lineRule="exact"/>
        <w:rPr>
          <w:rFonts w:hint="eastAsia" w:ascii="宋体" w:hAnsi="宋体" w:eastAsia="宋体" w:cs="宋体"/>
          <w:b/>
          <w:bCs/>
          <w:color w:val="auto"/>
          <w:sz w:val="28"/>
          <w:szCs w:val="28"/>
          <w:highlight w:val="none"/>
        </w:rPr>
      </w:pPr>
      <w:bookmarkStart w:id="86" w:name="_Toc20823302"/>
      <w:bookmarkStart w:id="87" w:name="_Toc513029230"/>
      <w:bookmarkStart w:id="88" w:name="_Toc16938546"/>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磋商与评审</w:t>
      </w:r>
    </w:p>
    <w:p w14:paraId="666463DC">
      <w:pPr>
        <w:pageBreakBefore w:val="0"/>
        <w:widowControl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1.磋商仪式</w:t>
      </w:r>
    </w:p>
    <w:p w14:paraId="564E9B66">
      <w:pPr>
        <w:pageBreakBefore w:val="0"/>
        <w:widowControl w:val="0"/>
        <w:spacing w:line="500" w:lineRule="exact"/>
        <w:ind w:firstLine="42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1.1</w:t>
      </w:r>
      <w:r>
        <w:rPr>
          <w:rFonts w:hint="eastAsia" w:ascii="宋体" w:hAnsi="宋体" w:eastAsia="宋体" w:cs="宋体"/>
          <w:color w:val="auto"/>
          <w:sz w:val="28"/>
          <w:szCs w:val="28"/>
          <w:highlight w:val="none"/>
        </w:rPr>
        <w:t>采购人</w:t>
      </w:r>
      <w:r>
        <w:rPr>
          <w:rFonts w:hint="eastAsia" w:ascii="宋体" w:hAnsi="宋体" w:eastAsia="宋体" w:cs="宋体"/>
          <w:bCs/>
          <w:color w:val="auto"/>
          <w:sz w:val="28"/>
          <w:szCs w:val="28"/>
          <w:highlight w:val="none"/>
        </w:rPr>
        <w:t>将在磋商公告中规定的时间和地点组织磋商开始仪式。</w:t>
      </w:r>
    </w:p>
    <w:p w14:paraId="090F4081">
      <w:pPr>
        <w:pageBreakBefore w:val="0"/>
        <w:widowControl w:val="0"/>
        <w:spacing w:line="500" w:lineRule="exact"/>
        <w:ind w:firstLine="420"/>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1.2磋商活动的文件解密工作</w:t>
      </w:r>
      <w:r>
        <w:rPr>
          <w:rFonts w:hint="eastAsia" w:ascii="宋体" w:hAnsi="宋体" w:eastAsia="宋体" w:cs="宋体"/>
          <w:color w:val="auto"/>
          <w:sz w:val="28"/>
          <w:szCs w:val="28"/>
          <w:highlight w:val="none"/>
        </w:rPr>
        <w:t>由采购人组织，在“苏采云”系统中进行磋商。</w:t>
      </w:r>
    </w:p>
    <w:p w14:paraId="6E457EA5">
      <w:pPr>
        <w:pageBreakBefore w:val="0"/>
        <w:widowControl w:val="0"/>
        <w:spacing w:line="500" w:lineRule="exact"/>
        <w:ind w:firstLine="42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1.3供应商在磋商过程中涉及到的磋商文件解密等工作，按照《</w:t>
      </w:r>
      <w:r>
        <w:rPr>
          <w:rFonts w:hint="eastAsia" w:ascii="宋体" w:hAnsi="宋体" w:eastAsia="宋体" w:cs="宋体"/>
          <w:color w:val="auto"/>
          <w:sz w:val="28"/>
          <w:szCs w:val="28"/>
          <w:highlight w:val="none"/>
        </w:rPr>
        <w:t>江苏省政府采购管理交易系统（苏采云）供应商操作指南</w:t>
      </w:r>
      <w:r>
        <w:rPr>
          <w:rFonts w:hint="eastAsia" w:ascii="宋体" w:hAnsi="宋体" w:eastAsia="宋体" w:cs="宋体"/>
          <w:bCs/>
          <w:color w:val="auto"/>
          <w:sz w:val="28"/>
          <w:szCs w:val="28"/>
          <w:highlight w:val="none"/>
        </w:rPr>
        <w:t>》执行。</w:t>
      </w:r>
    </w:p>
    <w:p w14:paraId="23990269">
      <w:pPr>
        <w:pageBreakBefore w:val="0"/>
        <w:widowControl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2.磋商小组</w:t>
      </w:r>
    </w:p>
    <w:p w14:paraId="2A546142">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2.1磋商开始仪式结束后，采购人将组织磋商小组进行评审。</w:t>
      </w:r>
    </w:p>
    <w:p w14:paraId="238CB7F2">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2.2磋商小组由采购人代表和评审专家共3人以上单数组成，其中评审专家人数不得少于磋商小组成员总数的2/3。采购人不得以评审专家身份参加本部门或本单位采购项目的评审。</w:t>
      </w:r>
    </w:p>
    <w:p w14:paraId="52650C56">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w:t>
      </w:r>
      <w:r>
        <w:rPr>
          <w:rFonts w:hint="eastAsia" w:ascii="宋体" w:hAnsi="宋体" w:eastAsia="宋体" w:cs="宋体"/>
          <w:color w:val="auto"/>
          <w:spacing w:val="-6"/>
          <w:sz w:val="28"/>
          <w:szCs w:val="28"/>
          <w:highlight w:val="none"/>
        </w:rPr>
        <w:t>超过公开招标限额标准的项目，磋商小组应当由5人以上单数组成。</w:t>
      </w:r>
    </w:p>
    <w:p w14:paraId="30C05F30">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0957D88A">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2.5磋商小组独立工作，负责评审所有响应文件并确定成交候选人。</w:t>
      </w:r>
    </w:p>
    <w:p w14:paraId="1E5DEE76">
      <w:pPr>
        <w:pageBreakBefore w:val="0"/>
        <w:widowControl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3.磋商评审过程的保密与公正</w:t>
      </w:r>
    </w:p>
    <w:p w14:paraId="168ED808">
      <w:pPr>
        <w:pageBreakBefore w:val="0"/>
        <w:widowControl w:val="0"/>
        <w:tabs>
          <w:tab w:val="left" w:pos="900"/>
        </w:tabs>
        <w:spacing w:line="500" w:lineRule="exact"/>
        <w:ind w:firstLine="55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3.1磋商小组、采购人和代理机构工作人员、相关监督人员等与评审工作有关的人员，对评审情况以及在评审过程中获悉的国家秘密、商业秘密负有保密责任。</w:t>
      </w:r>
    </w:p>
    <w:p w14:paraId="286E270F">
      <w:pPr>
        <w:pageBreakBefore w:val="0"/>
        <w:widowControl w:val="0"/>
        <w:tabs>
          <w:tab w:val="left" w:pos="900"/>
        </w:tabs>
        <w:spacing w:line="500" w:lineRule="exact"/>
        <w:ind w:firstLine="55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3.2在磋商评审过程中，磋商供应商不得以任何行为影响磋商评审过程，否则其响应文件将被作为无效响应文件。</w:t>
      </w:r>
    </w:p>
    <w:p w14:paraId="38D41E09">
      <w:pPr>
        <w:pageBreakBefore w:val="0"/>
        <w:widowControl w:val="0"/>
        <w:tabs>
          <w:tab w:val="left" w:pos="900"/>
        </w:tabs>
        <w:spacing w:line="500" w:lineRule="exact"/>
        <w:ind w:firstLine="55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3.3磋商小组成员应当按照客观、公正、审慎的原则，根据磋商文件规定的评审程序、评审方法和评审标准进行独立评审。未实质性响应磋商文件的响应文件按无效响应处理，</w:t>
      </w:r>
      <w:r>
        <w:rPr>
          <w:rFonts w:hint="eastAsia" w:ascii="宋体" w:hAnsi="宋体" w:eastAsia="宋体" w:cs="宋体"/>
          <w:color w:val="auto"/>
          <w:spacing w:val="-6"/>
          <w:sz w:val="28"/>
          <w:szCs w:val="28"/>
          <w:highlight w:val="none"/>
        </w:rPr>
        <w:t>磋商小组应当告知提交响应文件的供应商。</w:t>
      </w:r>
    </w:p>
    <w:p w14:paraId="7CFE26F3">
      <w:pPr>
        <w:pageBreakBefore w:val="0"/>
        <w:widowControl w:val="0"/>
        <w:tabs>
          <w:tab w:val="left" w:pos="900"/>
        </w:tabs>
        <w:spacing w:line="500" w:lineRule="exact"/>
        <w:ind w:firstLine="557"/>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3.4</w:t>
      </w:r>
      <w:r>
        <w:rPr>
          <w:rFonts w:hint="eastAsia" w:ascii="宋体" w:hAnsi="宋体" w:eastAsia="宋体" w:cs="宋体"/>
          <w:bCs/>
          <w:color w:val="auto"/>
          <w:sz w:val="28"/>
          <w:szCs w:val="28"/>
          <w:highlight w:val="none"/>
        </w:rPr>
        <w:t>评审开始后，直至向成交供应商授予合同时止，凡是与审查、澄清、评价和比较响应的有关资料以及授标建议等，采购人、磋商小组、代理机构均不得向供应商或与评标无关的其他人员透露。</w:t>
      </w:r>
    </w:p>
    <w:p w14:paraId="5F530FC1">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3.5在评审期间，采购人将设专门人员与供应商联系。</w:t>
      </w:r>
    </w:p>
    <w:p w14:paraId="614741FF">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3.6采购人和评审小组不向未成交的供应商解释未成交原因，也不公布评审过程中的相关细节。</w:t>
      </w:r>
    </w:p>
    <w:p w14:paraId="64BEC2DA">
      <w:pPr>
        <w:pageBreakBefore w:val="0"/>
        <w:widowControl w:val="0"/>
        <w:tabs>
          <w:tab w:val="left" w:pos="900"/>
        </w:tabs>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4.评审过程的澄清</w:t>
      </w:r>
    </w:p>
    <w:p w14:paraId="003391D4">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4.1评审期间，为有助于对响应文件的审查、评价和比较，磋商小组有权以电子函件形式要求响应人对其响应文件进行澄清，但并非对每个供应商都作澄清要求。</w:t>
      </w:r>
    </w:p>
    <w:p w14:paraId="79D38C3C">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eastAsia="宋体" w:cs="宋体"/>
          <w:bCs/>
          <w:color w:val="auto"/>
          <w:sz w:val="28"/>
          <w:szCs w:val="28"/>
          <w:highlight w:val="none"/>
        </w:rPr>
        <w:t>《</w:t>
      </w:r>
      <w:r>
        <w:rPr>
          <w:rFonts w:hint="eastAsia" w:ascii="宋体" w:hAnsi="宋体" w:eastAsia="宋体" w:cs="宋体"/>
          <w:color w:val="auto"/>
          <w:sz w:val="28"/>
          <w:szCs w:val="28"/>
          <w:highlight w:val="none"/>
        </w:rPr>
        <w:t>江苏省政府采购管理交易系统（苏采云）供应商操作指南</w:t>
      </w:r>
      <w:r>
        <w:rPr>
          <w:rFonts w:hint="eastAsia" w:ascii="宋体" w:hAnsi="宋体" w:eastAsia="宋体" w:cs="宋体"/>
          <w:bCs/>
          <w:color w:val="auto"/>
          <w:sz w:val="28"/>
          <w:szCs w:val="28"/>
          <w:highlight w:val="none"/>
        </w:rPr>
        <w:t>》</w:t>
      </w:r>
      <w:r>
        <w:rPr>
          <w:rFonts w:hint="eastAsia" w:ascii="宋体" w:hAnsi="宋体" w:eastAsia="宋体" w:cs="宋体"/>
          <w:color w:val="auto"/>
          <w:sz w:val="28"/>
          <w:szCs w:val="28"/>
          <w:highlight w:val="none"/>
        </w:rPr>
        <w:t>。</w:t>
      </w:r>
    </w:p>
    <w:p w14:paraId="08726F1B">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4.3接到磋商小组澄清要求的供应商如未按规定做出澄清，其风</w:t>
      </w:r>
      <w:r>
        <w:rPr>
          <w:rFonts w:hint="eastAsia" w:ascii="宋体" w:hAnsi="宋体" w:eastAsia="宋体" w:cs="宋体"/>
          <w:bCs/>
          <w:color w:val="auto"/>
          <w:sz w:val="28"/>
          <w:szCs w:val="28"/>
          <w:highlight w:val="none"/>
        </w:rPr>
        <w:t>险由供应商自行承担。</w:t>
      </w:r>
    </w:p>
    <w:p w14:paraId="2C959DFB">
      <w:pPr>
        <w:pageBreakBefore w:val="0"/>
        <w:widowControl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5.对响应文件的初审</w:t>
      </w:r>
    </w:p>
    <w:p w14:paraId="2C32DB8D">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5.1响应文件初审分为资格性审查和符合性审查。</w:t>
      </w:r>
    </w:p>
    <w:p w14:paraId="2F7A8FA9">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5.1.1资格性检查：依据法律法规和磋商文件的规定，由磋商小组对响应文件中的资格审查证明材料进行审查，以确定供应商是否具备参加磋商的资格。</w:t>
      </w:r>
    </w:p>
    <w:p w14:paraId="7B48FFC8">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磋商小组在进行资格性审查的同时，将在“信用中国”网站查询供应商的信用记录，以确定供应商是否具备参加磋商的资格</w:t>
      </w:r>
      <w:r>
        <w:rPr>
          <w:rFonts w:hint="eastAsia" w:ascii="宋体" w:hAnsi="宋体" w:eastAsia="宋体" w:cs="宋体"/>
          <w:color w:val="auto"/>
          <w:spacing w:val="-6"/>
          <w:sz w:val="28"/>
          <w:szCs w:val="28"/>
          <w:highlight w:val="none"/>
        </w:rPr>
        <w:t>。</w:t>
      </w:r>
    </w:p>
    <w:p w14:paraId="5369315A">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83CA228">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5.1.2符合性审查：依据磋商文件的规定，由磋商小组从响应文件的有效性、完整性和对磋商文件的响应程度（包括技术部分、商务部分和其他磋商材料的响应）进行审查，以确定是否对磋商文件的实质性要求作出响应。</w:t>
      </w:r>
    </w:p>
    <w:p w14:paraId="4EFFFD45">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5.1.3未通过资格审查或符合性审查的供应商，采购人或代理机构将告知未通过资格审查或符合性审查的原因，评审结束后，采购人或代理机构将不再告知未通过资格审查或符合性审查的原因。</w:t>
      </w:r>
    </w:p>
    <w:p w14:paraId="36DCF117">
      <w:pPr>
        <w:pageBreakBefore w:val="0"/>
        <w:widowControl w:val="0"/>
        <w:tabs>
          <w:tab w:val="left" w:pos="900"/>
        </w:tabs>
        <w:spacing w:line="500" w:lineRule="exact"/>
        <w:ind w:firstLine="557"/>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3559CC7A">
      <w:pPr>
        <w:pageBreakBefore w:val="0"/>
        <w:widowControl w:val="0"/>
        <w:tabs>
          <w:tab w:val="left" w:pos="900"/>
        </w:tabs>
        <w:spacing w:line="500" w:lineRule="exact"/>
        <w:ind w:firstLine="557"/>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D344857">
      <w:pPr>
        <w:pageBreakBefore w:val="0"/>
        <w:widowControl w:val="0"/>
        <w:tabs>
          <w:tab w:val="left" w:pos="900"/>
        </w:tabs>
        <w:spacing w:line="500" w:lineRule="exact"/>
        <w:ind w:firstLine="557"/>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5.3如果响应文件实质上没有响应磋商文件的要求，磋商小组将予以拒绝，供应商不得通过修改或撤销不合要求的偏离或保留而使其响应文件成为实质性响应的文件。</w:t>
      </w:r>
    </w:p>
    <w:p w14:paraId="782717BC">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5.4</w:t>
      </w:r>
      <w:r>
        <w:rPr>
          <w:rFonts w:hint="eastAsia" w:ascii="宋体" w:hAnsi="宋体" w:eastAsia="宋体" w:cs="宋体"/>
          <w:bCs/>
          <w:color w:val="auto"/>
          <w:sz w:val="28"/>
          <w:szCs w:val="28"/>
          <w:highlight w:val="none"/>
        </w:rPr>
        <w:t>磋商小组将对确定为实质性响应的文件进行进一步审核，看其是否有计算上或累加上的算术错误，修正错误的原则如下：</w:t>
      </w:r>
    </w:p>
    <w:p w14:paraId="6B2A1176">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（1）响应文件中磋商</w:t>
      </w:r>
      <w:r>
        <w:rPr>
          <w:rFonts w:hint="eastAsia" w:ascii="宋体" w:hAnsi="宋体" w:eastAsia="宋体" w:cs="宋体"/>
          <w:color w:val="auto"/>
          <w:sz w:val="28"/>
          <w:szCs w:val="28"/>
          <w:highlight w:val="none"/>
        </w:rPr>
        <w:t>报价表</w:t>
      </w:r>
      <w:r>
        <w:rPr>
          <w:rFonts w:hint="eastAsia" w:ascii="宋体" w:hAnsi="宋体" w:eastAsia="宋体" w:cs="宋体"/>
          <w:bCs/>
          <w:color w:val="auto"/>
          <w:sz w:val="28"/>
          <w:szCs w:val="28"/>
          <w:highlight w:val="none"/>
        </w:rPr>
        <w:t>内容与响应文件中相应内容不一致的，以磋商</w:t>
      </w:r>
      <w:r>
        <w:rPr>
          <w:rFonts w:hint="eastAsia" w:ascii="宋体" w:hAnsi="宋体" w:eastAsia="宋体" w:cs="宋体"/>
          <w:color w:val="auto"/>
          <w:sz w:val="28"/>
          <w:szCs w:val="28"/>
          <w:highlight w:val="none"/>
        </w:rPr>
        <w:t>报价表</w:t>
      </w:r>
      <w:r>
        <w:rPr>
          <w:rFonts w:hint="eastAsia" w:ascii="宋体" w:hAnsi="宋体" w:eastAsia="宋体" w:cs="宋体"/>
          <w:bCs/>
          <w:color w:val="auto"/>
          <w:sz w:val="28"/>
          <w:szCs w:val="28"/>
          <w:highlight w:val="none"/>
        </w:rPr>
        <w:t>为准。</w:t>
      </w:r>
    </w:p>
    <w:p w14:paraId="429BD979">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（2）大写金额和小写金额不一致的，以大写金额为准。</w:t>
      </w:r>
    </w:p>
    <w:p w14:paraId="0350A3B4">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（3）单价金额小数点或者百分比有明显错位的，以磋商</w:t>
      </w:r>
      <w:r>
        <w:rPr>
          <w:rFonts w:hint="eastAsia" w:ascii="宋体" w:hAnsi="宋体" w:eastAsia="宋体" w:cs="宋体"/>
          <w:color w:val="auto"/>
          <w:sz w:val="28"/>
          <w:szCs w:val="28"/>
          <w:highlight w:val="none"/>
        </w:rPr>
        <w:t>报价表</w:t>
      </w:r>
      <w:r>
        <w:rPr>
          <w:rFonts w:hint="eastAsia" w:ascii="宋体" w:hAnsi="宋体" w:eastAsia="宋体" w:cs="宋体"/>
          <w:bCs/>
          <w:color w:val="auto"/>
          <w:sz w:val="28"/>
          <w:szCs w:val="28"/>
          <w:highlight w:val="none"/>
        </w:rPr>
        <w:t>的总价为准，并修改单价。</w:t>
      </w:r>
    </w:p>
    <w:p w14:paraId="06476D94">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（4）总价金额与按单价汇总金额不一致的，以单价金额计算结果为准。</w:t>
      </w:r>
    </w:p>
    <w:p w14:paraId="0955C8F8">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同时出现两种以上错误的，按照前款规定的顺序修正。</w:t>
      </w:r>
    </w:p>
    <w:p w14:paraId="65BD1EF3">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eastAsia="宋体" w:cs="宋体"/>
          <w:bCs/>
          <w:color w:val="auto"/>
          <w:sz w:val="28"/>
          <w:szCs w:val="28"/>
          <w:highlight w:val="none"/>
        </w:rPr>
        <w:t>.5磋商小组将按上述修正错误的方法调整响应文件中的报价，并通过</w:t>
      </w:r>
      <w:r>
        <w:rPr>
          <w:rFonts w:hint="eastAsia" w:ascii="宋体" w:hAnsi="宋体" w:eastAsia="宋体" w:cs="宋体"/>
          <w:color w:val="auto"/>
          <w:sz w:val="28"/>
          <w:szCs w:val="28"/>
          <w:highlight w:val="none"/>
        </w:rPr>
        <w:t>“苏采云”</w:t>
      </w:r>
      <w:r>
        <w:rPr>
          <w:rFonts w:hint="eastAsia" w:ascii="宋体" w:hAnsi="宋体" w:eastAsia="宋体" w:cs="宋体"/>
          <w:bCs/>
          <w:color w:val="auto"/>
          <w:sz w:val="28"/>
          <w:szCs w:val="28"/>
          <w:highlight w:val="none"/>
        </w:rPr>
        <w:t>系统告知供应商，调整后的价格应对供应商具有约束力。如果供应商不接受修正后的价格，则其磋商活动将被拒绝。</w:t>
      </w:r>
    </w:p>
    <w:p w14:paraId="6457B7F5">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5.6磋商小组将允许修正响应文件中不构成重大偏离的、微小的、非正规的、不一致的或不规则的地方，但这些修改不能影响任何供应商相应的名次排列。</w:t>
      </w:r>
    </w:p>
    <w:p w14:paraId="453DEC58">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5.7</w:t>
      </w:r>
      <w:r>
        <w:rPr>
          <w:rFonts w:hint="eastAsia" w:ascii="宋体" w:hAnsi="宋体" w:eastAsia="宋体" w:cs="宋体"/>
          <w:color w:val="auto"/>
          <w:sz w:val="28"/>
          <w:szCs w:val="28"/>
          <w:highlight w:val="none"/>
        </w:rPr>
        <w:t>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p>
    <w:p w14:paraId="5107C359">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非单一产品采购项目，磋商文件中将载明其中的核心产品。多家供应商提供的核心产品品牌相同的，按前款规定处理。</w:t>
      </w:r>
    </w:p>
    <w:p w14:paraId="5FA62D83">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5.8供应商在评审全过程中应保持通讯畅通，并安排专人与采购人及磋商小组联系。</w:t>
      </w:r>
    </w:p>
    <w:p w14:paraId="6B22AA32">
      <w:pPr>
        <w:pageBreakBefore w:val="0"/>
        <w:widowControl w:val="0"/>
        <w:tabs>
          <w:tab w:val="left" w:pos="6555"/>
          <w:tab w:val="right" w:pos="8306"/>
        </w:tabs>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6.被认定为未实质性响应磋商文件的响应文件的情形。</w:t>
      </w:r>
    </w:p>
    <w:p w14:paraId="63177F96">
      <w:pPr>
        <w:pageBreakBefore w:val="0"/>
        <w:widowControl w:val="0"/>
        <w:tabs>
          <w:tab w:val="left" w:pos="6555"/>
          <w:tab w:val="right" w:pos="8306"/>
        </w:tabs>
        <w:spacing w:line="500" w:lineRule="exact"/>
        <w:ind w:firstLine="560"/>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6.1出现下列情形之一的，作无效响应处理。</w:t>
      </w:r>
      <w:r>
        <w:rPr>
          <w:rFonts w:hint="eastAsia" w:ascii="宋体" w:hAnsi="宋体" w:eastAsia="宋体" w:cs="宋体"/>
          <w:bCs/>
          <w:color w:val="auto"/>
          <w:sz w:val="28"/>
          <w:szCs w:val="28"/>
          <w:highlight w:val="none"/>
        </w:rPr>
        <w:tab/>
      </w:r>
      <w:r>
        <w:rPr>
          <w:rFonts w:hint="eastAsia" w:ascii="宋体" w:hAnsi="宋体" w:eastAsia="宋体" w:cs="宋体"/>
          <w:b/>
          <w:color w:val="auto"/>
          <w:sz w:val="28"/>
          <w:szCs w:val="28"/>
          <w:highlight w:val="none"/>
        </w:rPr>
        <w:tab/>
      </w:r>
    </w:p>
    <w:p w14:paraId="1EE92E29">
      <w:pPr>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6.1.1供应商在</w:t>
      </w:r>
      <w:r>
        <w:rPr>
          <w:rFonts w:hint="eastAsia" w:ascii="宋体" w:hAnsi="宋体" w:eastAsia="宋体" w:cs="宋体"/>
          <w:color w:val="auto"/>
          <w:sz w:val="28"/>
          <w:szCs w:val="28"/>
          <w:highlight w:val="none"/>
        </w:rPr>
        <w:t>“苏采云”</w:t>
      </w:r>
      <w:r>
        <w:rPr>
          <w:rFonts w:hint="eastAsia" w:ascii="宋体" w:hAnsi="宋体" w:eastAsia="宋体" w:cs="宋体"/>
          <w:bCs/>
          <w:color w:val="auto"/>
          <w:sz w:val="28"/>
          <w:szCs w:val="28"/>
          <w:highlight w:val="none"/>
        </w:rPr>
        <w:t>系统规定的时间内未成功解密电子响应文件的。</w:t>
      </w:r>
    </w:p>
    <w:p w14:paraId="30EA453F">
      <w:pPr>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6.1.2未完整上传响应文件电子文档的,或上传的文件打不开的。</w:t>
      </w:r>
    </w:p>
    <w:p w14:paraId="0CAC7C8C">
      <w:pPr>
        <w:pageBreakBefore w:val="0"/>
        <w:widowControl w:val="0"/>
        <w:spacing w:line="500" w:lineRule="exact"/>
        <w:ind w:left="55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6.1.3同一供应商提交两个（含两个）以上不同的响应报价的。</w:t>
      </w:r>
    </w:p>
    <w:p w14:paraId="786DEE79">
      <w:pPr>
        <w:pageBreakBefore w:val="0"/>
        <w:widowControl w:val="0"/>
        <w:spacing w:line="500" w:lineRule="exact"/>
        <w:ind w:left="55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6.1.4不具备磋商文件中规定的资格要求的。</w:t>
      </w:r>
    </w:p>
    <w:p w14:paraId="0AB5AC7E">
      <w:pPr>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6.1.5响应报价超过了采购预算或最高限价的。</w:t>
      </w:r>
    </w:p>
    <w:p w14:paraId="4DC04D5B">
      <w:pPr>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6.1.6未通过符合性检查的。</w:t>
      </w:r>
    </w:p>
    <w:p w14:paraId="058DFDE6">
      <w:pPr>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6.1.7不符合法律、法规和磋商文件中规定的其他实质性要求的。</w:t>
      </w:r>
    </w:p>
    <w:p w14:paraId="6794020D">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33E2ACA0">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6.1.9响应文件含有采购人不能接受的附加条件的。</w:t>
      </w:r>
    </w:p>
    <w:p w14:paraId="70D8DBCF">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6.1.10异常低价投标（响应）审查的情形和具体要求：</w:t>
      </w:r>
    </w:p>
    <w:p w14:paraId="0883DBD3">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6.1.10.1评审过程中出现下列情形之一的，磋商小组应当启动异常低价投标（响应）审查程序：</w:t>
      </w:r>
    </w:p>
    <w:p w14:paraId="3EF3D67B">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①投标（响应）报价低于全部通过符合性审查供应商投标（响应）报价平均值50%的，即投标（响应）报价&lt;全部通过符合性审查供应商投标（响应）报价平均值×50%；</w:t>
      </w:r>
    </w:p>
    <w:p w14:paraId="3F4D63A0">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②</w:t>
      </w:r>
      <w:r>
        <w:rPr>
          <w:rFonts w:hint="eastAsia" w:ascii="宋体" w:hAnsi="宋体" w:eastAsia="宋体" w:cs="宋体"/>
          <w:bCs/>
          <w:color w:val="auto"/>
          <w:sz w:val="28"/>
          <w:szCs w:val="28"/>
          <w:highlight w:val="none"/>
        </w:rPr>
        <w:t>投标（响应）报价低于通过符合性审查的次低报价供应商投标（响应）报价50%的，即投标（响应）报价&lt;通过符合性审查的次低报价供应商投标（响应）报价×50%；</w:t>
      </w:r>
    </w:p>
    <w:p w14:paraId="12B827D7">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③</w:t>
      </w:r>
      <w:r>
        <w:rPr>
          <w:rFonts w:hint="eastAsia" w:ascii="宋体" w:hAnsi="宋体" w:eastAsia="宋体" w:cs="宋体"/>
          <w:bCs/>
          <w:color w:val="auto"/>
          <w:sz w:val="28"/>
          <w:szCs w:val="28"/>
          <w:highlight w:val="none"/>
        </w:rPr>
        <w:t>投标（响应）报价低于采购项目最高限价45%的，即投标（响应）报价&lt;采购项目最高限价×45%；</w:t>
      </w:r>
    </w:p>
    <w:p w14:paraId="3FF6E6EE">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④</w:t>
      </w:r>
      <w:r>
        <w:rPr>
          <w:rFonts w:hint="eastAsia" w:ascii="宋体" w:hAnsi="宋体" w:eastAsia="宋体" w:cs="宋体"/>
          <w:bCs/>
          <w:color w:val="auto"/>
          <w:sz w:val="28"/>
          <w:szCs w:val="28"/>
          <w:highlight w:val="none"/>
        </w:rPr>
        <w:t>磋商小组基于专业判断，认为供应商报价过低，有可能影响产品质量或者不能诚信履约的其他情形。</w:t>
      </w:r>
    </w:p>
    <w:p w14:paraId="16102B25">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6.1.10.2</w:t>
      </w:r>
      <w:r>
        <w:rPr>
          <w:rFonts w:hint="eastAsia" w:ascii="宋体" w:hAnsi="宋体" w:eastAsia="宋体" w:cs="宋体"/>
          <w:bCs/>
          <w:color w:val="auto"/>
          <w:sz w:val="28"/>
          <w:szCs w:val="28"/>
          <w:highlight w:val="none"/>
        </w:rPr>
        <w:t>启动异常低价投标（响应）审查后，属于前述第</w:t>
      </w:r>
      <w:r>
        <w:rPr>
          <w:rFonts w:hint="eastAsia" w:ascii="宋体" w:hAnsi="宋体" w:eastAsia="宋体" w:cs="宋体"/>
          <w:bCs/>
          <w:color w:val="auto"/>
          <w:sz w:val="28"/>
          <w:szCs w:val="28"/>
        </w:rPr>
        <w:t>①</w:t>
      </w:r>
      <w:r>
        <w:rPr>
          <w:rFonts w:hint="eastAsia" w:ascii="宋体" w:hAnsi="宋体" w:eastAsia="宋体" w:cs="宋体"/>
          <w:bCs/>
          <w:color w:val="auto"/>
          <w:sz w:val="28"/>
          <w:szCs w:val="28"/>
          <w:highlight w:val="none"/>
        </w:rPr>
        <w:t>项至第</w:t>
      </w:r>
      <w:r>
        <w:rPr>
          <w:rFonts w:hint="eastAsia" w:ascii="宋体" w:hAnsi="宋体" w:eastAsia="宋体" w:cs="宋体"/>
          <w:bCs/>
          <w:color w:val="auto"/>
          <w:sz w:val="28"/>
          <w:szCs w:val="28"/>
        </w:rPr>
        <w:t>④</w:t>
      </w:r>
      <w:r>
        <w:rPr>
          <w:rFonts w:hint="eastAsia" w:ascii="宋体" w:hAnsi="宋体" w:eastAsia="宋体" w:cs="宋体"/>
          <w:bCs/>
          <w:color w:val="auto"/>
          <w:sz w:val="28"/>
          <w:szCs w:val="28"/>
          <w:highlight w:val="none"/>
        </w:rPr>
        <w:t>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3 项情形，供应商已随投标（响应）文件一并提交相关书面说明及必要的证明材料的，在评审时可不再重复提交。</w:t>
      </w:r>
    </w:p>
    <w:p w14:paraId="5AA5344B">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4E2A894B">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38BE6F65">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异常低价投标（响应）审查的启动原因、审查意见和审查结果应当在评审报告中记录，并随供应商提供的相关书面说明及证明材料，以及磋商小组有关互联网浏览、查询历史一并归档。</w:t>
      </w:r>
    </w:p>
    <w:p w14:paraId="1D52F6C5">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p>
    <w:p w14:paraId="32B71DFF">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6.1.12响应文件未按照采购文件要求加盖电子签章。</w:t>
      </w:r>
    </w:p>
    <w:p w14:paraId="7FFE1C96">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6.1.13不同供应商的响应文件经系统查询Mac地址、标书制作工具客户端标识码一致的。（符合本条款不同的供应商不得参加本项目的后续采购事项，并移送政府采购监管部门进行处理。）</w:t>
      </w:r>
    </w:p>
    <w:p w14:paraId="6021F886">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w:t>
      </w:r>
      <w:r>
        <w:rPr>
          <w:rFonts w:hint="eastAsia" w:ascii="宋体" w:hAnsi="宋体" w:eastAsia="宋体" w:cs="宋体"/>
          <w:bCs/>
          <w:color w:val="auto"/>
          <w:sz w:val="28"/>
          <w:szCs w:val="28"/>
          <w:highlight w:val="none"/>
          <w:lang w:val="en-US" w:eastAsia="zh-CN"/>
        </w:rPr>
        <w:t>4</w:t>
      </w:r>
      <w:r>
        <w:rPr>
          <w:rFonts w:hint="eastAsia" w:ascii="宋体" w:hAnsi="宋体" w:eastAsia="宋体" w:cs="宋体"/>
          <w:bCs/>
          <w:color w:val="auto"/>
          <w:sz w:val="28"/>
          <w:szCs w:val="28"/>
          <w:highlight w:val="none"/>
        </w:rPr>
        <w:t>其他法律、法规及本磋商文件规定的属无效响应的情形。</w:t>
      </w:r>
    </w:p>
    <w:p w14:paraId="73BD07F6">
      <w:pPr>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6.2出现下列情形之一的，磋商失败。</w:t>
      </w:r>
    </w:p>
    <w:p w14:paraId="255233AC">
      <w:pPr>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6.2.1符合条件的供应商或者对磋商文件作实质响应的供应商不足3家的（市场竞争不充分的科研项目，以及需要扶持的科技成果转化项目可以是2家）；</w:t>
      </w:r>
    </w:p>
    <w:p w14:paraId="02222F0D">
      <w:pPr>
        <w:pageBreakBefore w:val="0"/>
        <w:widowControl w:val="0"/>
        <w:spacing w:line="500" w:lineRule="exact"/>
        <w:ind w:firstLine="555"/>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6.2.2出现影响采购公正的违法违规行为的；</w:t>
      </w:r>
    </w:p>
    <w:p w14:paraId="7CE015A4">
      <w:pPr>
        <w:pageBreakBefore w:val="0"/>
        <w:widowControl w:val="0"/>
        <w:spacing w:line="500" w:lineRule="exact"/>
        <w:ind w:firstLine="555"/>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6.2.3因重大变故，采购任务取消的。</w:t>
      </w:r>
    </w:p>
    <w:p w14:paraId="2EFBBDA1">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6.2.4磋商小组认定磋商文件存在歧义、重大缺陷导致评审工作无法进行。</w:t>
      </w:r>
    </w:p>
    <w:p w14:paraId="27EF9A5A">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6.2.5因</w:t>
      </w:r>
      <w:r>
        <w:rPr>
          <w:rFonts w:hint="eastAsia" w:ascii="宋体" w:hAnsi="宋体" w:eastAsia="宋体" w:cs="宋体"/>
          <w:color w:val="auto"/>
          <w:sz w:val="28"/>
          <w:szCs w:val="28"/>
          <w:highlight w:val="none"/>
        </w:rPr>
        <w:t>“苏采云”系统</w:t>
      </w:r>
      <w:r>
        <w:rPr>
          <w:rFonts w:hint="eastAsia" w:ascii="宋体" w:hAnsi="宋体" w:eastAsia="宋体" w:cs="宋体"/>
          <w:bCs/>
          <w:color w:val="auto"/>
          <w:sz w:val="28"/>
          <w:szCs w:val="28"/>
          <w:highlight w:val="none"/>
        </w:rPr>
        <w:t>系统故障原因造成磋商不成功的。</w:t>
      </w:r>
    </w:p>
    <w:p w14:paraId="176ACC6D">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6.3响应</w:t>
      </w:r>
      <w:r>
        <w:rPr>
          <w:rFonts w:hint="eastAsia" w:ascii="宋体" w:hAnsi="宋体" w:eastAsia="宋体" w:cs="宋体"/>
          <w:color w:val="auto"/>
          <w:sz w:val="28"/>
          <w:szCs w:val="28"/>
          <w:highlight w:val="none"/>
        </w:rPr>
        <w:t>文件提交</w:t>
      </w:r>
      <w:r>
        <w:rPr>
          <w:rFonts w:hint="eastAsia" w:ascii="宋体" w:hAnsi="宋体" w:eastAsia="宋体" w:cs="宋体"/>
          <w:bCs/>
          <w:color w:val="auto"/>
          <w:sz w:val="28"/>
          <w:szCs w:val="28"/>
          <w:highlight w:val="none"/>
        </w:rPr>
        <w:t>截止时间结束后参加磋商的供应商不足三家的处理：</w:t>
      </w:r>
    </w:p>
    <w:p w14:paraId="266446CE">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6.3.1如出现响应</w:t>
      </w:r>
      <w:r>
        <w:rPr>
          <w:rFonts w:hint="eastAsia" w:ascii="宋体" w:hAnsi="宋体" w:eastAsia="宋体" w:cs="宋体"/>
          <w:color w:val="auto"/>
          <w:sz w:val="28"/>
          <w:szCs w:val="28"/>
          <w:highlight w:val="none"/>
        </w:rPr>
        <w:t>文件提交</w:t>
      </w:r>
      <w:r>
        <w:rPr>
          <w:rFonts w:hint="eastAsia" w:ascii="宋体" w:hAnsi="宋体" w:eastAsia="宋体" w:cs="宋体"/>
          <w:bCs/>
          <w:color w:val="auto"/>
          <w:sz w:val="28"/>
          <w:szCs w:val="28"/>
          <w:highlight w:val="none"/>
        </w:rPr>
        <w:t>截止时间结束后参加磋商的供应商或者在评审期间对磋商文件做出实质响应的供应商不足三家情况，按政府采购相关规定执行。</w:t>
      </w:r>
      <w:bookmarkEnd w:id="86"/>
      <w:bookmarkEnd w:id="87"/>
      <w:bookmarkEnd w:id="88"/>
    </w:p>
    <w:p w14:paraId="7E6D8E0A">
      <w:pPr>
        <w:keepNext/>
        <w:keepLines/>
        <w:pageBreakBefore w:val="0"/>
        <w:widowControl w:val="0"/>
        <w:spacing w:line="500" w:lineRule="exact"/>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成交</w:t>
      </w:r>
    </w:p>
    <w:p w14:paraId="573C9821">
      <w:pPr>
        <w:keepNext/>
        <w:pageBreakBefore w:val="0"/>
        <w:widowControl w:val="0"/>
        <w:spacing w:line="500" w:lineRule="exact"/>
        <w:outlineLvl w:val="3"/>
        <w:rPr>
          <w:rFonts w:hint="eastAsia" w:ascii="宋体" w:hAnsi="宋体" w:eastAsia="宋体" w:cs="宋体"/>
          <w:b/>
          <w:color w:val="auto"/>
          <w:sz w:val="28"/>
          <w:szCs w:val="28"/>
          <w:highlight w:val="none"/>
        </w:rPr>
      </w:pPr>
      <w:bookmarkStart w:id="89" w:name="_Toc20823310"/>
      <w:bookmarkStart w:id="90" w:name="_Toc16938554"/>
      <w:r>
        <w:rPr>
          <w:rFonts w:hint="eastAsia" w:ascii="宋体" w:hAnsi="宋体" w:eastAsia="宋体" w:cs="宋体"/>
          <w:color w:val="auto"/>
          <w:sz w:val="28"/>
          <w:szCs w:val="28"/>
          <w:highlight w:val="none"/>
        </w:rPr>
        <w:t>1.确定</w:t>
      </w:r>
      <w:bookmarkEnd w:id="89"/>
      <w:bookmarkEnd w:id="90"/>
      <w:r>
        <w:rPr>
          <w:rFonts w:hint="eastAsia" w:ascii="宋体" w:hAnsi="宋体" w:eastAsia="宋体" w:cs="宋体"/>
          <w:color w:val="auto"/>
          <w:sz w:val="28"/>
          <w:szCs w:val="28"/>
          <w:highlight w:val="none"/>
        </w:rPr>
        <w:t>成交单位</w:t>
      </w:r>
    </w:p>
    <w:p w14:paraId="51414F93">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1.1成交候选供应商的选取原则和数量见磋商文件第四部分规定。</w:t>
      </w:r>
    </w:p>
    <w:p w14:paraId="2D9DAA35">
      <w:pPr>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1.2采购人从评审报告提出的成交候选供应商中，按照排序由高到低的原则确定成交供应商。</w:t>
      </w:r>
    </w:p>
    <w:p w14:paraId="5D7D13D5">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1.3</w:t>
      </w:r>
      <w:r>
        <w:rPr>
          <w:rFonts w:hint="eastAsia" w:ascii="宋体" w:hAnsi="宋体" w:eastAsia="宋体" w:cs="宋体"/>
          <w:color w:val="auto"/>
          <w:sz w:val="28"/>
          <w:szCs w:val="28"/>
          <w:highlight w:val="none"/>
        </w:rPr>
        <w:t>采购人确定成交供应商后，将在江苏政府采购网发布成交结果公告，公告期限为1个工作日。</w:t>
      </w:r>
    </w:p>
    <w:p w14:paraId="0AABC617">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1.4若有充分证据证明，成交供应商出现下列情况之一的，一经查实，将被取消成交资格：</w:t>
      </w:r>
    </w:p>
    <w:p w14:paraId="4A61C27B">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1.4.1提供虚假材料谋取成交的。</w:t>
      </w:r>
    </w:p>
    <w:p w14:paraId="5911782D">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1.4.2向采购人、代理机构行贿或者评审专家提供其他不正当利益的。</w:t>
      </w:r>
    </w:p>
    <w:p w14:paraId="2861B65A">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1.4.3恶意竞争，最终总报价明显低于其自身合理成本且又无法提供证明的。</w:t>
      </w:r>
    </w:p>
    <w:p w14:paraId="7A74BDA0">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1.4.4属于本文件规定的无效条件，但在评审过程中又未被磋商小组发现的。</w:t>
      </w:r>
    </w:p>
    <w:p w14:paraId="1F400444">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1.4.5与采购人或者其他供应商恶意串通的。</w:t>
      </w:r>
    </w:p>
    <w:p w14:paraId="06C35E2C">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1.4.6采取不正当手段诋毁、排挤其他供应商的。</w:t>
      </w:r>
    </w:p>
    <w:p w14:paraId="5805A66D">
      <w:pPr>
        <w:pageBreakBefore w:val="0"/>
        <w:widowControl w:val="0"/>
        <w:spacing w:line="500" w:lineRule="exact"/>
        <w:ind w:firstLine="560"/>
        <w:rPr>
          <w:rFonts w:hint="eastAsia" w:ascii="宋体" w:hAnsi="宋体" w:eastAsia="宋体" w:cs="宋体"/>
          <w:color w:val="auto"/>
          <w:sz w:val="28"/>
          <w:szCs w:val="28"/>
          <w:highlight w:val="none"/>
        </w:rPr>
      </w:pPr>
      <w:bookmarkStart w:id="91" w:name="_Toc200451960"/>
      <w:r>
        <w:rPr>
          <w:rFonts w:hint="eastAsia" w:ascii="宋体" w:hAnsi="宋体" w:eastAsia="宋体" w:cs="宋体"/>
          <w:color w:val="auto"/>
          <w:sz w:val="28"/>
          <w:szCs w:val="28"/>
          <w:highlight w:val="none"/>
        </w:rPr>
        <w:t>1.5.有下列情形之一的，视为供应商串通参与磋商，响应无效：</w:t>
      </w:r>
    </w:p>
    <w:p w14:paraId="6629A8A7">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1.5.1不同供应商的响应文件由同一单位或者个人编制；</w:t>
      </w:r>
    </w:p>
    <w:p w14:paraId="120DA9B0">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1.5.2不同供应商委托同一单位或者个人办理磋商事宜；</w:t>
      </w:r>
    </w:p>
    <w:p w14:paraId="2B42D65C">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1.5.3不同供应商的响应文件载明的项目管理成员或者联系人员为同一人；</w:t>
      </w:r>
    </w:p>
    <w:p w14:paraId="3D67E899">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1.5.4不同供应商的响应文件异常一致或者响应报价呈规律性差异。</w:t>
      </w:r>
    </w:p>
    <w:p w14:paraId="42B704A6">
      <w:pPr>
        <w:keepNext/>
        <w:pageBreakBefore w:val="0"/>
        <w:widowControl w:val="0"/>
        <w:spacing w:line="500" w:lineRule="exact"/>
        <w:outlineLvl w:val="3"/>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2.质疑处理</w:t>
      </w:r>
      <w:bookmarkEnd w:id="91"/>
    </w:p>
    <w:p w14:paraId="3652CB2B">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2.1提出质疑的供应商应当是参与所质疑项目采购活动的供应商。潜在供应商依法获取其可质疑的磋商文件的，可以对磋商文件提出质疑。</w:t>
      </w:r>
    </w:p>
    <w:p w14:paraId="0A631AC7">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2.2供应商认为磋商文件、采购过程和采购结果使自己的权益受到损害的，可以在知道或应知其权益受到损害之日起</w:t>
      </w: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rPr>
        <w:t>个工作日内，以书面形式向采购人提出质疑。上述应知其权益受到损害之日，是指：</w:t>
      </w:r>
    </w:p>
    <w:p w14:paraId="5066C288">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2.2.1对可以质疑的磋商文件提出质疑的，为收到磋商文件之日或者磋商文件公告期限届满之日；</w:t>
      </w:r>
    </w:p>
    <w:p w14:paraId="6AB77DEE">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2.2.2对采购过程提出质疑的，为各采购程序环节结束之日；</w:t>
      </w:r>
    </w:p>
    <w:p w14:paraId="732E8D8F">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2.2.3对成交结果提出质疑的，为成交结果公告期限届满之日。</w:t>
      </w:r>
    </w:p>
    <w:p w14:paraId="63DD3FEA">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供应商应当在法定质疑期内一次性提出针对同一采购程序环节的质疑。</w:t>
      </w:r>
    </w:p>
    <w:p w14:paraId="7CB8F8E7">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2.3质疑函必须按照本磋商文件中《质疑函范本》要求的格式和内容进行填写。供应商如组成联合体参加磋商，则《质疑函范本》中要求签字、盖章、加盖公章之处，联合体各方均须按要求签字、盖章、加盖公章。</w:t>
      </w:r>
    </w:p>
    <w:p w14:paraId="22DF25B5">
      <w:pPr>
        <w:pageBreakBefore w:val="0"/>
        <w:widowControl w:val="0"/>
        <w:spacing w:line="500" w:lineRule="exact"/>
        <w:ind w:firstLine="560"/>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2.4对采购方式、磋商文件中项目需求、供应商资格条件、评审方法和评审标准、资格审查结果等应当由采购人答复的质疑，请向采购人提出，由采购人负责答复。供应商对其他事项的质疑，请向采购人提出，由采购人负责答复。</w:t>
      </w:r>
    </w:p>
    <w:p w14:paraId="7A33E047">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供应商于法定期限内提起质疑，向采购人以书面形式提交质疑函。</w:t>
      </w:r>
    </w:p>
    <w:p w14:paraId="40F4565E">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采购人质疑接收人及联系方式，见磋商文件第一部分。</w:t>
      </w:r>
    </w:p>
    <w:p w14:paraId="2A4E051D">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2.5以下情形的质疑不予受理</w:t>
      </w:r>
    </w:p>
    <w:p w14:paraId="321C7710">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2.5.1内容不符合《政府采购质疑和投诉办法》第十二条规定的质疑。</w:t>
      </w:r>
    </w:p>
    <w:p w14:paraId="47F1A582">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2.5.2超出政府采购法定期限的质疑。</w:t>
      </w:r>
    </w:p>
    <w:p w14:paraId="30FB8F9F">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2.5.3未参加磋商活动的供应商或在磋商活动中自身权益未受到损害的供应商所提出的质疑。</w:t>
      </w:r>
    </w:p>
    <w:p w14:paraId="07C760FB">
      <w:pPr>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2.5.4供应商组成联合体参加磋商，联合体中任何一方或多方未按要求签字、盖章、加盖公章的质疑。</w:t>
      </w:r>
    </w:p>
    <w:p w14:paraId="3F68DD3F">
      <w:pPr>
        <w:pageBreakBefore w:val="0"/>
        <w:widowControl w:val="0"/>
        <w:spacing w:line="500" w:lineRule="exact"/>
        <w:ind w:firstLine="54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AA2F3F2">
      <w:pPr>
        <w:keepNext/>
        <w:pageBreakBefore w:val="0"/>
        <w:widowControl w:val="0"/>
        <w:spacing w:line="500" w:lineRule="exact"/>
        <w:outlineLvl w:val="3"/>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3．成交通知书</w:t>
      </w:r>
    </w:p>
    <w:p w14:paraId="500B8F20">
      <w:pPr>
        <w:pageBreakBefore w:val="0"/>
        <w:widowControl w:val="0"/>
        <w:spacing w:line="50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3.l成交结果确定后，采购人将向成交供应商发出成交通知书</w:t>
      </w:r>
      <w:r>
        <w:rPr>
          <w:rFonts w:hint="eastAsia" w:ascii="宋体" w:hAnsi="宋体" w:eastAsia="宋体" w:cs="宋体"/>
          <w:bCs/>
          <w:color w:val="auto"/>
          <w:sz w:val="28"/>
          <w:szCs w:val="28"/>
          <w:highlight w:val="none"/>
        </w:rPr>
        <w:t>（详见磋商文件第四部分）</w:t>
      </w:r>
      <w:r>
        <w:rPr>
          <w:rFonts w:hint="eastAsia" w:ascii="宋体" w:hAnsi="宋体" w:eastAsia="宋体" w:cs="宋体"/>
          <w:color w:val="auto"/>
          <w:sz w:val="28"/>
          <w:szCs w:val="28"/>
          <w:highlight w:val="none"/>
        </w:rPr>
        <w:t>。</w:t>
      </w:r>
    </w:p>
    <w:p w14:paraId="1D66DAD6">
      <w:pPr>
        <w:pageBreakBefore w:val="0"/>
        <w:widowControl w:val="0"/>
        <w:spacing w:line="50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3.2成交通知书将是合同的一个组成部分。对采购人和成交供应商均具有法律效力。成交通知书发出后，采购人改变成交结果的，或者成交供应商放弃磋商项目的，应当依法承担法律责任。</w:t>
      </w:r>
    </w:p>
    <w:p w14:paraId="7EB14492">
      <w:pPr>
        <w:keepNext/>
        <w:keepLines/>
        <w:pageBreakBefore w:val="0"/>
        <w:widowControl w:val="0"/>
        <w:spacing w:line="500" w:lineRule="exact"/>
        <w:outlineLvl w:val="2"/>
        <w:rPr>
          <w:rFonts w:hint="eastAsia" w:ascii="宋体" w:hAnsi="宋体" w:eastAsia="宋体" w:cs="宋体"/>
          <w:b/>
          <w:bCs/>
          <w:color w:val="auto"/>
          <w:sz w:val="28"/>
          <w:szCs w:val="28"/>
          <w:highlight w:val="none"/>
        </w:rPr>
      </w:pPr>
      <w:bookmarkStart w:id="92" w:name="_Toc16938552"/>
      <w:bookmarkStart w:id="93" w:name="_Toc20823308"/>
      <w:bookmarkStart w:id="94" w:name="_Toc513029236"/>
      <w:bookmarkStart w:id="95" w:name="_Toc120614220"/>
      <w:r>
        <w:rPr>
          <w:rFonts w:hint="eastAsia" w:ascii="宋体" w:hAnsi="宋体" w:eastAsia="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授予合同</w:t>
      </w:r>
      <w:bookmarkEnd w:id="92"/>
      <w:bookmarkEnd w:id="93"/>
      <w:bookmarkEnd w:id="94"/>
      <w:bookmarkEnd w:id="95"/>
    </w:p>
    <w:p w14:paraId="1EAC1606">
      <w:pPr>
        <w:keepNext/>
        <w:pageBreakBefore w:val="0"/>
        <w:widowControl w:val="0"/>
        <w:spacing w:line="500" w:lineRule="exact"/>
        <w:outlineLvl w:val="3"/>
        <w:rPr>
          <w:rFonts w:hint="eastAsia" w:ascii="宋体" w:hAnsi="宋体" w:eastAsia="宋体" w:cs="宋体"/>
          <w:b/>
          <w:color w:val="auto"/>
          <w:sz w:val="28"/>
          <w:szCs w:val="28"/>
          <w:highlight w:val="none"/>
        </w:rPr>
      </w:pPr>
      <w:bookmarkStart w:id="96" w:name="_Toc16938553"/>
      <w:bookmarkStart w:id="97" w:name="_Toc20823309"/>
      <w:bookmarkStart w:id="98" w:name="_Toc513029237"/>
      <w:r>
        <w:rPr>
          <w:rFonts w:hint="eastAsia" w:ascii="宋体" w:hAnsi="宋体" w:eastAsia="宋体" w:cs="宋体"/>
          <w:color w:val="auto"/>
          <w:sz w:val="28"/>
          <w:szCs w:val="28"/>
          <w:highlight w:val="none"/>
        </w:rPr>
        <w:t>1.签订合同</w:t>
      </w:r>
    </w:p>
    <w:p w14:paraId="1F9CFEAF">
      <w:pPr>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w:t>
      </w:r>
      <w:r>
        <w:rPr>
          <w:rFonts w:hint="eastAsia" w:ascii="宋体" w:hAnsi="宋体" w:eastAsia="宋体" w:cs="宋体"/>
          <w:color w:val="auto"/>
          <w:sz w:val="28"/>
          <w:szCs w:val="28"/>
          <w:highlight w:val="none"/>
        </w:rPr>
        <w:t>.l成交供应商应当在成交通知书发出之日起三十日内，按照磋商文件确定的事项与采购人签订政府采购合同。</w:t>
      </w:r>
    </w:p>
    <w:p w14:paraId="003D0CE2">
      <w:pPr>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1.2磋商文件、成交供应商的响应文件及磋商过程中有关澄清、承诺文件均应作为合同附件。</w:t>
      </w:r>
    </w:p>
    <w:p w14:paraId="1760B801">
      <w:pPr>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271F6033">
      <w:pPr>
        <w:keepNext/>
        <w:keepLines w:val="0"/>
        <w:pageBreakBefore w:val="0"/>
        <w:widowControl w:val="0"/>
        <w:spacing w:line="500" w:lineRule="exact"/>
        <w:outlineLvl w:val="3"/>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2.货物和服务的追加、减少和添购。</w:t>
      </w:r>
    </w:p>
    <w:p w14:paraId="7A6F997C">
      <w:pPr>
        <w:keepNext w:val="0"/>
        <w:keepLines w:val="0"/>
        <w:pageBreakBefore w:val="0"/>
        <w:widowControl w:val="0"/>
        <w:spacing w:line="500" w:lineRule="exact"/>
        <w:ind w:firstLine="56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7658C2EF">
      <w:pPr>
        <w:keepNext w:val="0"/>
        <w:keepLines w:val="0"/>
        <w:pageBreakBefore w:val="0"/>
        <w:widowControl w:val="0"/>
        <w:spacing w:line="500" w:lineRule="exact"/>
        <w:ind w:firstLine="561"/>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4FCCFAD0">
      <w:pPr>
        <w:pStyle w:val="5"/>
        <w:keepNext w:val="0"/>
        <w:keepLines w:val="0"/>
        <w:pageBreakBefore w:val="0"/>
        <w:widowControl w:val="0"/>
        <w:spacing w:line="500" w:lineRule="exact"/>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3.合同信用融资扶持政策</w:t>
      </w:r>
    </w:p>
    <w:p w14:paraId="533A0B59">
      <w:pPr>
        <w:keepNext/>
        <w:keepLines w:val="0"/>
        <w:pageBreakBefore w:val="0"/>
        <w:widowControl w:val="0"/>
        <w:spacing w:line="500" w:lineRule="exact"/>
        <w:ind w:firstLine="560"/>
        <w:outlineLvl w:val="3"/>
        <w:rPr>
          <w:rFonts w:asciiTheme="minorEastAsia" w:hAnsiTheme="minorEastAsia" w:eastAsiaTheme="minorEastAsia"/>
          <w:color w:val="auto"/>
          <w:sz w:val="28"/>
          <w:szCs w:val="28"/>
          <w:highlight w:val="none"/>
        </w:rPr>
      </w:pPr>
      <w:r>
        <w:rPr>
          <w:rFonts w:hint="eastAsia" w:ascii="宋体" w:hAnsi="宋体" w:eastAsia="宋体" w:cs="宋体"/>
          <w:color w:val="auto"/>
          <w:sz w:val="28"/>
          <w:szCs w:val="28"/>
          <w:highlight w:val="none"/>
        </w:rPr>
        <w:t>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5AA1C71A">
      <w:pPr>
        <w:keepLines w:val="0"/>
        <w:pageBreakBefore w:val="0"/>
        <w:widowControl w:val="0"/>
        <w:spacing w:line="500" w:lineRule="exact"/>
        <w:jc w:val="lef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clear="all"/>
      </w:r>
      <w:bookmarkEnd w:id="96"/>
      <w:bookmarkEnd w:id="97"/>
      <w:bookmarkEnd w:id="98"/>
    </w:p>
    <w:p w14:paraId="335F8EDA">
      <w:pPr>
        <w:spacing w:line="500" w:lineRule="exact"/>
        <w:jc w:val="center"/>
        <w:outlineLvl w:val="0"/>
        <w:rPr>
          <w:rFonts w:hint="eastAsia" w:asciiTheme="minorEastAsia" w:hAnsiTheme="minorEastAsia" w:eastAsiaTheme="minorEastAsia"/>
          <w:b/>
          <w:bCs/>
          <w:color w:val="auto"/>
          <w:sz w:val="36"/>
          <w:szCs w:val="36"/>
          <w:highlight w:val="none"/>
          <w:lang w:val="zh-CN"/>
        </w:rPr>
      </w:pPr>
      <w:r>
        <w:rPr>
          <w:rFonts w:hint="eastAsia" w:asciiTheme="minorEastAsia" w:hAnsiTheme="minorEastAsia" w:eastAsiaTheme="minorEastAsia"/>
          <w:b/>
          <w:bCs/>
          <w:color w:val="auto"/>
          <w:sz w:val="36"/>
          <w:szCs w:val="36"/>
          <w:highlight w:val="none"/>
          <w:lang w:val="zh-CN"/>
        </w:rPr>
        <w:t>第三部分  项目需求</w:t>
      </w:r>
    </w:p>
    <w:p w14:paraId="15D177F9">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4948A1A6">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p>
    <w:p w14:paraId="21F1A9E8">
      <w:pPr>
        <w:keepNext w:val="0"/>
        <w:keepLines w:val="0"/>
        <w:pageBreakBefore w:val="0"/>
        <w:widowControl w:val="0"/>
        <w:spacing w:line="500" w:lineRule="exact"/>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val="en-US" w:eastAsia="zh-CN"/>
        </w:rPr>
        <w:t>一、</w:t>
      </w:r>
      <w:r>
        <w:rPr>
          <w:rFonts w:hint="eastAsia" w:ascii="宋体" w:hAnsi="宋体" w:eastAsia="宋体" w:cs="宋体"/>
          <w:b/>
          <w:color w:val="auto"/>
          <w:sz w:val="28"/>
          <w:szCs w:val="28"/>
          <w:highlight w:val="none"/>
        </w:rPr>
        <w:t>项目具体需求说明</w:t>
      </w:r>
      <w:r>
        <w:rPr>
          <w:rFonts w:hint="eastAsia" w:ascii="宋体" w:hAnsi="宋体" w:eastAsia="宋体" w:cs="宋体"/>
          <w:b/>
          <w:bCs/>
          <w:color w:val="auto"/>
          <w:sz w:val="28"/>
          <w:szCs w:val="28"/>
          <w:highlight w:val="none"/>
        </w:rPr>
        <w:t>：</w:t>
      </w:r>
    </w:p>
    <w:p w14:paraId="7D20FBDD">
      <w:pPr>
        <w:keepNext w:val="0"/>
        <w:keepLines w:val="0"/>
        <w:pageBreakBefore w:val="0"/>
        <w:widowControl w:val="0"/>
        <w:spacing w:line="500" w:lineRule="exact"/>
        <w:ind w:firstLine="560"/>
        <w:jc w:val="left"/>
        <w:rPr>
          <w:rStyle w:val="258"/>
          <w:rFonts w:hint="eastAsia" w:ascii="宋体" w:hAnsi="宋体" w:eastAsia="宋体" w:cs="宋体"/>
          <w:color w:val="auto"/>
          <w:sz w:val="28"/>
          <w:szCs w:val="28"/>
          <w:lang w:val="zh-CN" w:eastAsia="zh-CN"/>
        </w:rPr>
      </w:pPr>
      <w:r>
        <w:rPr>
          <w:rStyle w:val="258"/>
          <w:rFonts w:hint="eastAsia" w:ascii="宋体" w:hAnsi="宋体" w:eastAsia="宋体" w:cs="宋体"/>
          <w:color w:val="auto"/>
          <w:sz w:val="28"/>
          <w:szCs w:val="28"/>
          <w:lang w:val="zh-CN" w:eastAsia="zh-CN"/>
        </w:rPr>
        <w:t>为贯彻落实国家及省、市关于建立国土空间规划体系并监督实施的重大部署，高水平完成吕四港镇城镇开发边界内详细规划（控制性详细规划）全覆盖，同步结合我镇港产城融合发展、基础设施补短板、民生服务品质提升的现实需求，优化国土空间格局，塑造特色风貌，系统提升人居环境质量，现拟组织开展本次规划与城市设计编制工作。</w:t>
      </w:r>
    </w:p>
    <w:p w14:paraId="6496CC41">
      <w:pPr>
        <w:keepNext w:val="0"/>
        <w:keepLines w:val="0"/>
        <w:pageBreakBefore w:val="0"/>
        <w:widowControl w:val="0"/>
        <w:spacing w:line="500" w:lineRule="exact"/>
        <w:ind w:firstLine="560"/>
        <w:jc w:val="left"/>
        <w:rPr>
          <w:rStyle w:val="258"/>
          <w:rFonts w:hint="eastAsia" w:ascii="宋体" w:hAnsi="宋体" w:eastAsia="宋体" w:cs="宋体"/>
          <w:b/>
          <w:bCs/>
          <w:color w:val="auto"/>
          <w:sz w:val="28"/>
          <w:szCs w:val="28"/>
          <w:lang w:val="zh-CN" w:eastAsia="zh-CN"/>
        </w:rPr>
      </w:pPr>
      <w:r>
        <w:rPr>
          <w:rStyle w:val="258"/>
          <w:rFonts w:hint="eastAsia" w:ascii="宋体" w:hAnsi="宋体" w:eastAsia="宋体" w:cs="宋体"/>
          <w:b/>
          <w:bCs/>
          <w:color w:val="auto"/>
          <w:sz w:val="28"/>
          <w:szCs w:val="28"/>
          <w:lang w:val="zh-CN" w:eastAsia="zh-CN"/>
        </w:rPr>
        <w:t>（</w:t>
      </w:r>
      <w:r>
        <w:rPr>
          <w:rStyle w:val="258"/>
          <w:rFonts w:hint="eastAsia" w:ascii="宋体" w:hAnsi="宋体" w:eastAsia="宋体" w:cs="宋体"/>
          <w:b/>
          <w:bCs/>
          <w:color w:val="auto"/>
          <w:sz w:val="28"/>
          <w:szCs w:val="28"/>
          <w:lang w:val="en-US" w:eastAsia="zh-CN"/>
        </w:rPr>
        <w:t>一</w:t>
      </w:r>
      <w:r>
        <w:rPr>
          <w:rStyle w:val="258"/>
          <w:rFonts w:hint="eastAsia" w:ascii="宋体" w:hAnsi="宋体" w:eastAsia="宋体" w:cs="宋体"/>
          <w:b/>
          <w:bCs/>
          <w:color w:val="auto"/>
          <w:sz w:val="28"/>
          <w:szCs w:val="28"/>
          <w:lang w:val="zh-CN" w:eastAsia="zh-CN"/>
        </w:rPr>
        <w:t>）规划范围与规模</w:t>
      </w:r>
    </w:p>
    <w:p w14:paraId="61AB0303">
      <w:pPr>
        <w:keepNext w:val="0"/>
        <w:keepLines w:val="0"/>
        <w:pageBreakBefore w:val="0"/>
        <w:widowControl w:val="0"/>
        <w:spacing w:line="500" w:lineRule="exact"/>
        <w:ind w:firstLine="560"/>
        <w:jc w:val="left"/>
        <w:rPr>
          <w:rStyle w:val="258"/>
          <w:rFonts w:hint="eastAsia" w:ascii="宋体" w:hAnsi="宋体" w:eastAsia="宋体" w:cs="宋体"/>
          <w:color w:val="auto"/>
          <w:sz w:val="28"/>
          <w:szCs w:val="28"/>
          <w:lang w:val="zh-CN" w:eastAsia="zh-CN"/>
        </w:rPr>
      </w:pPr>
      <w:r>
        <w:rPr>
          <w:rStyle w:val="258"/>
          <w:rFonts w:hint="eastAsia" w:ascii="宋体" w:hAnsi="宋体" w:eastAsia="宋体" w:cs="宋体"/>
          <w:color w:val="auto"/>
          <w:sz w:val="28"/>
          <w:szCs w:val="28"/>
          <w:lang w:val="en-US" w:eastAsia="zh-CN"/>
        </w:rPr>
        <w:t>1、</w:t>
      </w:r>
      <w:r>
        <w:rPr>
          <w:rStyle w:val="258"/>
          <w:rFonts w:hint="eastAsia" w:ascii="宋体" w:hAnsi="宋体" w:eastAsia="宋体" w:cs="宋体"/>
          <w:color w:val="auto"/>
          <w:sz w:val="28"/>
          <w:szCs w:val="28"/>
          <w:lang w:val="zh-CN" w:eastAsia="zh-CN"/>
        </w:rPr>
        <w:t>详细规划编制范围：G328以南镇区开发边界集中空间，面积约14平方公里。</w:t>
      </w:r>
    </w:p>
    <w:p w14:paraId="40804C6C">
      <w:pPr>
        <w:keepNext w:val="0"/>
        <w:keepLines w:val="0"/>
        <w:pageBreakBefore w:val="0"/>
        <w:widowControl w:val="0"/>
        <w:spacing w:line="500" w:lineRule="exact"/>
        <w:ind w:firstLine="560"/>
        <w:jc w:val="left"/>
        <w:rPr>
          <w:rStyle w:val="258"/>
          <w:rFonts w:hint="eastAsia" w:ascii="宋体" w:hAnsi="宋体" w:eastAsia="宋体" w:cs="宋体"/>
          <w:color w:val="auto"/>
          <w:sz w:val="28"/>
          <w:szCs w:val="28"/>
          <w:lang w:val="zh-CN" w:eastAsia="zh-CN"/>
        </w:rPr>
      </w:pPr>
      <w:r>
        <w:rPr>
          <w:rStyle w:val="258"/>
          <w:rFonts w:hint="eastAsia" w:ascii="宋体" w:hAnsi="宋体" w:eastAsia="宋体" w:cs="宋体"/>
          <w:color w:val="auto"/>
          <w:sz w:val="28"/>
          <w:szCs w:val="28"/>
          <w:lang w:val="en-US" w:eastAsia="zh-CN"/>
        </w:rPr>
        <w:t>2、</w:t>
      </w:r>
      <w:r>
        <w:rPr>
          <w:rStyle w:val="258"/>
          <w:rFonts w:hint="eastAsia" w:ascii="宋体" w:hAnsi="宋体" w:eastAsia="宋体" w:cs="宋体"/>
          <w:color w:val="auto"/>
          <w:sz w:val="28"/>
          <w:szCs w:val="28"/>
          <w:lang w:val="zh-CN" w:eastAsia="zh-CN"/>
        </w:rPr>
        <w:t>重点地区设计范围：</w:t>
      </w:r>
    </w:p>
    <w:p w14:paraId="5D343504">
      <w:pPr>
        <w:keepNext w:val="0"/>
        <w:keepLines w:val="0"/>
        <w:pageBreakBefore w:val="0"/>
        <w:widowControl w:val="0"/>
        <w:spacing w:line="500" w:lineRule="exact"/>
        <w:ind w:firstLine="560"/>
        <w:jc w:val="left"/>
        <w:rPr>
          <w:rStyle w:val="258"/>
          <w:rFonts w:hint="eastAsia" w:ascii="宋体" w:hAnsi="宋体" w:eastAsia="宋体" w:cs="宋体"/>
          <w:color w:val="auto"/>
          <w:sz w:val="28"/>
          <w:szCs w:val="28"/>
          <w:lang w:val="zh-CN" w:eastAsia="zh-CN"/>
        </w:rPr>
      </w:pPr>
      <w:r>
        <w:rPr>
          <w:rStyle w:val="258"/>
          <w:rFonts w:hint="eastAsia" w:ascii="宋体" w:hAnsi="宋体" w:eastAsia="宋体" w:cs="宋体"/>
          <w:color w:val="auto"/>
          <w:sz w:val="28"/>
          <w:szCs w:val="28"/>
          <w:lang w:val="zh-CN" w:eastAsia="zh-CN"/>
        </w:rPr>
        <w:t>新城核心区：东至通港大道，南至S255（府前路），西至环城东路（鹤港路），北至串场河路，面积约1.4平方公里。</w:t>
      </w:r>
    </w:p>
    <w:p w14:paraId="34BBBF23">
      <w:pPr>
        <w:keepNext w:val="0"/>
        <w:keepLines w:val="0"/>
        <w:pageBreakBefore w:val="0"/>
        <w:widowControl w:val="0"/>
        <w:spacing w:line="500" w:lineRule="exact"/>
        <w:ind w:firstLine="560"/>
        <w:jc w:val="left"/>
        <w:rPr>
          <w:rStyle w:val="258"/>
          <w:rFonts w:hint="eastAsia" w:ascii="宋体" w:hAnsi="宋体" w:eastAsia="宋体" w:cs="宋体"/>
          <w:color w:val="auto"/>
          <w:sz w:val="28"/>
          <w:szCs w:val="28"/>
          <w:lang w:val="zh-CN" w:eastAsia="zh-CN"/>
        </w:rPr>
      </w:pPr>
      <w:r>
        <w:rPr>
          <w:rStyle w:val="258"/>
          <w:rFonts w:hint="eastAsia" w:ascii="宋体" w:hAnsi="宋体" w:eastAsia="宋体" w:cs="宋体"/>
          <w:color w:val="auto"/>
          <w:sz w:val="28"/>
          <w:szCs w:val="28"/>
          <w:lang w:val="zh-CN" w:eastAsia="zh-CN"/>
        </w:rPr>
        <w:t>水产路更新片区启动区：北至香堂路，东至延寿路，南至府前路，西至大洋港东岸，面积约36公顷。</w:t>
      </w:r>
    </w:p>
    <w:p w14:paraId="33664657">
      <w:pPr>
        <w:keepNext w:val="0"/>
        <w:keepLines w:val="0"/>
        <w:pageBreakBefore w:val="0"/>
        <w:widowControl w:val="0"/>
        <w:spacing w:line="500" w:lineRule="exact"/>
        <w:ind w:firstLine="560"/>
        <w:jc w:val="left"/>
        <w:rPr>
          <w:rStyle w:val="258"/>
          <w:rFonts w:hint="eastAsia" w:ascii="宋体" w:hAnsi="宋体" w:eastAsia="宋体" w:cs="宋体"/>
          <w:b/>
          <w:bCs/>
          <w:color w:val="auto"/>
          <w:sz w:val="28"/>
          <w:szCs w:val="28"/>
          <w:lang w:val="en-US" w:eastAsia="zh-CN"/>
        </w:rPr>
      </w:pPr>
      <w:r>
        <w:rPr>
          <w:rStyle w:val="258"/>
          <w:rFonts w:hint="eastAsia" w:ascii="宋体" w:hAnsi="宋体" w:eastAsia="宋体" w:cs="宋体"/>
          <w:b/>
          <w:bCs/>
          <w:color w:val="auto"/>
          <w:sz w:val="28"/>
          <w:szCs w:val="28"/>
          <w:lang w:val="zh-CN" w:eastAsia="zh-CN"/>
        </w:rPr>
        <w:t>（</w:t>
      </w:r>
      <w:r>
        <w:rPr>
          <w:rStyle w:val="258"/>
          <w:rFonts w:hint="eastAsia" w:ascii="宋体" w:hAnsi="宋体" w:eastAsia="宋体" w:cs="宋体"/>
          <w:b/>
          <w:bCs/>
          <w:color w:val="auto"/>
          <w:sz w:val="28"/>
          <w:szCs w:val="28"/>
          <w:lang w:val="en-US" w:eastAsia="zh-CN"/>
        </w:rPr>
        <w:t>二</w:t>
      </w:r>
      <w:r>
        <w:rPr>
          <w:rStyle w:val="258"/>
          <w:rFonts w:hint="eastAsia" w:ascii="宋体" w:hAnsi="宋体" w:eastAsia="宋体" w:cs="宋体"/>
          <w:b/>
          <w:bCs/>
          <w:color w:val="auto"/>
          <w:sz w:val="28"/>
          <w:szCs w:val="28"/>
          <w:lang w:val="zh-CN" w:eastAsia="zh-CN"/>
        </w:rPr>
        <w:t>）工作内容</w:t>
      </w:r>
      <w:r>
        <w:rPr>
          <w:rStyle w:val="258"/>
          <w:rFonts w:hint="eastAsia" w:ascii="宋体" w:hAnsi="宋体" w:eastAsia="宋体" w:cs="宋体"/>
          <w:b/>
          <w:bCs/>
          <w:color w:val="auto"/>
          <w:sz w:val="28"/>
          <w:szCs w:val="28"/>
          <w:lang w:val="en-US" w:eastAsia="zh-CN"/>
        </w:rPr>
        <w:t>与成果要求</w:t>
      </w:r>
    </w:p>
    <w:tbl>
      <w:tblPr>
        <w:tblStyle w:val="35"/>
        <w:tblpPr w:leftFromText="180" w:rightFromText="180" w:vertAnchor="text" w:tblpX="-174" w:tblpY="203"/>
        <w:tblOverlap w:val="never"/>
        <w:tblW w:w="93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04"/>
        <w:gridCol w:w="3888"/>
        <w:gridCol w:w="4044"/>
      </w:tblGrid>
      <w:tr w14:paraId="0BC17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1404" w:type="dxa"/>
            <w:noWrap w:val="0"/>
            <w:vAlign w:val="center"/>
          </w:tcPr>
          <w:p w14:paraId="0ADC1ECD">
            <w:pPr>
              <w:keepNext w:val="0"/>
              <w:keepLines w:val="0"/>
              <w:pageBreakBefore w:val="0"/>
              <w:widowControl w:val="0"/>
              <w:spacing w:line="500" w:lineRule="exact"/>
              <w:jc w:val="center"/>
              <w:rPr>
                <w:rStyle w:val="258"/>
                <w:rFonts w:hint="default" w:ascii="宋体" w:hAnsi="宋体" w:eastAsia="宋体" w:cs="宋体"/>
                <w:b/>
                <w:bCs/>
                <w:color w:val="auto"/>
                <w:sz w:val="28"/>
                <w:szCs w:val="28"/>
                <w:lang w:val="zh-CN" w:eastAsia="zh-CN"/>
              </w:rPr>
            </w:pPr>
            <w:r>
              <w:rPr>
                <w:rStyle w:val="258"/>
                <w:rFonts w:hint="eastAsia" w:ascii="宋体" w:hAnsi="宋体" w:eastAsia="宋体" w:cs="宋体"/>
                <w:b/>
                <w:bCs/>
                <w:color w:val="auto"/>
                <w:sz w:val="28"/>
                <w:szCs w:val="28"/>
                <w:lang w:val="en-US" w:eastAsia="zh-CN"/>
              </w:rPr>
              <w:t>工作模块</w:t>
            </w:r>
          </w:p>
        </w:tc>
        <w:tc>
          <w:tcPr>
            <w:tcW w:w="3888" w:type="dxa"/>
            <w:noWrap w:val="0"/>
            <w:vAlign w:val="center"/>
          </w:tcPr>
          <w:p w14:paraId="0DF39F84">
            <w:pPr>
              <w:keepNext w:val="0"/>
              <w:keepLines w:val="0"/>
              <w:pageBreakBefore w:val="0"/>
              <w:widowControl w:val="0"/>
              <w:spacing w:line="500" w:lineRule="exact"/>
              <w:jc w:val="center"/>
              <w:rPr>
                <w:rStyle w:val="258"/>
                <w:rFonts w:hint="default" w:ascii="宋体" w:hAnsi="宋体" w:eastAsia="宋体" w:cs="宋体"/>
                <w:b/>
                <w:bCs/>
                <w:color w:val="auto"/>
                <w:sz w:val="28"/>
                <w:szCs w:val="28"/>
                <w:lang w:val="zh-CN" w:eastAsia="zh-CN"/>
              </w:rPr>
            </w:pPr>
            <w:r>
              <w:rPr>
                <w:rStyle w:val="258"/>
                <w:rFonts w:hint="eastAsia" w:ascii="宋体" w:hAnsi="宋体" w:eastAsia="宋体" w:cs="宋体"/>
                <w:b/>
                <w:bCs/>
                <w:color w:val="auto"/>
                <w:sz w:val="28"/>
                <w:szCs w:val="28"/>
                <w:lang w:val="en-US" w:eastAsia="zh-CN"/>
              </w:rPr>
              <w:t>核心工作内容</w:t>
            </w:r>
          </w:p>
        </w:tc>
        <w:tc>
          <w:tcPr>
            <w:tcW w:w="4044" w:type="dxa"/>
            <w:noWrap w:val="0"/>
            <w:vAlign w:val="center"/>
          </w:tcPr>
          <w:p w14:paraId="2A5E2750">
            <w:pPr>
              <w:keepNext w:val="0"/>
              <w:keepLines w:val="0"/>
              <w:pageBreakBefore w:val="0"/>
              <w:widowControl w:val="0"/>
              <w:spacing w:line="500" w:lineRule="exact"/>
              <w:jc w:val="center"/>
              <w:rPr>
                <w:rStyle w:val="258"/>
                <w:rFonts w:hint="default" w:ascii="宋体" w:hAnsi="宋体" w:eastAsia="宋体" w:cs="宋体"/>
                <w:b/>
                <w:bCs/>
                <w:color w:val="auto"/>
                <w:sz w:val="28"/>
                <w:szCs w:val="28"/>
                <w:lang w:val="zh-CN" w:eastAsia="zh-CN"/>
              </w:rPr>
            </w:pPr>
            <w:r>
              <w:rPr>
                <w:rStyle w:val="258"/>
                <w:rFonts w:hint="eastAsia" w:ascii="宋体" w:hAnsi="宋体" w:eastAsia="宋体" w:cs="宋体"/>
                <w:b/>
                <w:bCs/>
                <w:color w:val="auto"/>
                <w:sz w:val="28"/>
                <w:szCs w:val="28"/>
                <w:lang w:val="en-US" w:eastAsia="zh-CN"/>
              </w:rPr>
              <w:t>成果要求（包括但不限于）</w:t>
            </w:r>
          </w:p>
        </w:tc>
      </w:tr>
      <w:tr w14:paraId="4CF44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1404" w:type="dxa"/>
            <w:noWrap w:val="0"/>
            <w:vAlign w:val="center"/>
          </w:tcPr>
          <w:p w14:paraId="1919F66B">
            <w:pPr>
              <w:keepNext w:val="0"/>
              <w:keepLines w:val="0"/>
              <w:pageBreakBefore w:val="0"/>
              <w:widowControl w:val="0"/>
              <w:spacing w:line="500" w:lineRule="exact"/>
              <w:jc w:val="left"/>
              <w:rPr>
                <w:rStyle w:val="258"/>
                <w:rFonts w:hint="eastAsia" w:ascii="宋体" w:hAnsi="宋体" w:eastAsia="宋体" w:cs="宋体"/>
                <w:color w:val="auto"/>
                <w:sz w:val="28"/>
                <w:szCs w:val="28"/>
                <w:lang w:val="en-US" w:eastAsia="zh-CN"/>
              </w:rPr>
            </w:pPr>
            <w:r>
              <w:rPr>
                <w:rStyle w:val="258"/>
                <w:rFonts w:hint="eastAsia" w:ascii="宋体" w:hAnsi="宋体" w:eastAsia="宋体" w:cs="宋体"/>
                <w:color w:val="auto"/>
                <w:sz w:val="28"/>
                <w:szCs w:val="28"/>
                <w:lang w:val="en-US" w:eastAsia="zh-CN"/>
              </w:rPr>
              <w:t>开发边界内规划编制</w:t>
            </w:r>
          </w:p>
        </w:tc>
        <w:tc>
          <w:tcPr>
            <w:tcW w:w="3888" w:type="dxa"/>
            <w:noWrap w:val="0"/>
            <w:vAlign w:val="center"/>
          </w:tcPr>
          <w:p w14:paraId="0266A32F">
            <w:pPr>
              <w:keepNext w:val="0"/>
              <w:keepLines w:val="0"/>
              <w:pageBreakBefore w:val="0"/>
              <w:widowControl w:val="0"/>
              <w:spacing w:line="500" w:lineRule="exact"/>
              <w:jc w:val="left"/>
              <w:rPr>
                <w:rStyle w:val="258"/>
                <w:rFonts w:hint="eastAsia" w:ascii="宋体" w:hAnsi="宋体" w:eastAsia="宋体" w:cs="宋体"/>
                <w:color w:val="auto"/>
                <w:sz w:val="28"/>
                <w:szCs w:val="28"/>
                <w:lang w:val="en-US" w:eastAsia="zh-CN"/>
              </w:rPr>
            </w:pPr>
            <w:r>
              <w:rPr>
                <w:rStyle w:val="258"/>
                <w:rFonts w:hint="eastAsia" w:ascii="宋体" w:hAnsi="宋体" w:eastAsia="宋体" w:cs="宋体"/>
                <w:color w:val="auto"/>
                <w:sz w:val="28"/>
                <w:szCs w:val="28"/>
                <w:lang w:val="en-US" w:eastAsia="zh-CN"/>
              </w:rPr>
              <w:t>以提升城市空间品质为目标，研究确定城市风貌特色，优化城市形态格局，提出公共服务等各系统优化策略，提升空间景观构架和关键节点意象，并衔接上位规划，编制单元层面详细规划。</w:t>
            </w:r>
          </w:p>
        </w:tc>
        <w:tc>
          <w:tcPr>
            <w:tcW w:w="4044" w:type="dxa"/>
            <w:noWrap w:val="0"/>
            <w:vAlign w:val="center"/>
          </w:tcPr>
          <w:p w14:paraId="736DFB2C">
            <w:pPr>
              <w:keepNext w:val="0"/>
              <w:keepLines w:val="0"/>
              <w:pageBreakBefore w:val="0"/>
              <w:widowControl w:val="0"/>
              <w:spacing w:line="500" w:lineRule="exact"/>
              <w:jc w:val="left"/>
              <w:rPr>
                <w:rStyle w:val="258"/>
                <w:rFonts w:hint="eastAsia" w:ascii="宋体" w:hAnsi="宋体" w:eastAsia="宋体" w:cs="宋体"/>
                <w:color w:val="auto"/>
                <w:sz w:val="28"/>
                <w:szCs w:val="28"/>
                <w:lang w:val="en-US" w:eastAsia="zh-CN"/>
              </w:rPr>
            </w:pPr>
            <w:r>
              <w:rPr>
                <w:rStyle w:val="258"/>
                <w:rFonts w:hint="eastAsia" w:ascii="宋体" w:hAnsi="宋体" w:eastAsia="宋体" w:cs="宋体"/>
                <w:color w:val="auto"/>
                <w:sz w:val="28"/>
                <w:szCs w:val="28"/>
                <w:lang w:val="en-US" w:eastAsia="zh-CN"/>
              </w:rPr>
              <w:t>1、单元层面详细规划成果。</w:t>
            </w:r>
          </w:p>
          <w:p w14:paraId="6D133594">
            <w:pPr>
              <w:keepNext w:val="0"/>
              <w:keepLines w:val="0"/>
              <w:pageBreakBefore w:val="0"/>
              <w:widowControl w:val="0"/>
              <w:spacing w:line="500" w:lineRule="exact"/>
              <w:jc w:val="left"/>
              <w:rPr>
                <w:rStyle w:val="258"/>
                <w:rFonts w:hint="eastAsia" w:ascii="宋体" w:hAnsi="宋体" w:eastAsia="宋体" w:cs="宋体"/>
                <w:color w:val="auto"/>
                <w:sz w:val="28"/>
                <w:szCs w:val="28"/>
                <w:lang w:val="en-US" w:eastAsia="zh-CN"/>
              </w:rPr>
            </w:pPr>
            <w:r>
              <w:rPr>
                <w:rStyle w:val="258"/>
                <w:rFonts w:hint="eastAsia" w:ascii="宋体" w:hAnsi="宋体" w:eastAsia="宋体" w:cs="宋体"/>
                <w:color w:val="auto"/>
                <w:sz w:val="28"/>
                <w:szCs w:val="28"/>
                <w:lang w:val="en-US" w:eastAsia="zh-CN"/>
              </w:rPr>
              <w:t>2、相关图纸：现状分析图、功能和用地布局图、公共空间与景观系统规划图等。</w:t>
            </w:r>
            <w:r>
              <w:rPr>
                <w:rStyle w:val="258"/>
                <w:rFonts w:hint="eastAsia" w:ascii="宋体" w:hAnsi="宋体" w:eastAsia="宋体" w:cs="宋体"/>
                <w:color w:val="auto"/>
                <w:sz w:val="28"/>
                <w:szCs w:val="28"/>
                <w:lang w:val="en-US" w:eastAsia="zh-CN"/>
              </w:rPr>
              <w:br w:type="textWrapping"/>
            </w:r>
            <w:r>
              <w:rPr>
                <w:rStyle w:val="258"/>
                <w:rFonts w:hint="eastAsia" w:ascii="宋体" w:hAnsi="宋体" w:eastAsia="宋体" w:cs="宋体"/>
                <w:color w:val="auto"/>
                <w:sz w:val="28"/>
                <w:szCs w:val="28"/>
                <w:lang w:val="en-US" w:eastAsia="zh-CN"/>
              </w:rPr>
              <w:t>3、其他成果：整体效果图。</w:t>
            </w:r>
          </w:p>
        </w:tc>
      </w:tr>
      <w:tr w14:paraId="1210A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1404" w:type="dxa"/>
            <w:noWrap w:val="0"/>
            <w:vAlign w:val="center"/>
          </w:tcPr>
          <w:p w14:paraId="521D0632">
            <w:pPr>
              <w:keepNext w:val="0"/>
              <w:keepLines w:val="0"/>
              <w:pageBreakBefore w:val="0"/>
              <w:widowControl w:val="0"/>
              <w:spacing w:line="500" w:lineRule="exact"/>
              <w:jc w:val="left"/>
              <w:rPr>
                <w:rStyle w:val="258"/>
                <w:rFonts w:hint="eastAsia" w:ascii="宋体" w:hAnsi="宋体" w:eastAsia="宋体" w:cs="宋体"/>
                <w:color w:val="auto"/>
                <w:sz w:val="28"/>
                <w:szCs w:val="28"/>
                <w:lang w:val="en-US" w:eastAsia="zh-CN"/>
              </w:rPr>
            </w:pPr>
            <w:r>
              <w:rPr>
                <w:rStyle w:val="258"/>
                <w:rFonts w:hint="eastAsia" w:ascii="宋体" w:hAnsi="宋体" w:eastAsia="宋体" w:cs="宋体"/>
                <w:color w:val="auto"/>
                <w:sz w:val="28"/>
                <w:szCs w:val="28"/>
                <w:lang w:val="en-US" w:eastAsia="zh-CN"/>
              </w:rPr>
              <w:t>重点地区城市设计</w:t>
            </w:r>
          </w:p>
        </w:tc>
        <w:tc>
          <w:tcPr>
            <w:tcW w:w="3888" w:type="dxa"/>
            <w:noWrap w:val="0"/>
            <w:vAlign w:val="center"/>
          </w:tcPr>
          <w:p w14:paraId="6EA9624A">
            <w:pPr>
              <w:keepNext w:val="0"/>
              <w:keepLines w:val="0"/>
              <w:pageBreakBefore w:val="0"/>
              <w:widowControl w:val="0"/>
              <w:spacing w:line="500" w:lineRule="exact"/>
              <w:jc w:val="left"/>
              <w:rPr>
                <w:rStyle w:val="258"/>
                <w:rFonts w:hint="eastAsia" w:ascii="宋体" w:hAnsi="宋体" w:eastAsia="宋体" w:cs="宋体"/>
                <w:color w:val="auto"/>
                <w:sz w:val="28"/>
                <w:szCs w:val="28"/>
                <w:lang w:val="en-US" w:eastAsia="zh-CN"/>
              </w:rPr>
            </w:pPr>
            <w:r>
              <w:rPr>
                <w:rStyle w:val="258"/>
                <w:rFonts w:hint="eastAsia" w:ascii="宋体" w:hAnsi="宋体" w:eastAsia="宋体" w:cs="宋体"/>
                <w:color w:val="auto"/>
                <w:sz w:val="28"/>
                <w:szCs w:val="28"/>
                <w:lang w:val="en-US" w:eastAsia="zh-CN"/>
              </w:rPr>
              <w:t>新城核心区：对用地布局、高度与天际线、主要廊道和界面、重要节点、开敞空间和慢行系统等进行深化设计。</w:t>
            </w:r>
            <w:r>
              <w:rPr>
                <w:rStyle w:val="258"/>
                <w:rFonts w:hint="eastAsia" w:ascii="宋体" w:hAnsi="宋体" w:eastAsia="宋体" w:cs="宋体"/>
                <w:color w:val="auto"/>
                <w:sz w:val="28"/>
                <w:szCs w:val="28"/>
                <w:lang w:val="en-US" w:eastAsia="zh-CN"/>
              </w:rPr>
              <w:br w:type="textWrapping"/>
            </w:r>
            <w:r>
              <w:rPr>
                <w:rStyle w:val="258"/>
                <w:rFonts w:hint="eastAsia" w:ascii="宋体" w:hAnsi="宋体" w:eastAsia="宋体" w:cs="宋体"/>
                <w:color w:val="auto"/>
                <w:sz w:val="28"/>
                <w:szCs w:val="28"/>
                <w:lang w:val="en-US" w:eastAsia="zh-CN"/>
              </w:rPr>
              <w:t>水产路更新片区：对启动区进行深化设计，包括空间形态引导、公共空间体系、功能业态布局、交通组织、风貌色彩指引等。</w:t>
            </w:r>
          </w:p>
        </w:tc>
        <w:tc>
          <w:tcPr>
            <w:tcW w:w="4044" w:type="dxa"/>
            <w:noWrap w:val="0"/>
            <w:vAlign w:val="center"/>
          </w:tcPr>
          <w:p w14:paraId="6C70FEBD">
            <w:pPr>
              <w:keepNext w:val="0"/>
              <w:keepLines w:val="0"/>
              <w:pageBreakBefore w:val="0"/>
              <w:widowControl w:val="0"/>
              <w:spacing w:line="500" w:lineRule="exact"/>
              <w:jc w:val="left"/>
              <w:rPr>
                <w:rStyle w:val="258"/>
                <w:rFonts w:hint="eastAsia" w:ascii="宋体" w:hAnsi="宋体" w:eastAsia="宋体" w:cs="宋体"/>
                <w:color w:val="auto"/>
                <w:sz w:val="28"/>
                <w:szCs w:val="28"/>
                <w:lang w:val="en-US" w:eastAsia="zh-CN"/>
              </w:rPr>
            </w:pPr>
            <w:r>
              <w:rPr>
                <w:rStyle w:val="258"/>
                <w:rFonts w:hint="eastAsia" w:ascii="宋体" w:hAnsi="宋体" w:eastAsia="宋体" w:cs="宋体"/>
                <w:color w:val="auto"/>
                <w:sz w:val="28"/>
                <w:szCs w:val="28"/>
                <w:lang w:val="en-US" w:eastAsia="zh-CN"/>
              </w:rPr>
              <w:t>1、综合报告。</w:t>
            </w:r>
            <w:r>
              <w:rPr>
                <w:rStyle w:val="258"/>
                <w:rFonts w:hint="eastAsia" w:ascii="宋体" w:hAnsi="宋体" w:eastAsia="宋体" w:cs="宋体"/>
                <w:color w:val="auto"/>
                <w:sz w:val="28"/>
                <w:szCs w:val="28"/>
                <w:lang w:val="en-US" w:eastAsia="zh-CN"/>
              </w:rPr>
              <w:br w:type="textWrapping"/>
            </w:r>
            <w:r>
              <w:rPr>
                <w:rStyle w:val="258"/>
                <w:rFonts w:hint="eastAsia" w:ascii="宋体" w:hAnsi="宋体" w:eastAsia="宋体" w:cs="宋体"/>
                <w:color w:val="auto"/>
                <w:sz w:val="28"/>
                <w:szCs w:val="28"/>
                <w:lang w:val="en-US" w:eastAsia="zh-CN"/>
              </w:rPr>
              <w:t>2、相关图纸：城市设计平面图、空间形态与高度分析图、建筑风貌与色彩指引图等。</w:t>
            </w:r>
            <w:r>
              <w:rPr>
                <w:rStyle w:val="258"/>
                <w:rFonts w:hint="eastAsia" w:ascii="宋体" w:hAnsi="宋体" w:eastAsia="宋体" w:cs="宋体"/>
                <w:color w:val="auto"/>
                <w:sz w:val="28"/>
                <w:szCs w:val="28"/>
                <w:lang w:val="en-US" w:eastAsia="zh-CN"/>
              </w:rPr>
              <w:br w:type="textWrapping"/>
            </w:r>
            <w:r>
              <w:rPr>
                <w:rStyle w:val="258"/>
                <w:rFonts w:hint="eastAsia" w:ascii="宋体" w:hAnsi="宋体" w:eastAsia="宋体" w:cs="宋体"/>
                <w:color w:val="auto"/>
                <w:sz w:val="28"/>
                <w:szCs w:val="28"/>
                <w:lang w:val="en-US" w:eastAsia="zh-CN"/>
              </w:rPr>
              <w:t>3、其他成果：重点区域效果图、分析模型。</w:t>
            </w:r>
          </w:p>
        </w:tc>
      </w:tr>
    </w:tbl>
    <w:p w14:paraId="3FA8C250">
      <w:pPr>
        <w:keepNext w:val="0"/>
        <w:keepLines w:val="0"/>
        <w:pageBreakBefore w:val="0"/>
        <w:widowControl w:val="0"/>
        <w:spacing w:line="500" w:lineRule="exact"/>
        <w:ind w:firstLine="562"/>
        <w:jc w:val="left"/>
        <w:rPr>
          <w:rStyle w:val="258"/>
          <w:rFonts w:hint="eastAsia" w:ascii="宋体" w:hAnsi="宋体" w:eastAsia="宋体" w:cs="宋体"/>
          <w:b/>
          <w:bCs/>
          <w:color w:val="auto"/>
          <w:sz w:val="28"/>
          <w:szCs w:val="28"/>
          <w:lang w:val="zh-CN"/>
        </w:rPr>
      </w:pPr>
    </w:p>
    <w:p w14:paraId="2C9E4A1E">
      <w:pPr>
        <w:keepNext w:val="0"/>
        <w:keepLines w:val="0"/>
        <w:pageBreakBefore w:val="0"/>
        <w:widowControl w:val="0"/>
        <w:spacing w:line="500" w:lineRule="exact"/>
        <w:ind w:firstLine="560"/>
        <w:contextualSpacing/>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（三）成果要求</w:t>
      </w:r>
    </w:p>
    <w:p w14:paraId="3EF1227C">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综合报告：系统阐述所有工作内容。</w:t>
      </w:r>
    </w:p>
    <w:p w14:paraId="3F1BE130">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相关图纸：包含但不限于任务书中列出的所有图纸类型。</w:t>
      </w:r>
    </w:p>
    <w:p w14:paraId="65DD9479">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其他成果：必要的分析模型、重点区域效果图、汇报演示文件等。</w:t>
      </w:r>
    </w:p>
    <w:p w14:paraId="0FC040AA">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电子成果：所有成果均需提供电子版（CAD、GIS、PPT、JPG等常用格式）。</w:t>
      </w:r>
    </w:p>
    <w:p w14:paraId="6BE7E409">
      <w:pPr>
        <w:keepNext w:val="0"/>
        <w:keepLines w:val="0"/>
        <w:pageBreakBefore w:val="0"/>
        <w:widowControl w:val="0"/>
        <w:spacing w:line="500" w:lineRule="exact"/>
        <w:ind w:firstLine="560"/>
        <w:contextualSpacing/>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（四）实施与服务要求</w:t>
      </w:r>
    </w:p>
    <w:p w14:paraId="29594942">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1、所有规划及设计成果的深度，须符合国家、省、市关于控制性详细规划及城市设计的现行编制规范与深度要求。</w:t>
      </w:r>
    </w:p>
    <w:p w14:paraId="402E922F">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2、成果提交形式：提交纸质最终成果8套（含综合报告、图纸图集等），以及全部电子成果1份（存储于U盘或移动硬盘）。电子成果格式须包含 editable 源文件（如.dwg,.gis,.psd,.ppt）及通用格式（.pdf,.jpg），确保采购人可直接编辑和使用。</w:t>
      </w:r>
    </w:p>
    <w:p w14:paraId="7115A830">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3、供应商须配合采购人完成报批、汇报、公示、成果入库等相关工作。</w:t>
      </w:r>
    </w:p>
    <w:p w14:paraId="45F108C2">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4、成果验收标准与程序：</w:t>
      </w:r>
    </w:p>
    <w:p w14:paraId="4E3539B1">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中期审查：合同签订后60日历天内，供应商须提交初步方案（含港产城融合研究初步结论、镇区品质提升初步策略、重点地区城市设计初稿）。由采购人组织内部审查，供应商须根据审查意见在15日历天内完成修改。</w:t>
      </w:r>
    </w:p>
    <w:p w14:paraId="6C8E45FB">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（3）成果验收：供应商提交全部最终成果后，由采购人组织内部审查，进行最终验收。验收合格的，由采购人出具《项目验收确认单》。</w:t>
      </w:r>
    </w:p>
    <w:p w14:paraId="3AFEB272">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（3）报批要求：若项目成果中涉及需上报主管部门审批或备案的部分，供应商应积极配合修改完善。</w:t>
      </w:r>
    </w:p>
    <w:p w14:paraId="22A3E9AA">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5、知识产权归属：</w:t>
      </w:r>
    </w:p>
    <w:p w14:paraId="5CF27B35">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供应商保证其所提交的全部成果（包括但不限于报告、图纸、模型、效果图、汇报文件、分析数据）均为原创或已获得合法授权，不侵犯任何第三方的知识产权。如因此产生纠纷，由供应商承担全部法律责任并赔偿采购人损失。</w:t>
      </w:r>
    </w:p>
    <w:p w14:paraId="36ACFB71">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（2）自采购人付清全部合同款项之日起，本项目所有成果的除署名权以外的全部知识产权（包括但不限于复制权、发行权、展览权、改编权、信息网络传播权、使用权）均归属采购人所有。</w:t>
      </w:r>
    </w:p>
    <w:p w14:paraId="3BCC7657">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（3）采购人有权在后续规划管理、项目建设、宣传展示、成果出版等工作中无偿使用、复制、修改、改编及基于本项目成果编制下阶段设计文件，无需另行征得供应商同意或支付任何额外费用。</w:t>
      </w:r>
    </w:p>
    <w:p w14:paraId="7F5CDF96">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（五）实施周期：</w:t>
      </w:r>
      <w:r>
        <w:rPr>
          <w:rFonts w:hint="eastAsia" w:ascii="宋体" w:hAnsi="宋体" w:eastAsia="宋体" w:cs="宋体"/>
          <w:color w:val="auto"/>
          <w:sz w:val="28"/>
          <w:szCs w:val="28"/>
          <w:highlight w:val="none"/>
          <w:lang w:val="en-US" w:eastAsia="zh-CN"/>
        </w:rPr>
        <w:t>自合同签订之日起120日历天内，完成全部成果并通过最终验收。</w:t>
      </w:r>
    </w:p>
    <w:p w14:paraId="088A815F">
      <w:pPr>
        <w:keepNext w:val="0"/>
        <w:keepLines w:val="0"/>
        <w:pageBreakBefore w:val="0"/>
        <w:widowControl w:val="0"/>
        <w:spacing w:line="500" w:lineRule="exact"/>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sz w:val="28"/>
          <w:szCs w:val="28"/>
          <w:highlight w:val="none"/>
        </w:rPr>
        <w:t>、报价费用说明：</w:t>
      </w:r>
    </w:p>
    <w:p w14:paraId="142FD461">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本项目为交钥匙项目，投标报价包括（但不限于）：人员费用、调研费用（现场踏勘、部门走访、资料收集）、专家咨询费、</w:t>
      </w:r>
      <w:r>
        <w:rPr>
          <w:rFonts w:hint="eastAsia" w:ascii="宋体" w:hAnsi="宋体" w:eastAsia="宋体" w:cs="宋体"/>
          <w:b/>
          <w:bCs/>
          <w:color w:val="auto"/>
          <w:sz w:val="28"/>
          <w:szCs w:val="28"/>
          <w:highlight w:val="none"/>
          <w:lang w:val="en-US" w:eastAsia="zh-CN"/>
        </w:rPr>
        <w:t>招标代理费（计费标准为：以中标金额为基数，按国家计委《招标代理服务收费管理暂行办法》【计价格（2002）1980号】规定的收费标准×70%计算）及其他相关费用</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val="zh-CN" w:eastAsia="zh-CN"/>
        </w:rPr>
        <w:t>评审会务费、成果制作费（图纸绘制、文本打印、模型制作、效果图、汇报文件）、差旅交通费、管理费、利润、税金，以及政策性文件规定及合同包含的所有风险、责任等等项目交付使用所产生一切费用，均由中标人实施完成。</w:t>
      </w:r>
    </w:p>
    <w:p w14:paraId="189635C9">
      <w:pPr>
        <w:keepNext w:val="0"/>
        <w:keepLines w:val="0"/>
        <w:pageBreakBefore w:val="0"/>
        <w:widowControl w:val="0"/>
        <w:spacing w:line="500" w:lineRule="exact"/>
        <w:ind w:firstLine="560"/>
        <w:contextualSpacing/>
        <w:rPr>
          <w:rStyle w:val="258"/>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rPr>
        <w:t>本项目的招标代理费</w:t>
      </w:r>
      <w:r>
        <w:rPr>
          <w:rFonts w:hint="eastAsia" w:ascii="宋体" w:hAnsi="宋体" w:cs="宋体"/>
          <w:b/>
          <w:bCs/>
          <w:color w:val="auto"/>
          <w:sz w:val="28"/>
          <w:szCs w:val="28"/>
          <w:highlight w:val="none"/>
          <w:lang w:val="en-US" w:eastAsia="zh-CN"/>
        </w:rPr>
        <w:t>及其他相关费用</w:t>
      </w:r>
      <w:r>
        <w:rPr>
          <w:rFonts w:hint="eastAsia" w:ascii="宋体" w:hAnsi="宋体" w:eastAsia="宋体" w:cs="宋体"/>
          <w:b/>
          <w:bCs/>
          <w:color w:val="auto"/>
          <w:sz w:val="28"/>
          <w:szCs w:val="28"/>
          <w:highlight w:val="none"/>
          <w:lang w:val="en-US" w:eastAsia="zh-CN"/>
        </w:rPr>
        <w:t>由成交供应商在领取中标通知书前支付，此费用由供应商综合考虑在报价中，不单独立项。</w:t>
      </w:r>
    </w:p>
    <w:p w14:paraId="19B55886">
      <w:pPr>
        <w:keepNext w:val="0"/>
        <w:keepLines w:val="0"/>
        <w:pageBreakBefore w:val="0"/>
        <w:widowControl w:val="0"/>
        <w:spacing w:line="500" w:lineRule="exact"/>
        <w:ind w:firstLine="562"/>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rPr>
        <w:t>、采购标的的其他技术、服务等要求</w:t>
      </w:r>
    </w:p>
    <w:p w14:paraId="210224D4">
      <w:pPr>
        <w:keepNext w:val="0"/>
        <w:keepLines w:val="0"/>
        <w:pageBreakBefore w:val="0"/>
        <w:widowControl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65D603BF">
      <w:pPr>
        <w:keepNext w:val="0"/>
        <w:keepLines w:val="0"/>
        <w:pageBreakBefore w:val="0"/>
        <w:widowControl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品目清单见《关于印发环境标志产品政府采购品目清单的通知》（财库〔2019〕18号）、《关于印发节能产品政府采购品目清单的通知》（财库〔2019〕19号）。</w:t>
      </w:r>
    </w:p>
    <w:p w14:paraId="40EF9DEA">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rPr>
        <w:t>需求标准见《商品包装政府采购需求标准（试行）》《快递包装政府采购需求标准（试行）》（财办库〔2020〕123号）、《绿色数据中心政府采购需求标准（试行）》（财库〔2023〕7号）</w:t>
      </w:r>
      <w:r>
        <w:rPr>
          <w:rFonts w:hint="eastAsia" w:ascii="宋体" w:hAnsi="宋体" w:eastAsia="宋体" w:cs="宋体"/>
          <w:color w:val="auto"/>
          <w:sz w:val="28"/>
          <w:szCs w:val="28"/>
          <w:highlight w:val="none"/>
        </w:rPr>
        <w:t>。</w:t>
      </w:r>
    </w:p>
    <w:p w14:paraId="2C16F910">
      <w:pPr>
        <w:keepNext w:val="0"/>
        <w:keepLines w:val="0"/>
        <w:pageBreakBefore w:val="0"/>
        <w:widowControl w:val="0"/>
        <w:spacing w:line="500" w:lineRule="exact"/>
        <w:ind w:firstLine="562"/>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lang w:val="zh-CN"/>
        </w:rPr>
        <w:t>、付款方式：</w:t>
      </w:r>
    </w:p>
    <w:p w14:paraId="1CC01B62">
      <w:pPr>
        <w:keepNext w:val="0"/>
        <w:keepLines w:val="0"/>
        <w:pageBreakBefore w:val="0"/>
        <w:widowControl w:val="0"/>
        <w:spacing w:line="500" w:lineRule="exact"/>
        <w:ind w:firstLine="560"/>
        <w:rPr>
          <w:rFonts w:hint="eastAsia" w:ascii="宋体" w:hAnsi="宋体" w:eastAsia="宋体" w:cs="宋体"/>
          <w:color w:val="auto"/>
          <w:sz w:val="28"/>
          <w:szCs w:val="28"/>
          <w:lang w:val="zh-CN" w:eastAsia="zh-CN"/>
        </w:rPr>
      </w:pPr>
      <w:r>
        <w:rPr>
          <w:rFonts w:hint="eastAsia" w:ascii="宋体" w:hAnsi="宋体" w:eastAsia="宋体" w:cs="宋体"/>
          <w:color w:val="auto"/>
          <w:sz w:val="28"/>
          <w:szCs w:val="28"/>
          <w:lang w:val="zh-CN" w:eastAsia="zh-CN"/>
        </w:rPr>
        <w:t>最终成果汇报后</w:t>
      </w:r>
      <w:r>
        <w:rPr>
          <w:rFonts w:hint="eastAsia" w:ascii="宋体" w:hAnsi="宋体" w:eastAsia="宋体" w:cs="宋体"/>
          <w:color w:val="auto"/>
          <w:sz w:val="28"/>
          <w:szCs w:val="28"/>
          <w:lang w:val="en-US" w:eastAsia="zh-CN"/>
        </w:rPr>
        <w:t>30</w:t>
      </w:r>
      <w:r>
        <w:rPr>
          <w:rFonts w:hint="eastAsia" w:ascii="宋体" w:hAnsi="宋体" w:eastAsia="宋体" w:cs="宋体"/>
          <w:color w:val="auto"/>
          <w:sz w:val="28"/>
          <w:szCs w:val="28"/>
          <w:lang w:val="zh-CN" w:eastAsia="zh-CN"/>
        </w:rPr>
        <w:t>日内付</w:t>
      </w:r>
      <w:r>
        <w:rPr>
          <w:rFonts w:hint="eastAsia" w:ascii="宋体" w:hAnsi="宋体" w:eastAsia="宋体" w:cs="宋体"/>
          <w:color w:val="auto"/>
          <w:sz w:val="28"/>
          <w:szCs w:val="28"/>
          <w:lang w:val="en-US" w:eastAsia="zh-CN"/>
        </w:rPr>
        <w:t>合同价</w:t>
      </w:r>
      <w:r>
        <w:rPr>
          <w:rFonts w:hint="eastAsia" w:ascii="宋体" w:hAnsi="宋体" w:eastAsia="宋体" w:cs="宋体"/>
          <w:color w:val="auto"/>
          <w:sz w:val="28"/>
          <w:szCs w:val="28"/>
          <w:lang w:val="zh-CN" w:eastAsia="zh-CN"/>
        </w:rPr>
        <w:t>的</w:t>
      </w:r>
      <w:r>
        <w:rPr>
          <w:rFonts w:hint="eastAsia" w:ascii="宋体" w:hAnsi="宋体" w:eastAsia="宋体" w:cs="宋体"/>
          <w:color w:val="auto"/>
          <w:sz w:val="28"/>
          <w:szCs w:val="28"/>
          <w:lang w:val="en-US" w:eastAsia="zh-CN"/>
        </w:rPr>
        <w:t>80</w:t>
      </w:r>
      <w:r>
        <w:rPr>
          <w:rFonts w:hint="eastAsia" w:ascii="宋体" w:hAnsi="宋体" w:eastAsia="宋体" w:cs="宋体"/>
          <w:color w:val="auto"/>
          <w:sz w:val="28"/>
          <w:szCs w:val="28"/>
          <w:lang w:val="zh-CN" w:eastAsia="zh-CN"/>
        </w:rPr>
        <w:t>%；提交正式成果，</w:t>
      </w:r>
      <w:r>
        <w:rPr>
          <w:rFonts w:hint="eastAsia" w:ascii="宋体" w:hAnsi="宋体" w:eastAsia="宋体" w:cs="宋体"/>
          <w:color w:val="auto"/>
          <w:sz w:val="28"/>
          <w:szCs w:val="28"/>
          <w:lang w:val="en-US" w:eastAsia="zh-CN"/>
        </w:rPr>
        <w:t>并经自然资源和规划局专家论证通过并取得批复文件</w:t>
      </w:r>
      <w:r>
        <w:rPr>
          <w:rFonts w:hint="eastAsia" w:ascii="宋体" w:hAnsi="宋体" w:eastAsia="宋体" w:cs="宋体"/>
          <w:color w:val="auto"/>
          <w:sz w:val="28"/>
          <w:szCs w:val="28"/>
          <w:lang w:val="zh-CN" w:eastAsia="zh-CN"/>
        </w:rPr>
        <w:t>后</w:t>
      </w:r>
      <w:r>
        <w:rPr>
          <w:rFonts w:hint="eastAsia" w:ascii="宋体" w:hAnsi="宋体" w:eastAsia="宋体" w:cs="宋体"/>
          <w:color w:val="auto"/>
          <w:sz w:val="28"/>
          <w:szCs w:val="28"/>
          <w:lang w:val="en-US" w:eastAsia="zh-CN"/>
        </w:rPr>
        <w:t>付清余款</w:t>
      </w:r>
      <w:r>
        <w:rPr>
          <w:rFonts w:hint="eastAsia" w:ascii="宋体" w:hAnsi="宋体" w:eastAsia="宋体" w:cs="宋体"/>
          <w:color w:val="auto"/>
          <w:sz w:val="28"/>
          <w:szCs w:val="28"/>
          <w:lang w:val="zh-CN" w:eastAsia="zh-CN"/>
        </w:rPr>
        <w:t>。</w:t>
      </w:r>
    </w:p>
    <w:p w14:paraId="28E70E99">
      <w:pPr>
        <w:keepNext w:val="0"/>
        <w:keepLines w:val="0"/>
        <w:pageBreakBefore w:val="0"/>
        <w:widowControl w:val="0"/>
        <w:spacing w:line="500" w:lineRule="exact"/>
        <w:ind w:firstLine="562"/>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lang w:val="zh-CN"/>
        </w:rPr>
        <w:t>、履约保证金：</w:t>
      </w:r>
    </w:p>
    <w:p w14:paraId="1537820B">
      <w:pPr>
        <w:keepNext w:val="0"/>
        <w:keepLines w:val="0"/>
        <w:pageBreakBefore w:val="0"/>
        <w:widowControl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1.本项目成交后的履约保证金为项目成交价的</w:t>
      </w:r>
      <w:r>
        <w:rPr>
          <w:rFonts w:hint="eastAsia" w:ascii="宋体" w:hAnsi="宋体" w:eastAsia="宋体" w:cs="宋体"/>
          <w:color w:val="auto"/>
          <w:sz w:val="28"/>
          <w:szCs w:val="28"/>
          <w:lang w:val="en-US" w:eastAsia="zh-CN"/>
        </w:rPr>
        <w:t>10</w:t>
      </w:r>
      <w:r>
        <w:rPr>
          <w:rFonts w:hint="eastAsia" w:ascii="宋体" w:hAnsi="宋体" w:eastAsia="宋体" w:cs="宋体"/>
          <w:color w:val="auto"/>
          <w:sz w:val="28"/>
          <w:szCs w:val="28"/>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color w:val="auto"/>
          <w:sz w:val="28"/>
          <w:szCs w:val="28"/>
          <w:highlight w:val="yellow"/>
        </w:rPr>
        <w:br w:type="textWrapping"/>
      </w:r>
      <w:r>
        <w:rPr>
          <w:rFonts w:hint="eastAsia" w:ascii="宋体" w:hAnsi="宋体" w:eastAsia="宋体" w:cs="宋体"/>
          <w:color w:val="auto"/>
          <w:sz w:val="28"/>
          <w:szCs w:val="28"/>
        </w:rPr>
        <w:t xml:space="preserve">    2.成交供应商全部履约合同义务，经采购单位验收合格无质量、进度等问题的，采购人在验收合格后一次性退还履约保证金，采购人若逾期退还履约保证金的，按照逾期部分的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u w:val="single"/>
        </w:rPr>
        <w:t>每日0.05%</w:t>
      </w:r>
      <w:r>
        <w:rPr>
          <w:rFonts w:hint="eastAsia" w:ascii="宋体" w:hAnsi="宋体" w:eastAsia="宋体" w:cs="宋体"/>
          <w:color w:val="auto"/>
          <w:sz w:val="28"/>
          <w:szCs w:val="28"/>
        </w:rPr>
        <w:t>支付违约金。</w:t>
      </w:r>
      <w:r>
        <w:rPr>
          <w:rFonts w:hint="eastAsia" w:ascii="宋体" w:hAnsi="宋体" w:eastAsia="宋体" w:cs="宋体"/>
          <w:color w:val="auto"/>
          <w:sz w:val="28"/>
          <w:szCs w:val="28"/>
        </w:rPr>
        <w:br w:type="textWrapping"/>
      </w:r>
      <w:r>
        <w:rPr>
          <w:rFonts w:hint="eastAsia" w:ascii="宋体" w:hAnsi="宋体" w:eastAsia="宋体" w:cs="宋体"/>
          <w:color w:val="auto"/>
          <w:sz w:val="28"/>
          <w:szCs w:val="28"/>
        </w:rPr>
        <w:t xml:space="preserve">    3.发生以下情况的，履约保证金不予退还或部分退还：</w:t>
      </w:r>
      <w:r>
        <w:rPr>
          <w:rFonts w:hint="eastAsia" w:ascii="宋体" w:hAnsi="宋体" w:eastAsia="宋体" w:cs="宋体"/>
          <w:color w:val="auto"/>
          <w:sz w:val="28"/>
          <w:szCs w:val="28"/>
        </w:rPr>
        <w:br w:type="textWrapping"/>
      </w:r>
      <w:r>
        <w:rPr>
          <w:rFonts w:hint="eastAsia" w:ascii="宋体" w:hAnsi="宋体" w:eastAsia="宋体" w:cs="宋体"/>
          <w:color w:val="auto"/>
          <w:sz w:val="28"/>
          <w:szCs w:val="28"/>
        </w:rPr>
        <w:t xml:space="preserve">    a.签订合同后，成交供应商不履行合同义务的，采购单位有权全额扣除履约保证金，全额不予退还，同时采购单位亦有权终止合同，成交供应商还须承担相应的法律赔偿责任。</w:t>
      </w:r>
    </w:p>
    <w:p w14:paraId="45034EFA">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rPr>
        <w:t>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auto"/>
          <w:sz w:val="28"/>
          <w:szCs w:val="28"/>
          <w:highlight w:val="none"/>
        </w:rPr>
        <w:t>。</w:t>
      </w:r>
    </w:p>
    <w:p w14:paraId="20DE3370">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4.</w:t>
      </w:r>
      <w:r>
        <w:rPr>
          <w:rFonts w:hint="eastAsia" w:ascii="宋体" w:hAnsi="宋体" w:eastAsia="宋体" w:cs="宋体"/>
          <w:color w:val="auto"/>
          <w:sz w:val="28"/>
          <w:szCs w:val="28"/>
          <w:highlight w:val="none"/>
        </w:rPr>
        <w:t>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5B10084B">
      <w:pPr>
        <w:keepNext w:val="0"/>
        <w:keepLines w:val="0"/>
        <w:pageBreakBefore w:val="0"/>
        <w:widowControl w:val="0"/>
        <w:spacing w:line="500" w:lineRule="exact"/>
        <w:ind w:firstLine="562"/>
        <w:rPr>
          <w:rFonts w:hint="eastAsia" w:ascii="宋体" w:hAnsi="宋体" w:eastAsia="宋体" w:cs="宋体"/>
          <w:color w:val="auto"/>
          <w:sz w:val="28"/>
          <w:szCs w:val="28"/>
          <w:highlight w:val="none"/>
          <w:lang w:eastAsia="zh-CN"/>
        </w:rPr>
      </w:pPr>
      <w:r>
        <w:rPr>
          <w:rFonts w:hint="eastAsia" w:ascii="宋体" w:hAnsi="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本项目（不接受）进口产品参与</w:t>
      </w:r>
      <w:r>
        <w:rPr>
          <w:rFonts w:hint="eastAsia" w:ascii="宋体" w:hAnsi="宋体" w:cs="宋体"/>
          <w:b/>
          <w:bCs/>
          <w:color w:val="auto"/>
          <w:sz w:val="28"/>
          <w:szCs w:val="28"/>
          <w:highlight w:val="none"/>
          <w:lang w:eastAsia="zh-CN"/>
        </w:rPr>
        <w:t>。</w:t>
      </w:r>
    </w:p>
    <w:p w14:paraId="6360DA8A">
      <w:pPr>
        <w:keepNext w:val="0"/>
        <w:keepLines w:val="0"/>
        <w:pageBreakBefore w:val="0"/>
        <w:widowControl w:val="0"/>
        <w:spacing w:line="500" w:lineRule="exact"/>
        <w:ind w:firstLine="562"/>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七</w:t>
      </w:r>
      <w:r>
        <w:rPr>
          <w:rFonts w:hint="eastAsia" w:ascii="宋体" w:hAnsi="宋体" w:eastAsia="宋体" w:cs="宋体"/>
          <w:b/>
          <w:color w:val="auto"/>
          <w:sz w:val="28"/>
          <w:szCs w:val="28"/>
          <w:highlight w:val="none"/>
        </w:rPr>
        <w:t>、合同条款</w:t>
      </w:r>
    </w:p>
    <w:p w14:paraId="3E4583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委托单位（以下简称甲方）：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3AD4CBB1">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设计单位（以下简称乙方）：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p>
    <w:p w14:paraId="0AEED67F">
      <w:pPr>
        <w:keepNext w:val="0"/>
        <w:keepLines w:val="0"/>
        <w:pageBreakBefore w:val="0"/>
        <w:widowControl w:val="0"/>
        <w:kinsoku/>
        <w:wordWrap/>
        <w:overflowPunct/>
        <w:topLinePunct w:val="0"/>
        <w:autoSpaceDE/>
        <w:autoSpaceDN/>
        <w:bidi w:val="0"/>
        <w:adjustRightInd/>
        <w:spacing w:line="500" w:lineRule="exact"/>
        <w:ind w:left="0" w:leftChars="0" w:firstLine="481"/>
        <w:jc w:val="left"/>
        <w:textAlignment w:val="auto"/>
        <w:rPr>
          <w:rFonts w:hint="eastAsia" w:ascii="宋体" w:hAnsi="宋体" w:eastAsia="宋体" w:cs="宋体"/>
          <w:b/>
          <w:sz w:val="24"/>
          <w:szCs w:val="24"/>
          <w:lang w:val="en-US" w:eastAsia="zh-CN"/>
        </w:rPr>
      </w:pPr>
      <w:r>
        <w:rPr>
          <w:rFonts w:hint="eastAsia" w:ascii="宋体" w:hAnsi="宋体" w:eastAsia="宋体" w:cs="宋体"/>
          <w:b w:val="0"/>
          <w:bCs w:val="0"/>
          <w:color w:val="auto"/>
          <w:sz w:val="24"/>
          <w:szCs w:val="24"/>
        </w:rPr>
        <w:t>根据政府采购相关要求，</w:t>
      </w:r>
      <w:r>
        <w:rPr>
          <w:rFonts w:hint="eastAsia" w:ascii="宋体" w:hAnsi="宋体" w:eastAsia="宋体" w:cs="宋体"/>
          <w:b w:val="0"/>
          <w:bCs w:val="0"/>
          <w:color w:val="auto"/>
          <w:sz w:val="24"/>
          <w:szCs w:val="24"/>
          <w:u w:val="single"/>
          <w:lang w:val="en-US" w:eastAsia="zh-CN"/>
        </w:rPr>
        <w:t>启东市吕四港镇开发边界控制性详细规划全覆盖及重点地区城市设计项目</w:t>
      </w:r>
      <w:r>
        <w:rPr>
          <w:rFonts w:hint="eastAsia" w:ascii="宋体" w:hAnsi="宋体" w:eastAsia="宋体" w:cs="宋体"/>
          <w:b w:val="0"/>
          <w:bCs w:val="0"/>
          <w:color w:val="auto"/>
          <w:sz w:val="24"/>
          <w:szCs w:val="24"/>
          <w:lang w:val="en-US" w:eastAsia="zh-CN"/>
        </w:rPr>
        <w:t>通过</w:t>
      </w:r>
      <w:r>
        <w:rPr>
          <w:rFonts w:hint="eastAsia" w:ascii="宋体" w:hAnsi="宋体" w:eastAsia="宋体" w:cs="Times New Roman"/>
          <w:color w:val="000000"/>
          <w:sz w:val="24"/>
          <w:szCs w:val="24"/>
          <w:u w:val="single"/>
          <w:lang w:val="en-US" w:eastAsia="zh-CN"/>
        </w:rPr>
        <w:t>竞争性磋商</w:t>
      </w:r>
      <w:r>
        <w:rPr>
          <w:rFonts w:hint="eastAsia" w:ascii="宋体" w:hAnsi="宋体"/>
          <w:color w:val="000000"/>
          <w:sz w:val="24"/>
          <w:szCs w:val="24"/>
        </w:rPr>
        <w:t>方式采购</w:t>
      </w:r>
      <w:r>
        <w:rPr>
          <w:rFonts w:hint="eastAsia" w:ascii="宋体" w:hAnsi="宋体"/>
          <w:color w:val="000000"/>
          <w:sz w:val="24"/>
          <w:szCs w:val="24"/>
          <w:lang w:eastAsia="zh-CN"/>
        </w:rPr>
        <w:t>，</w:t>
      </w:r>
      <w:r>
        <w:rPr>
          <w:rFonts w:hint="eastAsia" w:ascii="宋体" w:hAnsi="宋体" w:eastAsia="宋体" w:cs="宋体"/>
          <w:b w:val="0"/>
          <w:bCs w:val="0"/>
          <w:color w:val="auto"/>
          <w:sz w:val="24"/>
          <w:szCs w:val="24"/>
        </w:rPr>
        <w:t>经过评委的严格审核评定，确定</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为本项目</w:t>
      </w:r>
      <w:r>
        <w:rPr>
          <w:rFonts w:hint="eastAsia" w:ascii="宋体" w:hAnsi="宋体" w:cs="宋体"/>
          <w:b w:val="0"/>
          <w:bCs w:val="0"/>
          <w:color w:val="auto"/>
          <w:sz w:val="24"/>
          <w:szCs w:val="24"/>
          <w:lang w:val="en-US" w:eastAsia="zh-CN"/>
        </w:rPr>
        <w:t>乙方。</w:t>
      </w:r>
      <w:r>
        <w:rPr>
          <w:rFonts w:ascii="Segoe UI" w:hAnsi="Segoe UI" w:eastAsia="Segoe UI" w:cs="Segoe UI"/>
          <w:i w:val="0"/>
          <w:iCs w:val="0"/>
          <w:caps w:val="0"/>
          <w:color w:val="0F1115"/>
          <w:spacing w:val="0"/>
          <w:sz w:val="24"/>
          <w:szCs w:val="24"/>
          <w:shd w:val="clear" w:color="auto" w:fill="FFFFFF"/>
        </w:rPr>
        <w:t>甲、乙双方根据《中华人民共和国民法典》《中华人民共和国政府采购法》等法律法规的规定，并按照公正、平等、自愿、诚实信用的原则，同意按照以下条款和条件，签署本</w:t>
      </w:r>
      <w:r>
        <w:rPr>
          <w:rFonts w:hint="eastAsia" w:ascii="Segoe UI" w:hAnsi="Segoe UI" w:eastAsia="宋体" w:cs="Segoe UI"/>
          <w:i w:val="0"/>
          <w:iCs w:val="0"/>
          <w:caps w:val="0"/>
          <w:color w:val="0F1115"/>
          <w:spacing w:val="0"/>
          <w:sz w:val="24"/>
          <w:szCs w:val="24"/>
          <w:shd w:val="clear" w:color="auto" w:fill="FFFFFF"/>
          <w:lang w:val="en-US" w:eastAsia="zh-CN"/>
        </w:rPr>
        <w:t>合同。</w:t>
      </w:r>
    </w:p>
    <w:p w14:paraId="5036BF54">
      <w:pPr>
        <w:pStyle w:val="267"/>
        <w:keepNext w:val="0"/>
        <w:keepLines w:val="0"/>
        <w:pageBreakBefore w:val="0"/>
        <w:widowControl w:val="0"/>
        <w:kinsoku/>
        <w:wordWrap/>
        <w:overflowPunct/>
        <w:topLinePunct w:val="0"/>
        <w:autoSpaceDE/>
        <w:autoSpaceDN/>
        <w:bidi w:val="0"/>
        <w:adjustRightInd/>
        <w:snapToGrid/>
        <w:spacing w:line="440" w:lineRule="exact"/>
        <w:ind w:left="0" w:leftChars="0" w:firstLine="513" w:firstLineChars="213"/>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第一条 合同</w:t>
      </w:r>
      <w:r>
        <w:rPr>
          <w:rFonts w:hint="eastAsia" w:ascii="宋体" w:hAnsi="宋体" w:eastAsia="宋体" w:cs="宋体"/>
          <w:b/>
          <w:bCs/>
          <w:sz w:val="24"/>
          <w:szCs w:val="24"/>
          <w:highlight w:val="none"/>
          <w:lang w:val="en-US" w:eastAsia="zh-CN"/>
        </w:rPr>
        <w:t>内容</w:t>
      </w:r>
    </w:p>
    <w:p w14:paraId="27771A6C">
      <w:pPr>
        <w:pStyle w:val="267"/>
        <w:keepNext w:val="0"/>
        <w:keepLines w:val="0"/>
        <w:pageBreakBefore w:val="0"/>
        <w:widowControl w:val="0"/>
        <w:kinsoku/>
        <w:wordWrap/>
        <w:overflowPunct/>
        <w:topLinePunct w:val="0"/>
        <w:autoSpaceDE/>
        <w:autoSpaceDN/>
        <w:bidi w:val="0"/>
        <w:adjustRightInd/>
        <w:snapToGrid/>
        <w:spacing w:line="440" w:lineRule="exact"/>
        <w:ind w:left="0" w:leftChars="0" w:firstLine="511" w:firstLineChars="213"/>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启东市吕四港镇开发边界控制性详细规划全覆盖及重点地区城市设计项目。</w:t>
      </w:r>
    </w:p>
    <w:p w14:paraId="6BA47D5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第二条 合同金额</w:t>
      </w:r>
    </w:p>
    <w:p w14:paraId="0D8BCE9E">
      <w:pPr>
        <w:pStyle w:val="267"/>
        <w:keepNext w:val="0"/>
        <w:keepLines w:val="0"/>
        <w:pageBreakBefore w:val="0"/>
        <w:widowControl w:val="0"/>
        <w:kinsoku/>
        <w:wordWrap/>
        <w:overflowPunct/>
        <w:topLinePunct w:val="0"/>
        <w:autoSpaceDE/>
        <w:autoSpaceDN/>
        <w:bidi w:val="0"/>
        <w:adjustRightInd/>
        <w:snapToGrid/>
        <w:spacing w:line="440" w:lineRule="exact"/>
        <w:ind w:left="0" w:leftChars="0" w:firstLine="511" w:firstLineChars="213"/>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合同金额为（大写）：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万元</w:t>
      </w:r>
      <w:r>
        <w:rPr>
          <w:rFonts w:hint="eastAsia" w:ascii="宋体" w:hAnsi="宋体" w:eastAsia="宋体" w:cs="宋体"/>
          <w:sz w:val="24"/>
          <w:szCs w:val="24"/>
          <w:highlight w:val="none"/>
        </w:rPr>
        <w:t>）。</w:t>
      </w:r>
    </w:p>
    <w:p w14:paraId="1577D0B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2.合同金额包含（但不限于）</w:t>
      </w:r>
      <w:r>
        <w:rPr>
          <w:rFonts w:hint="eastAsia" w:ascii="宋体" w:hAnsi="宋体" w:eastAsia="宋体" w:cs="宋体"/>
          <w:sz w:val="24"/>
          <w:szCs w:val="24"/>
          <w:highlight w:val="none"/>
          <w:lang w:val="zh-CN" w:eastAsia="zh-CN" w:bidi="ar-SA"/>
        </w:rPr>
        <w:t>人员费用、调研费用（现场踏勘、部门走访、资料收集）、专家咨询费</w:t>
      </w:r>
      <w:r>
        <w:rPr>
          <w:rFonts w:hint="eastAsia" w:ascii="宋体" w:hAnsi="宋体" w:eastAsia="宋体" w:cs="宋体"/>
          <w:sz w:val="24"/>
          <w:szCs w:val="24"/>
          <w:highlight w:val="none"/>
          <w:lang w:val="en-US" w:eastAsia="zh-CN" w:bidi="ar-SA"/>
        </w:rPr>
        <w:t>、</w:t>
      </w:r>
      <w:r>
        <w:rPr>
          <w:rFonts w:hint="eastAsia" w:ascii="宋体" w:hAnsi="宋体" w:eastAsia="宋体" w:cs="宋体"/>
          <w:sz w:val="24"/>
          <w:szCs w:val="24"/>
          <w:highlight w:val="none"/>
          <w:lang w:val="zh-CN" w:eastAsia="zh-CN" w:bidi="ar-SA"/>
        </w:rPr>
        <w:t>评审会务费、成果制作费（图纸绘制、文本打印、模型制作、效果图、汇报文件）、差旅交通费、管理费、利润、税金，以及政策性文件规定及合同包含的所有风险、责任</w:t>
      </w:r>
      <w:r>
        <w:rPr>
          <w:rFonts w:hint="eastAsia" w:ascii="宋体" w:hAnsi="宋体" w:eastAsia="宋体" w:cs="宋体"/>
          <w:sz w:val="24"/>
          <w:szCs w:val="24"/>
          <w:highlight w:val="none"/>
          <w:lang w:val="en-US" w:eastAsia="zh-CN" w:bidi="ar-SA"/>
        </w:rPr>
        <w:t>等与项目实施全过程有关的一切费用。</w:t>
      </w:r>
    </w:p>
    <w:p w14:paraId="1298362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第三条 项目需求</w:t>
      </w:r>
    </w:p>
    <w:p w14:paraId="2C8A4740">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一</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规划范围</w:t>
      </w:r>
    </w:p>
    <w:p w14:paraId="4EAA00CA">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lang w:eastAsia="zh-CN"/>
        </w:rPr>
        <w:t>详细规划编制范围：G328以南镇区开发边界集中空间，面积约14平方公里。</w:t>
      </w:r>
    </w:p>
    <w:p w14:paraId="7E5CBD0D">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lang w:eastAsia="zh-CN"/>
        </w:rPr>
        <w:t>重点地区设计范围：</w:t>
      </w:r>
    </w:p>
    <w:p w14:paraId="3B890314">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新城核心区：东至通港大道，南至S255（府前路），西至环城东路（鹤港路），北至串场河路，面积约1.4平方公里。</w:t>
      </w:r>
    </w:p>
    <w:p w14:paraId="239C87B5">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水产路更新片区启动区：北至香堂路，东至延寿路，南至府前路，西至大洋港东岸，面积约36公顷。</w:t>
      </w:r>
    </w:p>
    <w:p w14:paraId="68347F1B">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（二）</w:t>
      </w:r>
      <w:r>
        <w:rPr>
          <w:rFonts w:hint="eastAsia" w:ascii="宋体" w:hAnsi="宋体" w:eastAsia="宋体" w:cs="宋体"/>
          <w:bCs/>
          <w:sz w:val="24"/>
          <w:szCs w:val="24"/>
          <w:highlight w:val="none"/>
          <w:lang w:eastAsia="zh-CN"/>
        </w:rPr>
        <w:t>工作内容</w:t>
      </w:r>
      <w:r>
        <w:rPr>
          <w:rFonts w:hint="eastAsia" w:ascii="宋体" w:hAnsi="宋体" w:eastAsia="宋体" w:cs="宋体"/>
          <w:bCs/>
          <w:sz w:val="24"/>
          <w:szCs w:val="24"/>
          <w:highlight w:val="none"/>
          <w:lang w:val="en-US" w:eastAsia="zh-CN"/>
        </w:rPr>
        <w:t>与成果要求</w:t>
      </w:r>
    </w:p>
    <w:tbl>
      <w:tblPr>
        <w:tblStyle w:val="35"/>
        <w:tblpPr w:leftFromText="180" w:rightFromText="180" w:vertAnchor="text" w:tblpX="-174" w:tblpY="203"/>
        <w:tblOverlap w:val="never"/>
        <w:tblW w:w="93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04"/>
        <w:gridCol w:w="3888"/>
        <w:gridCol w:w="4044"/>
      </w:tblGrid>
      <w:tr w14:paraId="6A9A2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1404" w:type="dxa"/>
            <w:noWrap w:val="0"/>
            <w:vAlign w:val="center"/>
          </w:tcPr>
          <w:p w14:paraId="796D7E43">
            <w:pPr>
              <w:widowControl w:val="0"/>
              <w:numPr>
                <w:ilvl w:val="0"/>
                <w:numId w:val="0"/>
              </w:numPr>
              <w:spacing w:before="0" w:after="0" w:line="460" w:lineRule="exact"/>
              <w:rPr>
                <w:rStyle w:val="258"/>
                <w:rFonts w:hint="default" w:ascii="宋体" w:hAnsi="宋体" w:eastAsia="宋体" w:cs="仿宋"/>
                <w:b w:val="0"/>
                <w:bCs w:val="0"/>
                <w:color w:val="auto"/>
                <w:kern w:val="0"/>
                <w:sz w:val="24"/>
                <w:szCs w:val="24"/>
                <w:vertAlign w:val="baseline"/>
              </w:rPr>
            </w:pPr>
            <w:r>
              <w:rPr>
                <w:rStyle w:val="258"/>
                <w:rFonts w:hint="eastAsia" w:ascii="宋体" w:hAnsi="宋体" w:eastAsia="宋体" w:cs="仿宋"/>
                <w:i w:val="0"/>
                <w:iCs w:val="0"/>
                <w:caps w:val="0"/>
                <w:color w:val="auto"/>
                <w:spacing w:val="0"/>
                <w:kern w:val="0"/>
                <w:sz w:val="24"/>
                <w:szCs w:val="24"/>
                <w:lang w:val="en-US" w:eastAsia="zh-CN" w:bidi="ar"/>
              </w:rPr>
              <w:t>工作模块</w:t>
            </w:r>
          </w:p>
        </w:tc>
        <w:tc>
          <w:tcPr>
            <w:tcW w:w="3888" w:type="dxa"/>
            <w:noWrap w:val="0"/>
            <w:vAlign w:val="center"/>
          </w:tcPr>
          <w:p w14:paraId="675E069B">
            <w:pPr>
              <w:widowControl w:val="0"/>
              <w:numPr>
                <w:ilvl w:val="0"/>
                <w:numId w:val="0"/>
              </w:numPr>
              <w:spacing w:before="0" w:after="0" w:line="460" w:lineRule="exact"/>
              <w:rPr>
                <w:rStyle w:val="258"/>
                <w:rFonts w:hint="default" w:ascii="宋体" w:hAnsi="宋体" w:eastAsia="宋体" w:cs="仿宋"/>
                <w:b w:val="0"/>
                <w:bCs w:val="0"/>
                <w:color w:val="auto"/>
                <w:kern w:val="0"/>
                <w:sz w:val="24"/>
                <w:szCs w:val="24"/>
                <w:vertAlign w:val="baseline"/>
              </w:rPr>
            </w:pPr>
            <w:r>
              <w:rPr>
                <w:rStyle w:val="258"/>
                <w:rFonts w:hint="eastAsia" w:ascii="宋体" w:hAnsi="宋体" w:eastAsia="宋体" w:cs="仿宋"/>
                <w:i w:val="0"/>
                <w:iCs w:val="0"/>
                <w:caps w:val="0"/>
                <w:color w:val="auto"/>
                <w:spacing w:val="0"/>
                <w:kern w:val="0"/>
                <w:sz w:val="24"/>
                <w:szCs w:val="24"/>
                <w:lang w:val="en-US" w:eastAsia="zh-CN" w:bidi="ar"/>
              </w:rPr>
              <w:t>核心工作内容</w:t>
            </w:r>
          </w:p>
        </w:tc>
        <w:tc>
          <w:tcPr>
            <w:tcW w:w="4044" w:type="dxa"/>
            <w:noWrap w:val="0"/>
            <w:vAlign w:val="center"/>
          </w:tcPr>
          <w:p w14:paraId="31C67C1A">
            <w:pPr>
              <w:widowControl w:val="0"/>
              <w:numPr>
                <w:ilvl w:val="0"/>
                <w:numId w:val="0"/>
              </w:numPr>
              <w:spacing w:before="0" w:after="0" w:line="460" w:lineRule="exact"/>
              <w:rPr>
                <w:rStyle w:val="258"/>
                <w:rFonts w:hint="default" w:ascii="宋体" w:hAnsi="宋体" w:eastAsia="宋体" w:cs="仿宋"/>
                <w:b w:val="0"/>
                <w:bCs w:val="0"/>
                <w:color w:val="auto"/>
                <w:kern w:val="0"/>
                <w:sz w:val="24"/>
                <w:szCs w:val="24"/>
                <w:vertAlign w:val="baseline"/>
              </w:rPr>
            </w:pPr>
            <w:r>
              <w:rPr>
                <w:rStyle w:val="258"/>
                <w:rFonts w:hint="eastAsia" w:ascii="宋体" w:hAnsi="宋体" w:eastAsia="宋体" w:cs="仿宋"/>
                <w:i w:val="0"/>
                <w:iCs w:val="0"/>
                <w:caps w:val="0"/>
                <w:color w:val="auto"/>
                <w:spacing w:val="0"/>
                <w:kern w:val="0"/>
                <w:sz w:val="24"/>
                <w:szCs w:val="24"/>
                <w:lang w:val="en-US" w:eastAsia="zh-CN" w:bidi="ar"/>
              </w:rPr>
              <w:t>成果要求（包括但不限于）</w:t>
            </w:r>
          </w:p>
        </w:tc>
      </w:tr>
      <w:tr w14:paraId="01D6C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1404" w:type="dxa"/>
            <w:noWrap w:val="0"/>
            <w:vAlign w:val="center"/>
          </w:tcPr>
          <w:p w14:paraId="4E6E3D4A">
            <w:pPr>
              <w:keepNext w:val="0"/>
              <w:keepLines w:val="0"/>
              <w:widowControl/>
              <w:numPr>
                <w:ilvl w:val="0"/>
                <w:numId w:val="0"/>
              </w:numPr>
              <w:suppressLineNumbers w:val="0"/>
              <w:spacing w:line="300" w:lineRule="exact"/>
              <w:ind w:left="0" w:leftChars="0" w:firstLine="0" w:firstLineChars="0"/>
              <w:jc w:val="left"/>
              <w:rPr>
                <w:rStyle w:val="258"/>
                <w:rFonts w:hint="eastAsia" w:ascii="宋体" w:hAnsi="宋体" w:eastAsia="宋体" w:cs="仿宋"/>
                <w:i w:val="0"/>
                <w:iCs w:val="0"/>
                <w:caps w:val="0"/>
                <w:color w:val="auto"/>
                <w:spacing w:val="0"/>
                <w:kern w:val="0"/>
                <w:sz w:val="24"/>
                <w:szCs w:val="24"/>
                <w:lang w:val="en-US" w:eastAsia="zh-CN" w:bidi="ar"/>
              </w:rPr>
            </w:pPr>
            <w:r>
              <w:rPr>
                <w:rStyle w:val="258"/>
                <w:rFonts w:hint="eastAsia" w:ascii="宋体" w:hAnsi="宋体" w:eastAsia="宋体" w:cs="仿宋"/>
                <w:b w:val="0"/>
                <w:bCs w:val="0"/>
                <w:i w:val="0"/>
                <w:iCs w:val="0"/>
                <w:caps w:val="0"/>
                <w:color w:val="auto"/>
                <w:spacing w:val="0"/>
                <w:kern w:val="0"/>
                <w:sz w:val="24"/>
                <w:szCs w:val="24"/>
                <w:lang w:val="en-US" w:eastAsia="zh-CN" w:bidi="ar"/>
              </w:rPr>
              <w:t>开发边界内规划编制</w:t>
            </w:r>
          </w:p>
        </w:tc>
        <w:tc>
          <w:tcPr>
            <w:tcW w:w="3888" w:type="dxa"/>
            <w:noWrap w:val="0"/>
            <w:vAlign w:val="center"/>
          </w:tcPr>
          <w:p w14:paraId="0789ED89">
            <w:pPr>
              <w:keepNext w:val="0"/>
              <w:keepLines w:val="0"/>
              <w:widowControl/>
              <w:numPr>
                <w:ilvl w:val="0"/>
                <w:numId w:val="0"/>
              </w:numPr>
              <w:suppressLineNumbers w:val="0"/>
              <w:spacing w:line="300" w:lineRule="exact"/>
              <w:ind w:left="0" w:leftChars="0" w:firstLine="0" w:firstLineChars="0"/>
              <w:jc w:val="both"/>
              <w:rPr>
                <w:rStyle w:val="258"/>
                <w:rFonts w:hint="eastAsia" w:ascii="宋体" w:hAnsi="宋体" w:eastAsia="宋体" w:cs="仿宋"/>
                <w:i w:val="0"/>
                <w:iCs w:val="0"/>
                <w:caps w:val="0"/>
                <w:color w:val="auto"/>
                <w:spacing w:val="0"/>
                <w:kern w:val="0"/>
                <w:sz w:val="24"/>
                <w:szCs w:val="24"/>
                <w:lang w:val="en-US" w:eastAsia="zh-CN" w:bidi="ar"/>
              </w:rPr>
            </w:pPr>
            <w:r>
              <w:rPr>
                <w:rStyle w:val="258"/>
                <w:rFonts w:hint="eastAsia" w:ascii="宋体" w:hAnsi="宋体" w:eastAsia="宋体" w:cs="仿宋"/>
                <w:i w:val="0"/>
                <w:iCs w:val="0"/>
                <w:caps w:val="0"/>
                <w:color w:val="auto"/>
                <w:spacing w:val="0"/>
                <w:kern w:val="0"/>
                <w:sz w:val="24"/>
                <w:szCs w:val="24"/>
                <w:lang w:val="en-US" w:eastAsia="zh-CN" w:bidi="ar"/>
              </w:rPr>
              <w:t>以提升城市空间品质为目标，研究确定</w:t>
            </w:r>
            <w:r>
              <w:rPr>
                <w:rStyle w:val="258"/>
                <w:rFonts w:hint="eastAsia" w:ascii="宋体" w:hAnsi="宋体" w:eastAsia="宋体" w:cs="仿宋"/>
                <w:b w:val="0"/>
                <w:bCs w:val="0"/>
                <w:i w:val="0"/>
                <w:iCs w:val="0"/>
                <w:caps w:val="0"/>
                <w:color w:val="auto"/>
                <w:spacing w:val="0"/>
                <w:kern w:val="0"/>
                <w:sz w:val="24"/>
                <w:szCs w:val="24"/>
                <w:lang w:val="en-US" w:eastAsia="zh-CN" w:bidi="ar"/>
              </w:rPr>
              <w:t>城市风貌特色</w:t>
            </w:r>
            <w:r>
              <w:rPr>
                <w:rStyle w:val="258"/>
                <w:rFonts w:hint="eastAsia" w:ascii="宋体" w:hAnsi="宋体" w:eastAsia="宋体" w:cs="仿宋"/>
                <w:i w:val="0"/>
                <w:iCs w:val="0"/>
                <w:caps w:val="0"/>
                <w:color w:val="auto"/>
                <w:spacing w:val="0"/>
                <w:kern w:val="0"/>
                <w:sz w:val="24"/>
                <w:szCs w:val="24"/>
                <w:lang w:val="en-US" w:eastAsia="zh-CN" w:bidi="ar"/>
              </w:rPr>
              <w:t>，优化</w:t>
            </w:r>
            <w:r>
              <w:rPr>
                <w:rStyle w:val="258"/>
                <w:rFonts w:hint="eastAsia" w:ascii="宋体" w:hAnsi="宋体" w:eastAsia="宋体" w:cs="仿宋"/>
                <w:b w:val="0"/>
                <w:bCs w:val="0"/>
                <w:i w:val="0"/>
                <w:iCs w:val="0"/>
                <w:caps w:val="0"/>
                <w:color w:val="auto"/>
                <w:spacing w:val="0"/>
                <w:kern w:val="0"/>
                <w:sz w:val="24"/>
                <w:szCs w:val="24"/>
                <w:lang w:val="en-US" w:eastAsia="zh-CN" w:bidi="ar"/>
              </w:rPr>
              <w:t>城市形态格局</w:t>
            </w:r>
            <w:r>
              <w:rPr>
                <w:rStyle w:val="258"/>
                <w:rFonts w:hint="eastAsia" w:ascii="宋体" w:hAnsi="宋体" w:eastAsia="宋体" w:cs="仿宋"/>
                <w:i w:val="0"/>
                <w:iCs w:val="0"/>
                <w:caps w:val="0"/>
                <w:color w:val="auto"/>
                <w:spacing w:val="0"/>
                <w:kern w:val="0"/>
                <w:sz w:val="24"/>
                <w:szCs w:val="24"/>
                <w:lang w:val="en-US" w:eastAsia="zh-CN" w:bidi="ar"/>
              </w:rPr>
              <w:t>，提出</w:t>
            </w:r>
            <w:r>
              <w:rPr>
                <w:rStyle w:val="258"/>
                <w:rFonts w:hint="eastAsia" w:ascii="宋体" w:hAnsi="宋体" w:eastAsia="宋体" w:cs="仿宋"/>
                <w:b w:val="0"/>
                <w:bCs w:val="0"/>
                <w:i w:val="0"/>
                <w:iCs w:val="0"/>
                <w:caps w:val="0"/>
                <w:color w:val="auto"/>
                <w:spacing w:val="0"/>
                <w:kern w:val="0"/>
                <w:sz w:val="24"/>
                <w:szCs w:val="24"/>
                <w:lang w:val="en-US" w:eastAsia="zh-CN" w:bidi="ar"/>
              </w:rPr>
              <w:t>公共服务等各系统优化策略</w:t>
            </w:r>
            <w:r>
              <w:rPr>
                <w:rStyle w:val="258"/>
                <w:rFonts w:hint="eastAsia" w:ascii="宋体" w:hAnsi="宋体" w:eastAsia="宋体" w:cs="仿宋"/>
                <w:i w:val="0"/>
                <w:iCs w:val="0"/>
                <w:caps w:val="0"/>
                <w:color w:val="auto"/>
                <w:spacing w:val="0"/>
                <w:kern w:val="0"/>
                <w:sz w:val="24"/>
                <w:szCs w:val="24"/>
                <w:lang w:val="en-US" w:eastAsia="zh-CN" w:bidi="ar"/>
              </w:rPr>
              <w:t>，提升</w:t>
            </w:r>
            <w:r>
              <w:rPr>
                <w:rStyle w:val="258"/>
                <w:rFonts w:hint="eastAsia" w:ascii="宋体" w:hAnsi="宋体" w:eastAsia="宋体" w:cs="仿宋"/>
                <w:b w:val="0"/>
                <w:bCs w:val="0"/>
                <w:i w:val="0"/>
                <w:iCs w:val="0"/>
                <w:caps w:val="0"/>
                <w:color w:val="auto"/>
                <w:spacing w:val="0"/>
                <w:kern w:val="0"/>
                <w:sz w:val="24"/>
                <w:szCs w:val="24"/>
                <w:lang w:val="en-US" w:eastAsia="zh-CN" w:bidi="ar"/>
              </w:rPr>
              <w:t>空间景观构架和关键节点意象</w:t>
            </w:r>
            <w:r>
              <w:rPr>
                <w:rStyle w:val="258"/>
                <w:rFonts w:hint="eastAsia" w:ascii="宋体" w:hAnsi="宋体" w:eastAsia="宋体" w:cs="仿宋"/>
                <w:i w:val="0"/>
                <w:iCs w:val="0"/>
                <w:caps w:val="0"/>
                <w:color w:val="auto"/>
                <w:spacing w:val="0"/>
                <w:kern w:val="0"/>
                <w:sz w:val="24"/>
                <w:szCs w:val="24"/>
                <w:lang w:val="en-US" w:eastAsia="zh-CN" w:bidi="ar"/>
              </w:rPr>
              <w:t>，并衔接上位规划，</w:t>
            </w:r>
            <w:r>
              <w:rPr>
                <w:rStyle w:val="258"/>
                <w:rFonts w:hint="eastAsia" w:ascii="宋体" w:hAnsi="宋体" w:eastAsia="宋体" w:cs="仿宋"/>
                <w:b w:val="0"/>
                <w:bCs w:val="0"/>
                <w:i w:val="0"/>
                <w:iCs w:val="0"/>
                <w:caps w:val="0"/>
                <w:color w:val="auto"/>
                <w:spacing w:val="0"/>
                <w:kern w:val="0"/>
                <w:sz w:val="24"/>
                <w:szCs w:val="24"/>
                <w:lang w:val="en-US" w:eastAsia="zh-CN" w:bidi="ar"/>
              </w:rPr>
              <w:t>编制单元层面详细规划</w:t>
            </w:r>
            <w:r>
              <w:rPr>
                <w:rStyle w:val="258"/>
                <w:rFonts w:hint="eastAsia" w:ascii="宋体" w:hAnsi="宋体" w:eastAsia="宋体" w:cs="仿宋"/>
                <w:i w:val="0"/>
                <w:iCs w:val="0"/>
                <w:caps w:val="0"/>
                <w:color w:val="auto"/>
                <w:spacing w:val="0"/>
                <w:kern w:val="0"/>
                <w:sz w:val="24"/>
                <w:szCs w:val="24"/>
                <w:lang w:val="en-US" w:eastAsia="zh-CN" w:bidi="ar"/>
              </w:rPr>
              <w:t>。</w:t>
            </w:r>
          </w:p>
        </w:tc>
        <w:tc>
          <w:tcPr>
            <w:tcW w:w="4044" w:type="dxa"/>
            <w:noWrap w:val="0"/>
            <w:vAlign w:val="center"/>
          </w:tcPr>
          <w:p w14:paraId="5A39C23E">
            <w:pPr>
              <w:keepNext w:val="0"/>
              <w:keepLines w:val="0"/>
              <w:widowControl/>
              <w:numPr>
                <w:ilvl w:val="0"/>
                <w:numId w:val="1"/>
              </w:numPr>
              <w:suppressLineNumbers w:val="0"/>
              <w:spacing w:line="300" w:lineRule="exact"/>
              <w:ind w:left="0" w:leftChars="0" w:firstLine="0" w:firstLineChars="0"/>
              <w:jc w:val="both"/>
              <w:rPr>
                <w:rStyle w:val="258"/>
                <w:rFonts w:hint="eastAsia" w:ascii="宋体" w:hAnsi="宋体" w:eastAsia="宋体" w:cs="仿宋"/>
                <w:i w:val="0"/>
                <w:iCs w:val="0"/>
                <w:caps w:val="0"/>
                <w:color w:val="auto"/>
                <w:spacing w:val="0"/>
                <w:kern w:val="0"/>
                <w:sz w:val="24"/>
                <w:szCs w:val="24"/>
                <w:lang w:val="en-US" w:eastAsia="zh-CN" w:bidi="ar"/>
              </w:rPr>
            </w:pPr>
            <w:r>
              <w:rPr>
                <w:rStyle w:val="258"/>
                <w:rFonts w:hint="eastAsia" w:ascii="宋体" w:hAnsi="宋体" w:eastAsia="宋体" w:cs="仿宋"/>
                <w:i w:val="0"/>
                <w:iCs w:val="0"/>
                <w:caps w:val="0"/>
                <w:color w:val="auto"/>
                <w:spacing w:val="0"/>
                <w:kern w:val="0"/>
                <w:sz w:val="24"/>
                <w:szCs w:val="24"/>
                <w:lang w:val="en-US" w:eastAsia="zh-CN" w:bidi="ar"/>
              </w:rPr>
              <w:t>单元层面详细规划成果。</w:t>
            </w:r>
          </w:p>
          <w:p w14:paraId="7D3A135E">
            <w:pPr>
              <w:keepNext w:val="0"/>
              <w:keepLines w:val="0"/>
              <w:widowControl/>
              <w:numPr>
                <w:ilvl w:val="0"/>
                <w:numId w:val="1"/>
              </w:numPr>
              <w:suppressLineNumbers w:val="0"/>
              <w:spacing w:line="300" w:lineRule="exact"/>
              <w:ind w:left="0" w:leftChars="0" w:firstLine="0" w:firstLineChars="0"/>
              <w:jc w:val="both"/>
              <w:rPr>
                <w:rStyle w:val="258"/>
                <w:rFonts w:hint="eastAsia" w:ascii="宋体" w:hAnsi="宋体" w:eastAsia="宋体" w:cs="仿宋"/>
                <w:i w:val="0"/>
                <w:iCs w:val="0"/>
                <w:caps w:val="0"/>
                <w:color w:val="auto"/>
                <w:spacing w:val="0"/>
                <w:kern w:val="0"/>
                <w:sz w:val="24"/>
                <w:szCs w:val="24"/>
                <w:lang w:val="en-US" w:eastAsia="zh-CN" w:bidi="ar"/>
              </w:rPr>
            </w:pPr>
            <w:r>
              <w:rPr>
                <w:rStyle w:val="258"/>
                <w:rFonts w:hint="eastAsia" w:ascii="宋体" w:hAnsi="宋体" w:eastAsia="宋体" w:cs="仿宋"/>
                <w:i w:val="0"/>
                <w:iCs w:val="0"/>
                <w:caps w:val="0"/>
                <w:color w:val="auto"/>
                <w:spacing w:val="0"/>
                <w:kern w:val="0"/>
                <w:sz w:val="24"/>
                <w:szCs w:val="24"/>
                <w:lang w:val="en-US" w:eastAsia="zh-CN" w:bidi="ar"/>
              </w:rPr>
              <w:t>相关图纸：现状分析图、功能和用地布局图、公共空间与景观系统规划图等。</w:t>
            </w:r>
            <w:r>
              <w:rPr>
                <w:rStyle w:val="258"/>
                <w:rFonts w:hint="eastAsia" w:ascii="宋体" w:hAnsi="宋体" w:eastAsia="宋体" w:cs="仿宋"/>
                <w:i w:val="0"/>
                <w:iCs w:val="0"/>
                <w:caps w:val="0"/>
                <w:color w:val="auto"/>
                <w:spacing w:val="0"/>
                <w:kern w:val="0"/>
                <w:sz w:val="24"/>
                <w:szCs w:val="24"/>
                <w:lang w:val="en-US" w:eastAsia="zh-CN" w:bidi="ar"/>
              </w:rPr>
              <w:br w:type="textWrapping"/>
            </w:r>
            <w:r>
              <w:rPr>
                <w:rStyle w:val="258"/>
                <w:rFonts w:hint="eastAsia" w:ascii="宋体" w:hAnsi="宋体" w:eastAsia="宋体" w:cs="仿宋"/>
                <w:i w:val="0"/>
                <w:iCs w:val="0"/>
                <w:caps w:val="0"/>
                <w:color w:val="auto"/>
                <w:spacing w:val="0"/>
                <w:kern w:val="0"/>
                <w:sz w:val="24"/>
                <w:szCs w:val="24"/>
                <w:lang w:val="en-US" w:eastAsia="zh-CN" w:bidi="ar"/>
              </w:rPr>
              <w:t>3、其他成果：整体效果图。</w:t>
            </w:r>
          </w:p>
        </w:tc>
      </w:tr>
      <w:tr w14:paraId="5CAEC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1404" w:type="dxa"/>
            <w:noWrap w:val="0"/>
            <w:vAlign w:val="center"/>
          </w:tcPr>
          <w:p w14:paraId="1813C125">
            <w:pPr>
              <w:widowControl w:val="0"/>
              <w:numPr>
                <w:ilvl w:val="0"/>
                <w:numId w:val="0"/>
              </w:numPr>
              <w:spacing w:before="0" w:after="0" w:line="300" w:lineRule="exact"/>
              <w:ind w:left="0" w:leftChars="0" w:firstLine="0" w:firstLineChars="0"/>
              <w:rPr>
                <w:rStyle w:val="258"/>
                <w:rFonts w:hint="eastAsia" w:ascii="宋体" w:hAnsi="宋体" w:eastAsia="宋体" w:cs="仿宋"/>
                <w:i w:val="0"/>
                <w:iCs w:val="0"/>
                <w:caps w:val="0"/>
                <w:color w:val="auto"/>
                <w:spacing w:val="0"/>
                <w:kern w:val="0"/>
                <w:sz w:val="24"/>
                <w:szCs w:val="24"/>
                <w:lang w:val="en-US" w:eastAsia="zh-CN" w:bidi="ar"/>
              </w:rPr>
            </w:pPr>
            <w:r>
              <w:rPr>
                <w:rStyle w:val="258"/>
                <w:rFonts w:hint="eastAsia" w:ascii="宋体" w:hAnsi="宋体" w:eastAsia="宋体" w:cs="仿宋"/>
                <w:b w:val="0"/>
                <w:bCs w:val="0"/>
                <w:i w:val="0"/>
                <w:iCs w:val="0"/>
                <w:caps w:val="0"/>
                <w:color w:val="auto"/>
                <w:spacing w:val="0"/>
                <w:kern w:val="0"/>
                <w:sz w:val="24"/>
                <w:szCs w:val="24"/>
                <w:lang w:val="en-US" w:eastAsia="zh-CN" w:bidi="ar"/>
              </w:rPr>
              <w:t>重点地区城市设计</w:t>
            </w:r>
          </w:p>
        </w:tc>
        <w:tc>
          <w:tcPr>
            <w:tcW w:w="3888" w:type="dxa"/>
            <w:noWrap w:val="0"/>
            <w:vAlign w:val="center"/>
          </w:tcPr>
          <w:p w14:paraId="431CA899">
            <w:pPr>
              <w:widowControl w:val="0"/>
              <w:numPr>
                <w:ilvl w:val="0"/>
                <w:numId w:val="0"/>
              </w:numPr>
              <w:spacing w:before="0" w:after="0" w:line="300" w:lineRule="exact"/>
              <w:ind w:left="0" w:leftChars="0" w:firstLine="0" w:firstLineChars="0"/>
              <w:rPr>
                <w:rStyle w:val="258"/>
                <w:rFonts w:hint="eastAsia" w:ascii="宋体" w:hAnsi="宋体" w:eastAsia="宋体" w:cs="仿宋"/>
                <w:i w:val="0"/>
                <w:iCs w:val="0"/>
                <w:caps w:val="0"/>
                <w:color w:val="auto"/>
                <w:spacing w:val="0"/>
                <w:kern w:val="0"/>
                <w:sz w:val="24"/>
                <w:szCs w:val="24"/>
                <w:lang w:val="en-US" w:eastAsia="zh-CN" w:bidi="ar"/>
              </w:rPr>
            </w:pPr>
            <w:r>
              <w:rPr>
                <w:rStyle w:val="258"/>
                <w:rFonts w:hint="eastAsia" w:ascii="宋体" w:hAnsi="宋体" w:eastAsia="宋体" w:cs="仿宋"/>
                <w:b w:val="0"/>
                <w:bCs w:val="0"/>
                <w:i w:val="0"/>
                <w:iCs w:val="0"/>
                <w:caps w:val="0"/>
                <w:color w:val="auto"/>
                <w:spacing w:val="0"/>
                <w:kern w:val="0"/>
                <w:sz w:val="24"/>
                <w:szCs w:val="24"/>
                <w:lang w:val="en-US" w:eastAsia="zh-CN" w:bidi="ar"/>
              </w:rPr>
              <w:t>新城核心区</w:t>
            </w:r>
            <w:r>
              <w:rPr>
                <w:rStyle w:val="258"/>
                <w:rFonts w:hint="eastAsia" w:ascii="宋体" w:hAnsi="宋体" w:eastAsia="宋体" w:cs="仿宋"/>
                <w:i w:val="0"/>
                <w:iCs w:val="0"/>
                <w:caps w:val="0"/>
                <w:color w:val="auto"/>
                <w:spacing w:val="0"/>
                <w:kern w:val="0"/>
                <w:sz w:val="24"/>
                <w:szCs w:val="24"/>
                <w:lang w:val="en-US" w:eastAsia="zh-CN" w:bidi="ar"/>
              </w:rPr>
              <w:t>：对用地布局、高度与天际线、主要廊道和界面、重要节点、开敞空间和慢行系统等进行深化设计。</w:t>
            </w:r>
            <w:r>
              <w:rPr>
                <w:rStyle w:val="258"/>
                <w:rFonts w:hint="eastAsia" w:ascii="宋体" w:hAnsi="宋体" w:eastAsia="宋体" w:cs="仿宋"/>
                <w:i w:val="0"/>
                <w:iCs w:val="0"/>
                <w:caps w:val="0"/>
                <w:color w:val="auto"/>
                <w:spacing w:val="0"/>
                <w:kern w:val="0"/>
                <w:sz w:val="24"/>
                <w:szCs w:val="24"/>
                <w:lang w:val="en-US" w:eastAsia="zh-CN" w:bidi="ar"/>
              </w:rPr>
              <w:br w:type="textWrapping"/>
            </w:r>
            <w:r>
              <w:rPr>
                <w:rStyle w:val="258"/>
                <w:rFonts w:hint="eastAsia" w:ascii="宋体" w:hAnsi="宋体" w:eastAsia="宋体" w:cs="仿宋"/>
                <w:b w:val="0"/>
                <w:bCs w:val="0"/>
                <w:i w:val="0"/>
                <w:iCs w:val="0"/>
                <w:caps w:val="0"/>
                <w:color w:val="auto"/>
                <w:spacing w:val="0"/>
                <w:kern w:val="0"/>
                <w:sz w:val="24"/>
                <w:szCs w:val="24"/>
                <w:lang w:val="en-US" w:eastAsia="zh-CN" w:bidi="ar"/>
              </w:rPr>
              <w:t>水产路更新片区</w:t>
            </w:r>
            <w:r>
              <w:rPr>
                <w:rStyle w:val="258"/>
                <w:rFonts w:hint="eastAsia" w:ascii="宋体" w:hAnsi="宋体" w:eastAsia="宋体" w:cs="仿宋"/>
                <w:i w:val="0"/>
                <w:iCs w:val="0"/>
                <w:caps w:val="0"/>
                <w:color w:val="auto"/>
                <w:spacing w:val="0"/>
                <w:kern w:val="0"/>
                <w:sz w:val="24"/>
                <w:szCs w:val="24"/>
                <w:lang w:val="en-US" w:eastAsia="zh-CN" w:bidi="ar"/>
              </w:rPr>
              <w:t>：对启动区进行深化设计，包括空间形态引导、公共空间体系、功能业态布局、交通组织、风貌色彩指引等。</w:t>
            </w:r>
          </w:p>
        </w:tc>
        <w:tc>
          <w:tcPr>
            <w:tcW w:w="4044" w:type="dxa"/>
            <w:noWrap w:val="0"/>
            <w:vAlign w:val="center"/>
          </w:tcPr>
          <w:p w14:paraId="24DEE6C0">
            <w:pPr>
              <w:widowControl w:val="0"/>
              <w:numPr>
                <w:ilvl w:val="0"/>
                <w:numId w:val="0"/>
              </w:numPr>
              <w:spacing w:before="0" w:after="0" w:line="300" w:lineRule="exact"/>
              <w:ind w:left="0" w:leftChars="0" w:firstLine="0" w:firstLineChars="0"/>
              <w:rPr>
                <w:rStyle w:val="258"/>
                <w:rFonts w:hint="eastAsia" w:ascii="宋体" w:hAnsi="宋体" w:eastAsia="宋体" w:cs="仿宋"/>
                <w:i w:val="0"/>
                <w:iCs w:val="0"/>
                <w:caps w:val="0"/>
                <w:color w:val="auto"/>
                <w:spacing w:val="0"/>
                <w:kern w:val="0"/>
                <w:sz w:val="24"/>
                <w:szCs w:val="24"/>
                <w:lang w:val="en-US" w:eastAsia="zh-CN" w:bidi="ar"/>
              </w:rPr>
            </w:pPr>
            <w:r>
              <w:rPr>
                <w:rStyle w:val="258"/>
                <w:rFonts w:hint="eastAsia" w:ascii="宋体" w:hAnsi="宋体" w:eastAsia="宋体" w:cs="仿宋"/>
                <w:i w:val="0"/>
                <w:iCs w:val="0"/>
                <w:caps w:val="0"/>
                <w:color w:val="auto"/>
                <w:spacing w:val="0"/>
                <w:kern w:val="0"/>
                <w:sz w:val="24"/>
                <w:szCs w:val="24"/>
                <w:lang w:val="en-US" w:eastAsia="zh-CN" w:bidi="ar"/>
              </w:rPr>
              <w:t>1、综合报告。</w:t>
            </w:r>
            <w:r>
              <w:rPr>
                <w:rStyle w:val="258"/>
                <w:rFonts w:hint="eastAsia" w:ascii="宋体" w:hAnsi="宋体" w:eastAsia="宋体" w:cs="仿宋"/>
                <w:i w:val="0"/>
                <w:iCs w:val="0"/>
                <w:caps w:val="0"/>
                <w:color w:val="auto"/>
                <w:spacing w:val="0"/>
                <w:kern w:val="0"/>
                <w:sz w:val="24"/>
                <w:szCs w:val="24"/>
                <w:lang w:val="en-US" w:eastAsia="zh-CN" w:bidi="ar"/>
              </w:rPr>
              <w:br w:type="textWrapping"/>
            </w:r>
            <w:r>
              <w:rPr>
                <w:rStyle w:val="258"/>
                <w:rFonts w:hint="eastAsia" w:ascii="宋体" w:hAnsi="宋体" w:eastAsia="宋体" w:cs="仿宋"/>
                <w:i w:val="0"/>
                <w:iCs w:val="0"/>
                <w:caps w:val="0"/>
                <w:color w:val="auto"/>
                <w:spacing w:val="0"/>
                <w:kern w:val="0"/>
                <w:sz w:val="24"/>
                <w:szCs w:val="24"/>
                <w:lang w:val="en-US" w:eastAsia="zh-CN" w:bidi="ar"/>
              </w:rPr>
              <w:t>2、相关图纸：城市设计平面图、空间形态与高度分析图、建筑风貌与色彩指引图等。</w:t>
            </w:r>
            <w:r>
              <w:rPr>
                <w:rStyle w:val="258"/>
                <w:rFonts w:hint="eastAsia" w:ascii="宋体" w:hAnsi="宋体" w:eastAsia="宋体" w:cs="仿宋"/>
                <w:i w:val="0"/>
                <w:iCs w:val="0"/>
                <w:caps w:val="0"/>
                <w:color w:val="auto"/>
                <w:spacing w:val="0"/>
                <w:kern w:val="0"/>
                <w:sz w:val="24"/>
                <w:szCs w:val="24"/>
                <w:lang w:val="en-US" w:eastAsia="zh-CN" w:bidi="ar"/>
              </w:rPr>
              <w:br w:type="textWrapping"/>
            </w:r>
            <w:r>
              <w:rPr>
                <w:rStyle w:val="258"/>
                <w:rFonts w:hint="eastAsia" w:ascii="宋体" w:hAnsi="宋体" w:eastAsia="宋体" w:cs="仿宋"/>
                <w:i w:val="0"/>
                <w:iCs w:val="0"/>
                <w:caps w:val="0"/>
                <w:color w:val="auto"/>
                <w:spacing w:val="0"/>
                <w:kern w:val="0"/>
                <w:sz w:val="24"/>
                <w:szCs w:val="24"/>
                <w:lang w:val="en-US" w:eastAsia="zh-CN" w:bidi="ar"/>
              </w:rPr>
              <w:t>3、其他成果：重点区域效果图、分析模型。</w:t>
            </w:r>
          </w:p>
        </w:tc>
      </w:tr>
    </w:tbl>
    <w:p w14:paraId="35AE87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（三）实施周期</w:t>
      </w:r>
    </w:p>
    <w:p w14:paraId="0D4012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自合同签订之日起120日历天内，完成全部成果并通过最终验收。</w:t>
      </w:r>
    </w:p>
    <w:p w14:paraId="0BD287F1">
      <w:pPr>
        <w:keepNext w:val="0"/>
        <w:keepLines w:val="0"/>
        <w:pageBreakBefore w:val="0"/>
        <w:widowControl w:val="0"/>
        <w:kinsoku/>
        <w:wordWrap/>
        <w:overflowPunct/>
        <w:topLinePunct w:val="0"/>
        <w:autoSpaceDE/>
        <w:autoSpaceDN/>
        <w:bidi w:val="0"/>
        <w:adjustRightInd/>
        <w:snapToGrid/>
        <w:spacing w:line="440" w:lineRule="exact"/>
        <w:ind w:firstLine="472" w:firstLineChars="196"/>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第四条  </w:t>
      </w:r>
      <w:r>
        <w:rPr>
          <w:rFonts w:hint="eastAsia" w:ascii="宋体" w:hAnsi="宋体" w:eastAsia="宋体" w:cs="宋体"/>
          <w:b/>
          <w:sz w:val="24"/>
          <w:szCs w:val="24"/>
          <w:highlight w:val="none"/>
          <w:lang w:val="en-US" w:eastAsia="zh-CN"/>
        </w:rPr>
        <w:t>规划成果文本文件</w:t>
      </w:r>
      <w:r>
        <w:rPr>
          <w:rFonts w:hint="eastAsia" w:ascii="宋体" w:hAnsi="宋体" w:eastAsia="宋体" w:cs="宋体"/>
          <w:b/>
          <w:sz w:val="24"/>
          <w:szCs w:val="24"/>
          <w:highlight w:val="none"/>
        </w:rPr>
        <w:t xml:space="preserve">要求  </w:t>
      </w:r>
    </w:p>
    <w:p w14:paraId="45E9FE2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1.综合报告：系统阐述所有工作内容。</w:t>
      </w:r>
    </w:p>
    <w:p w14:paraId="46F1A62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2.相关图纸：包含但不限于任务书中列出的所有图纸类型。</w:t>
      </w:r>
    </w:p>
    <w:p w14:paraId="4141D87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3.其他成果：必要的分析模型、重点区域效果图、汇报演示文件等。</w:t>
      </w:r>
    </w:p>
    <w:p w14:paraId="22567D8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4.电子成果：所有成果均需提供电子版（CAD、GIS、PPT、JPG等常用格式）。</w:t>
      </w:r>
    </w:p>
    <w:p w14:paraId="01110DF7">
      <w:pPr>
        <w:keepNext w:val="0"/>
        <w:keepLines w:val="0"/>
        <w:pageBreakBefore w:val="0"/>
        <w:widowControl w:val="0"/>
        <w:numPr>
          <w:ilvl w:val="0"/>
          <w:numId w:val="2"/>
        </w:numPr>
        <w:kinsoku/>
        <w:wordWrap/>
        <w:overflowPunct/>
        <w:topLinePunct w:val="0"/>
        <w:autoSpaceDE/>
        <w:autoSpaceDN/>
        <w:bidi w:val="0"/>
        <w:adjustRightInd/>
        <w:snapToGrid/>
        <w:spacing w:line="440" w:lineRule="exact"/>
        <w:ind w:firstLine="472" w:firstLineChars="196"/>
        <w:jc w:val="left"/>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cs="宋体"/>
          <w:b/>
          <w:sz w:val="24"/>
          <w:szCs w:val="24"/>
          <w:highlight w:val="none"/>
          <w:lang w:val="en-US" w:eastAsia="zh-CN"/>
        </w:rPr>
        <w:t>实施与服务要求</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w:t>
      </w:r>
    </w:p>
    <w:p w14:paraId="7290BB8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1.所有规划及设计成果的深度，须符合国家、省、市关于控制性详细规划及城市设计的现行编制规范与深度要求。</w:t>
      </w:r>
    </w:p>
    <w:p w14:paraId="6A1744C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2.成果提交形式：提交纸质最终成果8套（含综合报告、图纸图集等），以及全部电子成果1份（存储于U盘或移动硬盘）。电子成果格式须包含 editable 源文件（如.dwg,.gis,.psd,.ppt）及通用格式（.pdf,.jpg），确保甲方可直接编辑和使用。</w:t>
      </w:r>
    </w:p>
    <w:p w14:paraId="7F68B79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3.乙方须配合甲方完成报批、汇报、公示、成果入库等相关工作。</w:t>
      </w:r>
    </w:p>
    <w:p w14:paraId="1A9FDBE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4.成果验收标准与程序：</w:t>
      </w:r>
    </w:p>
    <w:p w14:paraId="51CC0E5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中期审查：合同签订后60日历天内，乙方须提交初步方案（含港产城融合研究初步结论、镇区品质提升初步策略、重点地区城市设计初稿）。由甲方组织内部审查，乙方须根据审查意见在15日历天内完成修改。</w:t>
      </w:r>
    </w:p>
    <w:p w14:paraId="1BC64BE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（2）成果验收：乙方提交全部最终成果后，由甲方组织内部审查，进行最终验收。验收合格的，由甲方出具《项目验收确认单》。</w:t>
      </w:r>
    </w:p>
    <w:p w14:paraId="6C9534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（3）报批要求：若项目成果中涉及需上报主管部门审批或备案的部分，乙方应积极配合修改完善。</w:t>
      </w:r>
    </w:p>
    <w:p w14:paraId="28F4BC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5.知识产权归属：</w:t>
      </w:r>
    </w:p>
    <w:p w14:paraId="7D23456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乙方保证其所提交的全部成果（包括但不限于报告、图纸、模型、效果图、汇报文件、分析数据）均为原创或已获得合法授权，不侵犯任何第三方的知识产权。如因此产生纠纷，由乙方承担全部法律责任并赔偿甲方损失。</w:t>
      </w:r>
    </w:p>
    <w:p w14:paraId="6F264A5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（2）自甲方付清全部合同款项之日起，本项目所有成果的除署名权以外的全部知识产权（包括但不限于复制权、发行权、展览权、改编权、信息网络传播权、使用权）均归属甲方所有。</w:t>
      </w:r>
    </w:p>
    <w:p w14:paraId="1659005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（3）甲方有权在后续规划管理、项目建设、宣传展示、成果出版等工作中无偿使用、复制、修改、改编及基于本项目成果编制下阶段设计文件，无需另行征得乙方同意或支付任何额外费用。</w:t>
      </w:r>
      <w:r>
        <w:rPr>
          <w:rFonts w:hint="eastAsia" w:ascii="宋体" w:hAnsi="宋体" w:eastAsia="宋体" w:cs="宋体"/>
          <w:sz w:val="24"/>
          <w:szCs w:val="24"/>
          <w:highlight w:val="none"/>
        </w:rPr>
        <w:t xml:space="preserve">             </w:t>
      </w:r>
    </w:p>
    <w:p w14:paraId="123C6BF0">
      <w:pPr>
        <w:keepNext w:val="0"/>
        <w:keepLines w:val="0"/>
        <w:pageBreakBefore w:val="0"/>
        <w:widowControl w:val="0"/>
        <w:kinsoku/>
        <w:wordWrap/>
        <w:overflowPunct/>
        <w:topLinePunct w:val="0"/>
        <w:autoSpaceDE/>
        <w:autoSpaceDN/>
        <w:bidi w:val="0"/>
        <w:adjustRightInd/>
        <w:snapToGrid/>
        <w:spacing w:line="440" w:lineRule="exact"/>
        <w:ind w:firstLine="472" w:firstLineChars="196"/>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第六条  支付方式</w:t>
      </w:r>
    </w:p>
    <w:p w14:paraId="0064989B">
      <w:pPr>
        <w:spacing w:line="500" w:lineRule="exact"/>
        <w:ind w:firstLine="480" w:firstLineChars="200"/>
        <w:jc w:val="left"/>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最终成果汇报后</w:t>
      </w:r>
      <w:r>
        <w:rPr>
          <w:rFonts w:hint="eastAsia" w:ascii="宋体" w:hAnsi="宋体" w:eastAsia="宋体" w:cs="宋体"/>
          <w:color w:val="auto"/>
          <w:sz w:val="24"/>
          <w:lang w:val="en-US" w:eastAsia="zh-CN"/>
        </w:rPr>
        <w:t>30</w:t>
      </w:r>
      <w:r>
        <w:rPr>
          <w:rFonts w:hint="eastAsia" w:ascii="宋体" w:hAnsi="宋体" w:eastAsia="宋体" w:cs="宋体"/>
          <w:color w:val="auto"/>
          <w:sz w:val="24"/>
          <w:lang w:val="zh-CN" w:eastAsia="zh-CN"/>
        </w:rPr>
        <w:t>日内付</w:t>
      </w:r>
      <w:r>
        <w:rPr>
          <w:rFonts w:hint="eastAsia" w:ascii="宋体" w:hAnsi="宋体" w:eastAsia="宋体" w:cs="宋体"/>
          <w:color w:val="auto"/>
          <w:sz w:val="24"/>
          <w:lang w:val="en-US" w:eastAsia="zh-CN"/>
        </w:rPr>
        <w:t>合同价</w:t>
      </w:r>
      <w:r>
        <w:rPr>
          <w:rFonts w:hint="eastAsia" w:ascii="宋体" w:hAnsi="宋体" w:eastAsia="宋体" w:cs="宋体"/>
          <w:color w:val="auto"/>
          <w:sz w:val="24"/>
          <w:lang w:val="zh-CN" w:eastAsia="zh-CN"/>
        </w:rPr>
        <w:t>的</w:t>
      </w:r>
      <w:r>
        <w:rPr>
          <w:rFonts w:hint="eastAsia" w:ascii="宋体" w:hAnsi="宋体" w:eastAsia="宋体" w:cs="宋体"/>
          <w:color w:val="auto"/>
          <w:sz w:val="24"/>
          <w:lang w:val="en-US" w:eastAsia="zh-CN"/>
        </w:rPr>
        <w:t>80</w:t>
      </w:r>
      <w:r>
        <w:rPr>
          <w:rFonts w:hint="eastAsia" w:ascii="宋体" w:hAnsi="宋体" w:eastAsia="宋体" w:cs="宋体"/>
          <w:color w:val="auto"/>
          <w:sz w:val="24"/>
          <w:lang w:val="zh-CN" w:eastAsia="zh-CN"/>
        </w:rPr>
        <w:t>%；提交正式成果，</w:t>
      </w:r>
      <w:r>
        <w:rPr>
          <w:rFonts w:hint="eastAsia" w:ascii="宋体" w:hAnsi="宋体" w:eastAsia="宋体" w:cs="宋体"/>
          <w:color w:val="auto"/>
          <w:sz w:val="24"/>
          <w:lang w:val="en-US" w:eastAsia="zh-CN"/>
        </w:rPr>
        <w:t>并经自然资源和规划局专家论证通过并取得批复文件</w:t>
      </w:r>
      <w:r>
        <w:rPr>
          <w:rFonts w:hint="eastAsia" w:ascii="宋体" w:hAnsi="宋体" w:eastAsia="宋体" w:cs="宋体"/>
          <w:color w:val="auto"/>
          <w:sz w:val="24"/>
          <w:lang w:val="zh-CN" w:eastAsia="zh-CN"/>
        </w:rPr>
        <w:t>后</w:t>
      </w:r>
      <w:r>
        <w:rPr>
          <w:rFonts w:hint="eastAsia" w:ascii="宋体" w:hAnsi="宋体" w:eastAsia="宋体" w:cs="宋体"/>
          <w:color w:val="auto"/>
          <w:sz w:val="24"/>
          <w:lang w:val="en-US" w:eastAsia="zh-CN"/>
        </w:rPr>
        <w:t>付清余款</w:t>
      </w:r>
      <w:r>
        <w:rPr>
          <w:rFonts w:hint="eastAsia" w:ascii="宋体" w:hAnsi="宋体" w:eastAsia="宋体" w:cs="宋体"/>
          <w:color w:val="auto"/>
          <w:sz w:val="24"/>
          <w:lang w:val="zh-CN" w:eastAsia="zh-CN"/>
        </w:rPr>
        <w:t>。</w:t>
      </w:r>
    </w:p>
    <w:p w14:paraId="3FDDCD3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第七条 </w:t>
      </w:r>
      <w:r>
        <w:rPr>
          <w:rFonts w:hint="eastAsia" w:ascii="宋体" w:hAnsi="宋体" w:eastAsia="宋体" w:cs="宋体"/>
          <w:b/>
          <w:bCs/>
          <w:sz w:val="24"/>
          <w:szCs w:val="24"/>
          <w:highlight w:val="none"/>
          <w:lang w:val="en-US" w:eastAsia="zh-CN"/>
        </w:rPr>
        <w:t xml:space="preserve"> 担保条款</w:t>
      </w:r>
    </w:p>
    <w:p w14:paraId="3EDC017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sz w:val="24"/>
          <w:szCs w:val="24"/>
        </w:rPr>
        <w:t>本项目成交后的履约保证金为项目</w:t>
      </w:r>
      <w:r>
        <w:rPr>
          <w:rFonts w:hint="eastAsia" w:ascii="宋体" w:hAnsi="宋体" w:eastAsia="宋体" w:cs="宋体"/>
          <w:sz w:val="24"/>
          <w:szCs w:val="24"/>
          <w:highlight w:val="none"/>
        </w:rPr>
        <w:t>成交价的10%</w:t>
      </w:r>
      <w:r>
        <w:rPr>
          <w:rFonts w:hint="eastAsia" w:ascii="宋体" w:hAnsi="宋体" w:eastAsia="宋体" w:cs="宋体"/>
          <w:sz w:val="24"/>
          <w:szCs w:val="24"/>
          <w:highlight w:val="none"/>
          <w:lang w:eastAsia="zh-CN"/>
        </w:rPr>
        <w:t>（</w:t>
      </w:r>
      <w:r>
        <w:rPr>
          <w:rFonts w:hint="eastAsia" w:ascii="宋体" w:hAnsi="宋体" w:eastAsia="宋体" w:cs="仿宋_GB2312"/>
          <w:bCs/>
          <w:color w:val="auto"/>
          <w:sz w:val="24"/>
          <w:szCs w:val="24"/>
          <w:highlight w:val="none"/>
          <w:u w:val="single"/>
          <w:lang w:val="en-US" w:eastAsia="zh-CN" w:bidi="ar"/>
        </w:rPr>
        <w:t xml:space="preserve">人民币：   </w:t>
      </w:r>
      <w:r>
        <w:rPr>
          <w:rFonts w:hint="eastAsia" w:ascii="宋体" w:hAnsi="宋体" w:eastAsia="宋体" w:cs="仿宋_GB2312"/>
          <w:bCs/>
          <w:color w:val="auto"/>
          <w:sz w:val="24"/>
          <w:szCs w:val="24"/>
          <w:highlight w:val="none"/>
          <w:u w:val="none"/>
          <w:lang w:val="en-US" w:eastAsia="zh-CN" w:bidi="ar"/>
        </w:rPr>
        <w:t>，</w:t>
      </w:r>
      <w:r>
        <w:rPr>
          <w:rFonts w:hint="eastAsia" w:ascii="宋体" w:hAnsi="宋体" w:eastAsia="宋体" w:cs="仿宋_GB2312"/>
          <w:bCs/>
          <w:color w:val="auto"/>
          <w:sz w:val="24"/>
          <w:szCs w:val="24"/>
          <w:highlight w:val="none"/>
          <w:u w:val="single"/>
          <w:lang w:val="en-US" w:eastAsia="zh-CN" w:bidi="ar"/>
        </w:rPr>
        <w:t>¥    元</w:t>
      </w:r>
      <w:r>
        <w:rPr>
          <w:rFonts w:hint="eastAsia" w:ascii="宋体" w:hAnsi="宋体" w:eastAsia="宋体" w:cs="仿宋_GB2312"/>
          <w:bCs/>
          <w:color w:val="auto"/>
          <w:sz w:val="24"/>
          <w:szCs w:val="24"/>
          <w:highlight w:val="none"/>
          <w:lang w:val="en-US" w:eastAsia="zh-CN" w:bidi="ar"/>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乙方</w:t>
      </w:r>
      <w:r>
        <w:rPr>
          <w:rFonts w:hint="eastAsia" w:ascii="宋体" w:hAnsi="宋体" w:eastAsia="宋体" w:cs="宋体"/>
          <w:color w:val="auto"/>
          <w:sz w:val="24"/>
          <w:szCs w:val="24"/>
          <w:highlight w:val="none"/>
          <w:lang w:val="en-US" w:eastAsia="zh-CN"/>
        </w:rPr>
        <w:t>在成交通知书发出之日起至合同签订前汇入甲方账户（应当以数字人民币、支票、汇票或者金融机构、担保机构出具的保函等非现金形式提交），乙方凭中标通知书与甲方签订合同。超期或未有协商，则视为自动放弃成交资格。</w:t>
      </w:r>
    </w:p>
    <w:p w14:paraId="32CF2E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乙方全部履约合同义务，经甲方验收合格无质量、进度等问题的，甲方在验收合格后一次性退还履约保证金，甲方</w:t>
      </w:r>
      <w:r>
        <w:rPr>
          <w:rFonts w:hint="eastAsia" w:ascii="宋体" w:hAnsi="宋体" w:eastAsia="宋体" w:cs="宋体"/>
          <w:sz w:val="24"/>
          <w:szCs w:val="24"/>
          <w:highlight w:val="none"/>
          <w:lang w:val="en-US" w:eastAsia="zh-CN"/>
        </w:rPr>
        <w:t>若逾期退还履约保证金的，按照逾期部分的每日0.05%支付违约金。</w:t>
      </w:r>
    </w:p>
    <w:p w14:paraId="53FFFF1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发生以下情况的，履约保证金不予退还或部分退还：</w:t>
      </w:r>
    </w:p>
    <w:p w14:paraId="2193D3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a.签订合同后，乙方不履行合同义务的，甲方有权全额扣除履约保证金，全额不予退还，同时甲方亦有权终止合同，乙方还须承担相应的法律赔偿责任。</w:t>
      </w:r>
    </w:p>
    <w:p w14:paraId="5637D61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b.乙方在履约过程中发生违约行为，给甲方造成损失的，甲方有权在乙方缴纳的履约保证金中予以扣款，以弥补甲方经济损失，不足的部分乙方另外补齐。</w:t>
      </w:r>
    </w:p>
    <w:p w14:paraId="7084010D">
      <w:pPr>
        <w:keepNext w:val="0"/>
        <w:keepLines w:val="0"/>
        <w:pageBreakBefore w:val="0"/>
        <w:widowControl w:val="0"/>
        <w:kinsoku/>
        <w:wordWrap/>
        <w:overflowPunct/>
        <w:topLinePunct w:val="0"/>
        <w:autoSpaceDE/>
        <w:autoSpaceDN/>
        <w:bidi w:val="0"/>
        <w:adjustRightInd/>
        <w:snapToGrid/>
        <w:spacing w:line="440" w:lineRule="exact"/>
        <w:ind w:firstLine="472" w:firstLineChars="196"/>
        <w:textAlignment w:val="auto"/>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第八条  </w:t>
      </w:r>
      <w:r>
        <w:rPr>
          <w:rFonts w:hint="eastAsia" w:ascii="宋体" w:hAnsi="宋体" w:eastAsia="宋体" w:cs="宋体"/>
          <w:b/>
          <w:sz w:val="24"/>
          <w:szCs w:val="24"/>
          <w:highlight w:val="none"/>
        </w:rPr>
        <w:t>双方责任</w:t>
      </w:r>
    </w:p>
    <w:p w14:paraId="5A5E234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甲方责任</w:t>
      </w:r>
    </w:p>
    <w:p w14:paraId="3E5AAED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default" w:ascii="宋体" w:hAnsi="宋体" w:eastAsia="宋体" w:cs="宋体"/>
          <w:sz w:val="24"/>
          <w:szCs w:val="24"/>
          <w:highlight w:val="none"/>
        </w:rPr>
        <w:t>甲方应指定专门联系人，并在收到乙方提交的阶段性成果后</w:t>
      </w: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rPr>
        <w:t>个工作日内，以书面形式反馈具体、明确的修改意见。逾期未反馈的，视为对乙方提交的成果无异议。</w:t>
      </w:r>
    </w:p>
    <w:p w14:paraId="5C442DE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default" w:ascii="宋体" w:hAnsi="宋体" w:eastAsia="宋体" w:cs="宋体"/>
          <w:sz w:val="24"/>
          <w:szCs w:val="24"/>
          <w:highlight w:val="none"/>
        </w:rPr>
        <w:t>因甲方未能按时提供资料或未能按时反馈意见，导致乙方工作延误的，乙方的成果交付期限相应顺延。</w:t>
      </w:r>
    </w:p>
    <w:p w14:paraId="2A75B2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乙方责任 </w:t>
      </w:r>
    </w:p>
    <w:p w14:paraId="52AC7E3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本项目实施人员必须是投标文件中提供的人员，乙方不得以任何原因和方式将合同转包。一经发现有上述情况的，将按违约处理，甲方有权拒付合同额。</w:t>
      </w:r>
    </w:p>
    <w:p w14:paraId="20FFB6D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乙方应及时开展实地调研、资料分析和查阅工作，按有关规范和标准及本合同书约</w:t>
      </w:r>
      <w:r>
        <w:rPr>
          <w:rFonts w:hint="eastAsia" w:ascii="宋体" w:hAnsi="宋体" w:eastAsia="宋体" w:cs="宋体"/>
          <w:sz w:val="24"/>
          <w:szCs w:val="24"/>
          <w:highlight w:val="none"/>
          <w:lang w:eastAsia="zh-CN"/>
        </w:rPr>
        <w:t>定的法律依据等，向甲方交付符合规定深度的设计成果或文件。乙方对提交的设计成果文件质量负责。乙方提交的方案设计成果或文件须符合本合同书约定的内容、时间、要求及套数，内容和质量方面须取得甲方的书面认可。</w:t>
      </w:r>
    </w:p>
    <w:p w14:paraId="74B74F8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default" w:ascii="宋体" w:hAnsi="宋体" w:eastAsia="宋体" w:cs="宋体"/>
          <w:sz w:val="24"/>
          <w:szCs w:val="24"/>
          <w:highlight w:val="none"/>
          <w:lang w:eastAsia="zh-CN"/>
        </w:rPr>
        <w:t>因乙方原因在履行合同过程中造成的事故，其责任由乙方承担。因甲方原因或不可抗力造成的事故，甲方应承担相应责任。</w:t>
      </w:r>
    </w:p>
    <w:p w14:paraId="362DB5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）已提交或甲方认可的方案设计成果或文</w:t>
      </w:r>
      <w:r>
        <w:rPr>
          <w:rFonts w:hint="eastAsia" w:ascii="宋体" w:hAnsi="宋体" w:eastAsia="宋体" w:cs="宋体"/>
          <w:sz w:val="24"/>
          <w:szCs w:val="24"/>
          <w:highlight w:val="none"/>
        </w:rPr>
        <w:t>件如有遗漏或错误，乙方负责免费调整、修改和补充。由于乙方遗漏或错误造成甲方损失的，乙方除负责采取补救措施外，应免收受损失部分的设计费用，并根据损失程度向甲方支付赔偿金。</w:t>
      </w:r>
    </w:p>
    <w:p w14:paraId="0B3D75B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本合同书生效后，乙方无正当理由要求终止或解除合同书，乙方须全额退还已收的设计费用并承担设计费用总价款</w:t>
      </w:r>
      <w:r>
        <w:rPr>
          <w:rFonts w:hint="eastAsia" w:ascii="宋体" w:hAnsi="宋体" w:eastAsia="宋体" w:cs="宋体"/>
          <w:sz w:val="24"/>
          <w:szCs w:val="24"/>
          <w:highlight w:val="none"/>
          <w:u w:val="single"/>
        </w:rPr>
        <w:t>5%</w:t>
      </w:r>
      <w:r>
        <w:rPr>
          <w:rFonts w:hint="eastAsia" w:ascii="宋体" w:hAnsi="宋体" w:eastAsia="宋体" w:cs="宋体"/>
          <w:sz w:val="24"/>
          <w:szCs w:val="24"/>
          <w:highlight w:val="none"/>
        </w:rPr>
        <w:t>的违约金。</w:t>
      </w:r>
    </w:p>
    <w:p w14:paraId="19336F2C">
      <w:pPr>
        <w:keepNext w:val="0"/>
        <w:keepLines w:val="0"/>
        <w:pageBreakBefore w:val="0"/>
        <w:widowControl w:val="0"/>
        <w:kinsoku/>
        <w:wordWrap/>
        <w:overflowPunct/>
        <w:topLinePunct w:val="0"/>
        <w:autoSpaceDE/>
        <w:autoSpaceDN/>
        <w:bidi w:val="0"/>
        <w:adjustRightInd/>
        <w:snapToGrid/>
        <w:spacing w:line="440" w:lineRule="exact"/>
        <w:ind w:firstLine="472" w:firstLineChars="196"/>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第</w:t>
      </w:r>
      <w:r>
        <w:rPr>
          <w:rFonts w:hint="eastAsia" w:ascii="宋体" w:hAnsi="宋体" w:cs="宋体"/>
          <w:b/>
          <w:sz w:val="24"/>
          <w:szCs w:val="24"/>
          <w:highlight w:val="none"/>
          <w:lang w:val="en-US" w:eastAsia="zh-CN"/>
        </w:rPr>
        <w:t>九</w:t>
      </w:r>
      <w:r>
        <w:rPr>
          <w:rFonts w:hint="eastAsia" w:ascii="宋体" w:hAnsi="宋体" w:eastAsia="宋体" w:cs="宋体"/>
          <w:b/>
          <w:sz w:val="24"/>
          <w:szCs w:val="24"/>
          <w:highlight w:val="none"/>
        </w:rPr>
        <w:t>条  知识产权归属及保密</w:t>
      </w:r>
    </w:p>
    <w:p w14:paraId="72D4246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甲方支付相应的深化设计费用后即取得本合同书项目所有的设计成果和文件的所有权、使用权和知识产权。</w:t>
      </w:r>
    </w:p>
    <w:p w14:paraId="44A579D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乙方应保证本项目的设计成果或其任何一部分不会产生因第三方提出侵犯其著作权、商标权或其他知识产权而引起的法律和经济纠纷；如因第三方提出其著作、商标权或其他知识产权的侵权之诉，则一切法律责任由乙方承担，且乙方还应当积极采取补救措施，以使甲方免于诉讼或仲裁等。</w:t>
      </w:r>
    </w:p>
    <w:p w14:paraId="6ACC502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乙方应对甲方提供的所有资料、材料及利用该等资料、材料而产生的所有资料、材料等进行保密和保管。未经甲方书面同意，乙方不得擅自修改，复制或向第三人转让或允许第三人使用（无论有偿或无偿）或用于本合同书项目外的项目。</w:t>
      </w:r>
    </w:p>
    <w:p w14:paraId="4727927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甲方对项目成果有信息发布的权利，在未征得甲方同意的情况下，乙方不得擅自发布相关信息。</w:t>
      </w:r>
    </w:p>
    <w:p w14:paraId="4682A4A8">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第十条 违约责任与赔偿损失</w:t>
      </w:r>
    </w:p>
    <w:p w14:paraId="358B8EF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1.乙方提供的服务不符合</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投标文件或本合同规定的，甲方有权拒收，乙方除应继续无偿修改、补充或调整设计成果外，还应向甲方支付本合同总价5%的金额作为违约金。若经修改、补充或调整后的设计成果仍不符合甲方要求的，甲方有权单方解除本协议，要求乙方全额退还已支付的设计费用，且乙方还应承担违约责任。</w:t>
      </w:r>
    </w:p>
    <w:p w14:paraId="23F66DF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2.乙方未能按甲方规定的进度时间提交方案设计成果，从逾期之日起每日按本合同总价</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‰的数额向甲方支付违约金；逾期15天以上（含15天）的，甲方有权终止合同，要求乙方支付违约金，并且给甲方造成的经济损失由乙方承担赔偿责任。</w:t>
      </w:r>
    </w:p>
    <w:p w14:paraId="099AA21C">
      <w:pPr>
        <w:keepNext w:val="0"/>
        <w:keepLines w:val="0"/>
        <w:pageBreakBefore w:val="0"/>
        <w:widowControl w:val="0"/>
        <w:kinsoku/>
        <w:wordWrap/>
        <w:overflowPunct/>
        <w:topLinePunct w:val="0"/>
        <w:autoSpaceDE/>
        <w:autoSpaceDN/>
        <w:bidi w:val="0"/>
        <w:adjustRightInd/>
        <w:snapToGrid/>
        <w:spacing w:line="440" w:lineRule="exact"/>
        <w:ind w:firstLine="472" w:firstLineChars="196"/>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第十</w:t>
      </w:r>
      <w:r>
        <w:rPr>
          <w:rFonts w:hint="eastAsia" w:ascii="宋体" w:hAnsi="宋体" w:cs="宋体"/>
          <w:b/>
          <w:sz w:val="24"/>
          <w:szCs w:val="24"/>
          <w:highlight w:val="none"/>
          <w:lang w:val="en-US" w:eastAsia="zh-CN"/>
        </w:rPr>
        <w:t>一</w:t>
      </w:r>
      <w:r>
        <w:rPr>
          <w:rFonts w:hint="eastAsia" w:ascii="宋体" w:hAnsi="宋体" w:eastAsia="宋体" w:cs="宋体"/>
          <w:b/>
          <w:sz w:val="24"/>
          <w:szCs w:val="24"/>
          <w:highlight w:val="none"/>
        </w:rPr>
        <w:t>条  争议解决方式</w:t>
      </w:r>
    </w:p>
    <w:p w14:paraId="4E3BB4E5">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因履行本合同引起的或与本合同有关的争议，甲、乙双方应首先通过友好协商解决，如果协商不能解决争议，则双方均可以向启东市人民法院提起诉讼。</w:t>
      </w:r>
    </w:p>
    <w:p w14:paraId="43875024">
      <w:pPr>
        <w:keepNext w:val="0"/>
        <w:keepLines w:val="0"/>
        <w:pageBreakBefore w:val="0"/>
        <w:widowControl w:val="0"/>
        <w:kinsoku/>
        <w:wordWrap/>
        <w:overflowPunct/>
        <w:topLinePunct w:val="0"/>
        <w:autoSpaceDE/>
        <w:autoSpaceDN/>
        <w:bidi w:val="0"/>
        <w:adjustRightInd/>
        <w:snapToGrid/>
        <w:spacing w:line="440" w:lineRule="exact"/>
        <w:ind w:firstLine="472" w:firstLineChars="196"/>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第十</w:t>
      </w:r>
      <w:r>
        <w:rPr>
          <w:rFonts w:hint="eastAsia" w:ascii="宋体" w:hAnsi="宋体" w:cs="宋体"/>
          <w:b/>
          <w:sz w:val="24"/>
          <w:szCs w:val="24"/>
          <w:highlight w:val="none"/>
          <w:lang w:val="en-US" w:eastAsia="zh-CN"/>
        </w:rPr>
        <w:t>二</w:t>
      </w:r>
      <w:r>
        <w:rPr>
          <w:rFonts w:hint="eastAsia" w:ascii="宋体" w:hAnsi="宋体" w:eastAsia="宋体" w:cs="宋体"/>
          <w:b/>
          <w:sz w:val="24"/>
          <w:szCs w:val="24"/>
          <w:highlight w:val="none"/>
        </w:rPr>
        <w:t>条  不可抗力</w:t>
      </w:r>
    </w:p>
    <w:p w14:paraId="672D1CF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可抗力不可抗力是指不能预见、不能避免并不能克服的客观情况，包括但不限于自然灾害（如地震、洪水、台风等）、政府行为（如征收、征用、禁令等）和社会异常事件（如战争、罢工、疫情等）。任何一方由于不可抗力原因不能履行合同时，应在不可抗力事件结束后7日内向对方通报，以减轻可能给对方造成的损失，在取得有关机构的不可抗力证明或双方谅解确认后，允许延期履行或修订合同，并根据情况可部分或全部免于承担违约责任。</w:t>
      </w:r>
    </w:p>
    <w:p w14:paraId="58942D1A">
      <w:pPr>
        <w:keepNext w:val="0"/>
        <w:keepLines w:val="0"/>
        <w:pageBreakBefore w:val="0"/>
        <w:widowControl w:val="0"/>
        <w:kinsoku/>
        <w:wordWrap/>
        <w:overflowPunct/>
        <w:topLinePunct w:val="0"/>
        <w:autoSpaceDE/>
        <w:autoSpaceDN/>
        <w:bidi w:val="0"/>
        <w:adjustRightInd/>
        <w:snapToGrid/>
        <w:spacing w:line="440" w:lineRule="exact"/>
        <w:ind w:firstLine="472" w:firstLineChars="196"/>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第十</w:t>
      </w:r>
      <w:r>
        <w:rPr>
          <w:rFonts w:hint="eastAsia" w:ascii="宋体" w:hAnsi="宋体" w:cs="宋体"/>
          <w:b/>
          <w:sz w:val="24"/>
          <w:szCs w:val="24"/>
          <w:highlight w:val="none"/>
          <w:lang w:val="en-US" w:eastAsia="zh-CN"/>
        </w:rPr>
        <w:t>三</w:t>
      </w:r>
      <w:r>
        <w:rPr>
          <w:rFonts w:hint="eastAsia" w:ascii="宋体" w:hAnsi="宋体" w:eastAsia="宋体" w:cs="宋体"/>
          <w:b/>
          <w:sz w:val="24"/>
          <w:szCs w:val="24"/>
          <w:highlight w:val="none"/>
        </w:rPr>
        <w:t xml:space="preserve">条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合同书生效及其他</w:t>
      </w:r>
    </w:p>
    <w:p w14:paraId="0922544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1.本合同书经双方法定代表人或授权代表签字，加盖公章后生效。</w:t>
      </w:r>
    </w:p>
    <w:p w14:paraId="2D415A7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本合同书一式</w:t>
      </w:r>
      <w:r>
        <w:rPr>
          <w:rFonts w:hint="eastAsia" w:ascii="宋体" w:hAnsi="宋体" w:eastAsia="宋体" w:cs="宋体"/>
          <w:sz w:val="24"/>
          <w:szCs w:val="24"/>
          <w:highlight w:val="none"/>
          <w:lang w:val="en-US" w:eastAsia="zh-CN"/>
        </w:rPr>
        <w:t>陆</w:t>
      </w:r>
      <w:r>
        <w:rPr>
          <w:rFonts w:hint="eastAsia" w:ascii="宋体" w:hAnsi="宋体" w:eastAsia="宋体" w:cs="宋体"/>
          <w:sz w:val="24"/>
          <w:szCs w:val="24"/>
          <w:highlight w:val="none"/>
        </w:rPr>
        <w:t>份，甲、乙双方各执叁份。具有同等法律效力。</w:t>
      </w:r>
    </w:p>
    <w:p w14:paraId="55F4824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3.双方确认本合同履行过程中所有通知、函件、法律文书等文件均须按照本条款约定地址及方式送达：1.采购方送达地址：【启东市吕四港镇人民政府】，联系人：【      】，联系电话：【       】；2.服务方送达地址：【       】，联系人：【        】，联系电话：【        】；3.一方变更送达地址须提前3个工作日书面通知对方，否则按原地址送达即视为有效送达；4.邮寄送达的，签收之日为送达之日，邮寄被退回的，退回之日视为送达；电子送达的，发出之日视为送达。</w:t>
      </w:r>
    </w:p>
    <w:p w14:paraId="3EF5E2CC">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委托单位</w:t>
      </w:r>
      <w:r>
        <w:rPr>
          <w:rFonts w:hint="eastAsia" w:ascii="宋体" w:hAnsi="宋体" w:eastAsia="宋体" w:cs="宋体"/>
          <w:color w:val="auto"/>
          <w:sz w:val="24"/>
          <w:szCs w:val="24"/>
        </w:rPr>
        <w:t xml:space="preserve">（盖章）：                </w:t>
      </w:r>
      <w:r>
        <w:rPr>
          <w:rFonts w:hint="eastAsia" w:ascii="宋体" w:hAnsi="宋体" w:cs="宋体"/>
          <w:color w:val="auto"/>
          <w:sz w:val="24"/>
          <w:szCs w:val="24"/>
          <w:lang w:val="en-US" w:eastAsia="zh-CN"/>
        </w:rPr>
        <w:t xml:space="preserve">       设计单位</w:t>
      </w:r>
      <w:r>
        <w:rPr>
          <w:rFonts w:hint="eastAsia" w:ascii="宋体" w:hAnsi="宋体" w:eastAsia="宋体" w:cs="宋体"/>
          <w:color w:val="auto"/>
          <w:sz w:val="24"/>
          <w:szCs w:val="24"/>
        </w:rPr>
        <w:t xml:space="preserve">（盖章）：          </w:t>
      </w:r>
    </w:p>
    <w:p w14:paraId="0B8E928E">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法定代表人</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rPr>
        <w:t xml:space="preserve">            </w:t>
      </w:r>
    </w:p>
    <w:p w14:paraId="488E4D6B">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委托代理人</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签字或盖章</w:t>
      </w:r>
      <w:r>
        <w:rPr>
          <w:rFonts w:hint="eastAsia" w:ascii="宋体" w:hAnsi="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委托代理人</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签字或盖章</w:t>
      </w:r>
      <w:r>
        <w:rPr>
          <w:rFonts w:hint="eastAsia" w:ascii="宋体" w:hAnsi="宋体" w:cs="宋体"/>
          <w:color w:val="auto"/>
          <w:sz w:val="24"/>
          <w:szCs w:val="24"/>
          <w:lang w:eastAsia="zh-CN"/>
        </w:rPr>
        <w:t>）</w:t>
      </w:r>
      <w:r>
        <w:rPr>
          <w:rFonts w:hint="eastAsia" w:ascii="宋体" w:hAnsi="宋体" w:eastAsia="宋体" w:cs="宋体"/>
          <w:color w:val="auto"/>
          <w:sz w:val="24"/>
          <w:szCs w:val="24"/>
        </w:rPr>
        <w:t xml:space="preserve">：            </w:t>
      </w:r>
    </w:p>
    <w:p w14:paraId="365D9A7D">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联系电话：              </w:t>
      </w:r>
    </w:p>
    <w:p w14:paraId="033333F1">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开户银行：</w:t>
      </w:r>
    </w:p>
    <w:p w14:paraId="1788A568">
      <w:pPr>
        <w:keepNext w:val="0"/>
        <w:keepLines w:val="0"/>
        <w:pageBreakBefore w:val="0"/>
        <w:widowControl w:val="0"/>
        <w:kinsoku/>
        <w:wordWrap/>
        <w:overflowPunct/>
        <w:topLinePunct w:val="0"/>
        <w:autoSpaceDE/>
        <w:autoSpaceDN/>
        <w:bidi w:val="0"/>
        <w:spacing w:line="500" w:lineRule="exact"/>
        <w:textAlignment w:val="auto"/>
        <w:rPr>
          <w:rFonts w:ascii="宋体" w:hAnsi="宋体" w:eastAsia="宋体"/>
          <w:b/>
          <w:color w:val="auto"/>
          <w:sz w:val="28"/>
          <w:szCs w:val="28"/>
          <w:highlight w:val="none"/>
        </w:rPr>
      </w:pPr>
      <w:r>
        <w:rPr>
          <w:rFonts w:hint="eastAsia" w:ascii="宋体" w:hAnsi="宋体" w:eastAsia="宋体" w:cs="宋体"/>
          <w:color w:val="auto"/>
          <w:sz w:val="24"/>
          <w:szCs w:val="24"/>
        </w:rPr>
        <w:t>银行</w:t>
      </w:r>
      <w:r>
        <w:rPr>
          <w:rFonts w:hint="eastAsia" w:ascii="宋体" w:hAnsi="宋体" w:cs="宋体"/>
          <w:color w:val="auto"/>
          <w:sz w:val="24"/>
          <w:szCs w:val="24"/>
          <w:lang w:val="en-US" w:eastAsia="zh-CN"/>
        </w:rPr>
        <w:t>账</w:t>
      </w:r>
      <w:r>
        <w:rPr>
          <w:rFonts w:hint="eastAsia" w:ascii="宋体" w:hAnsi="宋体" w:eastAsia="宋体" w:cs="宋体"/>
          <w:color w:val="auto"/>
          <w:sz w:val="24"/>
          <w:szCs w:val="24"/>
        </w:rPr>
        <w:t xml:space="preserve">号：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银行</w:t>
      </w:r>
      <w:r>
        <w:rPr>
          <w:rFonts w:hint="eastAsia" w:ascii="宋体" w:hAnsi="宋体" w:cs="宋体"/>
          <w:color w:val="auto"/>
          <w:sz w:val="24"/>
          <w:szCs w:val="24"/>
          <w:lang w:val="en-US" w:eastAsia="zh-CN"/>
        </w:rPr>
        <w:t>账</w:t>
      </w:r>
      <w:r>
        <w:rPr>
          <w:rFonts w:hint="eastAsia" w:ascii="宋体" w:hAnsi="宋体" w:eastAsia="宋体" w:cs="宋体"/>
          <w:color w:val="auto"/>
          <w:sz w:val="24"/>
          <w:szCs w:val="24"/>
        </w:rPr>
        <w:t>号：</w:t>
      </w:r>
    </w:p>
    <w:p w14:paraId="6C7FD6C0">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ascii="宋体" w:hAnsi="宋体" w:eastAsia="宋体" w:cs="宋体"/>
          <w:color w:val="000000"/>
          <w:sz w:val="24"/>
          <w:szCs w:val="24"/>
        </w:rPr>
      </w:pPr>
      <w:r>
        <w:rPr>
          <w:rFonts w:hint="eastAsia" w:ascii="宋体" w:hAnsi="宋体" w:eastAsia="宋体" w:cs="宋体"/>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签订</w:t>
      </w:r>
      <w:r>
        <w:rPr>
          <w:rFonts w:hint="eastAsia" w:ascii="宋体" w:hAnsi="宋体" w:eastAsia="宋体" w:cs="宋体"/>
          <w:color w:val="000000"/>
          <w:sz w:val="24"/>
          <w:szCs w:val="24"/>
        </w:rPr>
        <w:t>时间：</w:t>
      </w:r>
      <w:r>
        <w:rPr>
          <w:rFonts w:hint="eastAsia" w:ascii="宋体" w:hAnsi="宋体" w:eastAsia="宋体" w:cs="宋体"/>
          <w:color w:val="000000"/>
          <w:sz w:val="24"/>
          <w:szCs w:val="24"/>
          <w:lang w:val="en-US" w:eastAsia="zh-CN"/>
        </w:rPr>
        <w:t>2026</w:t>
      </w:r>
      <w:r>
        <w:rPr>
          <w:rFonts w:hint="eastAsia" w:ascii="宋体" w:hAnsi="宋体" w:eastAsia="宋体" w:cs="宋体"/>
          <w:color w:val="000000"/>
          <w:sz w:val="24"/>
          <w:szCs w:val="24"/>
        </w:rPr>
        <w:t>年   月  日</w:t>
      </w:r>
    </w:p>
    <w:p w14:paraId="01F65C0D">
      <w:pPr>
        <w:spacing w:line="500" w:lineRule="exact"/>
        <w:jc w:val="center"/>
        <w:outlineLvl w:val="0"/>
        <w:rPr>
          <w:rFonts w:hint="eastAsia" w:asciiTheme="minorEastAsia" w:hAnsiTheme="minorEastAsia" w:eastAsiaTheme="minorEastAsia"/>
          <w:b/>
          <w:bCs/>
          <w:color w:val="auto"/>
          <w:sz w:val="36"/>
          <w:szCs w:val="36"/>
          <w:highlight w:val="none"/>
          <w:lang w:val="zh-CN"/>
        </w:rPr>
      </w:pPr>
      <w:r>
        <w:rPr>
          <w:rFonts w:hint="eastAsia" w:asciiTheme="minorEastAsia" w:hAnsiTheme="minorEastAsia" w:eastAsiaTheme="minorEastAsia"/>
          <w:b/>
          <w:bCs/>
          <w:color w:val="auto"/>
          <w:sz w:val="36"/>
          <w:szCs w:val="36"/>
          <w:highlight w:val="none"/>
          <w:lang w:val="zh-CN"/>
        </w:rPr>
        <w:t>第四部分 评审方法和评审标准</w:t>
      </w:r>
    </w:p>
    <w:p w14:paraId="1AA08344">
      <w:pPr>
        <w:keepNext w:val="0"/>
        <w:keepLines w:val="0"/>
        <w:pageBreakBefore w:val="0"/>
        <w:widowControl w:val="0"/>
        <w:spacing w:line="500" w:lineRule="exact"/>
        <w:ind w:firstLine="64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一、磋商方式</w:t>
      </w:r>
    </w:p>
    <w:p w14:paraId="06AACE76">
      <w:pPr>
        <w:keepNext w:val="0"/>
        <w:keepLines w:val="0"/>
        <w:pageBreakBefore w:val="0"/>
        <w:widowControl w:val="0"/>
        <w:tabs>
          <w:tab w:val="left" w:pos="3585"/>
        </w:tabs>
        <w:spacing w:line="500" w:lineRule="exact"/>
        <w:ind w:firstLine="53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不见面远程磋商模式：供应商在各自地点通过“苏采云”系统参加磋商活动。</w:t>
      </w:r>
    </w:p>
    <w:p w14:paraId="42FEF3A7">
      <w:pPr>
        <w:keepNext w:val="0"/>
        <w:keepLines w:val="0"/>
        <w:pageBreakBefore w:val="0"/>
        <w:widowControl w:val="0"/>
        <w:spacing w:line="500" w:lineRule="exact"/>
        <w:ind w:firstLine="64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二、评审方法和标准</w:t>
      </w:r>
    </w:p>
    <w:p w14:paraId="796FAA59">
      <w:pPr>
        <w:keepNext w:val="0"/>
        <w:keepLines w:val="0"/>
        <w:pageBreakBefore w:val="0"/>
        <w:widowControl w:val="0"/>
        <w:spacing w:line="500" w:lineRule="exact"/>
        <w:ind w:firstLine="691"/>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val="zh-CN"/>
        </w:rPr>
        <w:t>1.</w:t>
      </w:r>
      <w:r>
        <w:rPr>
          <w:rFonts w:hint="eastAsia" w:ascii="宋体" w:hAnsi="宋体" w:eastAsia="宋体" w:cs="宋体"/>
          <w:bCs/>
          <w:color w:val="auto"/>
          <w:sz w:val="28"/>
          <w:szCs w:val="28"/>
          <w:highlight w:val="none"/>
        </w:rPr>
        <w:t>评审方法：综合评分法。</w:t>
      </w:r>
    </w:p>
    <w:p w14:paraId="5B5B14F7">
      <w:pPr>
        <w:keepNext w:val="0"/>
        <w:keepLines w:val="0"/>
        <w:pageBreakBefore w:val="0"/>
        <w:widowControl w:val="0"/>
        <w:spacing w:line="500" w:lineRule="exact"/>
        <w:ind w:firstLine="7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1FEC8CF">
      <w:pPr>
        <w:keepNext w:val="0"/>
        <w:keepLines w:val="0"/>
        <w:pageBreakBefore w:val="0"/>
        <w:widowControl w:val="0"/>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最后报价将作为评审价。系统发送最后报价填报通知后，所有的响应供应商须在系统规定的时间内填写并提交最后报价，未在规定时间内提交最后报价的或超过第一轮报价的，视作无效响应处理。</w:t>
      </w:r>
    </w:p>
    <w:p w14:paraId="47802BDE">
      <w:pPr>
        <w:keepNext w:val="0"/>
        <w:keepLines w:val="0"/>
        <w:pageBreakBefore w:val="0"/>
        <w:widowControl w:val="0"/>
        <w:tabs>
          <w:tab w:val="left" w:pos="900"/>
        </w:tabs>
        <w:spacing w:line="500" w:lineRule="exact"/>
        <w:ind w:firstLine="557"/>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2015</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124号）规定情形的，提交最后报价的供应商可以为2家。</w:t>
      </w:r>
    </w:p>
    <w:p w14:paraId="4B4ED8DB">
      <w:pPr>
        <w:keepNext w:val="0"/>
        <w:keepLines w:val="0"/>
        <w:pageBreakBefore w:val="0"/>
        <w:widowControl w:val="0"/>
        <w:spacing w:line="500" w:lineRule="exact"/>
        <w:ind w:firstLine="555"/>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供应商价格部分和商务、技术部分的合计分值，为该供应商的评审总得分。</w:t>
      </w:r>
    </w:p>
    <w:p w14:paraId="13DF1F43">
      <w:pPr>
        <w:keepNext w:val="0"/>
        <w:keepLines w:val="0"/>
        <w:pageBreakBefore w:val="0"/>
        <w:widowControl w:val="0"/>
        <w:spacing w:line="500" w:lineRule="exact"/>
        <w:ind w:firstLine="5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评标结果按评审后总得分由高到低顺序排列，确定成交候选供应商名单并按顺序确定成交供应商。得分相同的，按响应报价由低到高顺序排列，得分且响应报价相同的并列。</w:t>
      </w:r>
    </w:p>
    <w:p w14:paraId="06C950E5">
      <w:pPr>
        <w:keepNext w:val="0"/>
        <w:keepLines w:val="0"/>
        <w:pageBreakBefore w:val="0"/>
        <w:widowControl w:val="0"/>
        <w:spacing w:line="500" w:lineRule="exact"/>
        <w:ind w:firstLine="5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评委在认真审阅响应文件的基础上，根据各响应文件的响应程度独立评判，不得统一打分。</w:t>
      </w:r>
    </w:p>
    <w:p w14:paraId="4449A772">
      <w:pPr>
        <w:keepNext w:val="0"/>
        <w:keepLines w:val="0"/>
        <w:pageBreakBefore w:val="0"/>
        <w:widowControl w:val="0"/>
        <w:spacing w:line="500" w:lineRule="exact"/>
        <w:ind w:firstLine="562"/>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（一）磋商小组对供应商资格进行审查</w:t>
      </w:r>
    </w:p>
    <w:p w14:paraId="51356424">
      <w:pPr>
        <w:keepNext w:val="0"/>
        <w:keepLines w:val="0"/>
        <w:pageBreakBefore w:val="0"/>
        <w:widowControl w:val="0"/>
        <w:spacing w:line="500" w:lineRule="exact"/>
        <w:ind w:firstLine="57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供应商资格不合格的，其响应文件判定为无效响应文件。</w:t>
      </w:r>
    </w:p>
    <w:p w14:paraId="4D98D722">
      <w:pPr>
        <w:keepNext w:val="0"/>
        <w:keepLines w:val="0"/>
        <w:pageBreakBefore w:val="0"/>
        <w:widowControl w:val="0"/>
        <w:spacing w:line="500" w:lineRule="exact"/>
        <w:ind w:firstLine="562"/>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（二）磋商小组对符合资格供应商的响应文件进行符合性审查</w:t>
      </w:r>
    </w:p>
    <w:p w14:paraId="71DEC39F">
      <w:pPr>
        <w:keepNext w:val="0"/>
        <w:keepLines w:val="0"/>
        <w:pageBreakBefore w:val="0"/>
        <w:widowControl w:val="0"/>
        <w:spacing w:line="500" w:lineRule="exact"/>
        <w:ind w:firstLine="57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未通过符合性审查的响应文件，将被判为不满足磋商文件实质性要求。</w:t>
      </w:r>
    </w:p>
    <w:p w14:paraId="69DF5BA3">
      <w:pPr>
        <w:keepNext w:val="0"/>
        <w:keepLines w:val="0"/>
        <w:pageBreakBefore w:val="0"/>
        <w:widowControl w:val="0"/>
        <w:spacing w:line="500" w:lineRule="exact"/>
        <w:ind w:firstLine="562"/>
        <w:jc w:val="left"/>
        <w:rPr>
          <w:rFonts w:hint="eastAsia" w:ascii="宋体" w:hAnsi="宋体" w:eastAsia="宋体" w:cs="宋体"/>
          <w:b/>
          <w:bCs w:val="0"/>
          <w:color w:val="auto"/>
          <w:sz w:val="28"/>
          <w:szCs w:val="28"/>
          <w:highlight w:val="none"/>
          <w:lang w:val="zh-CN"/>
        </w:rPr>
      </w:pPr>
      <w:r>
        <w:rPr>
          <w:rFonts w:hint="eastAsia" w:ascii="宋体" w:hAnsi="宋体" w:eastAsia="宋体" w:cs="宋体"/>
          <w:b/>
          <w:bCs w:val="0"/>
          <w:color w:val="auto"/>
          <w:sz w:val="28"/>
          <w:szCs w:val="28"/>
          <w:highlight w:val="none"/>
        </w:rPr>
        <w:t>（三）</w:t>
      </w:r>
      <w:r>
        <w:rPr>
          <w:rFonts w:hint="eastAsia" w:ascii="宋体" w:hAnsi="宋体" w:eastAsia="宋体" w:cs="宋体"/>
          <w:b/>
          <w:bCs w:val="0"/>
          <w:color w:val="auto"/>
          <w:sz w:val="28"/>
          <w:szCs w:val="28"/>
          <w:highlight w:val="none"/>
          <w:lang w:val="zh-CN"/>
        </w:rPr>
        <w:t>商务技术分：</w:t>
      </w:r>
      <w:r>
        <w:rPr>
          <w:rFonts w:hint="eastAsia" w:ascii="宋体" w:hAnsi="宋体" w:eastAsia="宋体" w:cs="宋体"/>
          <w:b/>
          <w:bCs w:val="0"/>
          <w:color w:val="auto"/>
          <w:sz w:val="28"/>
          <w:szCs w:val="28"/>
          <w:highlight w:val="none"/>
          <w:lang w:val="en-US" w:eastAsia="zh-CN"/>
        </w:rPr>
        <w:t>70</w:t>
      </w:r>
      <w:r>
        <w:rPr>
          <w:rFonts w:hint="eastAsia" w:ascii="宋体" w:hAnsi="宋体" w:eastAsia="宋体" w:cs="宋体"/>
          <w:b/>
          <w:bCs w:val="0"/>
          <w:color w:val="auto"/>
          <w:sz w:val="28"/>
          <w:szCs w:val="28"/>
          <w:highlight w:val="none"/>
          <w:lang w:val="zh-CN"/>
        </w:rPr>
        <w:t>分</w:t>
      </w:r>
    </w:p>
    <w:p w14:paraId="1FAD10A2">
      <w:pPr>
        <w:keepNext w:val="0"/>
        <w:keepLines w:val="0"/>
        <w:pageBreakBefore w:val="0"/>
        <w:widowControl w:val="0"/>
        <w:spacing w:line="500" w:lineRule="exact"/>
        <w:ind w:firstLine="56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各供应商得分为磋商小组成员评分的算术平均分，分值保留小数点后两位。</w:t>
      </w:r>
    </w:p>
    <w:tbl>
      <w:tblPr>
        <w:tblStyle w:val="34"/>
        <w:tblpPr w:leftFromText="180" w:rightFromText="180" w:vertAnchor="text" w:horzAnchor="page" w:tblpX="1264" w:tblpY="400"/>
        <w:tblOverlap w:val="never"/>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092"/>
        <w:gridCol w:w="7310"/>
        <w:gridCol w:w="564"/>
      </w:tblGrid>
      <w:tr w14:paraId="72E40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noWrap w:val="0"/>
            <w:vAlign w:val="center"/>
          </w:tcPr>
          <w:p w14:paraId="4DCD77FB">
            <w:pPr>
              <w:pStyle w:val="7"/>
              <w:keepNext w:val="0"/>
              <w:keepLines w:val="0"/>
              <w:pageBreakBefore w:val="0"/>
              <w:widowControl w:val="0"/>
              <w:kinsoku/>
              <w:wordWrap/>
              <w:overflowPunct/>
              <w:topLinePunct w:val="0"/>
              <w:bidi w:val="0"/>
              <w:adjustRightInd w:val="0"/>
              <w:snapToGrid w:val="0"/>
              <w:spacing w:line="300" w:lineRule="exact"/>
              <w:ind w:firstLine="0"/>
              <w:jc w:val="center"/>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序号</w:t>
            </w:r>
          </w:p>
        </w:tc>
        <w:tc>
          <w:tcPr>
            <w:tcW w:w="1092" w:type="dxa"/>
            <w:noWrap w:val="0"/>
            <w:vAlign w:val="center"/>
          </w:tcPr>
          <w:p w14:paraId="448C5907">
            <w:pPr>
              <w:pStyle w:val="7"/>
              <w:keepNext w:val="0"/>
              <w:keepLines w:val="0"/>
              <w:pageBreakBefore w:val="0"/>
              <w:widowControl w:val="0"/>
              <w:kinsoku/>
              <w:wordWrap/>
              <w:overflowPunct/>
              <w:topLinePunct w:val="0"/>
              <w:bidi w:val="0"/>
              <w:adjustRightInd w:val="0"/>
              <w:snapToGrid w:val="0"/>
              <w:spacing w:line="300" w:lineRule="exact"/>
              <w:ind w:firstLine="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评审项目</w:t>
            </w:r>
          </w:p>
        </w:tc>
        <w:tc>
          <w:tcPr>
            <w:tcW w:w="7310" w:type="dxa"/>
            <w:noWrap w:val="0"/>
            <w:vAlign w:val="center"/>
          </w:tcPr>
          <w:p w14:paraId="6C998ABB">
            <w:pPr>
              <w:keepNext w:val="0"/>
              <w:keepLines w:val="0"/>
              <w:pageBreakBefore w:val="0"/>
              <w:widowControl w:val="0"/>
              <w:kinsoku/>
              <w:wordWrap/>
              <w:overflowPunct/>
              <w:topLinePunct w:val="0"/>
              <w:autoSpaceDE w:val="0"/>
              <w:autoSpaceDN w:val="0"/>
              <w:bidi w:val="0"/>
              <w:adjustRightInd w:val="0"/>
              <w:snapToGrid w:val="0"/>
              <w:spacing w:line="300" w:lineRule="exact"/>
              <w:jc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zh-CN"/>
              </w:rPr>
              <w:t>评分要求</w:t>
            </w:r>
          </w:p>
        </w:tc>
        <w:tc>
          <w:tcPr>
            <w:tcW w:w="564" w:type="dxa"/>
            <w:noWrap w:val="0"/>
            <w:vAlign w:val="center"/>
          </w:tcPr>
          <w:p w14:paraId="253BD20B">
            <w:pPr>
              <w:keepNext w:val="0"/>
              <w:keepLines w:val="0"/>
              <w:pageBreakBefore w:val="0"/>
              <w:widowControl w:val="0"/>
              <w:kinsoku/>
              <w:wordWrap/>
              <w:overflowPunct/>
              <w:topLinePunct w:val="0"/>
              <w:autoSpaceDE w:val="0"/>
              <w:autoSpaceDN w:val="0"/>
              <w:bidi w:val="0"/>
              <w:adjustRightInd w:val="0"/>
              <w:snapToGrid w:val="0"/>
              <w:spacing w:line="300" w:lineRule="exact"/>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分值</w:t>
            </w:r>
          </w:p>
        </w:tc>
      </w:tr>
      <w:tr w14:paraId="44BAA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noWrap w:val="0"/>
            <w:vAlign w:val="center"/>
          </w:tcPr>
          <w:p w14:paraId="6299F208">
            <w:pPr>
              <w:pStyle w:val="7"/>
              <w:keepNext w:val="0"/>
              <w:keepLines w:val="0"/>
              <w:pageBreakBefore w:val="0"/>
              <w:widowControl w:val="0"/>
              <w:kinsoku/>
              <w:wordWrap/>
              <w:overflowPunct/>
              <w:topLinePunct w:val="0"/>
              <w:bidi w:val="0"/>
              <w:adjustRightInd w:val="0"/>
              <w:snapToGrid w:val="0"/>
              <w:spacing w:line="300" w:lineRule="exact"/>
              <w:ind w:firstLine="0"/>
              <w:jc w:val="center"/>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1</w:t>
            </w:r>
          </w:p>
        </w:tc>
        <w:tc>
          <w:tcPr>
            <w:tcW w:w="1092" w:type="dxa"/>
            <w:noWrap w:val="0"/>
            <w:vAlign w:val="center"/>
          </w:tcPr>
          <w:p w14:paraId="5904A0F1">
            <w:pPr>
              <w:keepNext w:val="0"/>
              <w:keepLines w:val="0"/>
              <w:pageBreakBefore w:val="0"/>
              <w:widowControl/>
              <w:kinsoku/>
              <w:wordWrap/>
              <w:overflowPunct/>
              <w:topLinePunct w:val="0"/>
              <w:bidi w:val="0"/>
              <w:spacing w:line="300" w:lineRule="exact"/>
              <w:jc w:val="center"/>
              <w:textAlignment w:val="center"/>
              <w:rPr>
                <w:rFonts w:hint="eastAsia" w:ascii="宋体" w:hAnsi="宋体" w:eastAsia="宋体" w:cs="仿宋"/>
                <w:kern w:val="0"/>
                <w:sz w:val="21"/>
                <w:szCs w:val="21"/>
                <w:highlight w:val="none"/>
                <w:lang w:val="en-US" w:eastAsia="zh-CN" w:bidi="ar"/>
              </w:rPr>
            </w:pPr>
            <w:r>
              <w:rPr>
                <w:rFonts w:hint="eastAsia" w:ascii="宋体" w:hAnsi="宋体" w:eastAsia="宋体" w:cs="仿宋"/>
                <w:kern w:val="0"/>
                <w:sz w:val="21"/>
                <w:szCs w:val="21"/>
                <w:highlight w:val="none"/>
                <w:lang w:bidi="ar"/>
              </w:rPr>
              <w:t>类似业绩</w:t>
            </w:r>
          </w:p>
        </w:tc>
        <w:tc>
          <w:tcPr>
            <w:tcW w:w="7310" w:type="dxa"/>
            <w:noWrap w:val="0"/>
            <w:vAlign w:val="center"/>
          </w:tcPr>
          <w:p w14:paraId="5293E7CD">
            <w:pPr>
              <w:keepNext w:val="0"/>
              <w:keepLines w:val="0"/>
              <w:pageBreakBefore w:val="0"/>
              <w:widowControl w:val="0"/>
              <w:kinsoku/>
              <w:wordWrap/>
              <w:overflowPunct/>
              <w:topLinePunct w:val="0"/>
              <w:bidi w:val="0"/>
              <w:adjustRightInd w:val="0"/>
              <w:snapToGrid w:val="0"/>
              <w:spacing w:line="300" w:lineRule="exact"/>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供应商自2022年8月1日至今（以合同签订日期为准）承担过总体战略研究类、规划提升研究类、城市设计类、详细规划类等类似项目，每提供1个业绩得1分，最高5分。同一业绩同时符合多个类型认定条件的，不重复计分。</w:t>
            </w:r>
          </w:p>
          <w:p w14:paraId="4599F3E3">
            <w:pPr>
              <w:keepNext w:val="0"/>
              <w:keepLines w:val="0"/>
              <w:pageBreakBefore w:val="0"/>
              <w:widowControl w:val="0"/>
              <w:kinsoku/>
              <w:wordWrap/>
              <w:overflowPunct/>
              <w:topLinePunct w:val="0"/>
              <w:bidi w:val="0"/>
              <w:adjustRightInd w:val="0"/>
              <w:snapToGrid w:val="0"/>
              <w:spacing w:line="300" w:lineRule="exact"/>
              <w:jc w:val="left"/>
              <w:rPr>
                <w:rFonts w:hint="eastAsia" w:ascii="Segoe UI" w:hAnsi="Segoe UI" w:eastAsia="宋体" w:cs="Segoe UI"/>
                <w:i w:val="0"/>
                <w:iCs w:val="0"/>
                <w:caps w:val="0"/>
                <w:color w:val="0F1115"/>
                <w:spacing w:val="0"/>
                <w:kern w:val="2"/>
                <w:sz w:val="24"/>
                <w:szCs w:val="24"/>
                <w:highlight w:val="none"/>
                <w:shd w:val="clear" w:color="auto" w:fill="FFFFFF"/>
                <w:lang w:val="zh-CN" w:eastAsia="zh-CN" w:bidi="ar-SA"/>
              </w:rPr>
            </w:pPr>
            <w:r>
              <w:rPr>
                <w:rFonts w:hint="eastAsia" w:ascii="宋体" w:hAnsi="宋体" w:eastAsia="宋体" w:cs="宋体"/>
                <w:b/>
                <w:bCs/>
                <w:sz w:val="21"/>
                <w:szCs w:val="21"/>
                <w:highlight w:val="none"/>
                <w:lang w:val="en-US" w:eastAsia="zh-CN"/>
              </w:rPr>
              <w:t>注：须提供有效合同扫描件（至少包含合同首页、盖章页及能证明合同主要服务内容的关键信息页）。合同内容笼统无法直接认定类型的，可补充提供合同甲方出具的加盖公章的说明函予以佐证。转包、分包合同无效，未按要求提供证明材料的不得分</w:t>
            </w:r>
            <w:r>
              <w:rPr>
                <w:rFonts w:hint="eastAsia" w:ascii="宋体" w:hAnsi="宋体" w:eastAsia="宋体" w:cs="宋体"/>
                <w:sz w:val="21"/>
                <w:szCs w:val="21"/>
                <w:highlight w:val="none"/>
              </w:rPr>
              <w:t>。</w:t>
            </w:r>
          </w:p>
        </w:tc>
        <w:tc>
          <w:tcPr>
            <w:tcW w:w="564" w:type="dxa"/>
            <w:noWrap w:val="0"/>
            <w:vAlign w:val="center"/>
          </w:tcPr>
          <w:p w14:paraId="69A7BB7A">
            <w:pPr>
              <w:keepNext w:val="0"/>
              <w:keepLines w:val="0"/>
              <w:pageBreakBefore w:val="0"/>
              <w:widowControl w:val="0"/>
              <w:kinsoku/>
              <w:wordWrap/>
              <w:overflowPunct/>
              <w:topLinePunct w:val="0"/>
              <w:bidi w:val="0"/>
              <w:adjustRightInd w:val="0"/>
              <w:snapToGrid w:val="0"/>
              <w:spacing w:line="300" w:lineRule="exact"/>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5</w:t>
            </w:r>
          </w:p>
        </w:tc>
      </w:tr>
      <w:tr w14:paraId="0BE4C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noWrap w:val="0"/>
            <w:vAlign w:val="center"/>
          </w:tcPr>
          <w:p w14:paraId="19EE6C56">
            <w:pPr>
              <w:pStyle w:val="7"/>
              <w:keepNext w:val="0"/>
              <w:keepLines w:val="0"/>
              <w:pageBreakBefore w:val="0"/>
              <w:widowControl w:val="0"/>
              <w:kinsoku/>
              <w:wordWrap/>
              <w:overflowPunct/>
              <w:topLinePunct w:val="0"/>
              <w:bidi w:val="0"/>
              <w:adjustRightInd w:val="0"/>
              <w:snapToGrid w:val="0"/>
              <w:spacing w:line="300" w:lineRule="exact"/>
              <w:ind w:firstLine="0"/>
              <w:jc w:val="center"/>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w:t>
            </w:r>
          </w:p>
        </w:tc>
        <w:tc>
          <w:tcPr>
            <w:tcW w:w="1092" w:type="dxa"/>
            <w:noWrap w:val="0"/>
            <w:vAlign w:val="center"/>
          </w:tcPr>
          <w:p w14:paraId="2F5FBDCC">
            <w:pPr>
              <w:keepNext w:val="0"/>
              <w:keepLines w:val="0"/>
              <w:pageBreakBefore w:val="0"/>
              <w:widowControl/>
              <w:kinsoku/>
              <w:wordWrap/>
              <w:overflowPunct/>
              <w:topLinePunct w:val="0"/>
              <w:bidi w:val="0"/>
              <w:spacing w:line="300" w:lineRule="exact"/>
              <w:jc w:val="center"/>
              <w:textAlignment w:val="center"/>
              <w:rPr>
                <w:rFonts w:hint="eastAsia" w:ascii="宋体" w:hAnsi="宋体" w:eastAsia="宋体" w:cs="仿宋"/>
                <w:kern w:val="0"/>
                <w:sz w:val="21"/>
                <w:szCs w:val="21"/>
                <w:highlight w:val="none"/>
                <w:lang w:val="en-US" w:eastAsia="zh-CN" w:bidi="ar"/>
              </w:rPr>
            </w:pPr>
            <w:r>
              <w:rPr>
                <w:rFonts w:hint="eastAsia" w:ascii="宋体" w:hAnsi="宋体" w:cs="仿宋"/>
                <w:kern w:val="0"/>
                <w:sz w:val="21"/>
                <w:szCs w:val="21"/>
                <w:highlight w:val="none"/>
                <w:lang w:val="en-US" w:eastAsia="zh-CN" w:bidi="ar"/>
              </w:rPr>
              <w:t>企业获奖</w:t>
            </w:r>
          </w:p>
        </w:tc>
        <w:tc>
          <w:tcPr>
            <w:tcW w:w="7310" w:type="dxa"/>
            <w:noWrap w:val="0"/>
            <w:vAlign w:val="center"/>
          </w:tcPr>
          <w:p w14:paraId="41AA9967">
            <w:pPr>
              <w:keepNext w:val="0"/>
              <w:keepLines w:val="0"/>
              <w:pageBreakBefore w:val="0"/>
              <w:widowControl w:val="0"/>
              <w:kinsoku/>
              <w:wordWrap/>
              <w:overflowPunct/>
              <w:topLinePunct w:val="0"/>
              <w:bidi w:val="0"/>
              <w:adjustRightInd w:val="0"/>
              <w:snapToGrid w:val="0"/>
              <w:spacing w:line="300" w:lineRule="exact"/>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供应商自2022年8月1日（</w:t>
            </w:r>
            <w:r>
              <w:rPr>
                <w:rFonts w:hint="eastAsia" w:ascii="宋体" w:hAnsi="宋体" w:eastAsia="宋体" w:cs="宋体"/>
                <w:b/>
                <w:bCs/>
                <w:sz w:val="21"/>
                <w:szCs w:val="21"/>
                <w:highlight w:val="none"/>
                <w:lang w:val="en-US" w:eastAsia="zh-CN"/>
              </w:rPr>
              <w:t>获奖时间以证书或文件载明的落款日期为准</w:t>
            </w:r>
            <w:r>
              <w:rPr>
                <w:rFonts w:hint="eastAsia" w:ascii="宋体" w:hAnsi="宋体" w:eastAsia="宋体" w:cs="宋体"/>
                <w:sz w:val="21"/>
                <w:szCs w:val="21"/>
                <w:highlight w:val="none"/>
                <w:lang w:val="en-US" w:eastAsia="zh-CN"/>
              </w:rPr>
              <w:t>）至今承接的规划设计类项目，获得国家级奖项的，每提供1个得1.5分；获得省（直辖市）级奖项的，每提供1个得1分；获得市级奖项的，每提供1个得0.5分。本项最多得5分。</w:t>
            </w:r>
          </w:p>
          <w:p w14:paraId="0CC0AF11">
            <w:pPr>
              <w:keepNext w:val="0"/>
              <w:keepLines w:val="0"/>
              <w:pageBreakBefore w:val="0"/>
              <w:widowControl w:val="0"/>
              <w:kinsoku/>
              <w:wordWrap/>
              <w:overflowPunct/>
              <w:topLinePunct w:val="0"/>
              <w:bidi w:val="0"/>
              <w:adjustRightInd w:val="0"/>
              <w:snapToGrid w:val="0"/>
              <w:spacing w:line="300" w:lineRule="exact"/>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注：（1）同一个项目按照最高奖项得分，不可重复得分。</w:t>
            </w:r>
          </w:p>
          <w:p w14:paraId="6A760745">
            <w:pPr>
              <w:keepNext w:val="0"/>
              <w:keepLines w:val="0"/>
              <w:pageBreakBefore w:val="0"/>
              <w:widowControl w:val="0"/>
              <w:kinsoku/>
              <w:wordWrap/>
              <w:overflowPunct/>
              <w:topLinePunct w:val="0"/>
              <w:bidi w:val="0"/>
              <w:adjustRightInd w:val="0"/>
              <w:snapToGrid w:val="0"/>
              <w:spacing w:line="300" w:lineRule="exact"/>
              <w:jc w:val="left"/>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（2）联合体投标的，仅认可投标人（或联合体牵头方）自身作为获奖主体的奖项。</w:t>
            </w:r>
          </w:p>
          <w:p w14:paraId="22EE2275">
            <w:pPr>
              <w:keepNext w:val="0"/>
              <w:keepLines w:val="0"/>
              <w:pageBreakBefore w:val="0"/>
              <w:widowControl w:val="0"/>
              <w:kinsoku/>
              <w:wordWrap/>
              <w:overflowPunct/>
              <w:topLinePunct w:val="0"/>
              <w:bidi w:val="0"/>
              <w:adjustRightInd w:val="0"/>
              <w:snapToGrid w:val="0"/>
              <w:spacing w:line="300" w:lineRule="exact"/>
              <w:jc w:val="left"/>
              <w:rPr>
                <w:rFonts w:hint="eastAsia" w:ascii="宋体" w:hAnsi="宋体" w:eastAsia="宋体" w:cs="宋体"/>
                <w:kern w:val="2"/>
                <w:sz w:val="21"/>
                <w:szCs w:val="21"/>
                <w:highlight w:val="none"/>
                <w:lang w:val="zh-CN" w:eastAsia="zh-CN" w:bidi="ar-SA"/>
              </w:rPr>
            </w:pPr>
            <w:r>
              <w:rPr>
                <w:rFonts w:hint="eastAsia" w:ascii="宋体" w:hAnsi="宋体" w:eastAsia="宋体" w:cs="宋体"/>
                <w:b/>
                <w:bCs/>
                <w:sz w:val="21"/>
                <w:szCs w:val="21"/>
                <w:highlight w:val="none"/>
                <w:lang w:val="en-US" w:eastAsia="zh-CN"/>
              </w:rPr>
              <w:t>（3）须提供获奖证书或获奖文件的原件扫描件。</w:t>
            </w:r>
          </w:p>
        </w:tc>
        <w:tc>
          <w:tcPr>
            <w:tcW w:w="564" w:type="dxa"/>
            <w:noWrap w:val="0"/>
            <w:vAlign w:val="center"/>
          </w:tcPr>
          <w:p w14:paraId="3F044F97">
            <w:pPr>
              <w:keepNext w:val="0"/>
              <w:keepLines w:val="0"/>
              <w:pageBreakBefore w:val="0"/>
              <w:widowControl w:val="0"/>
              <w:kinsoku/>
              <w:wordWrap/>
              <w:overflowPunct/>
              <w:topLinePunct w:val="0"/>
              <w:bidi w:val="0"/>
              <w:adjustRightInd w:val="0"/>
              <w:snapToGrid w:val="0"/>
              <w:spacing w:line="300" w:lineRule="exact"/>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5</w:t>
            </w:r>
          </w:p>
        </w:tc>
      </w:tr>
      <w:tr w14:paraId="21E1A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vMerge w:val="restart"/>
            <w:noWrap w:val="0"/>
            <w:vAlign w:val="center"/>
          </w:tcPr>
          <w:p w14:paraId="610CD5BE">
            <w:pPr>
              <w:pStyle w:val="7"/>
              <w:keepNext w:val="0"/>
              <w:keepLines w:val="0"/>
              <w:pageBreakBefore w:val="0"/>
              <w:widowControl w:val="0"/>
              <w:kinsoku/>
              <w:wordWrap/>
              <w:overflowPunct/>
              <w:topLinePunct w:val="0"/>
              <w:bidi w:val="0"/>
              <w:adjustRightInd w:val="0"/>
              <w:snapToGrid w:val="0"/>
              <w:spacing w:line="300" w:lineRule="exact"/>
              <w:ind w:firstLine="0"/>
              <w:jc w:val="center"/>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3</w:t>
            </w:r>
          </w:p>
        </w:tc>
        <w:tc>
          <w:tcPr>
            <w:tcW w:w="1092" w:type="dxa"/>
            <w:vMerge w:val="restart"/>
            <w:noWrap w:val="0"/>
            <w:vAlign w:val="center"/>
          </w:tcPr>
          <w:p w14:paraId="2D33058E">
            <w:pPr>
              <w:keepNext w:val="0"/>
              <w:keepLines w:val="0"/>
              <w:pageBreakBefore w:val="0"/>
              <w:widowControl/>
              <w:kinsoku/>
              <w:wordWrap/>
              <w:overflowPunct/>
              <w:topLinePunct w:val="0"/>
              <w:bidi w:val="0"/>
              <w:spacing w:line="300" w:lineRule="exact"/>
              <w:jc w:val="center"/>
              <w:textAlignment w:val="center"/>
              <w:rPr>
                <w:rFonts w:hint="eastAsia" w:ascii="宋体" w:hAnsi="宋体" w:eastAsia="宋体" w:cs="仿宋"/>
                <w:color w:val="auto"/>
                <w:kern w:val="0"/>
                <w:sz w:val="21"/>
                <w:szCs w:val="21"/>
                <w:highlight w:val="none"/>
                <w:lang w:val="en-US" w:eastAsia="zh-CN" w:bidi="ar"/>
              </w:rPr>
            </w:pPr>
            <w:r>
              <w:rPr>
                <w:rFonts w:hint="eastAsia" w:ascii="宋体" w:hAnsi="宋体" w:eastAsia="宋体" w:cs="仿宋"/>
                <w:color w:val="auto"/>
                <w:kern w:val="0"/>
                <w:sz w:val="21"/>
                <w:szCs w:val="21"/>
                <w:highlight w:val="none"/>
                <w:lang w:bidi="ar"/>
              </w:rPr>
              <w:t>项目负责人</w:t>
            </w:r>
          </w:p>
        </w:tc>
        <w:tc>
          <w:tcPr>
            <w:tcW w:w="7310" w:type="dxa"/>
            <w:noWrap w:val="0"/>
            <w:vAlign w:val="top"/>
          </w:tcPr>
          <w:p w14:paraId="481EB7F6">
            <w:pPr>
              <w:keepNext w:val="0"/>
              <w:keepLines w:val="0"/>
              <w:pageBreakBefore w:val="0"/>
              <w:widowControl w:val="0"/>
              <w:kinsoku/>
              <w:wordWrap/>
              <w:overflowPunct/>
              <w:topLinePunct w:val="0"/>
              <w:bidi w:val="0"/>
              <w:adjustRightInd w:val="0"/>
              <w:snapToGrid w:val="0"/>
              <w:spacing w:line="300" w:lineRule="exact"/>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项目负责人具有城市（乡）规划、国土空间规划或相关专业</w:t>
            </w:r>
            <w:r>
              <w:rPr>
                <w:rFonts w:hint="eastAsia" w:ascii="宋体" w:hAnsi="宋体" w:eastAsia="宋体" w:cs="宋体"/>
                <w:color w:val="auto"/>
                <w:sz w:val="21"/>
                <w:szCs w:val="21"/>
                <w:highlight w:val="none"/>
                <w:lang w:val="en-US" w:eastAsia="zh-CN"/>
              </w:rPr>
              <w:t>正</w:t>
            </w:r>
            <w:r>
              <w:rPr>
                <w:rFonts w:hint="eastAsia" w:ascii="宋体" w:hAnsi="宋体" w:eastAsia="宋体" w:cs="宋体"/>
                <w:color w:val="auto"/>
                <w:sz w:val="21"/>
                <w:szCs w:val="21"/>
                <w:highlight w:val="none"/>
              </w:rPr>
              <w:t>高级职称</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得2分；</w:t>
            </w:r>
            <w:r>
              <w:rPr>
                <w:rFonts w:hint="eastAsia" w:ascii="宋体" w:hAnsi="宋体" w:eastAsia="宋体" w:cs="宋体"/>
                <w:color w:val="auto"/>
                <w:sz w:val="21"/>
                <w:szCs w:val="21"/>
                <w:highlight w:val="none"/>
                <w:lang w:val="en-US" w:eastAsia="zh-CN"/>
              </w:rPr>
              <w:t>副高级</w:t>
            </w:r>
            <w:r>
              <w:rPr>
                <w:rFonts w:hint="eastAsia" w:ascii="宋体" w:hAnsi="宋体" w:eastAsia="宋体" w:cs="宋体"/>
                <w:color w:val="auto"/>
                <w:sz w:val="21"/>
                <w:szCs w:val="21"/>
                <w:highlight w:val="none"/>
              </w:rPr>
              <w:t>职称</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没有不得分；</w:t>
            </w:r>
            <w:r>
              <w:rPr>
                <w:rFonts w:hint="eastAsia" w:ascii="宋体" w:hAnsi="宋体" w:eastAsia="宋体" w:cs="宋体"/>
                <w:b/>
                <w:bCs/>
                <w:color w:val="auto"/>
                <w:sz w:val="21"/>
                <w:szCs w:val="21"/>
                <w:highlight w:val="none"/>
                <w:lang w:val="en-US" w:eastAsia="zh-CN"/>
              </w:rPr>
              <w:t>提供职称证书原件扫描件。</w:t>
            </w:r>
          </w:p>
          <w:p w14:paraId="3425A12A">
            <w:pPr>
              <w:keepNext w:val="0"/>
              <w:keepLines w:val="0"/>
              <w:pageBreakBefore w:val="0"/>
              <w:widowControl w:val="0"/>
              <w:kinsoku/>
              <w:wordWrap/>
              <w:overflowPunct/>
              <w:topLinePunct w:val="0"/>
              <w:bidi w:val="0"/>
              <w:adjustRightInd w:val="0"/>
              <w:snapToGrid w:val="0"/>
              <w:spacing w:line="300" w:lineRule="exact"/>
              <w:jc w:val="left"/>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b/>
                <w:bCs/>
                <w:color w:val="auto"/>
                <w:sz w:val="21"/>
                <w:szCs w:val="21"/>
                <w:highlight w:val="none"/>
                <w:lang w:val="en-US" w:eastAsia="zh-CN"/>
              </w:rPr>
              <w:t>注：提供投标人为项目负责人缴纳的自投标截止时间前三个月的养老保险缴费证明（投标人如为成立不足三个月的新公司，可以提供最近一个月的养老保险缴费证明；成立不足一个月的新公司，可以不提交养老保险缴费证明）。</w:t>
            </w:r>
          </w:p>
        </w:tc>
        <w:tc>
          <w:tcPr>
            <w:tcW w:w="564" w:type="dxa"/>
            <w:noWrap w:val="0"/>
            <w:vAlign w:val="center"/>
          </w:tcPr>
          <w:p w14:paraId="4EA618B6">
            <w:pPr>
              <w:keepNext w:val="0"/>
              <w:keepLines w:val="0"/>
              <w:pageBreakBefore w:val="0"/>
              <w:widowControl w:val="0"/>
              <w:kinsoku/>
              <w:wordWrap/>
              <w:overflowPunct/>
              <w:topLinePunct w:val="0"/>
              <w:bidi w:val="0"/>
              <w:adjustRightInd w:val="0"/>
              <w:snapToGrid w:val="0"/>
              <w:spacing w:line="300" w:lineRule="exact"/>
              <w:jc w:val="center"/>
              <w:textAlignment w:val="baseline"/>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rPr>
              <w:t>2</w:t>
            </w:r>
          </w:p>
        </w:tc>
      </w:tr>
      <w:tr w14:paraId="5F049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vMerge w:val="continue"/>
            <w:noWrap w:val="0"/>
            <w:vAlign w:val="center"/>
          </w:tcPr>
          <w:p w14:paraId="7C3BFD31">
            <w:pPr>
              <w:pStyle w:val="7"/>
              <w:keepNext w:val="0"/>
              <w:keepLines w:val="0"/>
              <w:pageBreakBefore w:val="0"/>
              <w:widowControl w:val="0"/>
              <w:kinsoku/>
              <w:wordWrap/>
              <w:overflowPunct/>
              <w:topLinePunct w:val="0"/>
              <w:bidi w:val="0"/>
              <w:adjustRightInd w:val="0"/>
              <w:snapToGrid w:val="0"/>
              <w:spacing w:line="300" w:lineRule="exact"/>
              <w:ind w:firstLine="0"/>
              <w:jc w:val="center"/>
              <w:rPr>
                <w:rFonts w:hint="eastAsia" w:ascii="宋体" w:hAnsi="宋体" w:eastAsia="宋体" w:cs="宋体"/>
                <w:b/>
                <w:bCs/>
                <w:sz w:val="21"/>
                <w:szCs w:val="21"/>
                <w:highlight w:val="none"/>
                <w:lang w:val="zh-CN" w:eastAsia="zh-CN"/>
              </w:rPr>
            </w:pPr>
          </w:p>
        </w:tc>
        <w:tc>
          <w:tcPr>
            <w:tcW w:w="1092" w:type="dxa"/>
            <w:vMerge w:val="continue"/>
            <w:noWrap w:val="0"/>
            <w:vAlign w:val="center"/>
          </w:tcPr>
          <w:p w14:paraId="123BC4C5">
            <w:pPr>
              <w:keepNext w:val="0"/>
              <w:keepLines w:val="0"/>
              <w:pageBreakBefore w:val="0"/>
              <w:widowControl/>
              <w:kinsoku/>
              <w:wordWrap/>
              <w:overflowPunct/>
              <w:topLinePunct w:val="0"/>
              <w:bidi w:val="0"/>
              <w:spacing w:line="300" w:lineRule="exact"/>
              <w:jc w:val="center"/>
              <w:textAlignment w:val="center"/>
              <w:rPr>
                <w:rFonts w:hint="eastAsia" w:ascii="宋体" w:hAnsi="宋体" w:eastAsia="宋体" w:cs="仿宋"/>
                <w:color w:val="auto"/>
                <w:kern w:val="0"/>
                <w:sz w:val="21"/>
                <w:szCs w:val="21"/>
                <w:highlight w:val="none"/>
                <w:lang w:bidi="ar"/>
              </w:rPr>
            </w:pPr>
          </w:p>
        </w:tc>
        <w:tc>
          <w:tcPr>
            <w:tcW w:w="7310" w:type="dxa"/>
            <w:noWrap w:val="0"/>
            <w:vAlign w:val="top"/>
          </w:tcPr>
          <w:p w14:paraId="1B9CD97E">
            <w:pPr>
              <w:keepNext w:val="0"/>
              <w:keepLines w:val="0"/>
              <w:pageBreakBefore w:val="0"/>
              <w:widowControl w:val="0"/>
              <w:kinsoku/>
              <w:wordWrap/>
              <w:overflowPunct/>
              <w:topLinePunct w:val="0"/>
              <w:bidi w:val="0"/>
              <w:adjustRightInd w:val="0"/>
              <w:snapToGrid w:val="0"/>
              <w:spacing w:line="3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负责人</w:t>
            </w:r>
            <w:r>
              <w:rPr>
                <w:rFonts w:hint="eastAsia" w:ascii="宋体" w:hAnsi="宋体" w:eastAsia="宋体" w:cs="宋体"/>
                <w:color w:val="auto"/>
                <w:sz w:val="21"/>
                <w:szCs w:val="21"/>
                <w:highlight w:val="none"/>
                <w:lang w:val="en-US" w:eastAsia="zh-CN"/>
              </w:rPr>
              <w:t>自2022年8月1日（</w:t>
            </w:r>
            <w:r>
              <w:rPr>
                <w:rFonts w:hint="eastAsia" w:ascii="宋体" w:hAnsi="宋体" w:eastAsia="宋体" w:cs="宋体"/>
                <w:b/>
                <w:bCs/>
                <w:color w:val="auto"/>
                <w:sz w:val="21"/>
                <w:szCs w:val="21"/>
                <w:highlight w:val="none"/>
                <w:lang w:val="en-US" w:eastAsia="zh-CN"/>
              </w:rPr>
              <w:t>以获奖证书或文件载明的落款日期为准</w:t>
            </w:r>
            <w:r>
              <w:rPr>
                <w:rFonts w:hint="eastAsia" w:ascii="宋体" w:hAnsi="宋体" w:eastAsia="宋体" w:cs="宋体"/>
                <w:color w:val="auto"/>
                <w:sz w:val="21"/>
                <w:szCs w:val="21"/>
                <w:highlight w:val="none"/>
                <w:lang w:val="en-US" w:eastAsia="zh-CN"/>
              </w:rPr>
              <w:t>）以来</w:t>
            </w:r>
            <w:r>
              <w:rPr>
                <w:rFonts w:hint="eastAsia" w:ascii="宋体" w:hAnsi="宋体" w:eastAsia="宋体" w:cs="宋体"/>
                <w:color w:val="auto"/>
                <w:sz w:val="21"/>
                <w:szCs w:val="21"/>
                <w:highlight w:val="none"/>
              </w:rPr>
              <w:t>参与过的规划</w:t>
            </w:r>
            <w:r>
              <w:rPr>
                <w:rFonts w:hint="eastAsia" w:ascii="宋体" w:hAnsi="宋体" w:eastAsia="宋体" w:cs="宋体"/>
                <w:color w:val="auto"/>
                <w:sz w:val="21"/>
                <w:szCs w:val="21"/>
                <w:highlight w:val="none"/>
                <w:lang w:val="en-US" w:eastAsia="zh-CN"/>
              </w:rPr>
              <w:t>设计</w:t>
            </w:r>
            <w:r>
              <w:rPr>
                <w:rFonts w:hint="eastAsia" w:ascii="宋体" w:hAnsi="宋体" w:eastAsia="宋体" w:cs="宋体"/>
                <w:color w:val="auto"/>
                <w:sz w:val="21"/>
                <w:szCs w:val="21"/>
                <w:highlight w:val="none"/>
              </w:rPr>
              <w:t>类项目</w:t>
            </w:r>
            <w:r>
              <w:rPr>
                <w:rFonts w:hint="eastAsia" w:ascii="宋体" w:hAnsi="宋体" w:eastAsia="宋体" w:cs="宋体"/>
                <w:color w:val="auto"/>
                <w:sz w:val="21"/>
                <w:szCs w:val="21"/>
                <w:highlight w:val="none"/>
                <w:lang w:val="en-US" w:eastAsia="zh-CN"/>
              </w:rPr>
              <w:t>获奖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获得国家级奖项的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w:t>
            </w:r>
            <w:r>
              <w:rPr>
                <w:rFonts w:hint="eastAsia" w:ascii="宋体" w:hAnsi="宋体" w:eastAsia="宋体" w:cs="宋体"/>
                <w:color w:val="auto"/>
                <w:sz w:val="21"/>
                <w:szCs w:val="21"/>
                <w:highlight w:val="none"/>
                <w:lang w:val="en-US" w:eastAsia="zh-CN"/>
              </w:rPr>
              <w:t>项</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获得省（直辖市）级奖项的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w:t>
            </w:r>
            <w:r>
              <w:rPr>
                <w:rFonts w:hint="eastAsia" w:ascii="宋体" w:hAnsi="宋体" w:eastAsia="宋体" w:cs="宋体"/>
                <w:color w:val="auto"/>
                <w:sz w:val="21"/>
                <w:szCs w:val="21"/>
                <w:highlight w:val="none"/>
                <w:lang w:val="en-US" w:eastAsia="zh-CN"/>
              </w:rPr>
              <w:t>项</w:t>
            </w:r>
            <w:r>
              <w:rPr>
                <w:rFonts w:hint="eastAsia" w:ascii="宋体" w:hAnsi="宋体" w:eastAsia="宋体" w:cs="宋体"/>
                <w:color w:val="auto"/>
                <w:sz w:val="21"/>
                <w:szCs w:val="21"/>
                <w:highlight w:val="none"/>
              </w:rPr>
              <w:t>得1分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获得市级奖项的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w:t>
            </w:r>
            <w:r>
              <w:rPr>
                <w:rFonts w:hint="eastAsia" w:ascii="宋体" w:hAnsi="宋体" w:eastAsia="宋体" w:cs="宋体"/>
                <w:color w:val="auto"/>
                <w:sz w:val="21"/>
                <w:szCs w:val="21"/>
                <w:highlight w:val="none"/>
                <w:lang w:val="en-US" w:eastAsia="zh-CN"/>
              </w:rPr>
              <w:t>项</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default" w:ascii="宋体" w:hAnsi="宋体" w:eastAsia="宋体" w:cs="宋体"/>
                <w:color w:val="auto"/>
                <w:sz w:val="21"/>
                <w:szCs w:val="21"/>
                <w:highlight w:val="none"/>
                <w:lang w:eastAsia="zh-CN"/>
              </w:rPr>
              <w:t>本项最多得</w:t>
            </w:r>
            <w:r>
              <w:rPr>
                <w:rFonts w:hint="eastAsia" w:ascii="宋体" w:hAnsi="宋体" w:eastAsia="宋体" w:cs="宋体"/>
                <w:color w:val="auto"/>
                <w:sz w:val="21"/>
                <w:szCs w:val="21"/>
                <w:highlight w:val="none"/>
                <w:lang w:val="en-US" w:eastAsia="zh-CN"/>
              </w:rPr>
              <w:t>2</w:t>
            </w:r>
            <w:r>
              <w:rPr>
                <w:rFonts w:hint="default" w:ascii="宋体" w:hAnsi="宋体" w:eastAsia="宋体" w:cs="宋体"/>
                <w:color w:val="auto"/>
                <w:sz w:val="21"/>
                <w:szCs w:val="21"/>
                <w:highlight w:val="none"/>
                <w:lang w:eastAsia="zh-CN"/>
              </w:rPr>
              <w:t>分。</w:t>
            </w:r>
          </w:p>
          <w:p w14:paraId="00C5BB05">
            <w:pPr>
              <w:keepNext w:val="0"/>
              <w:keepLines w:val="0"/>
              <w:pageBreakBefore w:val="0"/>
              <w:widowControl w:val="0"/>
              <w:kinsoku/>
              <w:wordWrap/>
              <w:overflowPunct/>
              <w:topLinePunct w:val="0"/>
              <w:bidi w:val="0"/>
              <w:adjustRightInd w:val="0"/>
              <w:snapToGrid w:val="0"/>
              <w:spacing w:line="300" w:lineRule="exact"/>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注：（1）同一个项目按照最高奖项得分，不可重复得分。</w:t>
            </w:r>
          </w:p>
          <w:p w14:paraId="0C0932EF">
            <w:pPr>
              <w:keepNext w:val="0"/>
              <w:keepLines w:val="0"/>
              <w:pageBreakBefore w:val="0"/>
              <w:widowControl w:val="0"/>
              <w:kinsoku/>
              <w:wordWrap/>
              <w:overflowPunct/>
              <w:topLinePunct w:val="0"/>
              <w:bidi w:val="0"/>
              <w:adjustRightInd w:val="0"/>
              <w:snapToGrid w:val="0"/>
              <w:spacing w:line="300" w:lineRule="exact"/>
              <w:jc w:val="lef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（2）联合体投标的，仅认可投标人（或联合体牵头方）自身作为获奖主体的奖项。</w:t>
            </w:r>
          </w:p>
          <w:p w14:paraId="728BF8DD">
            <w:pPr>
              <w:keepNext w:val="0"/>
              <w:keepLines w:val="0"/>
              <w:pageBreakBefore w:val="0"/>
              <w:widowControl w:val="0"/>
              <w:kinsoku/>
              <w:wordWrap/>
              <w:overflowPunct/>
              <w:topLinePunct w:val="0"/>
              <w:bidi w:val="0"/>
              <w:adjustRightInd w:val="0"/>
              <w:snapToGrid w:val="0"/>
              <w:spacing w:line="3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（3）须提供获奖合同、获奖证书或获奖文件的原件扫描件。</w:t>
            </w:r>
          </w:p>
        </w:tc>
        <w:tc>
          <w:tcPr>
            <w:tcW w:w="564" w:type="dxa"/>
            <w:noWrap w:val="0"/>
            <w:vAlign w:val="center"/>
          </w:tcPr>
          <w:p w14:paraId="1E5B76A6">
            <w:pPr>
              <w:keepNext w:val="0"/>
              <w:keepLines w:val="0"/>
              <w:pageBreakBefore w:val="0"/>
              <w:widowControl w:val="0"/>
              <w:kinsoku/>
              <w:wordWrap/>
              <w:overflowPunct/>
              <w:topLinePunct w:val="0"/>
              <w:bidi w:val="0"/>
              <w:adjustRightInd w:val="0"/>
              <w:snapToGrid w:val="0"/>
              <w:spacing w:line="300" w:lineRule="exact"/>
              <w:jc w:val="center"/>
              <w:textAlignment w:val="baseline"/>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w:t>
            </w:r>
          </w:p>
        </w:tc>
      </w:tr>
      <w:tr w14:paraId="410C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noWrap w:val="0"/>
            <w:vAlign w:val="center"/>
          </w:tcPr>
          <w:p w14:paraId="0CF4C666">
            <w:pPr>
              <w:pStyle w:val="7"/>
              <w:keepNext w:val="0"/>
              <w:keepLines w:val="0"/>
              <w:pageBreakBefore w:val="0"/>
              <w:widowControl w:val="0"/>
              <w:kinsoku/>
              <w:wordWrap/>
              <w:overflowPunct/>
              <w:topLinePunct w:val="0"/>
              <w:bidi w:val="0"/>
              <w:adjustRightInd w:val="0"/>
              <w:snapToGrid w:val="0"/>
              <w:spacing w:line="300" w:lineRule="exact"/>
              <w:ind w:firstLine="0"/>
              <w:jc w:val="center"/>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4</w:t>
            </w:r>
          </w:p>
        </w:tc>
        <w:tc>
          <w:tcPr>
            <w:tcW w:w="1092" w:type="dxa"/>
            <w:noWrap w:val="0"/>
            <w:vAlign w:val="center"/>
          </w:tcPr>
          <w:p w14:paraId="5F2D4E5D">
            <w:pPr>
              <w:pStyle w:val="7"/>
              <w:keepNext w:val="0"/>
              <w:keepLines w:val="0"/>
              <w:pageBreakBefore w:val="0"/>
              <w:widowControl w:val="0"/>
              <w:kinsoku/>
              <w:wordWrap/>
              <w:overflowPunct/>
              <w:topLinePunct w:val="0"/>
              <w:bidi w:val="0"/>
              <w:adjustRightInd w:val="0"/>
              <w:snapToGrid w:val="0"/>
              <w:spacing w:line="300" w:lineRule="exact"/>
              <w:ind w:firstLine="0" w:firstLineChars="0"/>
              <w:jc w:val="center"/>
              <w:rPr>
                <w:rFonts w:hint="eastAsia" w:ascii="宋体" w:hAnsi="宋体" w:eastAsia="宋体" w:cs="宋体"/>
                <w:b/>
                <w:bCs/>
                <w:kern w:val="2"/>
                <w:sz w:val="21"/>
                <w:szCs w:val="21"/>
                <w:highlight w:val="none"/>
                <w:lang w:val="en-US" w:eastAsia="zh-CN" w:bidi="ar-SA"/>
              </w:rPr>
            </w:pPr>
            <w:r>
              <w:rPr>
                <w:rFonts w:hint="eastAsia" w:ascii="宋体" w:hAnsi="宋体" w:cs="仿宋"/>
                <w:kern w:val="0"/>
                <w:sz w:val="21"/>
                <w:szCs w:val="21"/>
                <w:highlight w:val="none"/>
                <w:lang w:bidi="ar"/>
              </w:rPr>
              <w:t>团队人员情况</w:t>
            </w:r>
          </w:p>
        </w:tc>
        <w:tc>
          <w:tcPr>
            <w:tcW w:w="7310" w:type="dxa"/>
            <w:noWrap w:val="0"/>
            <w:vAlign w:val="center"/>
          </w:tcPr>
          <w:p w14:paraId="2809719A">
            <w:pPr>
              <w:keepNext w:val="0"/>
              <w:keepLines w:val="0"/>
              <w:pageBreakBefore w:val="0"/>
              <w:widowControl w:val="0"/>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拟投入项目组成员（不含项目负责人）中</w:t>
            </w:r>
          </w:p>
          <w:p w14:paraId="28C04B86">
            <w:pPr>
              <w:keepNext w:val="0"/>
              <w:keepLines w:val="0"/>
              <w:pageBreakBefore w:val="0"/>
              <w:widowControl w:val="0"/>
              <w:kinsoku/>
              <w:wordWrap/>
              <w:overflowPunct/>
              <w:topLinePunct w:val="0"/>
              <w:bidi w:val="0"/>
              <w:adjustRightInd w:val="0"/>
              <w:snapToGrid w:val="0"/>
              <w:spacing w:line="300" w:lineRule="exact"/>
              <w:jc w:val="left"/>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rPr>
              <w:t>1.每有一人具有城市（乡）规划、国土空间规划或相关专业高级及以上职称的，得1</w:t>
            </w:r>
            <w:r>
              <w:rPr>
                <w:rFonts w:hint="default" w:ascii="宋体" w:hAnsi="宋体" w:eastAsia="宋体" w:cs="宋体"/>
                <w:sz w:val="21"/>
                <w:szCs w:val="21"/>
                <w:highlight w:val="none"/>
                <w:lang w:val="en-US" w:eastAsia="zh-CN"/>
              </w:rPr>
              <w:t>分；具有中级职称的，每人得</w:t>
            </w:r>
            <w:r>
              <w:rPr>
                <w:rFonts w:hint="eastAsia" w:ascii="宋体" w:hAnsi="宋体" w:eastAsia="宋体" w:cs="宋体"/>
                <w:sz w:val="21"/>
                <w:szCs w:val="21"/>
                <w:highlight w:val="none"/>
                <w:lang w:val="en-US" w:eastAsia="zh-CN"/>
              </w:rPr>
              <w:t>0.5</w:t>
            </w:r>
            <w:r>
              <w:rPr>
                <w:rFonts w:hint="default" w:ascii="宋体" w:hAnsi="宋体" w:eastAsia="宋体" w:cs="宋体"/>
                <w:sz w:val="21"/>
                <w:szCs w:val="21"/>
                <w:highlight w:val="none"/>
                <w:lang w:val="en-US" w:eastAsia="zh-CN"/>
              </w:rPr>
              <w:t>分。本项最高得</w:t>
            </w:r>
            <w:r>
              <w:rPr>
                <w:rFonts w:hint="eastAsia" w:ascii="宋体" w:hAnsi="宋体" w:eastAsia="宋体" w:cs="宋体"/>
                <w:sz w:val="21"/>
                <w:szCs w:val="21"/>
                <w:highlight w:val="none"/>
                <w:lang w:val="en-US" w:eastAsia="zh-CN"/>
              </w:rPr>
              <w:t>2</w:t>
            </w:r>
            <w:r>
              <w:rPr>
                <w:rFonts w:hint="default" w:ascii="宋体" w:hAnsi="宋体" w:eastAsia="宋体" w:cs="宋体"/>
                <w:sz w:val="21"/>
                <w:szCs w:val="21"/>
                <w:highlight w:val="none"/>
                <w:lang w:val="en-US" w:eastAsia="zh-CN"/>
              </w:rPr>
              <w:t>分</w:t>
            </w:r>
            <w:r>
              <w:rPr>
                <w:rFonts w:hint="eastAsia" w:ascii="宋体" w:hAnsi="宋体" w:eastAsia="宋体" w:cs="宋体"/>
                <w:sz w:val="21"/>
                <w:szCs w:val="21"/>
                <w:highlight w:val="none"/>
                <w:lang w:val="en-US" w:eastAsia="zh-CN"/>
              </w:rPr>
              <w:t>；</w:t>
            </w:r>
            <w:r>
              <w:rPr>
                <w:rFonts w:hint="eastAsia" w:ascii="宋体" w:hAnsi="宋体" w:eastAsia="宋体" w:cs="宋体"/>
                <w:b/>
                <w:bCs/>
                <w:color w:val="auto"/>
                <w:sz w:val="21"/>
                <w:szCs w:val="21"/>
                <w:highlight w:val="none"/>
                <w:lang w:val="en-US" w:eastAsia="zh-CN"/>
              </w:rPr>
              <w:t>提供职称证书原件扫描件。</w:t>
            </w:r>
          </w:p>
          <w:p w14:paraId="7F2FA29B">
            <w:pPr>
              <w:keepNext w:val="0"/>
              <w:keepLines w:val="0"/>
              <w:pageBreakBefore w:val="0"/>
              <w:widowControl w:val="0"/>
              <w:kinsoku/>
              <w:wordWrap/>
              <w:overflowPunct/>
              <w:topLinePunct w:val="0"/>
              <w:bidi w:val="0"/>
              <w:adjustRightInd w:val="0"/>
              <w:snapToGrid w:val="0"/>
              <w:spacing w:line="300" w:lineRule="exact"/>
              <w:jc w:val="left"/>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default" w:ascii="宋体" w:hAnsi="宋体" w:eastAsia="宋体" w:cs="宋体"/>
                <w:color w:val="auto"/>
                <w:sz w:val="21"/>
                <w:szCs w:val="21"/>
                <w:highlight w:val="none"/>
                <w:lang w:val="en-US" w:eastAsia="zh-CN"/>
              </w:rPr>
              <w:t>每有一人具有注册城市（乡）规划师执业资格的，得</w:t>
            </w:r>
            <w:r>
              <w:rPr>
                <w:rFonts w:hint="eastAsia" w:ascii="宋体" w:hAnsi="宋体" w:eastAsia="宋体" w:cs="宋体"/>
                <w:color w:val="auto"/>
                <w:sz w:val="21"/>
                <w:szCs w:val="21"/>
                <w:highlight w:val="none"/>
                <w:lang w:val="en-US" w:eastAsia="zh-CN"/>
              </w:rPr>
              <w:t>0.5</w:t>
            </w:r>
            <w:r>
              <w:rPr>
                <w:rFonts w:hint="default" w:ascii="宋体" w:hAnsi="宋体" w:eastAsia="宋体" w:cs="宋体"/>
                <w:color w:val="auto"/>
                <w:sz w:val="21"/>
                <w:szCs w:val="21"/>
                <w:highlight w:val="none"/>
                <w:lang w:val="en-US" w:eastAsia="zh-CN"/>
              </w:rPr>
              <w:t>分。本项最高得</w:t>
            </w:r>
            <w:r>
              <w:rPr>
                <w:rFonts w:hint="eastAsia" w:ascii="宋体" w:hAnsi="宋体" w:eastAsia="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分。</w:t>
            </w:r>
            <w:r>
              <w:rPr>
                <w:rFonts w:hint="eastAsia" w:ascii="宋体" w:hAnsi="宋体" w:eastAsia="宋体" w:cs="宋体"/>
                <w:b/>
                <w:bCs/>
                <w:color w:val="auto"/>
                <w:sz w:val="21"/>
                <w:szCs w:val="21"/>
                <w:highlight w:val="none"/>
                <w:lang w:val="en-US" w:eastAsia="zh-CN"/>
              </w:rPr>
              <w:t>提供注册证书原件扫描件。</w:t>
            </w:r>
          </w:p>
          <w:p w14:paraId="5311E1BE">
            <w:pPr>
              <w:keepNext w:val="0"/>
              <w:keepLines w:val="0"/>
              <w:pageBreakBefore w:val="0"/>
              <w:widowControl w:val="0"/>
              <w:kinsoku/>
              <w:wordWrap/>
              <w:overflowPunct/>
              <w:topLinePunct w:val="0"/>
              <w:bidi w:val="0"/>
              <w:adjustRightInd w:val="0"/>
              <w:snapToGrid w:val="0"/>
              <w:spacing w:line="300" w:lineRule="exact"/>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注：</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同一人员同时满足第1项和第2项条件的，</w:t>
            </w:r>
            <w:r>
              <w:rPr>
                <w:rFonts w:hint="eastAsia" w:ascii="宋体" w:hAnsi="宋体" w:eastAsia="宋体" w:cs="宋体"/>
                <w:b/>
                <w:bCs/>
                <w:sz w:val="21"/>
                <w:szCs w:val="21"/>
                <w:highlight w:val="none"/>
                <w:lang w:val="en-US" w:eastAsia="zh-CN"/>
              </w:rPr>
              <w:t>不</w:t>
            </w:r>
            <w:r>
              <w:rPr>
                <w:rFonts w:hint="eastAsia" w:ascii="宋体" w:hAnsi="宋体" w:eastAsia="宋体" w:cs="宋体"/>
                <w:b/>
                <w:bCs/>
                <w:sz w:val="21"/>
                <w:szCs w:val="21"/>
                <w:highlight w:val="none"/>
              </w:rPr>
              <w:t>可重复计分。</w:t>
            </w:r>
          </w:p>
          <w:p w14:paraId="2A2ADF37">
            <w:pPr>
              <w:keepNext w:val="0"/>
              <w:keepLines w:val="0"/>
              <w:pageBreakBefore w:val="0"/>
              <w:widowControl w:val="0"/>
              <w:kinsoku/>
              <w:wordWrap/>
              <w:overflowPunct/>
              <w:topLinePunct w:val="0"/>
              <w:bidi w:val="0"/>
              <w:adjustRightInd w:val="0"/>
              <w:snapToGrid w:val="0"/>
              <w:spacing w:line="300" w:lineRule="exact"/>
              <w:jc w:val="left"/>
              <w:rPr>
                <w:rFonts w:hint="eastAsia" w:ascii="宋体" w:hAnsi="宋体" w:eastAsia="宋体" w:cs="宋体"/>
                <w:kern w:val="2"/>
                <w:sz w:val="21"/>
                <w:szCs w:val="21"/>
                <w:highlight w:val="none"/>
                <w:lang w:val="zh-CN" w:eastAsia="zh-CN" w:bidi="ar-SA"/>
              </w:rPr>
            </w:pPr>
            <w:r>
              <w:rPr>
                <w:rFonts w:hint="eastAsia"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rPr>
              <w:t>提供</w:t>
            </w:r>
            <w:r>
              <w:rPr>
                <w:rFonts w:hint="eastAsia" w:ascii="宋体" w:hAnsi="宋体" w:eastAsia="宋体" w:cs="宋体"/>
                <w:b/>
                <w:bCs/>
                <w:sz w:val="21"/>
                <w:szCs w:val="21"/>
                <w:highlight w:val="none"/>
                <w:lang w:val="en-US" w:eastAsia="zh-CN"/>
              </w:rPr>
              <w:t>投标人为团队人员缴纳的自投标截止时间前三个月的养老保险缴费证明（投标人如为成立不足三个月的新公司，可以提供最近一个月的养老保险缴费证明；成立不足一个月的新公司，可以不提交养老保险缴费证明）</w:t>
            </w:r>
            <w:r>
              <w:rPr>
                <w:rFonts w:hint="eastAsia" w:ascii="宋体" w:hAnsi="宋体" w:eastAsia="宋体" w:cs="宋体"/>
                <w:b/>
                <w:bCs/>
                <w:sz w:val="21"/>
                <w:szCs w:val="21"/>
                <w:highlight w:val="none"/>
              </w:rPr>
              <w:t>。</w:t>
            </w:r>
          </w:p>
        </w:tc>
        <w:tc>
          <w:tcPr>
            <w:tcW w:w="564" w:type="dxa"/>
            <w:noWrap w:val="0"/>
            <w:vAlign w:val="center"/>
          </w:tcPr>
          <w:p w14:paraId="6E65A8C8">
            <w:pPr>
              <w:keepNext w:val="0"/>
              <w:keepLines w:val="0"/>
              <w:pageBreakBefore w:val="0"/>
              <w:widowControl w:val="0"/>
              <w:kinsoku/>
              <w:wordWrap/>
              <w:overflowPunct/>
              <w:topLinePunct w:val="0"/>
              <w:bidi w:val="0"/>
              <w:adjustRightInd w:val="0"/>
              <w:snapToGrid w:val="0"/>
              <w:spacing w:line="300" w:lineRule="exact"/>
              <w:jc w:val="center"/>
              <w:textAlignment w:val="baseline"/>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rPr>
              <w:t>3</w:t>
            </w:r>
          </w:p>
        </w:tc>
      </w:tr>
      <w:tr w14:paraId="39DB4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noWrap w:val="0"/>
            <w:vAlign w:val="center"/>
          </w:tcPr>
          <w:p w14:paraId="4D5FDD4C">
            <w:pPr>
              <w:pStyle w:val="7"/>
              <w:keepNext w:val="0"/>
              <w:keepLines w:val="0"/>
              <w:pageBreakBefore w:val="0"/>
              <w:widowControl w:val="0"/>
              <w:kinsoku/>
              <w:wordWrap/>
              <w:overflowPunct/>
              <w:topLinePunct w:val="0"/>
              <w:bidi w:val="0"/>
              <w:adjustRightInd w:val="0"/>
              <w:snapToGrid w:val="0"/>
              <w:spacing w:line="300" w:lineRule="exact"/>
              <w:ind w:firstLine="0"/>
              <w:jc w:val="center"/>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5</w:t>
            </w:r>
          </w:p>
        </w:tc>
        <w:tc>
          <w:tcPr>
            <w:tcW w:w="1092" w:type="dxa"/>
            <w:noWrap w:val="0"/>
            <w:vAlign w:val="center"/>
          </w:tcPr>
          <w:p w14:paraId="04B7F921">
            <w:pPr>
              <w:keepNext w:val="0"/>
              <w:keepLines w:val="0"/>
              <w:pageBreakBefore w:val="0"/>
              <w:widowControl w:val="0"/>
              <w:kinsoku/>
              <w:wordWrap/>
              <w:overflowPunct/>
              <w:topLinePunct w:val="0"/>
              <w:bidi w:val="0"/>
              <w:adjustRightInd w:val="0"/>
              <w:snapToGrid w:val="0"/>
              <w:spacing w:line="300" w:lineRule="exact"/>
              <w:jc w:val="center"/>
              <w:outlineLvl w:val="2"/>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项目理解</w:t>
            </w:r>
            <w:r>
              <w:rPr>
                <w:rFonts w:hint="eastAsia" w:ascii="宋体" w:hAnsi="宋体" w:eastAsia="宋体" w:cs="宋体"/>
                <w:sz w:val="21"/>
                <w:szCs w:val="21"/>
                <w:highlight w:val="none"/>
              </w:rPr>
              <w:t>分析</w:t>
            </w:r>
            <w:r>
              <w:rPr>
                <w:rFonts w:hint="eastAsia" w:ascii="宋体" w:hAnsi="宋体" w:eastAsia="宋体" w:cs="宋体"/>
                <w:sz w:val="21"/>
                <w:szCs w:val="21"/>
                <w:highlight w:val="none"/>
                <w:lang w:val="en-US" w:eastAsia="zh-CN"/>
              </w:rPr>
              <w:t>和技术路径</w:t>
            </w:r>
          </w:p>
        </w:tc>
        <w:tc>
          <w:tcPr>
            <w:tcW w:w="7310" w:type="dxa"/>
            <w:noWrap w:val="0"/>
            <w:vAlign w:val="center"/>
          </w:tcPr>
          <w:p w14:paraId="7BFCFDED">
            <w:pPr>
              <w:keepNext w:val="0"/>
              <w:keepLines w:val="0"/>
              <w:pageBreakBefore w:val="0"/>
              <w:widowControl w:val="0"/>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根据投标人对本项目背景和意义理解、工作任务重难点剖析、对应的解题思路与技术路线等内容进行综合评审：</w:t>
            </w:r>
          </w:p>
          <w:p w14:paraId="3C47A62D">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1.能立足本项目实际，充分理解项目背景和意义，对工作中的关键问题与难点把握精准，提出的技术思路和解决方案全面、合理、针对性强的，得6分；</w:t>
            </w:r>
          </w:p>
          <w:p w14:paraId="5BFDDF03">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2.项目理解较准确，重难点把握较为精准，技术思路较为全面合理的，得4分；</w:t>
            </w:r>
          </w:p>
          <w:p w14:paraId="5336C759">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3.项目理解基本准确，重难点把握基本准确，技术思路基本全面合理的，得2分；</w:t>
            </w:r>
          </w:p>
          <w:p w14:paraId="745A6D93">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4.项目理解和重难点把握一般，技术思路不够全面或欠合理的，得1分；</w:t>
            </w:r>
          </w:p>
          <w:p w14:paraId="7B738448">
            <w:pPr>
              <w:keepNext w:val="0"/>
              <w:keepLines w:val="0"/>
              <w:pageBreakBefore w:val="0"/>
              <w:widowControl w:val="0"/>
              <w:numPr>
                <w:ilvl w:val="0"/>
                <w:numId w:val="0"/>
              </w:numPr>
              <w:kinsoku/>
              <w:wordWrap/>
              <w:overflowPunct/>
              <w:topLinePunct w:val="0"/>
              <w:bidi w:val="0"/>
              <w:adjustRightInd w:val="0"/>
              <w:snapToGrid w:val="0"/>
              <w:spacing w:line="300" w:lineRule="exact"/>
              <w:ind w:left="0" w:leftChars="0" w:firstLine="0" w:firstLineChars="0"/>
              <w:jc w:val="left"/>
              <w:outlineLvl w:val="2"/>
              <w:rPr>
                <w:rFonts w:hint="eastAsia" w:ascii="宋体" w:hAnsi="宋体" w:eastAsia="宋体" w:cs="宋体"/>
                <w:kern w:val="2"/>
                <w:sz w:val="21"/>
                <w:szCs w:val="21"/>
                <w:highlight w:val="none"/>
                <w:lang w:val="zh-CN" w:eastAsia="zh-CN" w:bidi="ar-SA"/>
              </w:rPr>
            </w:pPr>
            <w:r>
              <w:rPr>
                <w:rFonts w:hint="eastAsia" w:ascii="宋体" w:hAnsi="宋体" w:eastAsia="宋体" w:cs="宋体"/>
                <w:sz w:val="21"/>
                <w:szCs w:val="21"/>
                <w:highlight w:val="none"/>
                <w:lang w:val="en-US" w:eastAsia="zh-CN"/>
              </w:rPr>
              <w:t>5.未提供相关内容的，得0分。</w:t>
            </w:r>
          </w:p>
        </w:tc>
        <w:tc>
          <w:tcPr>
            <w:tcW w:w="564" w:type="dxa"/>
            <w:noWrap w:val="0"/>
            <w:vAlign w:val="center"/>
          </w:tcPr>
          <w:p w14:paraId="0E16D9AC">
            <w:pPr>
              <w:keepNext w:val="0"/>
              <w:keepLines w:val="0"/>
              <w:pageBreakBefore w:val="0"/>
              <w:widowControl w:val="0"/>
              <w:kinsoku/>
              <w:wordWrap/>
              <w:overflowPunct/>
              <w:topLinePunct w:val="0"/>
              <w:bidi w:val="0"/>
              <w:adjustRightInd w:val="0"/>
              <w:snapToGrid w:val="0"/>
              <w:spacing w:line="300" w:lineRule="exact"/>
              <w:jc w:val="center"/>
              <w:textAlignment w:val="baseline"/>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rPr>
              <w:t>6</w:t>
            </w:r>
          </w:p>
        </w:tc>
      </w:tr>
      <w:tr w14:paraId="7B8AA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noWrap w:val="0"/>
            <w:vAlign w:val="center"/>
          </w:tcPr>
          <w:p w14:paraId="336950EE">
            <w:pPr>
              <w:pStyle w:val="7"/>
              <w:keepNext w:val="0"/>
              <w:keepLines w:val="0"/>
              <w:pageBreakBefore w:val="0"/>
              <w:widowControl w:val="0"/>
              <w:kinsoku/>
              <w:wordWrap/>
              <w:overflowPunct/>
              <w:topLinePunct w:val="0"/>
              <w:bidi w:val="0"/>
              <w:adjustRightInd w:val="0"/>
              <w:snapToGrid w:val="0"/>
              <w:spacing w:line="300" w:lineRule="exact"/>
              <w:ind w:firstLine="0"/>
              <w:jc w:val="center"/>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6</w:t>
            </w:r>
          </w:p>
        </w:tc>
        <w:tc>
          <w:tcPr>
            <w:tcW w:w="1092" w:type="dxa"/>
            <w:noWrap w:val="0"/>
            <w:vAlign w:val="center"/>
          </w:tcPr>
          <w:p w14:paraId="6CF54C4B">
            <w:pPr>
              <w:keepNext w:val="0"/>
              <w:keepLines w:val="0"/>
              <w:pageBreakBefore w:val="0"/>
              <w:widowControl w:val="0"/>
              <w:kinsoku/>
              <w:wordWrap/>
              <w:overflowPunct/>
              <w:topLinePunct w:val="0"/>
              <w:bidi w:val="0"/>
              <w:adjustRightInd w:val="0"/>
              <w:snapToGrid w:val="0"/>
              <w:spacing w:line="300" w:lineRule="exact"/>
              <w:jc w:val="center"/>
              <w:outlineLvl w:val="2"/>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现状分析</w:t>
            </w:r>
          </w:p>
        </w:tc>
        <w:tc>
          <w:tcPr>
            <w:tcW w:w="7310" w:type="dxa"/>
            <w:noWrap w:val="0"/>
            <w:vAlign w:val="center"/>
          </w:tcPr>
          <w:p w14:paraId="59CA09EA">
            <w:pPr>
              <w:keepNext w:val="0"/>
              <w:keepLines w:val="0"/>
              <w:pageBreakBefore w:val="0"/>
              <w:widowControl w:val="0"/>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对吕四港镇主要资源优势解读、各系统规划或发展现状评估、现实诉求及发展瓶颈把握等内容进行综合评审：</w:t>
            </w:r>
          </w:p>
          <w:p w14:paraId="27A51747">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1.对吕四港镇主要资源优势解读全面、准确，对各系统规划或发展现状评估详实、深入，现实诉求和发展瓶颈把握精准、分析透彻的，得6分；</w:t>
            </w:r>
          </w:p>
          <w:p w14:paraId="48A2A5E5">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2.资源优势解读较为全面，各系统规划或发展现状评估较为详实，现实诉求和发展瓶颈把握较为准确的，得4分；</w:t>
            </w:r>
          </w:p>
          <w:p w14:paraId="0043C38F">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3.资源优势解读基本全面，各系统规划或发展现状评估基本详实，现实诉求和发展瓶颈把握基本准确的，得2分；</w:t>
            </w:r>
          </w:p>
          <w:p w14:paraId="6C20A512">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4.资源优势解读不够全面，各系统规划或发展现状评估不够详实，或现实诉求和发展瓶颈把握存在偏差的，得1分；</w:t>
            </w:r>
          </w:p>
          <w:p w14:paraId="288F83D9">
            <w:pPr>
              <w:keepNext w:val="0"/>
              <w:keepLines w:val="0"/>
              <w:pageBreakBefore w:val="0"/>
              <w:widowControl w:val="0"/>
              <w:numPr>
                <w:ilvl w:val="0"/>
                <w:numId w:val="0"/>
              </w:numPr>
              <w:kinsoku/>
              <w:wordWrap/>
              <w:overflowPunct/>
              <w:topLinePunct w:val="0"/>
              <w:bidi w:val="0"/>
              <w:adjustRightInd w:val="0"/>
              <w:snapToGrid w:val="0"/>
              <w:spacing w:line="300" w:lineRule="exact"/>
              <w:ind w:left="0" w:leftChars="0" w:firstLine="0" w:firstLineChars="0"/>
              <w:jc w:val="left"/>
              <w:outlineLvl w:val="2"/>
              <w:rPr>
                <w:rFonts w:hint="eastAsia" w:ascii="宋体" w:hAnsi="宋体" w:eastAsia="宋体" w:cs="宋体"/>
                <w:kern w:val="2"/>
                <w:sz w:val="21"/>
                <w:szCs w:val="21"/>
                <w:highlight w:val="none"/>
                <w:lang w:val="zh-CN" w:eastAsia="zh-CN" w:bidi="ar-SA"/>
              </w:rPr>
            </w:pPr>
            <w:r>
              <w:rPr>
                <w:rFonts w:hint="eastAsia" w:ascii="宋体" w:hAnsi="宋体" w:eastAsia="宋体" w:cs="宋体"/>
                <w:sz w:val="21"/>
                <w:szCs w:val="21"/>
                <w:highlight w:val="none"/>
                <w:lang w:val="en-US" w:eastAsia="zh-CN"/>
              </w:rPr>
              <w:t>5.投标文件中未提供相关内容或内容与本项目完全无关的，得0分。</w:t>
            </w:r>
          </w:p>
        </w:tc>
        <w:tc>
          <w:tcPr>
            <w:tcW w:w="564" w:type="dxa"/>
            <w:noWrap w:val="0"/>
            <w:vAlign w:val="center"/>
          </w:tcPr>
          <w:p w14:paraId="6EE64533">
            <w:pPr>
              <w:keepNext w:val="0"/>
              <w:keepLines w:val="0"/>
              <w:pageBreakBefore w:val="0"/>
              <w:widowControl w:val="0"/>
              <w:kinsoku/>
              <w:wordWrap/>
              <w:overflowPunct/>
              <w:topLinePunct w:val="0"/>
              <w:bidi w:val="0"/>
              <w:adjustRightInd w:val="0"/>
              <w:snapToGrid w:val="0"/>
              <w:spacing w:line="300" w:lineRule="exact"/>
              <w:jc w:val="center"/>
              <w:textAlignment w:val="baseline"/>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rPr>
              <w:t>6</w:t>
            </w:r>
          </w:p>
        </w:tc>
      </w:tr>
      <w:tr w14:paraId="3C8CF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8" w:hRule="atLeast"/>
          <w:tblHeader/>
        </w:trPr>
        <w:tc>
          <w:tcPr>
            <w:tcW w:w="651" w:type="dxa"/>
            <w:noWrap w:val="0"/>
            <w:vAlign w:val="center"/>
          </w:tcPr>
          <w:p w14:paraId="29A469F3">
            <w:pPr>
              <w:pStyle w:val="7"/>
              <w:keepNext w:val="0"/>
              <w:keepLines w:val="0"/>
              <w:pageBreakBefore w:val="0"/>
              <w:widowControl w:val="0"/>
              <w:kinsoku/>
              <w:wordWrap/>
              <w:overflowPunct/>
              <w:topLinePunct w:val="0"/>
              <w:bidi w:val="0"/>
              <w:adjustRightInd w:val="0"/>
              <w:snapToGrid w:val="0"/>
              <w:spacing w:line="300" w:lineRule="exact"/>
              <w:ind w:firstLine="0" w:firstLineChars="0"/>
              <w:jc w:val="center"/>
              <w:rPr>
                <w:rFonts w:hint="eastAsia" w:ascii="宋体" w:hAnsi="宋体" w:eastAsia="宋体" w:cs="宋体"/>
                <w:b/>
                <w:bCs/>
                <w:kern w:val="2"/>
                <w:sz w:val="21"/>
                <w:szCs w:val="21"/>
                <w:highlight w:val="none"/>
                <w:lang w:val="en-US" w:eastAsia="zh-CN" w:bidi="ar-SA"/>
              </w:rPr>
            </w:pPr>
            <w:r>
              <w:rPr>
                <w:rFonts w:hint="eastAsia" w:ascii="宋体" w:hAnsi="宋体" w:eastAsia="宋体" w:cs="宋体"/>
                <w:b/>
                <w:bCs/>
                <w:sz w:val="21"/>
                <w:szCs w:val="21"/>
                <w:highlight w:val="none"/>
                <w:lang w:val="en-US" w:eastAsia="zh-CN"/>
              </w:rPr>
              <w:t>7</w:t>
            </w:r>
          </w:p>
        </w:tc>
        <w:tc>
          <w:tcPr>
            <w:tcW w:w="1092" w:type="dxa"/>
            <w:noWrap w:val="0"/>
            <w:vAlign w:val="center"/>
          </w:tcPr>
          <w:p w14:paraId="2E32FBC4">
            <w:pPr>
              <w:keepNext w:val="0"/>
              <w:keepLines w:val="0"/>
              <w:pageBreakBefore w:val="0"/>
              <w:widowControl w:val="0"/>
              <w:kinsoku/>
              <w:wordWrap/>
              <w:overflowPunct/>
              <w:topLinePunct w:val="0"/>
              <w:bidi w:val="0"/>
              <w:adjustRightInd w:val="0"/>
              <w:snapToGrid w:val="0"/>
              <w:spacing w:line="300" w:lineRule="exact"/>
              <w:jc w:val="center"/>
              <w:outlineLvl w:val="2"/>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港产城发展策略</w:t>
            </w:r>
          </w:p>
        </w:tc>
        <w:tc>
          <w:tcPr>
            <w:tcW w:w="7310" w:type="dxa"/>
            <w:noWrap w:val="0"/>
            <w:vAlign w:val="center"/>
          </w:tcPr>
          <w:p w14:paraId="281EB399">
            <w:pPr>
              <w:keepNext w:val="0"/>
              <w:keepLines w:val="0"/>
              <w:pageBreakBefore w:val="0"/>
              <w:widowControl w:val="0"/>
              <w:numPr>
                <w:ilvl w:val="0"/>
                <w:numId w:val="0"/>
              </w:numPr>
              <w:kinsoku/>
              <w:wordWrap/>
              <w:overflowPunct/>
              <w:topLinePunct w:val="0"/>
              <w:bidi w:val="0"/>
              <w:adjustRightInd w:val="0"/>
              <w:snapToGrid w:val="0"/>
              <w:spacing w:line="300" w:lineRule="exact"/>
              <w:ind w:leftChars="0"/>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吕四港产城融合发展目标定位、空间格局优化、系统性规划或发展策略建议等内容进行综合评审：</w:t>
            </w:r>
          </w:p>
          <w:p w14:paraId="6D1FD7E4">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1.能针对吕四港产城融合发展实际，发展目标定位明确清晰，空间格局优化方案科学合理，系统性规划或发展策略建议全面完整、针对性强、具有前瞻性和可操作性的，得12分；</w:t>
            </w:r>
          </w:p>
          <w:p w14:paraId="7B93E2AC">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2.发展目标定位较为明确，空间格局优化较为合理，系统性规划或发展策略建议较为全面、具有一定针对性的，得8分；</w:t>
            </w:r>
          </w:p>
          <w:p w14:paraId="53D508CE">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3.发展目标定位基本明确，空间格局优化基本合理，系统性规划或发展策略建议基本全面但深度或针对性一般的，得4分；</w:t>
            </w:r>
          </w:p>
          <w:p w14:paraId="6B23E367">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4.发展目标定位不够明确，空间格局优化不够合理，或系统性规划及发展策略建议不够全面、缺乏针对性的，得2分；</w:t>
            </w:r>
          </w:p>
          <w:p w14:paraId="11066527">
            <w:pPr>
              <w:keepNext w:val="0"/>
              <w:keepLines w:val="0"/>
              <w:pageBreakBefore w:val="0"/>
              <w:widowControl w:val="0"/>
              <w:numPr>
                <w:ilvl w:val="0"/>
                <w:numId w:val="0"/>
              </w:numPr>
              <w:kinsoku/>
              <w:wordWrap/>
              <w:overflowPunct/>
              <w:topLinePunct w:val="0"/>
              <w:bidi w:val="0"/>
              <w:adjustRightInd w:val="0"/>
              <w:snapToGrid w:val="0"/>
              <w:spacing w:line="300" w:lineRule="exact"/>
              <w:ind w:left="0" w:leftChars="0" w:firstLine="0" w:firstLineChars="0"/>
              <w:jc w:val="left"/>
              <w:outlineLvl w:val="2"/>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5.投标文件中未提供相关内容或内容与本项目完全无关的，得0分。</w:t>
            </w:r>
          </w:p>
        </w:tc>
        <w:tc>
          <w:tcPr>
            <w:tcW w:w="564" w:type="dxa"/>
            <w:noWrap w:val="0"/>
            <w:vAlign w:val="center"/>
          </w:tcPr>
          <w:p w14:paraId="5B43D9BD">
            <w:pPr>
              <w:keepNext w:val="0"/>
              <w:keepLines w:val="0"/>
              <w:pageBreakBefore w:val="0"/>
              <w:widowControl w:val="0"/>
              <w:kinsoku/>
              <w:wordWrap/>
              <w:overflowPunct/>
              <w:topLinePunct w:val="0"/>
              <w:bidi w:val="0"/>
              <w:adjustRightInd w:val="0"/>
              <w:snapToGrid w:val="0"/>
              <w:spacing w:line="300" w:lineRule="exact"/>
              <w:jc w:val="center"/>
              <w:textAlignment w:val="baseline"/>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rPr>
              <w:t>12</w:t>
            </w:r>
          </w:p>
        </w:tc>
      </w:tr>
      <w:tr w14:paraId="2CA60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 w:type="dxa"/>
            <w:noWrap w:val="0"/>
            <w:vAlign w:val="center"/>
          </w:tcPr>
          <w:p w14:paraId="037850E5">
            <w:pPr>
              <w:pStyle w:val="7"/>
              <w:keepNext w:val="0"/>
              <w:keepLines w:val="0"/>
              <w:pageBreakBefore w:val="0"/>
              <w:widowControl w:val="0"/>
              <w:kinsoku/>
              <w:wordWrap/>
              <w:overflowPunct/>
              <w:topLinePunct w:val="0"/>
              <w:bidi w:val="0"/>
              <w:adjustRightInd w:val="0"/>
              <w:snapToGrid w:val="0"/>
              <w:spacing w:line="300" w:lineRule="exact"/>
              <w:ind w:firstLine="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c>
          <w:tcPr>
            <w:tcW w:w="1092" w:type="dxa"/>
            <w:noWrap w:val="0"/>
            <w:vAlign w:val="center"/>
          </w:tcPr>
          <w:p w14:paraId="1BF3708B">
            <w:pPr>
              <w:keepNext w:val="0"/>
              <w:keepLines w:val="0"/>
              <w:pageBreakBefore w:val="0"/>
              <w:widowControl w:val="0"/>
              <w:kinsoku/>
              <w:wordWrap/>
              <w:overflowPunct/>
              <w:topLinePunct w:val="0"/>
              <w:bidi w:val="0"/>
              <w:adjustRightInd w:val="0"/>
              <w:snapToGrid w:val="0"/>
              <w:spacing w:line="300" w:lineRule="exact"/>
              <w:jc w:val="center"/>
              <w:outlineLvl w:val="2"/>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镇区品质提升规划</w:t>
            </w:r>
          </w:p>
        </w:tc>
        <w:tc>
          <w:tcPr>
            <w:tcW w:w="7310" w:type="dxa"/>
            <w:noWrap w:val="0"/>
            <w:vAlign w:val="center"/>
          </w:tcPr>
          <w:p w14:paraId="45B3BD2D">
            <w:pPr>
              <w:keepNext w:val="0"/>
              <w:keepLines w:val="0"/>
              <w:pageBreakBefore w:val="0"/>
              <w:widowControl w:val="0"/>
              <w:numPr>
                <w:ilvl w:val="0"/>
                <w:numId w:val="0"/>
              </w:numPr>
              <w:kinsoku/>
              <w:wordWrap/>
              <w:overflowPunct/>
              <w:topLinePunct w:val="0"/>
              <w:bidi w:val="0"/>
              <w:adjustRightInd w:val="0"/>
              <w:snapToGrid w:val="0"/>
              <w:spacing w:line="300" w:lineRule="exact"/>
              <w:ind w:leftChars="0"/>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镇区整体区域形态风貌和公服配套等品质提升关键内容的优化策略等进行综合评审：</w:t>
            </w:r>
          </w:p>
          <w:p w14:paraId="7E4BD0DB">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1.能针对镇区整体区域，重点面向形态风貌和公服配套等品质提升关键内容，提出的优化策略前瞻性强、科学合理、内容扎实、具有较强可操作性的，得6分；</w:t>
            </w:r>
          </w:p>
          <w:p w14:paraId="6D143651">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2.提出的优化策略较为前瞻、较为合理、较为扎实的，得4分；</w:t>
            </w:r>
          </w:p>
          <w:p w14:paraId="6C785C4C">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3.提出的优化策略基本前瞻、基本合理、基本扎实但深度或创新性一般的，得2分；</w:t>
            </w:r>
          </w:p>
          <w:p w14:paraId="03985D5D">
            <w:pPr>
              <w:keepNext w:val="0"/>
              <w:keepLines w:val="0"/>
              <w:pageBreakBefore w:val="0"/>
              <w:widowControl w:val="0"/>
              <w:numPr>
                <w:ilvl w:val="0"/>
                <w:numId w:val="0"/>
              </w:numPr>
              <w:kinsoku/>
              <w:wordWrap/>
              <w:overflowPunct/>
              <w:topLinePunct w:val="0"/>
              <w:bidi w:val="0"/>
              <w:adjustRightInd w:val="0"/>
              <w:snapToGrid w:val="0"/>
              <w:spacing w:line="300" w:lineRule="exact"/>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4.提出的优化策略前瞻性不足、合理性不够或内容不够扎实的，得1分；</w:t>
            </w:r>
          </w:p>
          <w:p w14:paraId="277AF56D">
            <w:pPr>
              <w:keepNext w:val="0"/>
              <w:keepLines w:val="0"/>
              <w:pageBreakBefore w:val="0"/>
              <w:widowControl w:val="0"/>
              <w:numPr>
                <w:ilvl w:val="0"/>
                <w:numId w:val="0"/>
              </w:numPr>
              <w:kinsoku/>
              <w:wordWrap/>
              <w:overflowPunct/>
              <w:topLinePunct w:val="0"/>
              <w:bidi w:val="0"/>
              <w:adjustRightInd w:val="0"/>
              <w:snapToGrid w:val="0"/>
              <w:spacing w:line="300" w:lineRule="exact"/>
              <w:ind w:left="0" w:leftChars="0" w:firstLine="0" w:firstLineChars="0"/>
              <w:jc w:val="left"/>
              <w:outlineLvl w:val="2"/>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sz w:val="21"/>
                <w:szCs w:val="21"/>
                <w:highlight w:val="none"/>
                <w:lang w:val="en-US" w:eastAsia="zh-CN"/>
              </w:rPr>
              <w:t>5.投标文件中未提供相关内容或内容与本项目完全无关的，得0分。</w:t>
            </w:r>
          </w:p>
        </w:tc>
        <w:tc>
          <w:tcPr>
            <w:tcW w:w="564" w:type="dxa"/>
            <w:noWrap w:val="0"/>
            <w:vAlign w:val="center"/>
          </w:tcPr>
          <w:p w14:paraId="74686523">
            <w:pPr>
              <w:keepNext w:val="0"/>
              <w:keepLines w:val="0"/>
              <w:pageBreakBefore w:val="0"/>
              <w:widowControl w:val="0"/>
              <w:kinsoku/>
              <w:wordWrap/>
              <w:overflowPunct/>
              <w:topLinePunct w:val="0"/>
              <w:bidi w:val="0"/>
              <w:adjustRightInd w:val="0"/>
              <w:snapToGrid w:val="0"/>
              <w:spacing w:line="300" w:lineRule="exact"/>
              <w:jc w:val="center"/>
              <w:textAlignment w:val="baseline"/>
              <w:rPr>
                <w:rFonts w:hint="default"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rPr>
              <w:t>6</w:t>
            </w:r>
          </w:p>
        </w:tc>
      </w:tr>
      <w:tr w14:paraId="1F2D8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 w:type="dxa"/>
            <w:noWrap w:val="0"/>
            <w:vAlign w:val="center"/>
          </w:tcPr>
          <w:p w14:paraId="596D54E6">
            <w:pPr>
              <w:pStyle w:val="7"/>
              <w:keepNext w:val="0"/>
              <w:keepLines w:val="0"/>
              <w:pageBreakBefore w:val="0"/>
              <w:widowControl w:val="0"/>
              <w:kinsoku/>
              <w:wordWrap/>
              <w:overflowPunct/>
              <w:topLinePunct w:val="0"/>
              <w:bidi w:val="0"/>
              <w:adjustRightInd w:val="0"/>
              <w:snapToGrid w:val="0"/>
              <w:spacing w:line="300" w:lineRule="exact"/>
              <w:ind w:firstLine="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1092" w:type="dxa"/>
            <w:noWrap w:val="0"/>
            <w:vAlign w:val="center"/>
          </w:tcPr>
          <w:p w14:paraId="0B648A5A">
            <w:pPr>
              <w:keepNext w:val="0"/>
              <w:keepLines w:val="0"/>
              <w:pageBreakBefore w:val="0"/>
              <w:widowControl w:val="0"/>
              <w:kinsoku/>
              <w:wordWrap/>
              <w:overflowPunct/>
              <w:topLinePunct w:val="0"/>
              <w:bidi w:val="0"/>
              <w:adjustRightInd w:val="0"/>
              <w:snapToGrid w:val="0"/>
              <w:spacing w:line="300" w:lineRule="exact"/>
              <w:jc w:val="center"/>
              <w:outlineLvl w:val="2"/>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重点地区城市设计——新城核心区</w:t>
            </w:r>
          </w:p>
        </w:tc>
        <w:tc>
          <w:tcPr>
            <w:tcW w:w="7310" w:type="dxa"/>
            <w:noWrap w:val="0"/>
            <w:vAlign w:val="center"/>
          </w:tcPr>
          <w:p w14:paraId="3B8C62CC">
            <w:pPr>
              <w:keepNext w:val="0"/>
              <w:keepLines w:val="0"/>
              <w:pageBreakBefore w:val="0"/>
              <w:widowControl w:val="0"/>
              <w:numPr>
                <w:ilvl w:val="0"/>
                <w:numId w:val="0"/>
              </w:numPr>
              <w:kinsoku/>
              <w:wordWrap/>
              <w:overflowPunct/>
              <w:topLinePunct w:val="0"/>
              <w:bidi w:val="0"/>
              <w:adjustRightInd w:val="0"/>
              <w:snapToGrid w:val="0"/>
              <w:spacing w:line="300" w:lineRule="exact"/>
              <w:ind w:left="0" w:leftChars="0" w:firstLine="0" w:firstLineChars="0"/>
              <w:jc w:val="left"/>
              <w:outlineLvl w:val="2"/>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针对新城核心片区的城市设计、空间策略、功能布局、品质提升等内容进行综合评审：按照任务书要求提出设计策略，内容全面完整、具体详实、可行性强，方案的设计策略、功能布局和和特色塑造等内容科学合理、具有较强创新性和可实施性的，得8分；内容比较全面、较具体、较可行，设计策略具有一定针对性的，得6分；内容基本全面、基本具体、基本可行，但深度或创新性一般的，得4分；内容有描述但不够具体、不够明确，缺乏针对性和可操作性的，得2分；投标文件中未提供相关内容或内容与本项目完全无关的，得0分。</w:t>
            </w:r>
          </w:p>
        </w:tc>
        <w:tc>
          <w:tcPr>
            <w:tcW w:w="564" w:type="dxa"/>
            <w:noWrap w:val="0"/>
            <w:vAlign w:val="center"/>
          </w:tcPr>
          <w:p w14:paraId="1055F80B">
            <w:pPr>
              <w:keepNext w:val="0"/>
              <w:keepLines w:val="0"/>
              <w:pageBreakBefore w:val="0"/>
              <w:widowControl w:val="0"/>
              <w:kinsoku/>
              <w:wordWrap/>
              <w:overflowPunct/>
              <w:topLinePunct w:val="0"/>
              <w:bidi w:val="0"/>
              <w:adjustRightInd w:val="0"/>
              <w:snapToGrid w:val="0"/>
              <w:spacing w:line="300" w:lineRule="exact"/>
              <w:jc w:val="center"/>
              <w:textAlignment w:val="baseline"/>
              <w:rPr>
                <w:rFonts w:hint="default"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rPr>
              <w:t>8</w:t>
            </w:r>
          </w:p>
        </w:tc>
      </w:tr>
      <w:tr w14:paraId="47684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 w:type="dxa"/>
            <w:noWrap w:val="0"/>
            <w:vAlign w:val="center"/>
          </w:tcPr>
          <w:p w14:paraId="3DDE2BDD">
            <w:pPr>
              <w:pStyle w:val="7"/>
              <w:keepNext w:val="0"/>
              <w:keepLines w:val="0"/>
              <w:pageBreakBefore w:val="0"/>
              <w:widowControl w:val="0"/>
              <w:kinsoku/>
              <w:wordWrap/>
              <w:overflowPunct/>
              <w:topLinePunct w:val="0"/>
              <w:bidi w:val="0"/>
              <w:adjustRightInd w:val="0"/>
              <w:snapToGrid w:val="0"/>
              <w:spacing w:line="300" w:lineRule="exact"/>
              <w:ind w:firstLine="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1092" w:type="dxa"/>
            <w:noWrap w:val="0"/>
            <w:vAlign w:val="center"/>
          </w:tcPr>
          <w:p w14:paraId="60390902">
            <w:pPr>
              <w:keepNext w:val="0"/>
              <w:keepLines w:val="0"/>
              <w:pageBreakBefore w:val="0"/>
              <w:widowControl w:val="0"/>
              <w:kinsoku/>
              <w:wordWrap/>
              <w:overflowPunct/>
              <w:topLinePunct w:val="0"/>
              <w:bidi w:val="0"/>
              <w:adjustRightInd w:val="0"/>
              <w:snapToGrid w:val="0"/>
              <w:spacing w:line="300" w:lineRule="exact"/>
              <w:jc w:val="center"/>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重点地区城市设计——水产路片区</w:t>
            </w:r>
          </w:p>
        </w:tc>
        <w:tc>
          <w:tcPr>
            <w:tcW w:w="7310" w:type="dxa"/>
            <w:noWrap w:val="0"/>
            <w:vAlign w:val="center"/>
          </w:tcPr>
          <w:p w14:paraId="3BB97CA6">
            <w:pPr>
              <w:keepNext w:val="0"/>
              <w:keepLines w:val="0"/>
              <w:pageBreakBefore w:val="0"/>
              <w:widowControl w:val="0"/>
              <w:numPr>
                <w:ilvl w:val="0"/>
                <w:numId w:val="0"/>
              </w:numPr>
              <w:kinsoku/>
              <w:wordWrap/>
              <w:overflowPunct/>
              <w:topLinePunct w:val="0"/>
              <w:bidi w:val="0"/>
              <w:adjustRightInd w:val="0"/>
              <w:snapToGrid w:val="0"/>
              <w:spacing w:line="300" w:lineRule="exact"/>
              <w:ind w:left="0" w:leftChars="0" w:firstLine="0" w:firstLineChars="0"/>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针对水产路片区的城市设计、功能策划布局、更新策略及建筑概念设计等内容进行综合评审：内容全面完整、具体详实、可行性强，设计方案和功能策划和更新策略科学合理、具有较强创新性和可实施性的，得10分；内容比较全面、较具体、较可行，设计策略具有一定针对性的，得7分；内容基本全面、基本具体、基本可行，但深度或创新性一般的，得4分；内容有描述但不够具体、不够明确，缺乏针对性和可操作性的，得1分；投标文件中未提供相关内容或内容与本项目完全无关的，得0分。</w:t>
            </w:r>
          </w:p>
        </w:tc>
        <w:tc>
          <w:tcPr>
            <w:tcW w:w="564" w:type="dxa"/>
            <w:noWrap w:val="0"/>
            <w:vAlign w:val="center"/>
          </w:tcPr>
          <w:p w14:paraId="166BB1EF">
            <w:pPr>
              <w:keepNext w:val="0"/>
              <w:keepLines w:val="0"/>
              <w:pageBreakBefore w:val="0"/>
              <w:widowControl w:val="0"/>
              <w:kinsoku/>
              <w:wordWrap/>
              <w:overflowPunct/>
              <w:topLinePunct w:val="0"/>
              <w:bidi w:val="0"/>
              <w:adjustRightInd w:val="0"/>
              <w:snapToGrid w:val="0"/>
              <w:spacing w:line="300" w:lineRule="exact"/>
              <w:jc w:val="center"/>
              <w:textAlignment w:val="baseline"/>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10</w:t>
            </w:r>
          </w:p>
        </w:tc>
      </w:tr>
      <w:tr w14:paraId="00D4C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 w:type="dxa"/>
            <w:noWrap w:val="0"/>
            <w:vAlign w:val="center"/>
          </w:tcPr>
          <w:p w14:paraId="15179CC0">
            <w:pPr>
              <w:pStyle w:val="7"/>
              <w:keepNext w:val="0"/>
              <w:keepLines w:val="0"/>
              <w:pageBreakBefore w:val="0"/>
              <w:widowControl w:val="0"/>
              <w:kinsoku/>
              <w:wordWrap/>
              <w:overflowPunct/>
              <w:topLinePunct w:val="0"/>
              <w:bidi w:val="0"/>
              <w:adjustRightInd w:val="0"/>
              <w:snapToGrid w:val="0"/>
              <w:spacing w:line="300" w:lineRule="exact"/>
              <w:ind w:firstLine="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p>
        </w:tc>
        <w:tc>
          <w:tcPr>
            <w:tcW w:w="1092" w:type="dxa"/>
            <w:noWrap w:val="0"/>
            <w:vAlign w:val="center"/>
          </w:tcPr>
          <w:p w14:paraId="7F6F14E0">
            <w:pPr>
              <w:keepNext w:val="0"/>
              <w:keepLines w:val="0"/>
              <w:pageBreakBefore w:val="0"/>
              <w:widowControl w:val="0"/>
              <w:kinsoku/>
              <w:wordWrap/>
              <w:overflowPunct/>
              <w:topLinePunct w:val="0"/>
              <w:bidi w:val="0"/>
              <w:adjustRightInd w:val="0"/>
              <w:snapToGrid w:val="0"/>
              <w:spacing w:line="300" w:lineRule="exact"/>
              <w:jc w:val="center"/>
              <w:outlineLvl w:val="2"/>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合理化建议</w:t>
            </w:r>
          </w:p>
        </w:tc>
        <w:tc>
          <w:tcPr>
            <w:tcW w:w="7310" w:type="dxa"/>
            <w:noWrap w:val="0"/>
            <w:vAlign w:val="center"/>
          </w:tcPr>
          <w:p w14:paraId="314F8C4A">
            <w:pPr>
              <w:keepNext w:val="0"/>
              <w:keepLines w:val="0"/>
              <w:pageBreakBefore w:val="0"/>
              <w:widowControl w:val="0"/>
              <w:numPr>
                <w:ilvl w:val="0"/>
                <w:numId w:val="0"/>
              </w:numPr>
              <w:kinsoku/>
              <w:wordWrap/>
              <w:overflowPunct/>
              <w:topLinePunct w:val="0"/>
              <w:bidi w:val="0"/>
              <w:adjustRightInd w:val="0"/>
              <w:snapToGrid w:val="0"/>
              <w:spacing w:line="300" w:lineRule="exact"/>
              <w:ind w:leftChars="0"/>
              <w:jc w:val="left"/>
              <w:outlineLvl w:val="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在满足招标文件要求的基础上，根据招标人需求和项目特点，提出其他规划设计合理化建议等。根据所提建议的合理性、针对性、亮点特色、实操性等进行综合评审：建议合理、针对性强、有特色、操作性强，得2分；建议较合理、较有针对性和特色、操作性较强，得1.5分；建议基本合理、针对性和特色、操作性正常，得1分；建议不够合理、针对性和特色、操作性一般，得0.5分；投标文件中未提供相关内容或内容与本项目完全无关的，得0分。</w:t>
            </w:r>
          </w:p>
        </w:tc>
        <w:tc>
          <w:tcPr>
            <w:tcW w:w="564" w:type="dxa"/>
            <w:noWrap w:val="0"/>
            <w:vAlign w:val="center"/>
          </w:tcPr>
          <w:p w14:paraId="1406D29C">
            <w:pPr>
              <w:keepNext w:val="0"/>
              <w:keepLines w:val="0"/>
              <w:pageBreakBefore w:val="0"/>
              <w:widowControl w:val="0"/>
              <w:kinsoku/>
              <w:wordWrap/>
              <w:overflowPunct/>
              <w:topLinePunct w:val="0"/>
              <w:bidi w:val="0"/>
              <w:adjustRightInd w:val="0"/>
              <w:snapToGrid w:val="0"/>
              <w:spacing w:line="300" w:lineRule="exact"/>
              <w:jc w:val="center"/>
              <w:textAlignment w:val="baseline"/>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w:t>
            </w:r>
          </w:p>
        </w:tc>
      </w:tr>
      <w:tr w14:paraId="11C6D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 w:type="dxa"/>
            <w:noWrap w:val="0"/>
            <w:vAlign w:val="center"/>
          </w:tcPr>
          <w:p w14:paraId="4C0C7174">
            <w:pPr>
              <w:pStyle w:val="7"/>
              <w:keepNext w:val="0"/>
              <w:keepLines w:val="0"/>
              <w:pageBreakBefore w:val="0"/>
              <w:widowControl w:val="0"/>
              <w:kinsoku/>
              <w:wordWrap/>
              <w:overflowPunct/>
              <w:topLinePunct w:val="0"/>
              <w:bidi w:val="0"/>
              <w:adjustRightInd w:val="0"/>
              <w:snapToGrid w:val="0"/>
              <w:spacing w:line="300" w:lineRule="exact"/>
              <w:ind w:firstLine="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w:t>
            </w:r>
          </w:p>
        </w:tc>
        <w:tc>
          <w:tcPr>
            <w:tcW w:w="1092" w:type="dxa"/>
            <w:noWrap w:val="0"/>
            <w:vAlign w:val="center"/>
          </w:tcPr>
          <w:p w14:paraId="2A0CC8EC">
            <w:pPr>
              <w:keepNext w:val="0"/>
              <w:keepLines w:val="0"/>
              <w:pageBreakBefore w:val="0"/>
              <w:widowControl w:val="0"/>
              <w:kinsoku/>
              <w:wordWrap/>
              <w:overflowPunct/>
              <w:topLinePunct w:val="0"/>
              <w:bidi w:val="0"/>
              <w:adjustRightInd w:val="0"/>
              <w:snapToGrid w:val="0"/>
              <w:spacing w:line="300" w:lineRule="exact"/>
              <w:jc w:val="center"/>
              <w:outlineLvl w:val="2"/>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质量保障、进度管控与售后服务</w:t>
            </w:r>
          </w:p>
        </w:tc>
        <w:tc>
          <w:tcPr>
            <w:tcW w:w="7310" w:type="dxa"/>
            <w:noWrap w:val="0"/>
            <w:vAlign w:val="center"/>
          </w:tcPr>
          <w:p w14:paraId="7C4223D9">
            <w:pPr>
              <w:keepNext w:val="0"/>
              <w:keepLines w:val="0"/>
              <w:pageBreakBefore w:val="0"/>
              <w:widowControl w:val="0"/>
              <w:numPr>
                <w:ilvl w:val="0"/>
                <w:numId w:val="0"/>
              </w:numPr>
              <w:kinsoku/>
              <w:wordWrap/>
              <w:overflowPunct/>
              <w:topLinePunct w:val="0"/>
              <w:bidi w:val="0"/>
              <w:adjustRightInd w:val="0"/>
              <w:snapToGrid w:val="0"/>
              <w:spacing w:line="300" w:lineRule="exact"/>
              <w:ind w:left="0" w:leftChars="0" w:firstLine="0" w:firstLineChars="0"/>
              <w:jc w:val="left"/>
              <w:outlineLvl w:val="2"/>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根据投标人提供的质量控制措施、进度保障手段及后续服务承诺等进行综合评审：投标人质量保障体系健全、过程管控措施扎实、进度安排科学可行、后期服务承诺具体及时、对本项目实施保障有力的，得3分；相关措施较为健全合理、能满足基本实施需求的，得2分；相关措施基本合理但针对性一般的，得1分；相关措施不够健全合理或针对性不强的，得0.5分；未提供相关内容的，得0分。</w:t>
            </w:r>
          </w:p>
        </w:tc>
        <w:tc>
          <w:tcPr>
            <w:tcW w:w="564" w:type="dxa"/>
            <w:noWrap w:val="0"/>
            <w:vAlign w:val="center"/>
          </w:tcPr>
          <w:p w14:paraId="2DDEA21F">
            <w:pPr>
              <w:keepNext w:val="0"/>
              <w:keepLines w:val="0"/>
              <w:pageBreakBefore w:val="0"/>
              <w:widowControl w:val="0"/>
              <w:kinsoku/>
              <w:wordWrap/>
              <w:overflowPunct/>
              <w:topLinePunct w:val="0"/>
              <w:bidi w:val="0"/>
              <w:adjustRightInd w:val="0"/>
              <w:snapToGrid w:val="0"/>
              <w:spacing w:line="300" w:lineRule="exact"/>
              <w:jc w:val="center"/>
              <w:textAlignment w:val="baseline"/>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rPr>
              <w:t>3</w:t>
            </w:r>
          </w:p>
        </w:tc>
      </w:tr>
    </w:tbl>
    <w:p w14:paraId="1944337A">
      <w:pPr>
        <w:keepNext w:val="0"/>
        <w:keepLines w:val="0"/>
        <w:pageBreakBefore w:val="0"/>
        <w:widowControl w:val="0"/>
        <w:spacing w:line="500" w:lineRule="exact"/>
        <w:ind w:firstLine="56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lang w:val="zh-CN"/>
        </w:rPr>
        <w:t>四</w:t>
      </w: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lang w:val="zh-CN"/>
        </w:rPr>
        <w:t>价格分</w:t>
      </w:r>
      <w:r>
        <w:rPr>
          <w:rFonts w:hint="eastAsia" w:ascii="宋体" w:hAnsi="宋体" w:eastAsia="宋体" w:cs="宋体"/>
          <w:b/>
          <w:color w:val="auto"/>
          <w:sz w:val="28"/>
          <w:szCs w:val="28"/>
          <w:highlight w:val="none"/>
        </w:rPr>
        <w:t>：</w:t>
      </w:r>
      <w:r>
        <w:rPr>
          <w:rFonts w:hint="eastAsia" w:ascii="宋体" w:hAnsi="宋体" w:eastAsia="宋体" w:cs="宋体"/>
          <w:b/>
          <w:bCs/>
          <w:color w:val="auto"/>
          <w:sz w:val="28"/>
          <w:szCs w:val="28"/>
          <w:highlight w:val="none"/>
          <w:lang w:val="en-US" w:eastAsia="zh-CN"/>
        </w:rPr>
        <w:t>3</w:t>
      </w:r>
      <w:r>
        <w:rPr>
          <w:rFonts w:hint="eastAsia" w:ascii="宋体" w:hAnsi="宋体" w:eastAsia="宋体" w:cs="宋体"/>
          <w:b/>
          <w:bCs/>
          <w:color w:val="auto"/>
          <w:sz w:val="28"/>
          <w:szCs w:val="28"/>
          <w:highlight w:val="none"/>
        </w:rPr>
        <w:t>0</w:t>
      </w:r>
      <w:r>
        <w:rPr>
          <w:rFonts w:hint="eastAsia" w:ascii="宋体" w:hAnsi="宋体" w:eastAsia="宋体" w:cs="宋体"/>
          <w:b/>
          <w:bCs/>
          <w:color w:val="auto"/>
          <w:sz w:val="28"/>
          <w:szCs w:val="28"/>
          <w:highlight w:val="none"/>
          <w:lang w:val="zh-CN"/>
        </w:rPr>
        <w:t>分</w:t>
      </w:r>
    </w:p>
    <w:p w14:paraId="61C39B87">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价格分统一采用低价优先法计算，即满足磋商文件要求且最后报价最低的供应商的价格为磋商基准价，其价格分为满分。其他供应商的价格分统一按照下列公式计算：</w:t>
      </w:r>
    </w:p>
    <w:p w14:paraId="18B6022B">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磋商报价得分=（磋商基准价/最后磋商报价）×价格权值×100</w:t>
      </w:r>
    </w:p>
    <w:p w14:paraId="0231AB6A">
      <w:pPr>
        <w:keepNext w:val="0"/>
        <w:keepLines w:val="0"/>
        <w:pageBreakBefore w:val="0"/>
        <w:widowControl w:val="0"/>
        <w:spacing w:line="500" w:lineRule="exact"/>
        <w:ind w:firstLine="562"/>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（五）政府采购政策功能落实</w:t>
      </w:r>
    </w:p>
    <w:p w14:paraId="218E235B">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1.专门面向中小企业采购的项目或者采购包，不再执行价格评审优惠的扶持政策。</w:t>
      </w:r>
    </w:p>
    <w:p w14:paraId="07958D14">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2.非专门面向中小企业采购的项目或者采购包，执行以下价格评审优惠的扶持政策。</w:t>
      </w:r>
    </w:p>
    <w:p w14:paraId="3282E773">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（1）小微型企业价格扣除：</w:t>
      </w:r>
    </w:p>
    <w:p w14:paraId="02E9F25C">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①对小型和微型企业产品给予10%的扣除价格，用扣除后的价格参与评审。</w:t>
      </w:r>
    </w:p>
    <w:p w14:paraId="5E9C307F">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②供应商需按照《政府采购促进中小企业发展管理办法》（财库</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2020</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46号）的规定提供相应的《中小企业声明函》。</w:t>
      </w:r>
    </w:p>
    <w:p w14:paraId="5381CAA7">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③企业标准请参照《关于印发中小企业划型标准规定的通知》（工信部联企业</w:t>
      </w:r>
      <w:r>
        <w:rPr>
          <w:rFonts w:hint="eastAsia" w:ascii="宋体" w:hAnsi="宋体" w:eastAsia="宋体" w:cs="宋体"/>
          <w:color w:val="auto"/>
          <w:sz w:val="28"/>
          <w:szCs w:val="28"/>
          <w:highlight w:val="none"/>
          <w:lang w:val="zh-CN"/>
        </w:rPr>
        <w:t>〔</w:t>
      </w:r>
      <w:r>
        <w:rPr>
          <w:rFonts w:hint="eastAsia" w:ascii="宋体" w:hAnsi="宋体" w:eastAsia="宋体" w:cs="宋体"/>
          <w:bCs/>
          <w:color w:val="auto"/>
          <w:sz w:val="28"/>
          <w:szCs w:val="28"/>
          <w:highlight w:val="none"/>
        </w:rPr>
        <w:t>2011</w:t>
      </w:r>
      <w:r>
        <w:rPr>
          <w:rFonts w:hint="eastAsia" w:ascii="宋体" w:hAnsi="宋体" w:eastAsia="宋体" w:cs="宋体"/>
          <w:color w:val="auto"/>
          <w:sz w:val="28"/>
          <w:szCs w:val="28"/>
          <w:highlight w:val="none"/>
          <w:lang w:val="zh-CN"/>
        </w:rPr>
        <w:t>〕</w:t>
      </w:r>
      <w:r>
        <w:rPr>
          <w:rFonts w:hint="eastAsia" w:ascii="宋体" w:hAnsi="宋体" w:eastAsia="宋体" w:cs="宋体"/>
          <w:bCs/>
          <w:color w:val="auto"/>
          <w:sz w:val="28"/>
          <w:szCs w:val="28"/>
          <w:highlight w:val="none"/>
        </w:rPr>
        <w:t>300号）文件规定自行填写。</w:t>
      </w:r>
    </w:p>
    <w:p w14:paraId="7024A5DF">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（2）残疾人福利单位价格扣除：</w:t>
      </w:r>
    </w:p>
    <w:p w14:paraId="31BD66DE">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①对残疾人福利性单位，给予10%的价格扣除，用扣除后的价格参与评审。</w:t>
      </w:r>
    </w:p>
    <w:p w14:paraId="564982D1">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②残疾人福利单位需按照采购文件的要求提供《残疾人福利性单位声明函》。</w:t>
      </w:r>
    </w:p>
    <w:p w14:paraId="78242384">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③残疾人福利单位标准请参照《关于促进残疾人就业政府采购政策的通知》（财库〔2017〕141号）。</w:t>
      </w:r>
    </w:p>
    <w:p w14:paraId="5008401C">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（3）监狱和戒毒企业价格扣除</w:t>
      </w:r>
    </w:p>
    <w:p w14:paraId="67B6106B">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①对监狱和戒毒企业（简称监狱企业）给予10%的价格扣除，用扣除后的价格参与评审。</w:t>
      </w:r>
    </w:p>
    <w:p w14:paraId="7547429F">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②监狱企业参加政府采购活动时，需提供由省级以上监狱管理局、戒毒管理局（含新疆生产建设兵团）出具的属于监狱企业的证明文件。供应商如不提供上述证明文件，价格将不做相应扣除。</w:t>
      </w:r>
    </w:p>
    <w:p w14:paraId="2E4535C9">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③监狱企业标准请参照《关于政府采购支持监狱企业发展有关问题的通知》（财库〔2014</w:t>
      </w:r>
      <w:r>
        <w:rPr>
          <w:rFonts w:hint="eastAsia" w:ascii="宋体" w:hAnsi="宋体" w:eastAsia="宋体" w:cs="宋体"/>
          <w:color w:val="auto"/>
          <w:sz w:val="28"/>
          <w:szCs w:val="28"/>
          <w:highlight w:val="none"/>
          <w:lang w:val="zh-CN"/>
        </w:rPr>
        <w:t>〕</w:t>
      </w:r>
      <w:r>
        <w:rPr>
          <w:rFonts w:hint="eastAsia" w:ascii="宋体" w:hAnsi="宋体" w:eastAsia="宋体" w:cs="宋体"/>
          <w:bCs/>
          <w:color w:val="auto"/>
          <w:sz w:val="28"/>
          <w:szCs w:val="28"/>
          <w:highlight w:val="none"/>
        </w:rPr>
        <w:t>68号）。</w:t>
      </w:r>
    </w:p>
    <w:p w14:paraId="7C2DB0BB">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（4）残疾人福利单位、监狱企业属于小型、微型企业的，不重复享受政策。</w:t>
      </w:r>
    </w:p>
    <w:p w14:paraId="3F905913">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7DCE3369">
      <w:pPr>
        <w:keepNext w:val="0"/>
        <w:keepLines w:val="0"/>
        <w:pageBreakBefore w:val="0"/>
        <w:widowControl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（6）联合体各方均为小型、微型企业（残疾人福利单位、监狱企业）的，联合体享受上述同类价格扣除，用扣除后的价格参与评审。</w:t>
      </w:r>
    </w:p>
    <w:p w14:paraId="282026FA">
      <w:pPr>
        <w:keepNext w:val="0"/>
        <w:keepLines w:val="0"/>
        <w:pageBreakBefore w:val="0"/>
        <w:widowControl w:val="0"/>
        <w:spacing w:line="500" w:lineRule="exact"/>
        <w:ind w:firstLine="562"/>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（六）成交供应商的确定</w:t>
      </w:r>
    </w:p>
    <w:p w14:paraId="5CD1F462">
      <w:pPr>
        <w:keepNext w:val="0"/>
        <w:keepLines w:val="0"/>
        <w:pageBreakBefore w:val="0"/>
        <w:widowControl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磋商小组汇总各评委评分后，按照评审得分由高到低顺序推荐3名成交候选供应商，并编写评审报告。符合《政府采购竞争性磋商采购方式管理暂行办法》第二十一条第三款</w:t>
      </w:r>
      <w:r>
        <w:rPr>
          <w:rFonts w:hint="eastAsia" w:ascii="宋体" w:hAnsi="宋体" w:eastAsia="宋体" w:cs="宋体"/>
          <w:bCs/>
          <w:color w:val="auto"/>
          <w:sz w:val="28"/>
          <w:szCs w:val="28"/>
          <w:highlight w:val="none"/>
        </w:rPr>
        <w:t>或《财政部关于竞争性磋商采购方式管理暂行办法有关问题的补充通知》（财库</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2015</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124号）规定情形</w:t>
      </w:r>
      <w:r>
        <w:rPr>
          <w:rFonts w:hint="eastAsia" w:ascii="宋体" w:hAnsi="宋体" w:eastAsia="宋体" w:cs="宋体"/>
          <w:color w:val="auto"/>
          <w:sz w:val="28"/>
          <w:szCs w:val="28"/>
          <w:highlight w:val="none"/>
        </w:rPr>
        <w:t>的，可以推荐2家成交候选供应商。评审得分相同的，按照最后报价由低到高的顺序推荐。评审得分且最后报价相同的，按照技术指标优劣顺序推荐，如技术指标不能区分优劣顺序的，则通过抽签方式随机确定排名顺序。</w:t>
      </w:r>
    </w:p>
    <w:p w14:paraId="20B8791C">
      <w:pPr>
        <w:keepNext w:val="0"/>
        <w:keepLines w:val="0"/>
        <w:pageBreakBefore w:val="0"/>
        <w:widowControl w:val="0"/>
        <w:spacing w:line="500" w:lineRule="exact"/>
        <w:ind w:firstLine="5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采购人应根据磋商小组推荐的成交候选供应商确定成交供应商。</w:t>
      </w:r>
    </w:p>
    <w:p w14:paraId="677BEDBC">
      <w:pPr>
        <w:keepNext w:val="0"/>
        <w:keepLines w:val="0"/>
        <w:pageBreakBefore w:val="0"/>
        <w:widowControl w:val="0"/>
        <w:spacing w:line="500" w:lineRule="exact"/>
        <w:ind w:firstLine="55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（七）公告成交结果</w:t>
      </w:r>
    </w:p>
    <w:p w14:paraId="1E4F9729">
      <w:pPr>
        <w:keepNext w:val="0"/>
        <w:keepLines w:val="0"/>
        <w:pageBreakBefore w:val="0"/>
        <w:widowControl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自确定成交供应商之日起2个工作日内，在江苏政府采购网公告成交结果，公告期限为1个工作日。</w:t>
      </w:r>
    </w:p>
    <w:p w14:paraId="68151757">
      <w:pPr>
        <w:keepNext w:val="0"/>
        <w:keepLines w:val="0"/>
        <w:pageBreakBefore w:val="0"/>
        <w:widowControl w:val="0"/>
        <w:spacing w:line="500" w:lineRule="exact"/>
        <w:ind w:firstLine="560"/>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w:t>
      </w:r>
      <w:r>
        <w:rPr>
          <w:rFonts w:hint="eastAsia" w:ascii="宋体" w:hAnsi="宋体" w:eastAsia="宋体" w:cs="宋体"/>
          <w:b/>
          <w:bCs/>
          <w:color w:val="auto"/>
          <w:sz w:val="28"/>
          <w:szCs w:val="28"/>
          <w:highlight w:val="none"/>
        </w:rPr>
        <w:t>八</w:t>
      </w:r>
      <w:r>
        <w:rPr>
          <w:rFonts w:hint="eastAsia" w:ascii="宋体" w:hAnsi="宋体" w:eastAsia="宋体" w:cs="宋体"/>
          <w:b/>
          <w:color w:val="auto"/>
          <w:sz w:val="28"/>
          <w:szCs w:val="28"/>
          <w:highlight w:val="none"/>
        </w:rPr>
        <w:t>）</w:t>
      </w:r>
      <w:r>
        <w:rPr>
          <w:rFonts w:hint="eastAsia" w:ascii="宋体" w:hAnsi="宋体" w:eastAsia="宋体" w:cs="宋体"/>
          <w:b/>
          <w:bCs/>
          <w:color w:val="auto"/>
          <w:sz w:val="28"/>
          <w:szCs w:val="28"/>
          <w:highlight w:val="none"/>
        </w:rPr>
        <w:t>发放成交通知书</w:t>
      </w:r>
    </w:p>
    <w:p w14:paraId="0A363474">
      <w:pPr>
        <w:keepNext w:val="0"/>
        <w:keepLines w:val="0"/>
        <w:pageBreakBefore w:val="0"/>
        <w:widowControl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公告成交结果的同时，采购人向成交供应商发放成交通知书。</w:t>
      </w:r>
    </w:p>
    <w:p w14:paraId="18C8C209">
      <w:pPr>
        <w:keepNext w:val="0"/>
        <w:keepLines w:val="0"/>
        <w:pageBreakBefore w:val="0"/>
        <w:widowControl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成交通知书发出后，采购人不得违法改变成交结果，成交供应商无正当理由不得放弃成交。</w:t>
      </w:r>
    </w:p>
    <w:p w14:paraId="24929A27">
      <w:pPr>
        <w:keepNext w:val="0"/>
        <w:keepLines w:val="0"/>
        <w:pageBreakBefore w:val="0"/>
        <w:widowControl w:val="0"/>
        <w:spacing w:line="500" w:lineRule="exact"/>
        <w:ind w:firstLine="57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特别说明：成交供应商在成交结果公告结束后须提供三套（一正二副）加盖红章的系统内打印的纸质响应文件给招标代理机构。</w:t>
      </w:r>
    </w:p>
    <w:p w14:paraId="4FB717C7">
      <w:pPr>
        <w:spacing w:line="500" w:lineRule="exact"/>
        <w:jc w:val="center"/>
        <w:outlineLvl w:val="0"/>
        <w:rPr>
          <w:rFonts w:hint="eastAsia" w:asciiTheme="minorEastAsia" w:hAnsiTheme="minorEastAsia" w:eastAsiaTheme="minorEastAsia"/>
          <w:b/>
          <w:bCs/>
          <w:color w:val="auto"/>
          <w:sz w:val="36"/>
          <w:szCs w:val="36"/>
          <w:highlight w:val="none"/>
          <w:lang w:val="zh-CN"/>
        </w:rPr>
      </w:pPr>
      <w:r>
        <w:rPr>
          <w:rFonts w:asciiTheme="minorEastAsia" w:hAnsiTheme="minorEastAsia" w:eastAsiaTheme="minorEastAsia"/>
          <w:b/>
          <w:color w:val="auto"/>
          <w:sz w:val="36"/>
          <w:szCs w:val="36"/>
          <w:highlight w:val="none"/>
        </w:rPr>
        <w:br w:type="page" w:clear="all"/>
      </w:r>
      <w:r>
        <w:rPr>
          <w:rFonts w:hint="eastAsia" w:asciiTheme="minorEastAsia" w:hAnsiTheme="minorEastAsia" w:eastAsiaTheme="minorEastAsia"/>
          <w:b/>
          <w:bCs/>
          <w:color w:val="auto"/>
          <w:sz w:val="36"/>
          <w:szCs w:val="36"/>
          <w:highlight w:val="none"/>
          <w:lang w:val="zh-CN"/>
        </w:rPr>
        <w:t>第五部分  响应文件格式</w:t>
      </w:r>
    </w:p>
    <w:p w14:paraId="1B9F5752">
      <w:pPr>
        <w:keepNext w:val="0"/>
        <w:keepLines w:val="0"/>
        <w:pageBreakBefore w:val="0"/>
        <w:widowControl w:val="0"/>
        <w:spacing w:line="500" w:lineRule="exact"/>
        <w:ind w:firstLine="560"/>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1.</w:t>
      </w:r>
      <w:r>
        <w:rPr>
          <w:rFonts w:hint="eastAsia" w:ascii="宋体" w:hAnsi="宋体" w:eastAsia="宋体" w:cs="宋体"/>
          <w:color w:val="auto"/>
          <w:sz w:val="28"/>
          <w:szCs w:val="28"/>
        </w:rPr>
        <w:t>响应人符合《中华人民共和国政府采购法》第二十二条规定条件的声明函</w:t>
      </w:r>
      <w:r>
        <w:rPr>
          <w:rFonts w:hint="eastAsia" w:ascii="宋体" w:hAnsi="宋体" w:eastAsia="宋体" w:cs="宋体"/>
          <w:color w:val="auto"/>
          <w:sz w:val="28"/>
          <w:szCs w:val="28"/>
          <w:lang w:val="zh-CN"/>
        </w:rPr>
        <w:t>（格式见附件1）（如分公司参加响应的，另需提供总公司的授权证明）；</w:t>
      </w:r>
    </w:p>
    <w:p w14:paraId="62DFAB56">
      <w:pPr>
        <w:keepNext w:val="0"/>
        <w:keepLines w:val="0"/>
        <w:pageBreakBefore w:val="0"/>
        <w:widowControl w:val="0"/>
        <w:spacing w:line="500" w:lineRule="exact"/>
        <w:ind w:firstLine="560"/>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2.法人或者其他组织的营业执照等证明文件，自然人参加的提供身份证明；</w:t>
      </w:r>
    </w:p>
    <w:p w14:paraId="4037BF92">
      <w:pPr>
        <w:keepNext w:val="0"/>
        <w:keepLines w:val="0"/>
        <w:pageBreakBefore w:val="0"/>
        <w:widowControl w:val="0"/>
        <w:spacing w:line="500" w:lineRule="exact"/>
        <w:ind w:firstLine="560"/>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3.法定代表人参加响应的提供法定代表人身份证明书（格式见附件2）；非法定代表人参加响应的提供法定代表人授权委托书原件（格式见附件3）；</w:t>
      </w:r>
    </w:p>
    <w:p w14:paraId="2BBF34BF">
      <w:pPr>
        <w:keepNext w:val="0"/>
        <w:keepLines w:val="0"/>
        <w:pageBreakBefore w:val="0"/>
        <w:widowControl w:val="0"/>
        <w:spacing w:line="500" w:lineRule="exact"/>
        <w:ind w:firstLine="56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4.</w:t>
      </w:r>
      <w:r>
        <w:rPr>
          <w:rFonts w:hint="eastAsia" w:ascii="宋体" w:hAnsi="宋体" w:cs="宋体"/>
          <w:color w:val="auto"/>
          <w:sz w:val="28"/>
          <w:szCs w:val="28"/>
          <w:lang w:val="en-US" w:eastAsia="zh-CN"/>
        </w:rPr>
        <w:t>供应商资质证书；</w:t>
      </w:r>
    </w:p>
    <w:p w14:paraId="3382A9F6">
      <w:pPr>
        <w:keepNext w:val="0"/>
        <w:keepLines w:val="0"/>
        <w:pageBreakBefore w:val="0"/>
        <w:widowControl w:val="0"/>
        <w:spacing w:line="500" w:lineRule="exact"/>
        <w:ind w:firstLine="560"/>
        <w:rPr>
          <w:rFonts w:hint="eastAsia" w:ascii="宋体" w:hAnsi="宋体" w:eastAsia="宋体" w:cs="宋体"/>
          <w:color w:val="auto"/>
          <w:sz w:val="28"/>
          <w:szCs w:val="28"/>
          <w:lang w:val="zh-CN"/>
        </w:rPr>
      </w:pP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zh-CN"/>
        </w:rPr>
        <w:t>供应商信用承诺书（格式见附件</w:t>
      </w:r>
      <w:r>
        <w:rPr>
          <w:rFonts w:hint="eastAsia" w:ascii="宋体" w:hAnsi="宋体" w:eastAsia="宋体" w:cs="宋体"/>
          <w:color w:val="auto"/>
          <w:sz w:val="28"/>
          <w:szCs w:val="28"/>
        </w:rPr>
        <w:t>4</w:t>
      </w:r>
      <w:r>
        <w:rPr>
          <w:rFonts w:hint="eastAsia" w:ascii="宋体" w:hAnsi="宋体" w:eastAsia="宋体" w:cs="宋体"/>
          <w:color w:val="auto"/>
          <w:sz w:val="28"/>
          <w:szCs w:val="28"/>
          <w:lang w:val="zh-CN"/>
        </w:rPr>
        <w:t>）；</w:t>
      </w:r>
    </w:p>
    <w:p w14:paraId="48DA1DA7">
      <w:pPr>
        <w:keepNext w:val="0"/>
        <w:keepLines w:val="0"/>
        <w:pageBreakBefore w:val="0"/>
        <w:widowControl w:val="0"/>
        <w:spacing w:line="500" w:lineRule="exact"/>
        <w:ind w:firstLine="560"/>
        <w:rPr>
          <w:rFonts w:hint="eastAsia" w:ascii="宋体" w:hAnsi="宋体" w:eastAsia="宋体" w:cs="宋体"/>
          <w:color w:val="auto"/>
          <w:sz w:val="28"/>
          <w:szCs w:val="28"/>
          <w:lang w:val="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w:t>
      </w:r>
      <w:r>
        <w:rPr>
          <w:rFonts w:hint="eastAsia" w:ascii="宋体" w:hAnsi="宋体" w:eastAsia="宋体" w:cs="宋体"/>
          <w:color w:val="auto"/>
          <w:sz w:val="28"/>
          <w:szCs w:val="28"/>
          <w:lang w:val="zh-CN"/>
        </w:rPr>
        <w:t>磋商响应函（格式见附件</w:t>
      </w:r>
      <w:r>
        <w:rPr>
          <w:rFonts w:hint="eastAsia" w:ascii="宋体" w:hAnsi="宋体" w:eastAsia="宋体" w:cs="宋体"/>
          <w:color w:val="auto"/>
          <w:sz w:val="28"/>
          <w:szCs w:val="28"/>
        </w:rPr>
        <w:t>5</w:t>
      </w:r>
      <w:r>
        <w:rPr>
          <w:rFonts w:hint="eastAsia" w:ascii="宋体" w:hAnsi="宋体" w:eastAsia="宋体" w:cs="宋体"/>
          <w:color w:val="auto"/>
          <w:sz w:val="28"/>
          <w:szCs w:val="28"/>
          <w:lang w:val="zh-CN"/>
        </w:rPr>
        <w:t>）；</w:t>
      </w:r>
    </w:p>
    <w:p w14:paraId="5B5DCDF0">
      <w:pPr>
        <w:keepNext w:val="0"/>
        <w:keepLines w:val="0"/>
        <w:pageBreakBefore w:val="0"/>
        <w:widowControl w:val="0"/>
        <w:spacing w:line="500" w:lineRule="exact"/>
        <w:ind w:firstLine="560"/>
        <w:rPr>
          <w:rFonts w:hint="eastAsia" w:ascii="宋体" w:hAnsi="宋体" w:eastAsia="宋体" w:cs="宋体"/>
          <w:bCs/>
          <w:color w:val="auto"/>
          <w:sz w:val="28"/>
          <w:szCs w:val="28"/>
          <w:lang w:val="en-US" w:eastAsia="zh-CN"/>
        </w:rPr>
      </w:pPr>
      <w:r>
        <w:rPr>
          <w:rFonts w:hint="eastAsia" w:ascii="宋体" w:hAnsi="宋体" w:cs="宋体"/>
          <w:bCs/>
          <w:color w:val="auto"/>
          <w:sz w:val="28"/>
          <w:szCs w:val="28"/>
          <w:lang w:val="en-US" w:eastAsia="zh-CN"/>
        </w:rPr>
        <w:t>7</w:t>
      </w:r>
      <w:r>
        <w:rPr>
          <w:rFonts w:hint="eastAsia" w:ascii="宋体" w:hAnsi="宋体" w:eastAsia="宋体" w:cs="宋体"/>
          <w:bCs/>
          <w:color w:val="auto"/>
          <w:sz w:val="28"/>
          <w:szCs w:val="28"/>
          <w:lang w:val="en-US" w:eastAsia="zh-CN"/>
        </w:rPr>
        <w:t>.</w:t>
      </w:r>
      <w:r>
        <w:rPr>
          <w:rFonts w:hint="eastAsia" w:ascii="宋体" w:hAnsi="宋体" w:eastAsia="宋体" w:cs="宋体"/>
          <w:bCs/>
          <w:color w:val="auto"/>
          <w:sz w:val="28"/>
          <w:szCs w:val="28"/>
          <w:lang w:val="zh-CN"/>
        </w:rPr>
        <w:t>商务部分正负偏离表（格式见附件6）、技术部分正负偏离表（格式见附件7）</w:t>
      </w:r>
      <w:r>
        <w:rPr>
          <w:rFonts w:hint="eastAsia" w:ascii="宋体" w:hAnsi="宋体" w:eastAsia="宋体" w:cs="宋体"/>
          <w:color w:val="auto"/>
          <w:sz w:val="28"/>
          <w:szCs w:val="28"/>
          <w:lang w:val="zh-CN"/>
        </w:rPr>
        <w:t>；</w:t>
      </w:r>
    </w:p>
    <w:p w14:paraId="14D3BB16">
      <w:pPr>
        <w:keepNext w:val="0"/>
        <w:keepLines w:val="0"/>
        <w:pageBreakBefore w:val="0"/>
        <w:widowControl w:val="0"/>
        <w:spacing w:line="500" w:lineRule="exact"/>
        <w:ind w:firstLine="560"/>
        <w:rPr>
          <w:rFonts w:hint="eastAsia" w:ascii="宋体" w:hAnsi="宋体" w:eastAsia="宋体" w:cs="宋体"/>
          <w:bCs/>
          <w:color w:val="auto"/>
          <w:sz w:val="28"/>
          <w:szCs w:val="28"/>
          <w:lang w:val="zh-CN"/>
        </w:rPr>
      </w:pPr>
      <w:r>
        <w:rPr>
          <w:rFonts w:hint="eastAsia" w:ascii="宋体" w:hAnsi="宋体" w:eastAsia="宋体" w:cs="宋体"/>
          <w:bCs/>
          <w:color w:val="auto"/>
          <w:sz w:val="28"/>
          <w:szCs w:val="28"/>
          <w:lang w:val="zh-CN"/>
        </w:rPr>
        <w:t>填制正负偏离表，完全响应的，请以空白表列示。不完全响应的，必须在偏离表中列示；列示不全的，视同故意隐瞒。</w:t>
      </w:r>
    </w:p>
    <w:p w14:paraId="2CC356B0">
      <w:pPr>
        <w:keepNext w:val="0"/>
        <w:keepLines w:val="0"/>
        <w:pageBreakBefore w:val="0"/>
        <w:widowControl w:val="0"/>
        <w:spacing w:line="500" w:lineRule="exact"/>
        <w:ind w:firstLine="560"/>
        <w:rPr>
          <w:rFonts w:hint="eastAsia" w:ascii="宋体" w:hAnsi="宋体" w:eastAsia="宋体" w:cs="宋体"/>
          <w:color w:val="auto"/>
          <w:sz w:val="28"/>
          <w:szCs w:val="28"/>
          <w:lang w:val="zh-CN"/>
        </w:rPr>
      </w:pPr>
      <w:r>
        <w:rPr>
          <w:rFonts w:hint="eastAsia" w:ascii="宋体" w:hAnsi="宋体" w:cs="宋体"/>
          <w:bCs/>
          <w:color w:val="auto"/>
          <w:sz w:val="28"/>
          <w:szCs w:val="28"/>
          <w:lang w:val="en-US" w:eastAsia="zh-CN"/>
        </w:rPr>
        <w:t>8</w:t>
      </w:r>
      <w:r>
        <w:rPr>
          <w:rFonts w:hint="eastAsia" w:ascii="宋体" w:hAnsi="宋体" w:eastAsia="宋体" w:cs="宋体"/>
          <w:bCs/>
          <w:color w:val="auto"/>
          <w:sz w:val="28"/>
          <w:szCs w:val="28"/>
          <w:lang w:val="zh-CN"/>
        </w:rPr>
        <w:t>.</w:t>
      </w:r>
      <w:r>
        <w:rPr>
          <w:rFonts w:hint="eastAsia" w:ascii="宋体" w:hAnsi="宋体" w:eastAsia="宋体" w:cs="宋体"/>
          <w:color w:val="auto"/>
          <w:sz w:val="28"/>
          <w:szCs w:val="28"/>
        </w:rPr>
        <w:t>磋商报价表</w:t>
      </w:r>
      <w:r>
        <w:rPr>
          <w:rFonts w:hint="eastAsia" w:ascii="宋体" w:hAnsi="宋体" w:eastAsia="宋体" w:cs="宋体"/>
          <w:bCs/>
          <w:color w:val="auto"/>
          <w:sz w:val="28"/>
          <w:szCs w:val="28"/>
          <w:lang w:val="zh-CN"/>
        </w:rPr>
        <w:t>[</w:t>
      </w:r>
      <w:r>
        <w:rPr>
          <w:rFonts w:hint="eastAsia" w:ascii="宋体" w:hAnsi="宋体" w:eastAsia="宋体" w:cs="宋体"/>
          <w:color w:val="auto"/>
          <w:sz w:val="28"/>
          <w:szCs w:val="28"/>
          <w:lang w:val="zh-CN"/>
        </w:rPr>
        <w:t>格式见</w:t>
      </w:r>
      <w:r>
        <w:rPr>
          <w:rFonts w:hint="eastAsia" w:ascii="宋体" w:hAnsi="宋体" w:eastAsia="宋体" w:cs="宋体"/>
          <w:color w:val="auto"/>
          <w:sz w:val="28"/>
          <w:szCs w:val="28"/>
        </w:rPr>
        <w:t>“苏采云”</w:t>
      </w:r>
      <w:r>
        <w:rPr>
          <w:rFonts w:hint="eastAsia" w:ascii="宋体" w:hAnsi="宋体" w:eastAsia="宋体" w:cs="宋体"/>
          <w:color w:val="auto"/>
          <w:sz w:val="28"/>
          <w:szCs w:val="28"/>
          <w:lang w:val="zh-CN"/>
        </w:rPr>
        <w:t>系统内电子投标（响应）文件中</w:t>
      </w:r>
      <w:r>
        <w:rPr>
          <w:rFonts w:hint="eastAsia" w:ascii="宋体" w:hAnsi="宋体" w:cs="宋体"/>
          <w:color w:val="auto"/>
          <w:sz w:val="28"/>
          <w:szCs w:val="28"/>
          <w:lang w:val="en-US" w:eastAsia="zh-CN"/>
        </w:rPr>
        <w:t>表示</w:t>
      </w:r>
      <w:r>
        <w:rPr>
          <w:rFonts w:hint="eastAsia" w:ascii="宋体" w:hAnsi="宋体" w:eastAsia="宋体" w:cs="宋体"/>
          <w:bCs/>
          <w:color w:val="auto"/>
          <w:sz w:val="28"/>
          <w:szCs w:val="28"/>
          <w:lang w:val="zh-CN"/>
        </w:rPr>
        <w:t>]</w:t>
      </w:r>
      <w:r>
        <w:rPr>
          <w:rFonts w:hint="eastAsia" w:ascii="宋体" w:hAnsi="宋体" w:eastAsia="宋体" w:cs="宋体"/>
          <w:color w:val="auto"/>
          <w:sz w:val="28"/>
          <w:szCs w:val="28"/>
          <w:lang w:val="zh-CN"/>
        </w:rPr>
        <w:t xml:space="preserve">； </w:t>
      </w:r>
    </w:p>
    <w:p w14:paraId="1AB795F8">
      <w:pPr>
        <w:keepNext w:val="0"/>
        <w:keepLines w:val="0"/>
        <w:pageBreakBefore w:val="0"/>
        <w:widowControl w:val="0"/>
        <w:spacing w:line="500" w:lineRule="exact"/>
        <w:ind w:firstLine="560"/>
        <w:rPr>
          <w:rFonts w:hint="eastAsia" w:ascii="宋体" w:hAnsi="宋体" w:eastAsia="宋体" w:cs="宋体"/>
          <w:color w:val="auto"/>
          <w:sz w:val="28"/>
          <w:szCs w:val="28"/>
          <w:lang w:val="zh-CN"/>
        </w:rPr>
      </w:pP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zh-CN"/>
        </w:rPr>
        <w:t>.分项报价明细表（格式见附件8）；</w:t>
      </w:r>
    </w:p>
    <w:p w14:paraId="4F85D9A1">
      <w:pPr>
        <w:keepNext w:val="0"/>
        <w:keepLines w:val="0"/>
        <w:pageBreakBefore w:val="0"/>
        <w:widowControl w:val="0"/>
        <w:spacing w:line="500" w:lineRule="exact"/>
        <w:ind w:firstLine="560"/>
        <w:rPr>
          <w:rFonts w:hint="eastAsia" w:ascii="宋体" w:hAnsi="宋体" w:eastAsia="宋体" w:cs="宋体"/>
          <w:color w:val="auto"/>
          <w:sz w:val="28"/>
          <w:szCs w:val="28"/>
          <w:lang w:val="zh-CN"/>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zh-CN"/>
        </w:rPr>
        <w:t>.</w:t>
      </w:r>
      <w:r>
        <w:rPr>
          <w:rFonts w:hint="eastAsia" w:ascii="宋体" w:hAnsi="宋体" w:eastAsia="宋体" w:cs="宋体"/>
          <w:color w:val="auto"/>
          <w:sz w:val="28"/>
          <w:szCs w:val="28"/>
        </w:rPr>
        <w:t>中小企业声明函（格式见附件9）；</w:t>
      </w:r>
    </w:p>
    <w:p w14:paraId="075C48CC">
      <w:pPr>
        <w:keepNext w:val="0"/>
        <w:keepLines w:val="0"/>
        <w:pageBreakBefore w:val="0"/>
        <w:widowControl w:val="0"/>
        <w:spacing w:line="500" w:lineRule="exact"/>
        <w:ind w:firstLine="560"/>
        <w:rPr>
          <w:rFonts w:hint="eastAsia" w:ascii="宋体" w:hAnsi="宋体" w:eastAsia="宋体" w:cs="宋体"/>
          <w:color w:val="auto"/>
          <w:sz w:val="28"/>
          <w:szCs w:val="28"/>
        </w:rPr>
      </w:pPr>
      <w:r>
        <w:rPr>
          <w:rFonts w:hint="eastAsia" w:ascii="宋体" w:hAnsi="宋体" w:cs="宋体"/>
          <w:color w:val="auto"/>
          <w:sz w:val="28"/>
          <w:szCs w:val="28"/>
          <w:lang w:val="en-US" w:eastAsia="zh-CN"/>
        </w:rPr>
        <w:t>11</w:t>
      </w:r>
      <w:r>
        <w:rPr>
          <w:rFonts w:hint="eastAsia" w:ascii="宋体" w:hAnsi="宋体" w:eastAsia="宋体" w:cs="宋体"/>
          <w:color w:val="auto"/>
          <w:sz w:val="28"/>
          <w:szCs w:val="28"/>
          <w:lang w:val="zh-CN"/>
        </w:rPr>
        <w:t>.</w:t>
      </w:r>
      <w:r>
        <w:rPr>
          <w:rFonts w:hint="eastAsia" w:ascii="宋体" w:hAnsi="宋体" w:eastAsia="宋体" w:cs="宋体"/>
          <w:color w:val="auto"/>
          <w:sz w:val="28"/>
          <w:szCs w:val="28"/>
        </w:rPr>
        <w:t>残疾人福利性单位声明函（格式见附件10）；</w:t>
      </w:r>
    </w:p>
    <w:p w14:paraId="3F7BB73A">
      <w:pPr>
        <w:keepNext w:val="0"/>
        <w:keepLines w:val="0"/>
        <w:pageBreakBefore w:val="0"/>
        <w:widowControl w:val="0"/>
        <w:spacing w:line="500" w:lineRule="exact"/>
        <w:ind w:firstLine="560"/>
        <w:rPr>
          <w:rFonts w:hint="eastAsia" w:ascii="宋体" w:hAnsi="宋体" w:eastAsia="宋体" w:cs="宋体"/>
          <w:color w:val="auto"/>
          <w:sz w:val="28"/>
          <w:szCs w:val="28"/>
          <w:lang w:val="zh-CN"/>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w:t>
      </w:r>
      <w:r>
        <w:rPr>
          <w:rFonts w:hint="eastAsia" w:ascii="宋体" w:hAnsi="宋体" w:eastAsia="宋体" w:cs="宋体"/>
          <w:bCs/>
          <w:color w:val="auto"/>
          <w:sz w:val="28"/>
          <w:szCs w:val="28"/>
        </w:rPr>
        <w:t>监狱和戒毒企业证明材料（格式见附件11）。</w:t>
      </w:r>
    </w:p>
    <w:p w14:paraId="6366A588">
      <w:pPr>
        <w:spacing w:line="400" w:lineRule="exact"/>
        <w:ind w:firstLine="540"/>
        <w:contextualSpacing/>
        <w:rPr>
          <w:rFonts w:ascii="宋体" w:hAnsi="宋体" w:cs="宋体"/>
          <w:b/>
          <w:color w:val="auto"/>
          <w:sz w:val="28"/>
          <w:szCs w:val="28"/>
          <w:lang w:val="zh-CN"/>
        </w:rPr>
      </w:pPr>
    </w:p>
    <w:p w14:paraId="517534C3">
      <w:pPr>
        <w:spacing w:line="400" w:lineRule="exact"/>
        <w:ind w:firstLine="540"/>
        <w:contextualSpacing/>
        <w:rPr>
          <w:rFonts w:ascii="宋体" w:hAnsi="宋体" w:cs="宋体"/>
          <w:b/>
          <w:color w:val="auto"/>
          <w:sz w:val="28"/>
          <w:szCs w:val="28"/>
          <w:lang w:val="zh-CN"/>
        </w:rPr>
      </w:pPr>
    </w:p>
    <w:p w14:paraId="7BBBEFDD">
      <w:pPr>
        <w:widowControl/>
        <w:jc w:val="left"/>
        <w:rPr>
          <w:rFonts w:hint="eastAsia" w:ascii="宋体" w:hAnsi="宋体" w:eastAsia="宋体" w:cs="宋体"/>
          <w:b/>
          <w:bCs/>
          <w:color w:val="auto"/>
          <w:sz w:val="32"/>
          <w:szCs w:val="32"/>
          <w:lang w:val="zh-CN"/>
        </w:rPr>
      </w:pPr>
      <w:r>
        <w:rPr>
          <w:rFonts w:eastAsia="方正黑体_GBK"/>
          <w:color w:val="auto"/>
          <w:sz w:val="32"/>
          <w:szCs w:val="32"/>
          <w:lang w:val="zh-CN"/>
        </w:rPr>
        <w:br w:type="page" w:clear="all"/>
      </w:r>
      <w:r>
        <w:rPr>
          <w:rFonts w:hint="eastAsia" w:ascii="宋体" w:hAnsi="宋体" w:eastAsia="宋体" w:cs="宋体"/>
          <w:b/>
          <w:bCs/>
          <w:color w:val="auto"/>
          <w:sz w:val="32"/>
          <w:szCs w:val="32"/>
          <w:lang w:val="zh-CN"/>
        </w:rPr>
        <w:t>附件1</w:t>
      </w:r>
    </w:p>
    <w:p w14:paraId="3A9852F2">
      <w:pPr>
        <w:jc w:val="center"/>
        <w:rPr>
          <w:rFonts w:hint="eastAsia" w:ascii="宋体" w:hAnsi="宋体" w:eastAsia="宋体" w:cs="宋体"/>
          <w:b/>
          <w:bCs w:val="0"/>
          <w:color w:val="auto"/>
          <w:spacing w:val="-6"/>
          <w:sz w:val="30"/>
          <w:szCs w:val="30"/>
        </w:rPr>
      </w:pPr>
      <w:r>
        <w:rPr>
          <w:rFonts w:hint="eastAsia" w:ascii="宋体" w:hAnsi="宋体" w:eastAsia="宋体" w:cs="宋体"/>
          <w:b/>
          <w:bCs w:val="0"/>
          <w:color w:val="auto"/>
          <w:spacing w:val="-6"/>
          <w:sz w:val="30"/>
          <w:szCs w:val="30"/>
        </w:rPr>
        <w:t>响应人符合《中华人民共和国政府采购法》第二十二条规定条件的</w:t>
      </w:r>
    </w:p>
    <w:p w14:paraId="55DF430E">
      <w:pPr>
        <w:jc w:val="center"/>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声明函</w:t>
      </w:r>
    </w:p>
    <w:p w14:paraId="3C1BD854">
      <w:pPr>
        <w:spacing w:line="520" w:lineRule="exact"/>
        <w:ind w:firstLine="482"/>
        <w:rPr>
          <w:rFonts w:ascii="宋体" w:hAnsi="宋体"/>
          <w:b/>
          <w:bCs/>
          <w:color w:val="auto"/>
          <w:sz w:val="24"/>
          <w:szCs w:val="21"/>
        </w:rPr>
      </w:pPr>
    </w:p>
    <w:p w14:paraId="677D7301">
      <w:pPr>
        <w:spacing w:line="520" w:lineRule="exact"/>
        <w:rPr>
          <w:rFonts w:eastAsia="仿宋"/>
          <w:b/>
          <w:bCs/>
          <w:color w:val="auto"/>
          <w:sz w:val="28"/>
          <w:szCs w:val="28"/>
        </w:rPr>
      </w:pPr>
      <w:r>
        <w:rPr>
          <w:rFonts w:eastAsia="仿宋"/>
          <w:bCs/>
          <w:color w:val="auto"/>
          <w:sz w:val="28"/>
          <w:szCs w:val="28"/>
        </w:rPr>
        <w:t>我单位参加</w:t>
      </w:r>
      <w:r>
        <w:rPr>
          <w:rFonts w:eastAsia="仿宋"/>
          <w:color w:val="auto"/>
          <w:sz w:val="28"/>
          <w:szCs w:val="28"/>
          <w:u w:val="single"/>
        </w:rPr>
        <w:t xml:space="preserve">               </w:t>
      </w:r>
      <w:r>
        <w:rPr>
          <w:rFonts w:hint="eastAsia" w:eastAsia="仿宋"/>
          <w:color w:val="auto"/>
          <w:sz w:val="28"/>
          <w:szCs w:val="28"/>
          <w:u w:val="single"/>
        </w:rPr>
        <w:t xml:space="preserve">          </w:t>
      </w:r>
      <w:r>
        <w:rPr>
          <w:rFonts w:eastAsia="仿宋"/>
          <w:color w:val="auto"/>
          <w:sz w:val="28"/>
          <w:szCs w:val="28"/>
          <w:u w:val="single"/>
        </w:rPr>
        <w:t xml:space="preserve">                 </w:t>
      </w:r>
      <w:r>
        <w:rPr>
          <w:rFonts w:eastAsia="仿宋"/>
          <w:bCs/>
          <w:color w:val="auto"/>
          <w:sz w:val="28"/>
          <w:szCs w:val="28"/>
        </w:rPr>
        <w:t>（项目名称）</w:t>
      </w:r>
      <w:r>
        <w:rPr>
          <w:rFonts w:hint="eastAsia" w:ascii="仿宋" w:hAnsi="仿宋" w:eastAsia="仿宋" w:cs="仿宋"/>
          <w:color w:val="auto"/>
          <w:sz w:val="28"/>
          <w:szCs w:val="28"/>
        </w:rPr>
        <w:t>（</w:t>
      </w:r>
      <w:r>
        <w:rPr>
          <w:rFonts w:hint="eastAsia" w:ascii="仿宋" w:hAnsi="仿宋" w:eastAsia="仿宋" w:cs="仿宋"/>
          <w:color w:val="auto"/>
          <w:sz w:val="28"/>
          <w:szCs w:val="28"/>
          <w:u w:val="single"/>
        </w:rPr>
        <w:t xml:space="preserve">项目编号：                      </w:t>
      </w:r>
      <w:r>
        <w:rPr>
          <w:rFonts w:hint="eastAsia" w:ascii="仿宋" w:hAnsi="仿宋" w:eastAsia="仿宋" w:cs="仿宋"/>
          <w:color w:val="auto"/>
          <w:sz w:val="28"/>
          <w:szCs w:val="28"/>
        </w:rPr>
        <w:t>）响应</w:t>
      </w:r>
      <w:r>
        <w:rPr>
          <w:rFonts w:eastAsia="仿宋"/>
          <w:bCs/>
          <w:color w:val="auto"/>
          <w:sz w:val="28"/>
          <w:szCs w:val="28"/>
        </w:rPr>
        <w:t>活动。针对《中华人民共和国政府采购法》第二十二条规定做出如下声明：</w:t>
      </w:r>
    </w:p>
    <w:p w14:paraId="2924A046">
      <w:pPr>
        <w:spacing w:line="520" w:lineRule="exact"/>
        <w:ind w:firstLine="482"/>
        <w:rPr>
          <w:rFonts w:eastAsia="仿宋"/>
          <w:color w:val="auto"/>
          <w:sz w:val="28"/>
          <w:szCs w:val="28"/>
        </w:rPr>
      </w:pPr>
      <w:r>
        <w:rPr>
          <w:rFonts w:eastAsia="仿宋"/>
          <w:bCs/>
          <w:color w:val="auto"/>
          <w:sz w:val="28"/>
          <w:szCs w:val="28"/>
        </w:rPr>
        <w:t>1.我单位具有独立承担民事责任的能力；</w:t>
      </w:r>
    </w:p>
    <w:p w14:paraId="3A4AE410">
      <w:pPr>
        <w:spacing w:line="520" w:lineRule="exact"/>
        <w:ind w:firstLine="482"/>
        <w:rPr>
          <w:rFonts w:eastAsia="仿宋"/>
          <w:color w:val="auto"/>
          <w:sz w:val="28"/>
          <w:szCs w:val="28"/>
        </w:rPr>
      </w:pPr>
      <w:r>
        <w:rPr>
          <w:rFonts w:eastAsia="仿宋"/>
          <w:color w:val="auto"/>
          <w:sz w:val="28"/>
          <w:szCs w:val="28"/>
        </w:rPr>
        <w:t>2.我单位具有良好的商业信誉和健全的财务会计制度；</w:t>
      </w:r>
    </w:p>
    <w:p w14:paraId="400AB6A3">
      <w:pPr>
        <w:spacing w:line="520" w:lineRule="exact"/>
        <w:ind w:firstLine="482"/>
        <w:rPr>
          <w:rFonts w:eastAsia="仿宋"/>
          <w:color w:val="auto"/>
          <w:sz w:val="28"/>
          <w:szCs w:val="28"/>
        </w:rPr>
      </w:pPr>
      <w:r>
        <w:rPr>
          <w:rFonts w:eastAsia="仿宋"/>
          <w:color w:val="auto"/>
          <w:sz w:val="28"/>
          <w:szCs w:val="28"/>
        </w:rPr>
        <w:t>3.我单位具有履行合同所必需的设备和专业技术能力；</w:t>
      </w:r>
    </w:p>
    <w:p w14:paraId="2E61A738">
      <w:pPr>
        <w:spacing w:line="520" w:lineRule="exact"/>
        <w:ind w:firstLine="482"/>
        <w:rPr>
          <w:rFonts w:eastAsia="仿宋"/>
          <w:color w:val="auto"/>
          <w:sz w:val="28"/>
          <w:szCs w:val="28"/>
        </w:rPr>
      </w:pPr>
      <w:r>
        <w:rPr>
          <w:rFonts w:eastAsia="仿宋"/>
          <w:color w:val="auto"/>
          <w:sz w:val="28"/>
          <w:szCs w:val="28"/>
        </w:rPr>
        <w:t>4.我单位有依法缴纳税收和社会保障资金的良好记录；</w:t>
      </w:r>
    </w:p>
    <w:p w14:paraId="0777A306">
      <w:pPr>
        <w:spacing w:line="520" w:lineRule="exact"/>
        <w:ind w:firstLine="482"/>
        <w:rPr>
          <w:rFonts w:eastAsia="仿宋"/>
          <w:color w:val="auto"/>
          <w:sz w:val="28"/>
          <w:szCs w:val="28"/>
        </w:rPr>
      </w:pPr>
      <w:r>
        <w:rPr>
          <w:rFonts w:eastAsia="仿宋"/>
          <w:color w:val="auto"/>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9B93255">
      <w:pPr>
        <w:spacing w:line="520" w:lineRule="exact"/>
        <w:ind w:firstLine="482"/>
        <w:rPr>
          <w:rFonts w:eastAsia="仿宋"/>
          <w:color w:val="auto"/>
          <w:sz w:val="28"/>
          <w:szCs w:val="28"/>
        </w:rPr>
      </w:pPr>
      <w:r>
        <w:rPr>
          <w:rFonts w:eastAsia="仿宋"/>
          <w:color w:val="auto"/>
          <w:sz w:val="28"/>
          <w:szCs w:val="28"/>
        </w:rPr>
        <w:t>6.我单位满足法律、行政法规规定的其他条件。</w:t>
      </w:r>
    </w:p>
    <w:p w14:paraId="16D42634">
      <w:pPr>
        <w:spacing w:line="500" w:lineRule="exact"/>
        <w:rPr>
          <w:rFonts w:eastAsia="仿宋"/>
          <w:bCs/>
          <w:color w:val="auto"/>
          <w:sz w:val="28"/>
          <w:szCs w:val="28"/>
        </w:rPr>
      </w:pPr>
    </w:p>
    <w:p w14:paraId="0C8F0065">
      <w:pPr>
        <w:spacing w:line="500" w:lineRule="exact"/>
        <w:rPr>
          <w:rFonts w:eastAsia="仿宋"/>
          <w:bCs/>
          <w:color w:val="auto"/>
          <w:sz w:val="28"/>
          <w:szCs w:val="28"/>
        </w:rPr>
      </w:pPr>
    </w:p>
    <w:p w14:paraId="0C2A6C19">
      <w:pPr>
        <w:spacing w:line="460" w:lineRule="exact"/>
        <w:jc w:val="center"/>
        <w:rPr>
          <w:rFonts w:eastAsia="仿宋"/>
          <w:bCs/>
          <w:color w:val="auto"/>
          <w:sz w:val="28"/>
          <w:szCs w:val="28"/>
        </w:rPr>
      </w:pPr>
      <w:r>
        <w:rPr>
          <w:rFonts w:eastAsia="仿宋"/>
          <w:bCs/>
          <w:color w:val="auto"/>
          <w:sz w:val="28"/>
          <w:szCs w:val="28"/>
        </w:rPr>
        <w:t xml:space="preserve"> 承诺人名称（</w:t>
      </w:r>
      <w:r>
        <w:rPr>
          <w:rFonts w:hint="eastAsia" w:eastAsia="仿宋"/>
          <w:bCs/>
          <w:color w:val="auto"/>
          <w:sz w:val="28"/>
          <w:szCs w:val="28"/>
        </w:rPr>
        <w:t>加盖</w:t>
      </w:r>
      <w:r>
        <w:rPr>
          <w:rFonts w:eastAsia="仿宋"/>
          <w:bCs/>
          <w:color w:val="auto"/>
          <w:sz w:val="28"/>
          <w:szCs w:val="28"/>
        </w:rPr>
        <w:t>公章）：</w:t>
      </w:r>
      <w:r>
        <w:rPr>
          <w:rFonts w:eastAsia="仿宋"/>
          <w:color w:val="auto"/>
          <w:sz w:val="28"/>
          <w:szCs w:val="28"/>
          <w:u w:val="single"/>
        </w:rPr>
        <w:t xml:space="preserve">                   </w:t>
      </w:r>
    </w:p>
    <w:p w14:paraId="32E12C82">
      <w:pPr>
        <w:spacing w:line="460" w:lineRule="exact"/>
        <w:jc w:val="right"/>
        <w:rPr>
          <w:rFonts w:eastAsia="仿宋"/>
          <w:bCs/>
          <w:color w:val="auto"/>
          <w:sz w:val="28"/>
          <w:szCs w:val="28"/>
        </w:rPr>
      </w:pPr>
      <w:r>
        <w:rPr>
          <w:rFonts w:eastAsia="仿宋"/>
          <w:bCs/>
          <w:color w:val="auto"/>
          <w:sz w:val="28"/>
          <w:szCs w:val="28"/>
        </w:rPr>
        <w:t xml:space="preserve">    </w:t>
      </w:r>
    </w:p>
    <w:p w14:paraId="2D54AF42">
      <w:pPr>
        <w:spacing w:line="460" w:lineRule="exact"/>
        <w:jc w:val="right"/>
        <w:rPr>
          <w:rFonts w:eastAsia="仿宋"/>
          <w:bCs/>
          <w:color w:val="auto"/>
          <w:sz w:val="28"/>
          <w:szCs w:val="28"/>
        </w:rPr>
      </w:pPr>
      <w:r>
        <w:rPr>
          <w:rFonts w:eastAsia="仿宋"/>
          <w:bCs/>
          <w:color w:val="auto"/>
          <w:sz w:val="28"/>
          <w:szCs w:val="28"/>
        </w:rPr>
        <w:t xml:space="preserve">                                日期：</w:t>
      </w:r>
      <w:r>
        <w:rPr>
          <w:rFonts w:eastAsia="仿宋"/>
          <w:bCs/>
          <w:color w:val="auto"/>
          <w:sz w:val="28"/>
          <w:szCs w:val="28"/>
          <w:u w:val="single"/>
        </w:rPr>
        <w:t xml:space="preserve">        </w:t>
      </w:r>
      <w:r>
        <w:rPr>
          <w:rFonts w:eastAsia="仿宋"/>
          <w:bCs/>
          <w:color w:val="auto"/>
          <w:sz w:val="28"/>
          <w:szCs w:val="28"/>
        </w:rPr>
        <w:t>年</w:t>
      </w:r>
      <w:r>
        <w:rPr>
          <w:rFonts w:eastAsia="仿宋"/>
          <w:bCs/>
          <w:color w:val="auto"/>
          <w:sz w:val="28"/>
          <w:szCs w:val="28"/>
          <w:u w:val="single"/>
        </w:rPr>
        <w:t xml:space="preserve">    </w:t>
      </w:r>
      <w:r>
        <w:rPr>
          <w:rFonts w:eastAsia="仿宋"/>
          <w:bCs/>
          <w:color w:val="auto"/>
          <w:sz w:val="28"/>
          <w:szCs w:val="28"/>
        </w:rPr>
        <w:t>月</w:t>
      </w:r>
      <w:r>
        <w:rPr>
          <w:rFonts w:eastAsia="仿宋"/>
          <w:bCs/>
          <w:color w:val="auto"/>
          <w:sz w:val="28"/>
          <w:szCs w:val="28"/>
          <w:u w:val="single"/>
        </w:rPr>
        <w:t xml:space="preserve">    </w:t>
      </w:r>
      <w:r>
        <w:rPr>
          <w:rFonts w:eastAsia="仿宋"/>
          <w:bCs/>
          <w:color w:val="auto"/>
          <w:sz w:val="28"/>
          <w:szCs w:val="28"/>
        </w:rPr>
        <w:t>日</w:t>
      </w:r>
    </w:p>
    <w:p w14:paraId="28E2CF5C">
      <w:pPr>
        <w:spacing w:line="400" w:lineRule="exact"/>
        <w:ind w:firstLine="540"/>
        <w:contextualSpacing/>
        <w:rPr>
          <w:rFonts w:ascii="宋体" w:hAnsi="宋体" w:cs="宋体"/>
          <w:b/>
          <w:color w:val="auto"/>
          <w:sz w:val="28"/>
          <w:szCs w:val="28"/>
        </w:rPr>
      </w:pPr>
    </w:p>
    <w:p w14:paraId="35929B8F">
      <w:pPr>
        <w:spacing w:line="400" w:lineRule="exact"/>
        <w:ind w:firstLine="540"/>
        <w:contextualSpacing/>
        <w:rPr>
          <w:rFonts w:ascii="宋体" w:hAnsi="宋体" w:cs="宋体"/>
          <w:b/>
          <w:color w:val="auto"/>
          <w:sz w:val="28"/>
          <w:szCs w:val="28"/>
        </w:rPr>
      </w:pPr>
    </w:p>
    <w:p w14:paraId="53B5CF3D">
      <w:pPr>
        <w:spacing w:line="400" w:lineRule="exact"/>
        <w:contextualSpacing/>
        <w:rPr>
          <w:rFonts w:eastAsia="方正黑体_GBK"/>
          <w:color w:val="auto"/>
          <w:sz w:val="32"/>
          <w:szCs w:val="32"/>
          <w:lang w:val="zh-CN"/>
        </w:rPr>
      </w:pPr>
    </w:p>
    <w:p w14:paraId="4B08B686">
      <w:pPr>
        <w:spacing w:line="400" w:lineRule="exact"/>
        <w:contextualSpacing/>
        <w:rPr>
          <w:rFonts w:eastAsia="方正黑体_GBK"/>
          <w:color w:val="auto"/>
          <w:sz w:val="32"/>
          <w:szCs w:val="32"/>
          <w:lang w:val="zh-CN"/>
        </w:rPr>
      </w:pPr>
    </w:p>
    <w:p w14:paraId="7977BFB3">
      <w:pPr>
        <w:jc w:val="left"/>
        <w:rPr>
          <w:rFonts w:eastAsia="方正黑体_GBK"/>
          <w:color w:val="auto"/>
          <w:sz w:val="32"/>
          <w:szCs w:val="32"/>
          <w:lang w:val="zh-CN"/>
        </w:rPr>
      </w:pPr>
      <w:r>
        <w:rPr>
          <w:rFonts w:hint="eastAsia" w:ascii="宋体" w:hAnsi="宋体" w:eastAsia="宋体" w:cs="宋体"/>
          <w:b/>
          <w:bCs w:val="0"/>
          <w:color w:val="auto"/>
          <w:sz w:val="32"/>
          <w:szCs w:val="32"/>
          <w:lang w:val="zh-CN"/>
        </w:rPr>
        <w:t>附件2</w:t>
      </w:r>
    </w:p>
    <w:p w14:paraId="3C1F0C92">
      <w:pPr>
        <w:keepNext w:val="0"/>
        <w:keepLines w:val="0"/>
        <w:pageBreakBefore w:val="0"/>
        <w:widowControl w:val="0"/>
        <w:spacing w:after="361"/>
        <w:jc w:val="center"/>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法定代表人身份证明</w:t>
      </w:r>
    </w:p>
    <w:p w14:paraId="1CBD2E6D">
      <w:pPr>
        <w:keepNext w:val="0"/>
        <w:keepLines w:val="0"/>
        <w:pageBreakBefore w:val="0"/>
        <w:widowControl w:val="0"/>
        <w:spacing w:line="500" w:lineRule="exact"/>
        <w:ind w:firstLine="560"/>
        <w:rPr>
          <w:rFonts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先生/女士，身份证号码：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，现任我单位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职务，为我单位法定代表人，特此证明。</w:t>
      </w:r>
    </w:p>
    <w:p w14:paraId="4C94E77F">
      <w:pPr>
        <w:keepNext w:val="0"/>
        <w:keepLines w:val="0"/>
        <w:pageBreakBefore w:val="0"/>
        <w:widowControl w:val="0"/>
        <w:spacing w:line="50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本证明用于参加</w:t>
      </w:r>
      <w:r>
        <w:rPr>
          <w:rFonts w:hint="eastAsia" w:ascii="仿宋" w:hAnsi="仿宋" w:eastAsia="仿宋" w:cs="仿宋"/>
          <w:color w:val="auto"/>
          <w:sz w:val="28"/>
          <w:szCs w:val="28"/>
          <w:u w:val="single"/>
        </w:rPr>
        <w:t xml:space="preserve">              </w:t>
      </w:r>
      <w:r>
        <w:rPr>
          <w:rFonts w:eastAsia="仿宋"/>
          <w:color w:val="auto"/>
          <w:sz w:val="28"/>
          <w:szCs w:val="28"/>
          <w:u w:val="single"/>
        </w:rPr>
        <w:t xml:space="preserve">                   </w:t>
      </w:r>
      <w:r>
        <w:rPr>
          <w:rFonts w:eastAsia="仿宋"/>
          <w:bCs/>
          <w:color w:val="auto"/>
          <w:sz w:val="28"/>
          <w:szCs w:val="28"/>
        </w:rPr>
        <w:t>（项目名称）</w:t>
      </w:r>
      <w:r>
        <w:rPr>
          <w:rFonts w:eastAsia="仿宋"/>
          <w:bCs/>
          <w:color w:val="auto"/>
          <w:sz w:val="28"/>
          <w:szCs w:val="28"/>
          <w:u w:val="single"/>
        </w:rPr>
        <w:t xml:space="preserve"> </w:t>
      </w:r>
      <w:r>
        <w:rPr>
          <w:rFonts w:eastAsia="仿宋"/>
          <w:bCs/>
          <w:color w:val="auto"/>
          <w:sz w:val="28"/>
          <w:szCs w:val="28"/>
        </w:rPr>
        <w:t>（</w:t>
      </w:r>
      <w:r>
        <w:rPr>
          <w:rFonts w:hint="eastAsia" w:ascii="仿宋" w:hAnsi="仿宋" w:eastAsia="仿宋" w:cs="仿宋"/>
          <w:color w:val="auto"/>
          <w:sz w:val="28"/>
          <w:szCs w:val="28"/>
          <w:u w:val="single"/>
        </w:rPr>
        <w:t xml:space="preserve">项目编号：                    </w:t>
      </w:r>
      <w:r>
        <w:rPr>
          <w:rFonts w:eastAsia="仿宋"/>
          <w:bCs/>
          <w:color w:val="auto"/>
          <w:sz w:val="28"/>
          <w:szCs w:val="28"/>
        </w:rPr>
        <w:t>）</w:t>
      </w:r>
      <w:r>
        <w:rPr>
          <w:rFonts w:hint="eastAsia" w:ascii="仿宋" w:hAnsi="仿宋" w:eastAsia="仿宋" w:cs="仿宋"/>
          <w:bCs/>
          <w:color w:val="auto"/>
          <w:sz w:val="28"/>
          <w:szCs w:val="28"/>
        </w:rPr>
        <w:t>投标活动。</w:t>
      </w:r>
    </w:p>
    <w:p w14:paraId="0AE03545">
      <w:pPr>
        <w:spacing w:line="480" w:lineRule="exact"/>
        <w:ind w:firstLine="480"/>
        <w:rPr>
          <w:rFonts w:ascii="仿宋" w:hAnsi="仿宋" w:eastAsia="仿宋" w:cs="仿宋"/>
          <w:color w:val="auto"/>
          <w:sz w:val="28"/>
          <w:szCs w:val="28"/>
        </w:rPr>
      </w:pPr>
    </w:p>
    <w:p w14:paraId="5350C999">
      <w:pPr>
        <w:spacing w:line="480" w:lineRule="exact"/>
        <w:ind w:firstLine="480"/>
        <w:rPr>
          <w:rFonts w:ascii="仿宋" w:hAnsi="仿宋" w:eastAsia="仿宋" w:cs="仿宋"/>
          <w:color w:val="auto"/>
          <w:sz w:val="28"/>
          <w:szCs w:val="28"/>
        </w:rPr>
      </w:pPr>
    </w:p>
    <w:p w14:paraId="27BF733C">
      <w:pPr>
        <w:spacing w:line="480" w:lineRule="auto"/>
        <w:ind w:left="3255" w:firstLine="280"/>
        <w:rPr>
          <w:rFonts w:ascii="仿宋" w:hAnsi="仿宋" w:eastAsia="仿宋" w:cs="仿宋"/>
          <w:color w:val="auto"/>
          <w:sz w:val="28"/>
          <w:szCs w:val="28"/>
        </w:rPr>
      </w:pPr>
    </w:p>
    <w:p w14:paraId="50E539FA">
      <w:pPr>
        <w:spacing w:line="480" w:lineRule="auto"/>
        <w:ind w:left="3255" w:firstLine="280"/>
        <w:jc w:val="left"/>
        <w:rPr>
          <w:rFonts w:ascii="仿宋" w:hAnsi="仿宋" w:eastAsia="仿宋" w:cs="仿宋"/>
          <w:color w:val="auto"/>
          <w:sz w:val="28"/>
          <w:szCs w:val="28"/>
          <w:u w:val="single"/>
        </w:rPr>
      </w:pPr>
      <w:r>
        <w:rPr>
          <w:rFonts w:hint="eastAsia" w:ascii="仿宋" w:hAnsi="仿宋" w:eastAsia="仿宋" w:cs="仿宋"/>
          <w:color w:val="auto"/>
          <w:sz w:val="28"/>
          <w:szCs w:val="28"/>
        </w:rPr>
        <w:t>单位名称（</w:t>
      </w:r>
      <w:r>
        <w:rPr>
          <w:rFonts w:hint="eastAsia" w:eastAsia="仿宋"/>
          <w:bCs/>
          <w:color w:val="auto"/>
          <w:sz w:val="28"/>
          <w:szCs w:val="28"/>
        </w:rPr>
        <w:t>加盖</w:t>
      </w:r>
      <w:r>
        <w:rPr>
          <w:rFonts w:hint="eastAsia" w:ascii="仿宋" w:hAnsi="仿宋" w:eastAsia="仿宋" w:cs="仿宋"/>
          <w:color w:val="auto"/>
          <w:sz w:val="28"/>
          <w:szCs w:val="28"/>
        </w:rPr>
        <w:t>公章）：</w:t>
      </w:r>
      <w:r>
        <w:rPr>
          <w:rFonts w:hint="eastAsia" w:ascii="仿宋" w:hAnsi="仿宋" w:eastAsia="仿宋" w:cs="仿宋"/>
          <w:color w:val="auto"/>
          <w:sz w:val="28"/>
          <w:szCs w:val="28"/>
          <w:u w:val="single"/>
        </w:rPr>
        <w:t xml:space="preserve">                     </w:t>
      </w:r>
    </w:p>
    <w:p w14:paraId="4F4F198F">
      <w:pPr>
        <w:spacing w:line="480" w:lineRule="auto"/>
        <w:ind w:left="3255" w:firstLine="280"/>
        <w:jc w:val="left"/>
        <w:rPr>
          <w:rFonts w:ascii="仿宋" w:hAnsi="仿宋" w:eastAsia="仿宋" w:cs="仿宋"/>
          <w:color w:val="auto"/>
          <w:sz w:val="28"/>
          <w:szCs w:val="28"/>
          <w:u w:val="single"/>
        </w:rPr>
      </w:pPr>
      <w:r>
        <w:rPr>
          <w:rFonts w:hint="eastAsia" w:ascii="仿宋" w:hAnsi="仿宋" w:eastAsia="仿宋" w:cs="仿宋"/>
          <w:color w:val="auto"/>
          <w:sz w:val="28"/>
          <w:szCs w:val="28"/>
        </w:rPr>
        <w:t>日 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日</w:t>
      </w:r>
    </w:p>
    <w:p w14:paraId="635DF62E">
      <w:pPr>
        <w:spacing w:line="480" w:lineRule="auto"/>
        <w:jc w:val="left"/>
        <w:rPr>
          <w:rFonts w:ascii="仿宋" w:hAnsi="仿宋" w:eastAsia="仿宋" w:cs="仿宋"/>
          <w:color w:val="auto"/>
          <w:sz w:val="28"/>
          <w:szCs w:val="28"/>
        </w:rPr>
      </w:pPr>
    </w:p>
    <w:p w14:paraId="70CC8CAD">
      <w:pPr>
        <w:widowControl/>
        <w:spacing w:line="360" w:lineRule="auto"/>
        <w:rPr>
          <w:rFonts w:hint="eastAsia" w:ascii="仿宋" w:hAnsi="仿宋" w:eastAsia="仿宋" w:cs="仿宋"/>
          <w:b/>
          <w:color w:val="auto"/>
          <w:sz w:val="28"/>
          <w:szCs w:val="28"/>
        </w:rPr>
      </w:pPr>
    </w:p>
    <w:p w14:paraId="2B319127">
      <w:pPr>
        <w:widowControl/>
        <w:spacing w:line="360" w:lineRule="auto"/>
        <w:rPr>
          <w:rFonts w:ascii="仿宋" w:hAnsi="仿宋" w:eastAsia="仿宋" w:cs="仿宋"/>
          <w:b/>
          <w:bCs/>
          <w:color w:val="auto"/>
          <w:sz w:val="28"/>
          <w:szCs w:val="28"/>
        </w:rPr>
      </w:pPr>
      <w:r>
        <w:rPr>
          <w:rFonts w:hint="eastAsia" w:ascii="仿宋" w:hAnsi="仿宋" w:eastAsia="仿宋" w:cs="仿宋"/>
          <w:b/>
          <w:color w:val="auto"/>
          <w:sz w:val="28"/>
          <w:szCs w:val="28"/>
        </w:rPr>
        <w:t>附：法定代表人的身份证</w:t>
      </w:r>
      <w:r>
        <w:rPr>
          <w:rFonts w:hint="eastAsia" w:ascii="仿宋" w:hAnsi="仿宋" w:eastAsia="仿宋" w:cs="仿宋"/>
          <w:b/>
          <w:color w:val="auto"/>
          <w:sz w:val="28"/>
          <w:szCs w:val="28"/>
          <w:lang w:val="en-US" w:eastAsia="zh-CN"/>
        </w:rPr>
        <w:t>正反面</w:t>
      </w:r>
      <w:r>
        <w:rPr>
          <w:rFonts w:hint="eastAsia" w:ascii="仿宋" w:hAnsi="仿宋" w:eastAsia="仿宋" w:cs="仿宋"/>
          <w:b/>
          <w:color w:val="auto"/>
          <w:sz w:val="28"/>
          <w:szCs w:val="28"/>
        </w:rPr>
        <w:t>复印件加盖单位公章</w:t>
      </w:r>
    </w:p>
    <w:p w14:paraId="571EEA39">
      <w:pPr>
        <w:spacing w:line="400" w:lineRule="exact"/>
        <w:ind w:firstLine="540"/>
        <w:contextualSpacing/>
        <w:rPr>
          <w:rFonts w:ascii="宋体" w:hAnsi="宋体" w:cs="宋体"/>
          <w:b/>
          <w:color w:val="auto"/>
          <w:sz w:val="28"/>
          <w:szCs w:val="28"/>
          <w:lang w:val="zh-CN"/>
        </w:rPr>
      </w:pPr>
    </w:p>
    <w:p w14:paraId="71B8FF9C">
      <w:pPr>
        <w:spacing w:line="400" w:lineRule="exact"/>
        <w:ind w:firstLine="540"/>
        <w:contextualSpacing/>
        <w:rPr>
          <w:rFonts w:ascii="宋体" w:hAnsi="宋体" w:cs="宋体"/>
          <w:b/>
          <w:color w:val="auto"/>
          <w:sz w:val="28"/>
          <w:szCs w:val="28"/>
          <w:lang w:val="zh-CN"/>
        </w:rPr>
      </w:pPr>
    </w:p>
    <w:p w14:paraId="7D889E6B">
      <w:pPr>
        <w:spacing w:line="400" w:lineRule="exact"/>
        <w:ind w:firstLine="540"/>
        <w:contextualSpacing/>
        <w:rPr>
          <w:rFonts w:ascii="宋体" w:hAnsi="宋体" w:cs="宋体"/>
          <w:b/>
          <w:color w:val="auto"/>
          <w:sz w:val="28"/>
          <w:szCs w:val="28"/>
          <w:lang w:val="zh-CN"/>
        </w:rPr>
      </w:pPr>
    </w:p>
    <w:p w14:paraId="571829C0">
      <w:pPr>
        <w:spacing w:line="400" w:lineRule="exact"/>
        <w:ind w:firstLine="540"/>
        <w:contextualSpacing/>
        <w:rPr>
          <w:rFonts w:ascii="宋体" w:hAnsi="宋体" w:cs="宋体"/>
          <w:b/>
          <w:color w:val="auto"/>
          <w:sz w:val="28"/>
          <w:szCs w:val="28"/>
          <w:lang w:val="zh-CN"/>
        </w:rPr>
      </w:pPr>
    </w:p>
    <w:p w14:paraId="089ED13D">
      <w:pPr>
        <w:spacing w:line="400" w:lineRule="exact"/>
        <w:ind w:firstLine="540"/>
        <w:contextualSpacing/>
        <w:rPr>
          <w:rFonts w:ascii="宋体" w:hAnsi="宋体" w:cs="宋体"/>
          <w:b/>
          <w:color w:val="auto"/>
          <w:sz w:val="28"/>
          <w:szCs w:val="28"/>
          <w:lang w:val="zh-CN"/>
        </w:rPr>
      </w:pPr>
    </w:p>
    <w:p w14:paraId="184952CE">
      <w:pPr>
        <w:spacing w:line="400" w:lineRule="exact"/>
        <w:ind w:firstLine="540"/>
        <w:contextualSpacing/>
        <w:rPr>
          <w:rFonts w:ascii="宋体" w:hAnsi="宋体" w:cs="宋体"/>
          <w:b/>
          <w:color w:val="auto"/>
          <w:sz w:val="28"/>
          <w:szCs w:val="28"/>
          <w:lang w:val="zh-CN"/>
        </w:rPr>
      </w:pPr>
    </w:p>
    <w:p w14:paraId="17346CC1">
      <w:pPr>
        <w:spacing w:line="400" w:lineRule="exact"/>
        <w:ind w:firstLine="540"/>
        <w:contextualSpacing/>
        <w:rPr>
          <w:rFonts w:ascii="宋体" w:hAnsi="宋体" w:cs="宋体"/>
          <w:b/>
          <w:color w:val="auto"/>
          <w:sz w:val="28"/>
          <w:szCs w:val="28"/>
          <w:lang w:val="zh-CN"/>
        </w:rPr>
      </w:pPr>
    </w:p>
    <w:p w14:paraId="6CB5A562">
      <w:pPr>
        <w:spacing w:line="400" w:lineRule="exact"/>
        <w:ind w:firstLine="540"/>
        <w:contextualSpacing/>
        <w:rPr>
          <w:rFonts w:ascii="宋体" w:hAnsi="宋体" w:cs="宋体"/>
          <w:b/>
          <w:color w:val="auto"/>
          <w:sz w:val="28"/>
          <w:szCs w:val="28"/>
          <w:lang w:val="zh-CN"/>
        </w:rPr>
      </w:pPr>
    </w:p>
    <w:p w14:paraId="0A4DE549">
      <w:pPr>
        <w:spacing w:line="400" w:lineRule="exact"/>
        <w:ind w:firstLine="540"/>
        <w:contextualSpacing/>
        <w:rPr>
          <w:rFonts w:ascii="宋体" w:hAnsi="宋体" w:cs="宋体"/>
          <w:b/>
          <w:color w:val="auto"/>
          <w:sz w:val="28"/>
          <w:szCs w:val="28"/>
          <w:lang w:val="zh-CN"/>
        </w:rPr>
      </w:pPr>
    </w:p>
    <w:p w14:paraId="2055DDA2">
      <w:pPr>
        <w:spacing w:line="400" w:lineRule="exact"/>
        <w:ind w:firstLine="540"/>
        <w:contextualSpacing/>
        <w:rPr>
          <w:rFonts w:ascii="宋体" w:hAnsi="宋体" w:cs="宋体"/>
          <w:b/>
          <w:color w:val="auto"/>
          <w:sz w:val="28"/>
          <w:szCs w:val="28"/>
          <w:lang w:val="zh-CN"/>
        </w:rPr>
      </w:pPr>
    </w:p>
    <w:p w14:paraId="3D9CE7FC">
      <w:pPr>
        <w:spacing w:line="400" w:lineRule="exact"/>
        <w:ind w:firstLine="540"/>
        <w:contextualSpacing/>
        <w:rPr>
          <w:rFonts w:ascii="宋体" w:hAnsi="宋体" w:cs="宋体"/>
          <w:b/>
          <w:color w:val="auto"/>
          <w:sz w:val="28"/>
          <w:szCs w:val="28"/>
          <w:lang w:val="zh-CN"/>
        </w:rPr>
      </w:pPr>
    </w:p>
    <w:p w14:paraId="27452912">
      <w:pPr>
        <w:spacing w:line="400" w:lineRule="exact"/>
        <w:ind w:firstLine="540"/>
        <w:contextualSpacing/>
        <w:rPr>
          <w:rFonts w:ascii="宋体" w:hAnsi="宋体" w:cs="宋体"/>
          <w:b/>
          <w:color w:val="auto"/>
          <w:sz w:val="28"/>
          <w:szCs w:val="28"/>
          <w:lang w:val="zh-CN"/>
        </w:rPr>
      </w:pPr>
    </w:p>
    <w:p w14:paraId="451C2493">
      <w:pPr>
        <w:spacing w:line="400" w:lineRule="exact"/>
        <w:ind w:firstLine="540"/>
        <w:contextualSpacing/>
        <w:rPr>
          <w:rFonts w:ascii="宋体" w:hAnsi="宋体" w:cs="宋体"/>
          <w:b/>
          <w:color w:val="auto"/>
          <w:sz w:val="28"/>
          <w:szCs w:val="28"/>
          <w:lang w:val="zh-CN"/>
        </w:rPr>
      </w:pPr>
    </w:p>
    <w:p w14:paraId="3BDD4F83">
      <w:pPr>
        <w:spacing w:line="400" w:lineRule="exact"/>
        <w:contextualSpacing/>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t>附件3</w:t>
      </w:r>
    </w:p>
    <w:p w14:paraId="2B516728">
      <w:pPr>
        <w:keepNext w:val="0"/>
        <w:keepLines w:val="0"/>
        <w:pageBreakBefore w:val="0"/>
        <w:widowControl w:val="0"/>
        <w:spacing w:after="361"/>
        <w:jc w:val="center"/>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法定代表人授权委托书</w:t>
      </w:r>
    </w:p>
    <w:p w14:paraId="30792A7C">
      <w:pPr>
        <w:keepNext w:val="0"/>
        <w:keepLines w:val="0"/>
        <w:pageBreakBefore w:val="0"/>
        <w:widowControl w:val="0"/>
        <w:spacing w:line="50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本人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（姓名）系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（授权单位名称）的法定代表人，现委托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（姓名）（身份证号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，联系电话</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）为我方代理人，以我方名义全权处理与</w:t>
      </w:r>
      <w:r>
        <w:rPr>
          <w:rFonts w:hint="eastAsia" w:ascii="仿宋" w:hAnsi="仿宋" w:eastAsia="仿宋" w:cs="仿宋"/>
          <w:color w:val="auto"/>
          <w:sz w:val="28"/>
          <w:szCs w:val="28"/>
          <w:u w:val="single"/>
        </w:rPr>
        <w:t xml:space="preserve">                       （项目名称）</w:t>
      </w:r>
      <w:r>
        <w:rPr>
          <w:rFonts w:hint="eastAsia" w:ascii="仿宋" w:hAnsi="仿宋" w:eastAsia="仿宋" w:cs="仿宋"/>
          <w:color w:val="auto"/>
          <w:sz w:val="28"/>
          <w:szCs w:val="28"/>
        </w:rPr>
        <w:t>（</w:t>
      </w:r>
      <w:r>
        <w:rPr>
          <w:rFonts w:hint="eastAsia" w:ascii="仿宋" w:hAnsi="仿宋" w:eastAsia="仿宋" w:cs="仿宋"/>
          <w:color w:val="auto"/>
          <w:sz w:val="28"/>
          <w:szCs w:val="28"/>
          <w:u w:val="single"/>
        </w:rPr>
        <w:t xml:space="preserve">项目编号：                    </w:t>
      </w:r>
      <w:r>
        <w:rPr>
          <w:rFonts w:hint="eastAsia" w:ascii="仿宋" w:hAnsi="仿宋" w:eastAsia="仿宋" w:cs="仿宋"/>
          <w:color w:val="auto"/>
          <w:sz w:val="28"/>
          <w:szCs w:val="28"/>
        </w:rPr>
        <w:t>）有关的一切事务，其法律后果由我方承担。</w:t>
      </w:r>
    </w:p>
    <w:p w14:paraId="6E4B45ED">
      <w:pPr>
        <w:keepNext w:val="0"/>
        <w:keepLines w:val="0"/>
        <w:pageBreakBefore w:val="0"/>
        <w:widowControl w:val="0"/>
        <w:spacing w:line="50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本授权书于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日起生效。代理人无转委托权。</w:t>
      </w:r>
    </w:p>
    <w:p w14:paraId="4618707E">
      <w:pPr>
        <w:keepNext w:val="0"/>
        <w:keepLines w:val="0"/>
        <w:pageBreakBefore w:val="0"/>
        <w:widowControl w:val="0"/>
        <w:spacing w:line="500" w:lineRule="exact"/>
        <w:ind w:firstLine="420"/>
        <w:rPr>
          <w:rFonts w:ascii="仿宋" w:hAnsi="仿宋" w:eastAsia="仿宋" w:cs="仿宋"/>
          <w:color w:val="auto"/>
          <w:sz w:val="28"/>
          <w:szCs w:val="28"/>
        </w:rPr>
      </w:pPr>
    </w:p>
    <w:p w14:paraId="3DCB04FE">
      <w:pPr>
        <w:keepNext w:val="0"/>
        <w:keepLines w:val="0"/>
        <w:pageBreakBefore w:val="0"/>
        <w:widowControl w:val="0"/>
        <w:spacing w:line="500" w:lineRule="exact"/>
        <w:ind w:firstLine="420"/>
        <w:rPr>
          <w:rFonts w:ascii="仿宋" w:hAnsi="仿宋" w:eastAsia="仿宋" w:cs="仿宋"/>
          <w:color w:val="auto"/>
          <w:sz w:val="28"/>
          <w:szCs w:val="28"/>
        </w:rPr>
      </w:pPr>
      <w:r>
        <w:rPr>
          <w:rFonts w:hint="eastAsia" w:ascii="仿宋" w:hAnsi="仿宋" w:eastAsia="仿宋" w:cs="仿宋"/>
          <w:color w:val="auto"/>
          <w:sz w:val="28"/>
          <w:szCs w:val="28"/>
        </w:rPr>
        <w:t>代理人（被授权人）签字：</w:t>
      </w:r>
      <w:r>
        <w:rPr>
          <w:rFonts w:hint="eastAsia" w:ascii="仿宋" w:hAnsi="仿宋" w:eastAsia="仿宋" w:cs="仿宋"/>
          <w:color w:val="auto"/>
          <w:sz w:val="28"/>
          <w:szCs w:val="28"/>
          <w:u w:val="single"/>
        </w:rPr>
        <w:t xml:space="preserve">                                </w:t>
      </w:r>
    </w:p>
    <w:p w14:paraId="3CDB89FF">
      <w:pPr>
        <w:keepNext w:val="0"/>
        <w:keepLines w:val="0"/>
        <w:pageBreakBefore w:val="0"/>
        <w:widowControl w:val="0"/>
        <w:spacing w:line="500" w:lineRule="exact"/>
        <w:ind w:firstLine="420"/>
        <w:rPr>
          <w:rFonts w:ascii="仿宋" w:hAnsi="仿宋" w:eastAsia="仿宋" w:cs="仿宋"/>
          <w:color w:val="auto"/>
          <w:sz w:val="28"/>
          <w:szCs w:val="28"/>
        </w:rPr>
      </w:pPr>
      <w:r>
        <w:rPr>
          <w:rFonts w:hint="eastAsia" w:ascii="仿宋" w:hAnsi="仿宋" w:eastAsia="仿宋" w:cs="仿宋"/>
          <w:color w:val="auto"/>
          <w:sz w:val="28"/>
          <w:szCs w:val="28"/>
        </w:rPr>
        <w:t>授权单位名称（</w:t>
      </w:r>
      <w:r>
        <w:rPr>
          <w:rFonts w:hint="eastAsia" w:eastAsia="仿宋"/>
          <w:bCs/>
          <w:color w:val="auto"/>
          <w:sz w:val="28"/>
          <w:szCs w:val="28"/>
        </w:rPr>
        <w:t>加盖</w:t>
      </w:r>
      <w:r>
        <w:rPr>
          <w:rFonts w:hint="eastAsia" w:ascii="仿宋" w:hAnsi="仿宋" w:eastAsia="仿宋" w:cs="仿宋"/>
          <w:color w:val="auto"/>
          <w:sz w:val="28"/>
          <w:szCs w:val="28"/>
        </w:rPr>
        <w:t>公章）：</w:t>
      </w:r>
      <w:r>
        <w:rPr>
          <w:rFonts w:hint="eastAsia" w:ascii="仿宋" w:hAnsi="仿宋" w:eastAsia="仿宋" w:cs="仿宋"/>
          <w:color w:val="auto"/>
          <w:sz w:val="28"/>
          <w:szCs w:val="28"/>
          <w:u w:val="single"/>
        </w:rPr>
        <w:t xml:space="preserve">                                </w:t>
      </w:r>
    </w:p>
    <w:p w14:paraId="2D7945D9">
      <w:pPr>
        <w:keepNext w:val="0"/>
        <w:keepLines w:val="0"/>
        <w:pageBreakBefore w:val="0"/>
        <w:widowControl w:val="0"/>
        <w:spacing w:line="500" w:lineRule="exact"/>
        <w:ind w:firstLine="420"/>
        <w:rPr>
          <w:rFonts w:ascii="仿宋" w:hAnsi="仿宋" w:eastAsia="仿宋" w:cs="仿宋"/>
          <w:color w:val="auto"/>
          <w:sz w:val="28"/>
          <w:szCs w:val="28"/>
        </w:rPr>
      </w:pPr>
      <w:r>
        <w:rPr>
          <w:rFonts w:hint="eastAsia" w:ascii="仿宋" w:hAnsi="仿宋" w:eastAsia="仿宋" w:cs="仿宋"/>
          <w:color w:val="auto"/>
          <w:sz w:val="28"/>
          <w:szCs w:val="28"/>
        </w:rPr>
        <w:t>授权单位法定代表人（签字或盖章）：</w:t>
      </w:r>
      <w:r>
        <w:rPr>
          <w:rFonts w:hint="eastAsia" w:ascii="仿宋" w:hAnsi="仿宋" w:eastAsia="仿宋" w:cs="仿宋"/>
          <w:color w:val="auto"/>
          <w:sz w:val="28"/>
          <w:szCs w:val="28"/>
          <w:u w:val="single"/>
        </w:rPr>
        <w:t xml:space="preserve">                  </w:t>
      </w:r>
    </w:p>
    <w:p w14:paraId="34F635D0">
      <w:pPr>
        <w:spacing w:line="480" w:lineRule="exact"/>
        <w:jc w:val="right"/>
        <w:rPr>
          <w:rFonts w:ascii="仿宋" w:hAnsi="仿宋" w:eastAsia="仿宋" w:cs="仿宋"/>
          <w:color w:val="auto"/>
          <w:sz w:val="28"/>
          <w:szCs w:val="28"/>
        </w:rPr>
      </w:pPr>
    </w:p>
    <w:p w14:paraId="3AAF44DF">
      <w:pPr>
        <w:spacing w:line="400" w:lineRule="exact"/>
        <w:ind w:firstLine="3897"/>
        <w:contextualSpacing/>
        <w:rPr>
          <w:rFonts w:ascii="宋体" w:hAnsi="宋体" w:cs="宋体"/>
          <w:b/>
          <w:color w:val="auto"/>
          <w:sz w:val="28"/>
          <w:szCs w:val="28"/>
        </w:rPr>
      </w:pPr>
      <w:r>
        <w:rPr>
          <w:rFonts w:hint="eastAsia" w:ascii="仿宋" w:hAnsi="仿宋" w:eastAsia="仿宋" w:cs="仿宋"/>
          <w:color w:val="auto"/>
          <w:sz w:val="28"/>
          <w:szCs w:val="28"/>
        </w:rPr>
        <w:t>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日</w:t>
      </w:r>
    </w:p>
    <w:p w14:paraId="35DD4C2B">
      <w:pPr>
        <w:spacing w:line="400" w:lineRule="exact"/>
        <w:ind w:firstLine="540"/>
        <w:contextualSpacing/>
        <w:rPr>
          <w:rFonts w:ascii="仿宋" w:hAnsi="仿宋" w:eastAsia="仿宋" w:cs="仿宋"/>
          <w:b/>
          <w:color w:val="auto"/>
          <w:sz w:val="28"/>
          <w:szCs w:val="28"/>
        </w:rPr>
      </w:pPr>
    </w:p>
    <w:p w14:paraId="2D8E7D74">
      <w:pPr>
        <w:spacing w:line="400" w:lineRule="exact"/>
        <w:ind w:firstLine="540"/>
        <w:contextualSpacing/>
        <w:rPr>
          <w:rFonts w:hint="eastAsia" w:ascii="仿宋" w:hAnsi="仿宋" w:eastAsia="仿宋" w:cs="仿宋"/>
          <w:b/>
          <w:color w:val="auto"/>
          <w:sz w:val="28"/>
          <w:szCs w:val="28"/>
        </w:rPr>
      </w:pPr>
    </w:p>
    <w:p w14:paraId="0CC5EA94">
      <w:pPr>
        <w:spacing w:line="400" w:lineRule="exact"/>
        <w:ind w:firstLine="540"/>
        <w:contextualSpacing/>
        <w:rPr>
          <w:rFonts w:hint="eastAsia" w:ascii="仿宋" w:hAnsi="仿宋" w:eastAsia="仿宋" w:cs="仿宋"/>
          <w:b/>
          <w:color w:val="auto"/>
          <w:sz w:val="28"/>
          <w:szCs w:val="28"/>
        </w:rPr>
      </w:pPr>
    </w:p>
    <w:p w14:paraId="6904945A">
      <w:pPr>
        <w:spacing w:line="400" w:lineRule="exact"/>
        <w:ind w:firstLine="540"/>
        <w:contextualSpacing/>
        <w:rPr>
          <w:rFonts w:hint="eastAsia" w:ascii="仿宋" w:hAnsi="仿宋" w:eastAsia="仿宋" w:cs="仿宋"/>
          <w:b/>
          <w:color w:val="auto"/>
          <w:sz w:val="28"/>
          <w:szCs w:val="28"/>
        </w:rPr>
      </w:pPr>
    </w:p>
    <w:p w14:paraId="53EE3B6A">
      <w:pPr>
        <w:spacing w:line="400" w:lineRule="exact"/>
        <w:ind w:firstLine="540"/>
        <w:contextualSpacing/>
        <w:rPr>
          <w:rFonts w:ascii="仿宋" w:hAnsi="仿宋" w:eastAsia="仿宋" w:cs="仿宋"/>
          <w:b/>
          <w:color w:val="auto"/>
          <w:sz w:val="28"/>
          <w:szCs w:val="28"/>
        </w:rPr>
      </w:pPr>
      <w:r>
        <w:rPr>
          <w:rFonts w:hint="eastAsia" w:ascii="仿宋" w:hAnsi="仿宋" w:eastAsia="仿宋" w:cs="仿宋"/>
          <w:b/>
          <w:color w:val="auto"/>
          <w:sz w:val="28"/>
          <w:szCs w:val="28"/>
        </w:rPr>
        <w:t>附：代理人（被授权人）身份证</w:t>
      </w:r>
      <w:r>
        <w:rPr>
          <w:rFonts w:hint="eastAsia" w:ascii="仿宋" w:hAnsi="仿宋" w:eastAsia="仿宋" w:cs="仿宋"/>
          <w:b/>
          <w:color w:val="auto"/>
          <w:sz w:val="28"/>
          <w:szCs w:val="28"/>
          <w:lang w:val="en-US" w:eastAsia="zh-CN"/>
        </w:rPr>
        <w:t>正反面</w:t>
      </w:r>
      <w:r>
        <w:rPr>
          <w:rFonts w:hint="eastAsia" w:ascii="仿宋" w:hAnsi="仿宋" w:eastAsia="仿宋" w:cs="仿宋"/>
          <w:b/>
          <w:color w:val="auto"/>
          <w:sz w:val="28"/>
          <w:szCs w:val="28"/>
        </w:rPr>
        <w:t>复印件加盖单位公章</w:t>
      </w:r>
    </w:p>
    <w:p w14:paraId="33F15ADB">
      <w:pPr>
        <w:spacing w:line="400" w:lineRule="exact"/>
        <w:ind w:firstLine="540"/>
        <w:contextualSpacing/>
        <w:rPr>
          <w:rFonts w:ascii="宋体" w:hAnsi="宋体" w:cs="宋体"/>
          <w:b/>
          <w:color w:val="auto"/>
          <w:sz w:val="28"/>
          <w:szCs w:val="28"/>
        </w:rPr>
      </w:pPr>
    </w:p>
    <w:p w14:paraId="40EC0A8D">
      <w:pPr>
        <w:spacing w:line="400" w:lineRule="exact"/>
        <w:ind w:firstLine="540"/>
        <w:contextualSpacing/>
        <w:rPr>
          <w:rFonts w:ascii="宋体" w:hAnsi="宋体" w:cs="宋体"/>
          <w:b/>
          <w:color w:val="auto"/>
          <w:sz w:val="28"/>
          <w:szCs w:val="28"/>
        </w:rPr>
      </w:pPr>
    </w:p>
    <w:p w14:paraId="3CB556D4">
      <w:pPr>
        <w:spacing w:line="400" w:lineRule="exact"/>
        <w:ind w:firstLine="540"/>
        <w:contextualSpacing/>
        <w:rPr>
          <w:rFonts w:ascii="宋体" w:hAnsi="宋体" w:cs="宋体"/>
          <w:b/>
          <w:color w:val="auto"/>
          <w:sz w:val="28"/>
          <w:szCs w:val="28"/>
        </w:rPr>
      </w:pPr>
    </w:p>
    <w:p w14:paraId="19557892">
      <w:pPr>
        <w:spacing w:line="400" w:lineRule="exact"/>
        <w:ind w:firstLine="540"/>
        <w:contextualSpacing/>
        <w:rPr>
          <w:rFonts w:ascii="宋体" w:hAnsi="宋体" w:cs="宋体"/>
          <w:b/>
          <w:color w:val="auto"/>
          <w:sz w:val="28"/>
          <w:szCs w:val="28"/>
        </w:rPr>
      </w:pPr>
    </w:p>
    <w:p w14:paraId="303A5C3B">
      <w:pPr>
        <w:spacing w:line="400" w:lineRule="exact"/>
        <w:ind w:firstLine="540"/>
        <w:contextualSpacing/>
        <w:rPr>
          <w:rFonts w:ascii="宋体" w:hAnsi="宋体" w:cs="宋体"/>
          <w:b/>
          <w:color w:val="auto"/>
          <w:sz w:val="28"/>
          <w:szCs w:val="28"/>
        </w:rPr>
      </w:pPr>
    </w:p>
    <w:p w14:paraId="4B3E2066">
      <w:pPr>
        <w:spacing w:line="400" w:lineRule="exact"/>
        <w:ind w:firstLine="540"/>
        <w:contextualSpacing/>
        <w:rPr>
          <w:rFonts w:ascii="宋体" w:hAnsi="宋体" w:cs="宋体"/>
          <w:b/>
          <w:color w:val="auto"/>
          <w:sz w:val="28"/>
          <w:szCs w:val="28"/>
        </w:rPr>
      </w:pPr>
    </w:p>
    <w:p w14:paraId="18555251">
      <w:pPr>
        <w:spacing w:line="400" w:lineRule="exact"/>
        <w:ind w:firstLine="540"/>
        <w:contextualSpacing/>
        <w:rPr>
          <w:rFonts w:ascii="宋体" w:hAnsi="宋体" w:cs="宋体"/>
          <w:b/>
          <w:color w:val="auto"/>
          <w:sz w:val="28"/>
          <w:szCs w:val="28"/>
        </w:rPr>
      </w:pPr>
    </w:p>
    <w:p w14:paraId="162BFA0C">
      <w:pPr>
        <w:spacing w:line="400" w:lineRule="exact"/>
        <w:ind w:firstLine="540"/>
        <w:contextualSpacing/>
        <w:rPr>
          <w:rFonts w:ascii="宋体" w:hAnsi="宋体" w:cs="宋体"/>
          <w:b/>
          <w:color w:val="auto"/>
          <w:sz w:val="28"/>
          <w:szCs w:val="28"/>
        </w:rPr>
      </w:pPr>
    </w:p>
    <w:p w14:paraId="54C7273C">
      <w:pPr>
        <w:spacing w:line="400" w:lineRule="exact"/>
        <w:contextualSpacing/>
        <w:rPr>
          <w:rFonts w:ascii="宋体" w:hAnsi="宋体" w:cs="宋体"/>
          <w:b/>
          <w:color w:val="auto"/>
          <w:sz w:val="28"/>
          <w:szCs w:val="28"/>
        </w:rPr>
      </w:pPr>
    </w:p>
    <w:p w14:paraId="019FB2E2">
      <w:pPr>
        <w:spacing w:line="400" w:lineRule="exact"/>
        <w:contextualSpacing/>
        <w:rPr>
          <w:rFonts w:hint="eastAsia" w:ascii="宋体" w:hAnsi="宋体" w:eastAsia="宋体" w:cs="宋体"/>
          <w:b/>
          <w:bCs/>
          <w:color w:val="auto"/>
          <w:sz w:val="32"/>
          <w:szCs w:val="32"/>
        </w:rPr>
      </w:pPr>
      <w:r>
        <w:rPr>
          <w:rFonts w:hint="eastAsia" w:ascii="宋体" w:hAnsi="宋体" w:eastAsia="宋体" w:cs="宋体"/>
          <w:b/>
          <w:bCs/>
          <w:color w:val="auto"/>
          <w:sz w:val="32"/>
          <w:szCs w:val="32"/>
        </w:rPr>
        <w:t>附件4</w:t>
      </w:r>
    </w:p>
    <w:p w14:paraId="20AE93D5">
      <w:pPr>
        <w:keepNext w:val="0"/>
        <w:keepLines w:val="0"/>
        <w:pageBreakBefore w:val="0"/>
        <w:widowControl w:val="0"/>
        <w:spacing w:after="361"/>
        <w:jc w:val="center"/>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供应商信用承诺书</w:t>
      </w:r>
    </w:p>
    <w:p w14:paraId="66DE1C83">
      <w:pPr>
        <w:spacing w:line="480" w:lineRule="exact"/>
        <w:ind w:firstLine="560"/>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为营造公开、公平、公正的公共资源交易环境，树立诚信守法的投标人形象，本人代表本单位作出以下承诺：</w:t>
      </w:r>
    </w:p>
    <w:p w14:paraId="3ABDF3DB">
      <w:pPr>
        <w:spacing w:line="480" w:lineRule="exact"/>
        <w:ind w:firstLine="560"/>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一、本单位对所提交的单位基本信息、单位负责人、项目负责人、技术负责人、从业资质和资格、业绩、财务状况、信誉等所有资料，均合法、真实、准确、有效，无任何伪造、修改、虚假成分；</w:t>
      </w:r>
    </w:p>
    <w:p w14:paraId="097D122D">
      <w:pPr>
        <w:spacing w:line="480" w:lineRule="exact"/>
        <w:ind w:firstLine="560"/>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二、严格依照国家和省、市、县关于招标投标等方面的法律、法规、规章、规范性文件，参加公共资源交易招标投标活动；积极履行社会责任，促进廉政建设；</w:t>
      </w:r>
    </w:p>
    <w:p w14:paraId="46E3F719">
      <w:pPr>
        <w:spacing w:line="480" w:lineRule="exact"/>
        <w:ind w:firstLine="560"/>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三、严格遵守即时信息公示规定，及时更新公共资源交易中心主体信息库中信息；</w:t>
      </w:r>
    </w:p>
    <w:p w14:paraId="490FBF2C">
      <w:pPr>
        <w:spacing w:line="480" w:lineRule="exact"/>
        <w:ind w:firstLine="560"/>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四、自我约束、自我管理，守合同、重信用，不参与围标串标、弄虚作假、骗取中标、干扰评标、违约毁约、恶意投诉等行为，主动维护公共资源交易招标投标的良好秩序；</w:t>
      </w:r>
    </w:p>
    <w:p w14:paraId="2F8175F0">
      <w:pPr>
        <w:spacing w:line="480" w:lineRule="exact"/>
        <w:ind w:firstLine="560"/>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6EB1149C">
      <w:pPr>
        <w:spacing w:line="480" w:lineRule="exact"/>
        <w:ind w:firstLine="560"/>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六、自觉接受政府部门、行业组织、社会公众、新闻舆论等监督；</w:t>
      </w:r>
    </w:p>
    <w:p w14:paraId="091DEC87">
      <w:pPr>
        <w:spacing w:line="480" w:lineRule="exact"/>
        <w:ind w:firstLine="560"/>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七、上述承诺已向本单位员工作了宣传教育。</w:t>
      </w:r>
    </w:p>
    <w:p w14:paraId="12EBC671">
      <w:pPr>
        <w:spacing w:line="480" w:lineRule="exact"/>
        <w:ind w:firstLine="562"/>
        <w:rPr>
          <w:rFonts w:ascii="仿宋" w:hAnsi="仿宋" w:eastAsia="仿宋" w:cs="仿宋"/>
          <w:b/>
          <w:color w:val="auto"/>
          <w:sz w:val="28"/>
          <w:szCs w:val="28"/>
          <w:lang w:val="zh-CN"/>
        </w:rPr>
      </w:pPr>
      <w:r>
        <w:rPr>
          <w:rFonts w:hint="eastAsia" w:ascii="仿宋" w:hAnsi="仿宋" w:eastAsia="仿宋" w:cs="仿宋"/>
          <w:b/>
          <w:color w:val="auto"/>
          <w:sz w:val="28"/>
          <w:szCs w:val="28"/>
          <w:lang w:val="zh-CN" w:bidi="ar"/>
        </w:rPr>
        <w:t>如有违反上述承诺的不良行为，本单位同意将其予以上网公示。</w:t>
      </w:r>
    </w:p>
    <w:p w14:paraId="1CB2DEBD">
      <w:pPr>
        <w:spacing w:line="480" w:lineRule="exact"/>
        <w:rPr>
          <w:rFonts w:ascii="仿宋" w:hAnsi="仿宋" w:eastAsia="仿宋" w:cs="仿宋"/>
          <w:color w:val="auto"/>
          <w:sz w:val="28"/>
          <w:szCs w:val="28"/>
          <w:lang w:val="zh-CN"/>
        </w:rPr>
      </w:pPr>
    </w:p>
    <w:p w14:paraId="4623322C">
      <w:pPr>
        <w:spacing w:line="480" w:lineRule="exact"/>
        <w:ind w:firstLine="2800"/>
        <w:rPr>
          <w:rFonts w:ascii="仿宋" w:hAnsi="仿宋" w:eastAsia="仿宋" w:cs="仿宋"/>
          <w:color w:val="auto"/>
          <w:sz w:val="28"/>
          <w:szCs w:val="28"/>
          <w:lang w:val="zh-CN" w:bidi="ar"/>
        </w:rPr>
      </w:pPr>
      <w:r>
        <w:rPr>
          <w:rFonts w:hint="eastAsia" w:ascii="仿宋" w:hAnsi="仿宋" w:eastAsia="仿宋" w:cs="仿宋"/>
          <w:color w:val="auto"/>
          <w:sz w:val="28"/>
          <w:szCs w:val="28"/>
          <w:lang w:bidi="ar"/>
        </w:rPr>
        <w:t>响应</w:t>
      </w:r>
      <w:r>
        <w:rPr>
          <w:rFonts w:hint="eastAsia" w:ascii="仿宋" w:hAnsi="仿宋" w:eastAsia="仿宋" w:cs="仿宋"/>
          <w:color w:val="auto"/>
          <w:sz w:val="28"/>
          <w:szCs w:val="28"/>
          <w:lang w:val="zh-CN" w:bidi="ar"/>
        </w:rPr>
        <w:t>供应商名称（</w:t>
      </w:r>
      <w:r>
        <w:rPr>
          <w:rFonts w:hint="eastAsia" w:eastAsia="仿宋"/>
          <w:bCs/>
          <w:color w:val="auto"/>
          <w:sz w:val="28"/>
          <w:szCs w:val="28"/>
        </w:rPr>
        <w:t>加盖</w:t>
      </w:r>
      <w:r>
        <w:rPr>
          <w:rFonts w:hint="eastAsia" w:ascii="仿宋" w:hAnsi="仿宋" w:eastAsia="仿宋" w:cs="仿宋"/>
          <w:color w:val="auto"/>
          <w:sz w:val="28"/>
          <w:szCs w:val="28"/>
          <w:lang w:val="zh-CN" w:bidi="ar"/>
        </w:rPr>
        <w:t>公章）：</w:t>
      </w:r>
      <w:r>
        <w:rPr>
          <w:rFonts w:hint="eastAsia" w:ascii="仿宋" w:hAnsi="仿宋" w:eastAsia="仿宋" w:cs="仿宋"/>
          <w:color w:val="auto"/>
          <w:sz w:val="28"/>
          <w:szCs w:val="28"/>
          <w:u w:val="single"/>
        </w:rPr>
        <w:t xml:space="preserve">                </w:t>
      </w:r>
    </w:p>
    <w:p w14:paraId="29FAC021">
      <w:pPr>
        <w:spacing w:line="480" w:lineRule="exact"/>
        <w:ind w:firstLine="2800"/>
        <w:rPr>
          <w:rFonts w:ascii="仿宋" w:hAnsi="仿宋" w:eastAsia="仿宋" w:cs="仿宋"/>
          <w:color w:val="auto"/>
          <w:sz w:val="28"/>
          <w:szCs w:val="28"/>
          <w:lang w:val="zh-CN" w:bidi="ar"/>
        </w:rPr>
      </w:pPr>
      <w:r>
        <w:rPr>
          <w:rFonts w:hint="eastAsia" w:ascii="仿宋" w:hAnsi="仿宋" w:eastAsia="仿宋" w:cs="仿宋"/>
          <w:color w:val="auto"/>
          <w:sz w:val="28"/>
          <w:szCs w:val="28"/>
          <w:lang w:val="zh-CN" w:bidi="ar"/>
        </w:rPr>
        <w:t>法定代表人（签字或盖章）：</w:t>
      </w:r>
      <w:r>
        <w:rPr>
          <w:rFonts w:hint="eastAsia" w:ascii="仿宋" w:hAnsi="仿宋" w:eastAsia="仿宋" w:cs="仿宋"/>
          <w:color w:val="auto"/>
          <w:sz w:val="28"/>
          <w:szCs w:val="28"/>
          <w:u w:val="single"/>
        </w:rPr>
        <w:t xml:space="preserve">                    </w:t>
      </w:r>
    </w:p>
    <w:p w14:paraId="31C82DA4">
      <w:pPr>
        <w:spacing w:line="480" w:lineRule="exact"/>
        <w:ind w:firstLine="3080"/>
        <w:rPr>
          <w:rFonts w:ascii="仿宋" w:hAnsi="仿宋" w:eastAsia="仿宋" w:cs="仿宋"/>
          <w:color w:val="auto"/>
          <w:sz w:val="28"/>
          <w:szCs w:val="28"/>
          <w:lang w:val="zh-CN" w:bidi="ar"/>
        </w:rPr>
      </w:pPr>
      <w:r>
        <w:rPr>
          <w:rFonts w:hint="eastAsia" w:ascii="仿宋" w:hAnsi="仿宋" w:eastAsia="仿宋" w:cs="仿宋"/>
          <w:color w:val="auto"/>
          <w:sz w:val="28"/>
          <w:szCs w:val="28"/>
          <w:lang w:val="zh-CN" w:bidi="ar"/>
        </w:rPr>
        <w:t>时间：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bidi="ar"/>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bidi="ar"/>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bidi="ar"/>
        </w:rPr>
        <w:t>日</w:t>
      </w:r>
    </w:p>
    <w:p w14:paraId="198DA434">
      <w:pPr>
        <w:spacing w:line="300" w:lineRule="auto"/>
        <w:contextualSpacing/>
        <w:rPr>
          <w:rFonts w:ascii="仿宋_GB2312" w:hAnsi="宋体" w:eastAsia="仿宋_GB2312"/>
          <w:color w:val="auto"/>
          <w:sz w:val="28"/>
          <w:szCs w:val="28"/>
        </w:rPr>
      </w:pPr>
    </w:p>
    <w:p w14:paraId="5E25C7E2">
      <w:pPr>
        <w:spacing w:line="400" w:lineRule="exact"/>
        <w:contextualSpacing/>
        <w:rPr>
          <w:rFonts w:eastAsia="方正黑体_GBK"/>
          <w:color w:val="auto"/>
          <w:sz w:val="32"/>
          <w:szCs w:val="32"/>
        </w:rPr>
      </w:pPr>
    </w:p>
    <w:p w14:paraId="32204772">
      <w:pPr>
        <w:spacing w:line="400" w:lineRule="exact"/>
        <w:contextualSpacing/>
        <w:rPr>
          <w:rFonts w:eastAsia="方正黑体_GBK"/>
          <w:color w:val="auto"/>
          <w:sz w:val="32"/>
          <w:szCs w:val="32"/>
        </w:rPr>
      </w:pPr>
      <w:r>
        <w:rPr>
          <w:rFonts w:hint="eastAsia" w:ascii="宋体" w:hAnsi="宋体" w:eastAsia="宋体" w:cs="宋体"/>
          <w:b/>
          <w:bCs/>
          <w:color w:val="auto"/>
          <w:sz w:val="32"/>
          <w:szCs w:val="32"/>
        </w:rPr>
        <w:t>附件5</w:t>
      </w:r>
    </w:p>
    <w:p w14:paraId="221F1C62">
      <w:pPr>
        <w:keepNext w:val="0"/>
        <w:keepLines w:val="0"/>
        <w:pageBreakBefore w:val="0"/>
        <w:widowControl w:val="0"/>
        <w:spacing w:after="361"/>
        <w:jc w:val="center"/>
        <w:rPr>
          <w:rFonts w:ascii="方正小标宋简体" w:hAnsi="方正小标宋简体" w:eastAsia="方正小标宋简体" w:cs="方正小标宋简体"/>
          <w:bCs/>
          <w:color w:val="auto"/>
          <w:sz w:val="30"/>
          <w:szCs w:val="30"/>
        </w:rPr>
      </w:pPr>
      <w:r>
        <w:rPr>
          <w:rFonts w:hint="eastAsia" w:ascii="宋体" w:hAnsi="宋体" w:eastAsia="宋体" w:cs="宋体"/>
          <w:b/>
          <w:bCs w:val="0"/>
          <w:color w:val="auto"/>
          <w:sz w:val="30"/>
          <w:szCs w:val="30"/>
        </w:rPr>
        <w:t>磋商响应函</w:t>
      </w:r>
    </w:p>
    <w:p w14:paraId="5C22CCBD">
      <w:pPr>
        <w:spacing w:line="480" w:lineRule="exact"/>
        <w:jc w:val="left"/>
        <w:rPr>
          <w:rFonts w:ascii="仿宋" w:hAnsi="仿宋" w:eastAsia="仿宋" w:cs="仿宋"/>
          <w:color w:val="auto"/>
          <w:sz w:val="28"/>
          <w:szCs w:val="28"/>
        </w:rPr>
      </w:pPr>
      <w:r>
        <w:rPr>
          <w:rFonts w:hint="eastAsia" w:ascii="仿宋" w:hAnsi="仿宋" w:eastAsia="仿宋" w:cs="仿宋"/>
          <w:color w:val="auto"/>
          <w:sz w:val="28"/>
          <w:szCs w:val="28"/>
        </w:rPr>
        <w:t>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（采购人名称）</w:t>
      </w:r>
    </w:p>
    <w:p w14:paraId="5B2A240A">
      <w:pPr>
        <w:spacing w:line="480" w:lineRule="exact"/>
        <w:ind w:firstLine="560"/>
        <w:jc w:val="left"/>
        <w:rPr>
          <w:rFonts w:ascii="仿宋" w:hAnsi="仿宋" w:eastAsia="仿宋" w:cs="仿宋"/>
          <w:color w:val="auto"/>
          <w:sz w:val="28"/>
          <w:szCs w:val="28"/>
        </w:rPr>
      </w:pPr>
      <w:r>
        <w:rPr>
          <w:rFonts w:hint="eastAsia" w:ascii="仿宋" w:hAnsi="仿宋" w:eastAsia="仿宋" w:cs="仿宋"/>
          <w:color w:val="auto"/>
          <w:sz w:val="28"/>
          <w:szCs w:val="28"/>
        </w:rPr>
        <w:t>根据贵方项目编号为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的磋商文件，我方正式提交磋商响应函，并宣布同意如下内容：</w:t>
      </w:r>
    </w:p>
    <w:p w14:paraId="2CB7C58F">
      <w:pPr>
        <w:spacing w:line="480" w:lineRule="exact"/>
        <w:ind w:firstLine="560"/>
        <w:jc w:val="left"/>
        <w:rPr>
          <w:rFonts w:eastAsia="仿宋"/>
          <w:color w:val="auto"/>
          <w:sz w:val="28"/>
          <w:szCs w:val="28"/>
        </w:rPr>
      </w:pPr>
      <w:r>
        <w:rPr>
          <w:rFonts w:eastAsia="仿宋"/>
          <w:color w:val="auto"/>
          <w:sz w:val="28"/>
          <w:szCs w:val="28"/>
        </w:rPr>
        <w:t>1.按</w:t>
      </w:r>
      <w:r>
        <w:rPr>
          <w:rFonts w:hint="eastAsia" w:eastAsia="仿宋"/>
          <w:color w:val="auto"/>
          <w:sz w:val="28"/>
          <w:szCs w:val="28"/>
        </w:rPr>
        <w:t>磋商</w:t>
      </w:r>
      <w:r>
        <w:rPr>
          <w:rFonts w:eastAsia="仿宋"/>
          <w:color w:val="auto"/>
          <w:sz w:val="28"/>
          <w:szCs w:val="28"/>
        </w:rPr>
        <w:t>文件规定的各项要求，向买方提供所需货物、服务（包含与货物相关的服务及与服务相关的货物）。</w:t>
      </w:r>
    </w:p>
    <w:p w14:paraId="0ED9DBBF">
      <w:pPr>
        <w:spacing w:line="480" w:lineRule="exact"/>
        <w:ind w:firstLine="560"/>
        <w:jc w:val="left"/>
        <w:rPr>
          <w:rFonts w:eastAsia="仿宋"/>
          <w:color w:val="auto"/>
          <w:sz w:val="28"/>
          <w:szCs w:val="28"/>
        </w:rPr>
      </w:pPr>
      <w:r>
        <w:rPr>
          <w:rFonts w:eastAsia="仿宋"/>
          <w:color w:val="auto"/>
          <w:sz w:val="28"/>
          <w:szCs w:val="28"/>
        </w:rPr>
        <w:t>2.我们完全理解贵方不一定将合同授予最低报价的</w:t>
      </w:r>
      <w:r>
        <w:rPr>
          <w:rFonts w:hint="eastAsia" w:eastAsia="仿宋"/>
          <w:color w:val="auto"/>
          <w:sz w:val="28"/>
          <w:szCs w:val="28"/>
        </w:rPr>
        <w:t>供应商</w:t>
      </w:r>
      <w:r>
        <w:rPr>
          <w:rFonts w:eastAsia="仿宋"/>
          <w:color w:val="auto"/>
          <w:sz w:val="28"/>
          <w:szCs w:val="28"/>
        </w:rPr>
        <w:t>。</w:t>
      </w:r>
    </w:p>
    <w:p w14:paraId="5DE87098">
      <w:pPr>
        <w:spacing w:line="480" w:lineRule="exact"/>
        <w:ind w:firstLine="560"/>
        <w:jc w:val="left"/>
        <w:rPr>
          <w:rFonts w:eastAsia="仿宋"/>
          <w:color w:val="auto"/>
          <w:sz w:val="28"/>
          <w:szCs w:val="28"/>
        </w:rPr>
      </w:pPr>
      <w:r>
        <w:rPr>
          <w:rFonts w:eastAsia="仿宋"/>
          <w:color w:val="auto"/>
          <w:sz w:val="28"/>
          <w:szCs w:val="28"/>
        </w:rPr>
        <w:t>3.我们已详细审核全部</w:t>
      </w:r>
      <w:r>
        <w:rPr>
          <w:rFonts w:hint="eastAsia" w:eastAsia="仿宋"/>
          <w:color w:val="auto"/>
          <w:sz w:val="28"/>
          <w:szCs w:val="28"/>
        </w:rPr>
        <w:t>磋商</w:t>
      </w:r>
      <w:r>
        <w:rPr>
          <w:rFonts w:eastAsia="仿宋"/>
          <w:color w:val="auto"/>
          <w:sz w:val="28"/>
          <w:szCs w:val="28"/>
        </w:rPr>
        <w:t>文件及其有效补充文件，我们知道必须放弃提出含糊不清或误解问题的权利。</w:t>
      </w:r>
    </w:p>
    <w:p w14:paraId="71D0574E">
      <w:pPr>
        <w:spacing w:line="480" w:lineRule="exact"/>
        <w:ind w:firstLine="480"/>
        <w:jc w:val="left"/>
        <w:rPr>
          <w:rFonts w:eastAsia="仿宋"/>
          <w:color w:val="auto"/>
          <w:sz w:val="28"/>
          <w:szCs w:val="28"/>
        </w:rPr>
      </w:pPr>
      <w:r>
        <w:rPr>
          <w:rFonts w:eastAsia="仿宋"/>
          <w:color w:val="auto"/>
          <w:sz w:val="28"/>
          <w:szCs w:val="28"/>
        </w:rPr>
        <w:t>4.我们同意从规定的开标日期起遵循本</w:t>
      </w:r>
      <w:r>
        <w:rPr>
          <w:rFonts w:hint="eastAsia" w:eastAsia="仿宋"/>
          <w:color w:val="auto"/>
          <w:sz w:val="28"/>
          <w:szCs w:val="28"/>
        </w:rPr>
        <w:t>响应</w:t>
      </w:r>
      <w:r>
        <w:rPr>
          <w:rFonts w:eastAsia="仿宋"/>
          <w:color w:val="auto"/>
          <w:sz w:val="28"/>
          <w:szCs w:val="28"/>
        </w:rPr>
        <w:t>文件，并在规定的投标有效期期满之前均具有约束力。</w:t>
      </w:r>
    </w:p>
    <w:p w14:paraId="7BA521ED">
      <w:pPr>
        <w:spacing w:line="480" w:lineRule="exact"/>
        <w:ind w:firstLine="480"/>
        <w:jc w:val="left"/>
        <w:rPr>
          <w:rFonts w:eastAsia="仿宋"/>
          <w:color w:val="auto"/>
          <w:sz w:val="28"/>
          <w:szCs w:val="28"/>
        </w:rPr>
      </w:pPr>
      <w:r>
        <w:rPr>
          <w:rFonts w:eastAsia="仿宋"/>
          <w:color w:val="auto"/>
          <w:sz w:val="28"/>
          <w:szCs w:val="28"/>
        </w:rPr>
        <w:t>5.同意向贵方提供贵方可能另外要求的与</w:t>
      </w:r>
      <w:r>
        <w:rPr>
          <w:rFonts w:hint="eastAsia" w:eastAsia="仿宋"/>
          <w:color w:val="auto"/>
          <w:sz w:val="28"/>
          <w:szCs w:val="28"/>
        </w:rPr>
        <w:t>磋商</w:t>
      </w:r>
      <w:r>
        <w:rPr>
          <w:rFonts w:eastAsia="仿宋"/>
          <w:color w:val="auto"/>
          <w:sz w:val="28"/>
          <w:szCs w:val="28"/>
        </w:rPr>
        <w:t>有关的任何证据或资料，并保证我方已提供和将要提供的文件是真实的、准确的。</w:t>
      </w:r>
    </w:p>
    <w:p w14:paraId="683F29EB">
      <w:pPr>
        <w:spacing w:line="480" w:lineRule="exact"/>
        <w:ind w:firstLine="480"/>
        <w:jc w:val="left"/>
        <w:rPr>
          <w:rFonts w:eastAsia="仿宋"/>
          <w:color w:val="auto"/>
          <w:sz w:val="28"/>
          <w:szCs w:val="28"/>
        </w:rPr>
      </w:pPr>
      <w:r>
        <w:rPr>
          <w:rFonts w:eastAsia="仿宋"/>
          <w:color w:val="auto"/>
          <w:sz w:val="28"/>
          <w:szCs w:val="28"/>
        </w:rPr>
        <w:t>6.一旦我方</w:t>
      </w:r>
      <w:r>
        <w:rPr>
          <w:rFonts w:hint="eastAsia" w:eastAsia="仿宋"/>
          <w:color w:val="auto"/>
          <w:sz w:val="28"/>
          <w:szCs w:val="28"/>
        </w:rPr>
        <w:t>成交</w:t>
      </w:r>
      <w:r>
        <w:rPr>
          <w:rFonts w:eastAsia="仿宋"/>
          <w:color w:val="auto"/>
          <w:sz w:val="28"/>
          <w:szCs w:val="28"/>
        </w:rPr>
        <w:t>，我方将根据</w:t>
      </w:r>
      <w:r>
        <w:rPr>
          <w:rFonts w:hint="eastAsia" w:eastAsia="仿宋"/>
          <w:color w:val="auto"/>
          <w:sz w:val="28"/>
          <w:szCs w:val="28"/>
        </w:rPr>
        <w:t>磋商</w:t>
      </w:r>
      <w:r>
        <w:rPr>
          <w:rFonts w:eastAsia="仿宋"/>
          <w:color w:val="auto"/>
          <w:sz w:val="28"/>
          <w:szCs w:val="28"/>
        </w:rPr>
        <w:t>文件的规定，严格履行合同的责任和义务，并保证在</w:t>
      </w:r>
      <w:r>
        <w:rPr>
          <w:rFonts w:hint="eastAsia" w:eastAsia="仿宋"/>
          <w:color w:val="auto"/>
          <w:sz w:val="28"/>
          <w:szCs w:val="28"/>
        </w:rPr>
        <w:t>磋商</w:t>
      </w:r>
      <w:r>
        <w:rPr>
          <w:rFonts w:eastAsia="仿宋"/>
          <w:color w:val="auto"/>
          <w:sz w:val="28"/>
          <w:szCs w:val="28"/>
        </w:rPr>
        <w:t>文件规定的时间内完成项目，交付买方验收、使用。</w:t>
      </w:r>
    </w:p>
    <w:p w14:paraId="70F8E2B2">
      <w:pPr>
        <w:spacing w:line="480" w:lineRule="exact"/>
        <w:ind w:firstLine="560"/>
        <w:jc w:val="left"/>
        <w:rPr>
          <w:rFonts w:eastAsia="仿宋"/>
          <w:color w:val="auto"/>
          <w:sz w:val="28"/>
          <w:szCs w:val="28"/>
        </w:rPr>
      </w:pPr>
      <w:r>
        <w:rPr>
          <w:rFonts w:eastAsia="仿宋"/>
          <w:color w:val="auto"/>
          <w:sz w:val="28"/>
          <w:szCs w:val="28"/>
        </w:rPr>
        <w:t>7.与本</w:t>
      </w:r>
      <w:r>
        <w:rPr>
          <w:rFonts w:hint="eastAsia" w:eastAsia="仿宋"/>
          <w:color w:val="auto"/>
          <w:sz w:val="28"/>
          <w:szCs w:val="28"/>
        </w:rPr>
        <w:t>次磋商</w:t>
      </w:r>
      <w:r>
        <w:rPr>
          <w:rFonts w:eastAsia="仿宋"/>
          <w:color w:val="auto"/>
          <w:sz w:val="28"/>
          <w:szCs w:val="28"/>
        </w:rPr>
        <w:t>有关的正式通讯地址为：</w:t>
      </w:r>
    </w:p>
    <w:p w14:paraId="1FA57EEA">
      <w:pPr>
        <w:spacing w:line="480" w:lineRule="exact"/>
        <w:ind w:left="420" w:firstLine="560"/>
        <w:jc w:val="left"/>
        <w:rPr>
          <w:rFonts w:ascii="仿宋" w:hAnsi="仿宋" w:eastAsia="仿宋" w:cs="仿宋"/>
          <w:color w:val="auto"/>
          <w:sz w:val="28"/>
          <w:szCs w:val="28"/>
        </w:rPr>
      </w:pPr>
      <w:r>
        <w:rPr>
          <w:rFonts w:hint="eastAsia" w:ascii="仿宋" w:hAnsi="仿宋" w:eastAsia="仿宋" w:cs="仿宋"/>
          <w:color w:val="auto"/>
          <w:sz w:val="28"/>
          <w:szCs w:val="28"/>
        </w:rPr>
        <w:t>地          址：</w:t>
      </w:r>
      <w:r>
        <w:rPr>
          <w:rFonts w:hint="eastAsia" w:ascii="仿宋" w:hAnsi="仿宋" w:eastAsia="仿宋" w:cs="仿宋"/>
          <w:color w:val="auto"/>
          <w:sz w:val="28"/>
          <w:szCs w:val="28"/>
          <w:u w:val="single"/>
        </w:rPr>
        <w:t xml:space="preserve">                  </w:t>
      </w:r>
    </w:p>
    <w:p w14:paraId="68EDC833">
      <w:pPr>
        <w:spacing w:line="480" w:lineRule="exact"/>
        <w:ind w:left="420" w:firstLine="560"/>
        <w:jc w:val="left"/>
        <w:rPr>
          <w:rFonts w:ascii="仿宋" w:hAnsi="仿宋" w:eastAsia="仿宋" w:cs="仿宋"/>
          <w:color w:val="auto"/>
          <w:sz w:val="28"/>
          <w:szCs w:val="28"/>
        </w:rPr>
      </w:pPr>
      <w:r>
        <w:rPr>
          <w:rFonts w:hint="eastAsia" w:ascii="仿宋" w:hAnsi="仿宋" w:eastAsia="仿宋" w:cs="仿宋"/>
          <w:color w:val="auto"/>
          <w:sz w:val="28"/>
          <w:szCs w:val="28"/>
        </w:rPr>
        <w:t>邮          编：</w:t>
      </w:r>
      <w:r>
        <w:rPr>
          <w:rFonts w:hint="eastAsia" w:ascii="仿宋" w:hAnsi="仿宋" w:eastAsia="仿宋" w:cs="仿宋"/>
          <w:color w:val="auto"/>
          <w:sz w:val="28"/>
          <w:szCs w:val="28"/>
          <w:u w:val="single"/>
        </w:rPr>
        <w:t xml:space="preserve">                  </w:t>
      </w:r>
    </w:p>
    <w:p w14:paraId="72595929">
      <w:pPr>
        <w:spacing w:line="480" w:lineRule="exact"/>
        <w:ind w:left="420" w:firstLine="560"/>
        <w:jc w:val="left"/>
        <w:rPr>
          <w:rFonts w:ascii="仿宋" w:hAnsi="仿宋" w:eastAsia="仿宋" w:cs="仿宋"/>
          <w:color w:val="auto"/>
          <w:sz w:val="28"/>
          <w:szCs w:val="28"/>
        </w:rPr>
      </w:pPr>
      <w:r>
        <w:rPr>
          <w:rFonts w:hint="eastAsia" w:ascii="仿宋" w:hAnsi="仿宋" w:eastAsia="仿宋" w:cs="仿宋"/>
          <w:color w:val="auto"/>
          <w:sz w:val="28"/>
          <w:szCs w:val="28"/>
        </w:rPr>
        <w:t>电          话：</w:t>
      </w:r>
      <w:r>
        <w:rPr>
          <w:rFonts w:hint="eastAsia" w:ascii="仿宋" w:hAnsi="仿宋" w:eastAsia="仿宋" w:cs="仿宋"/>
          <w:color w:val="auto"/>
          <w:sz w:val="28"/>
          <w:szCs w:val="28"/>
          <w:u w:val="single"/>
        </w:rPr>
        <w:t xml:space="preserve">                  </w:t>
      </w:r>
    </w:p>
    <w:p w14:paraId="19E5F90D">
      <w:pPr>
        <w:spacing w:line="480" w:lineRule="exact"/>
        <w:ind w:left="420" w:firstLine="560"/>
        <w:jc w:val="left"/>
        <w:rPr>
          <w:rFonts w:ascii="仿宋" w:hAnsi="仿宋" w:eastAsia="仿宋" w:cs="仿宋"/>
          <w:color w:val="auto"/>
          <w:sz w:val="28"/>
          <w:szCs w:val="28"/>
        </w:rPr>
      </w:pPr>
      <w:r>
        <w:rPr>
          <w:rFonts w:hint="eastAsia" w:ascii="仿宋" w:hAnsi="仿宋" w:eastAsia="仿宋" w:cs="仿宋"/>
          <w:color w:val="auto"/>
          <w:sz w:val="28"/>
          <w:szCs w:val="28"/>
        </w:rPr>
        <w:t>电  子  邮  箱：</w:t>
      </w:r>
      <w:r>
        <w:rPr>
          <w:rFonts w:hint="eastAsia" w:ascii="仿宋" w:hAnsi="仿宋" w:eastAsia="仿宋" w:cs="仿宋"/>
          <w:color w:val="auto"/>
          <w:sz w:val="28"/>
          <w:szCs w:val="28"/>
          <w:u w:val="single"/>
        </w:rPr>
        <w:t xml:space="preserve">                  </w:t>
      </w:r>
    </w:p>
    <w:p w14:paraId="48335BA9">
      <w:pPr>
        <w:spacing w:line="480" w:lineRule="exact"/>
        <w:rPr>
          <w:rFonts w:ascii="仿宋" w:hAnsi="仿宋" w:eastAsia="仿宋" w:cs="仿宋"/>
          <w:color w:val="auto"/>
          <w:sz w:val="28"/>
          <w:szCs w:val="28"/>
        </w:rPr>
      </w:pPr>
    </w:p>
    <w:p w14:paraId="365C1F10">
      <w:pPr>
        <w:spacing w:line="480" w:lineRule="exact"/>
        <w:ind w:right="181" w:firstLine="980"/>
        <w:rPr>
          <w:rFonts w:ascii="仿宋" w:hAnsi="仿宋" w:eastAsia="仿宋" w:cs="仿宋"/>
          <w:color w:val="auto"/>
          <w:sz w:val="28"/>
          <w:szCs w:val="28"/>
        </w:rPr>
      </w:pPr>
      <w:r>
        <w:rPr>
          <w:rFonts w:hint="eastAsia" w:ascii="仿宋" w:hAnsi="仿宋" w:eastAsia="仿宋" w:cs="仿宋"/>
          <w:color w:val="auto"/>
          <w:sz w:val="28"/>
          <w:szCs w:val="28"/>
        </w:rPr>
        <w:t>供应商名称（</w:t>
      </w:r>
      <w:r>
        <w:rPr>
          <w:rFonts w:hint="eastAsia" w:eastAsia="仿宋"/>
          <w:bCs/>
          <w:color w:val="auto"/>
          <w:sz w:val="28"/>
          <w:szCs w:val="28"/>
        </w:rPr>
        <w:t>加盖</w:t>
      </w:r>
      <w:r>
        <w:rPr>
          <w:rFonts w:hint="eastAsia" w:ascii="仿宋" w:hAnsi="仿宋" w:eastAsia="仿宋" w:cs="仿宋"/>
          <w:color w:val="auto"/>
          <w:sz w:val="28"/>
          <w:szCs w:val="28"/>
        </w:rPr>
        <w:t>公章）：</w:t>
      </w:r>
      <w:r>
        <w:rPr>
          <w:rFonts w:hint="eastAsia" w:ascii="仿宋" w:hAnsi="仿宋" w:eastAsia="仿宋" w:cs="仿宋"/>
          <w:color w:val="auto"/>
          <w:sz w:val="28"/>
          <w:szCs w:val="28"/>
          <w:u w:val="single"/>
        </w:rPr>
        <w:t xml:space="preserve">                  </w:t>
      </w:r>
    </w:p>
    <w:p w14:paraId="49C30E22">
      <w:pPr>
        <w:spacing w:line="480" w:lineRule="exact"/>
        <w:ind w:left="420" w:firstLine="560"/>
        <w:jc w:val="left"/>
        <w:rPr>
          <w:rFonts w:ascii="仿宋" w:hAnsi="仿宋" w:eastAsia="仿宋" w:cs="仿宋"/>
          <w:color w:val="auto"/>
          <w:sz w:val="28"/>
          <w:szCs w:val="28"/>
        </w:rPr>
      </w:pPr>
    </w:p>
    <w:p w14:paraId="6A2E378B">
      <w:pPr>
        <w:spacing w:line="480" w:lineRule="exact"/>
        <w:ind w:left="420" w:firstLine="560"/>
        <w:jc w:val="left"/>
        <w:rPr>
          <w:rFonts w:ascii="仿宋" w:hAnsi="仿宋" w:eastAsia="仿宋" w:cs="仿宋"/>
          <w:color w:val="auto"/>
          <w:sz w:val="28"/>
          <w:szCs w:val="28"/>
        </w:rPr>
      </w:pPr>
      <w:r>
        <w:rPr>
          <w:rFonts w:hint="eastAsia" w:ascii="仿宋" w:hAnsi="仿宋" w:eastAsia="仿宋" w:cs="仿宋"/>
          <w:color w:val="auto"/>
          <w:sz w:val="28"/>
          <w:szCs w:val="28"/>
        </w:rPr>
        <w:t>日          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日</w:t>
      </w:r>
    </w:p>
    <w:p w14:paraId="39774D4D">
      <w:pPr>
        <w:spacing w:line="400" w:lineRule="exact"/>
        <w:contextualSpacing/>
        <w:rPr>
          <w:rFonts w:eastAsia="方正黑体_GBK"/>
          <w:color w:val="auto"/>
          <w:sz w:val="32"/>
          <w:szCs w:val="32"/>
        </w:rPr>
      </w:pPr>
    </w:p>
    <w:p w14:paraId="2FE35E5D">
      <w:pPr>
        <w:spacing w:line="400" w:lineRule="exact"/>
        <w:contextualSpacing/>
        <w:rPr>
          <w:rFonts w:eastAsia="方正黑体_GBK"/>
          <w:color w:val="auto"/>
          <w:sz w:val="32"/>
          <w:szCs w:val="32"/>
        </w:rPr>
      </w:pPr>
    </w:p>
    <w:p w14:paraId="74EFFFE2">
      <w:pPr>
        <w:spacing w:line="400" w:lineRule="exact"/>
        <w:contextualSpacing/>
        <w:rPr>
          <w:rFonts w:eastAsia="方正黑体_GBK"/>
          <w:color w:val="auto"/>
          <w:sz w:val="32"/>
          <w:szCs w:val="32"/>
        </w:rPr>
      </w:pPr>
      <w:r>
        <w:rPr>
          <w:rFonts w:hint="eastAsia" w:ascii="宋体" w:hAnsi="宋体" w:eastAsia="宋体" w:cs="宋体"/>
          <w:b/>
          <w:bCs/>
          <w:color w:val="auto"/>
          <w:sz w:val="32"/>
          <w:szCs w:val="32"/>
        </w:rPr>
        <w:t>附件6</w:t>
      </w:r>
    </w:p>
    <w:p w14:paraId="0E3A35E8">
      <w:pPr>
        <w:keepNext w:val="0"/>
        <w:keepLines w:val="0"/>
        <w:pageBreakBefore w:val="0"/>
        <w:widowControl w:val="0"/>
        <w:spacing w:after="361"/>
        <w:jc w:val="center"/>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商务部分正负偏离表</w:t>
      </w:r>
    </w:p>
    <w:p w14:paraId="3F0E8A97">
      <w:pPr>
        <w:spacing w:line="520" w:lineRule="exact"/>
        <w:rPr>
          <w:rFonts w:eastAsia="仿宋"/>
          <w:bCs/>
          <w:color w:val="auto"/>
          <w:sz w:val="28"/>
          <w:szCs w:val="28"/>
          <w:u w:val="single"/>
        </w:rPr>
      </w:pPr>
      <w:r>
        <w:rPr>
          <w:rFonts w:eastAsia="仿宋"/>
          <w:bCs/>
          <w:color w:val="auto"/>
          <w:sz w:val="28"/>
          <w:szCs w:val="28"/>
        </w:rPr>
        <w:t>项目编号：</w:t>
      </w:r>
      <w:r>
        <w:rPr>
          <w:rFonts w:eastAsia="仿宋"/>
          <w:bCs/>
          <w:color w:val="auto"/>
          <w:sz w:val="28"/>
          <w:szCs w:val="28"/>
          <w:u w:val="single"/>
        </w:rPr>
        <w:t xml:space="preserve">      </w:t>
      </w:r>
      <w:r>
        <w:rPr>
          <w:rFonts w:hint="eastAsia" w:eastAsia="仿宋"/>
          <w:bCs/>
          <w:color w:val="auto"/>
          <w:sz w:val="28"/>
          <w:szCs w:val="28"/>
          <w:u w:val="single"/>
        </w:rPr>
        <w:t xml:space="preserve">   </w:t>
      </w:r>
      <w:r>
        <w:rPr>
          <w:rFonts w:eastAsia="仿宋"/>
          <w:bCs/>
          <w:color w:val="auto"/>
          <w:sz w:val="28"/>
          <w:szCs w:val="28"/>
          <w:u w:val="single"/>
        </w:rPr>
        <w:t xml:space="preserve">       </w:t>
      </w:r>
    </w:p>
    <w:p w14:paraId="762E8725">
      <w:pPr>
        <w:spacing w:line="520" w:lineRule="exact"/>
        <w:ind w:firstLine="560"/>
        <w:jc w:val="center"/>
        <w:rPr>
          <w:rFonts w:eastAsia="仿宋"/>
          <w:color w:val="auto"/>
          <w:sz w:val="28"/>
          <w:szCs w:val="28"/>
        </w:rPr>
      </w:pPr>
      <w:r>
        <w:rPr>
          <w:rFonts w:eastAsia="仿宋"/>
          <w:color w:val="auto"/>
          <w:sz w:val="28"/>
          <w:szCs w:val="28"/>
        </w:rPr>
        <w:t>（由</w:t>
      </w:r>
      <w:r>
        <w:rPr>
          <w:rFonts w:hint="eastAsia" w:eastAsia="仿宋"/>
          <w:color w:val="auto"/>
          <w:sz w:val="28"/>
          <w:szCs w:val="28"/>
        </w:rPr>
        <w:t>供应商</w:t>
      </w:r>
      <w:r>
        <w:rPr>
          <w:rFonts w:eastAsia="仿宋"/>
          <w:color w:val="auto"/>
          <w:sz w:val="28"/>
          <w:szCs w:val="28"/>
        </w:rPr>
        <w:t>据实填写，表格不够自行添加）</w:t>
      </w:r>
    </w:p>
    <w:tbl>
      <w:tblPr>
        <w:tblStyle w:val="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23"/>
        <w:gridCol w:w="2244"/>
        <w:gridCol w:w="1959"/>
        <w:gridCol w:w="2528"/>
        <w:gridCol w:w="1393"/>
      </w:tblGrid>
      <w:tr w14:paraId="432B2B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390A1A59">
            <w:pPr>
              <w:spacing w:line="340" w:lineRule="exact"/>
              <w:jc w:val="center"/>
              <w:rPr>
                <w:rFonts w:eastAsia="黑体"/>
                <w:color w:val="auto"/>
                <w:sz w:val="24"/>
              </w:rPr>
            </w:pPr>
            <w:r>
              <w:rPr>
                <w:rFonts w:eastAsia="黑体"/>
                <w:color w:val="auto"/>
                <w:sz w:val="24"/>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07DC361E">
            <w:pPr>
              <w:spacing w:line="340" w:lineRule="exact"/>
              <w:jc w:val="center"/>
              <w:rPr>
                <w:rFonts w:eastAsia="黑体"/>
                <w:color w:val="auto"/>
                <w:sz w:val="24"/>
              </w:rPr>
            </w:pPr>
            <w:r>
              <w:rPr>
                <w:rFonts w:eastAsia="黑体"/>
                <w:color w:val="auto"/>
                <w:sz w:val="24"/>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7847B56A">
            <w:pPr>
              <w:spacing w:line="340" w:lineRule="exact"/>
              <w:jc w:val="center"/>
              <w:rPr>
                <w:rFonts w:eastAsia="黑体"/>
                <w:color w:val="auto"/>
                <w:sz w:val="24"/>
              </w:rPr>
            </w:pPr>
            <w:r>
              <w:rPr>
                <w:rFonts w:hint="eastAsia" w:eastAsia="黑体"/>
                <w:color w:val="auto"/>
                <w:sz w:val="24"/>
              </w:rPr>
              <w:t>磋商</w:t>
            </w:r>
            <w:r>
              <w:rPr>
                <w:rFonts w:eastAsia="黑体"/>
                <w:color w:val="auto"/>
                <w:sz w:val="24"/>
              </w:rPr>
              <w:t>文件要求的商务条款</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14E83718">
            <w:pPr>
              <w:spacing w:line="340" w:lineRule="exact"/>
              <w:jc w:val="center"/>
              <w:rPr>
                <w:rFonts w:eastAsia="黑体"/>
                <w:color w:val="auto"/>
                <w:sz w:val="24"/>
              </w:rPr>
            </w:pPr>
            <w:r>
              <w:rPr>
                <w:rFonts w:hint="eastAsia" w:eastAsia="黑体"/>
                <w:color w:val="auto"/>
                <w:sz w:val="24"/>
              </w:rPr>
              <w:t>响应</w:t>
            </w:r>
            <w:r>
              <w:rPr>
                <w:rFonts w:eastAsia="黑体"/>
                <w:color w:val="auto"/>
                <w:sz w:val="24"/>
              </w:rPr>
              <w:t>文件响应情况</w:t>
            </w:r>
          </w:p>
        </w:tc>
        <w:tc>
          <w:tcPr>
            <w:tcW w:w="778" w:type="pct"/>
            <w:tcBorders>
              <w:top w:val="single" w:color="auto" w:sz="12" w:space="0"/>
              <w:left w:val="single" w:color="auto" w:sz="6" w:space="0"/>
              <w:bottom w:val="single" w:color="auto" w:sz="6" w:space="0"/>
              <w:right w:val="single" w:color="auto" w:sz="12" w:space="0"/>
            </w:tcBorders>
            <w:noWrap w:val="0"/>
          </w:tcPr>
          <w:p w14:paraId="5437EFE6">
            <w:pPr>
              <w:spacing w:line="340" w:lineRule="exact"/>
              <w:jc w:val="center"/>
              <w:rPr>
                <w:rFonts w:eastAsia="黑体"/>
                <w:color w:val="auto"/>
                <w:sz w:val="24"/>
              </w:rPr>
            </w:pPr>
          </w:p>
          <w:p w14:paraId="40BAC4F9">
            <w:pPr>
              <w:spacing w:line="340" w:lineRule="exact"/>
              <w:jc w:val="center"/>
              <w:rPr>
                <w:rFonts w:eastAsia="黑体"/>
                <w:color w:val="auto"/>
                <w:sz w:val="24"/>
              </w:rPr>
            </w:pPr>
            <w:r>
              <w:rPr>
                <w:rFonts w:eastAsia="黑体"/>
                <w:color w:val="auto"/>
                <w:sz w:val="24"/>
              </w:rPr>
              <w:t>偏离说明</w:t>
            </w:r>
          </w:p>
        </w:tc>
      </w:tr>
      <w:tr w14:paraId="29EA14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tcPr>
          <w:p w14:paraId="297A4FCA">
            <w:pPr>
              <w:spacing w:line="340" w:lineRule="exact"/>
              <w:jc w:val="center"/>
              <w:rPr>
                <w:color w:val="auto"/>
                <w:sz w:val="24"/>
              </w:rPr>
            </w:pPr>
            <w:r>
              <w:rPr>
                <w:color w:val="auto"/>
                <w:sz w:val="24"/>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9C17517">
            <w:pPr>
              <w:spacing w:line="340" w:lineRule="exact"/>
              <w:jc w:val="left"/>
              <w:rPr>
                <w:color w:val="auto"/>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6F3A156">
            <w:pPr>
              <w:spacing w:line="340" w:lineRule="exact"/>
              <w:jc w:val="left"/>
              <w:rPr>
                <w:color w:val="auto"/>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8F9AE3A">
            <w:pPr>
              <w:spacing w:line="340" w:lineRule="exact"/>
              <w:jc w:val="left"/>
              <w:rPr>
                <w:color w:val="auto"/>
                <w:sz w:val="24"/>
              </w:rPr>
            </w:pPr>
          </w:p>
        </w:tc>
        <w:tc>
          <w:tcPr>
            <w:tcW w:w="778" w:type="pct"/>
            <w:tcBorders>
              <w:top w:val="single" w:color="auto" w:sz="6" w:space="0"/>
              <w:left w:val="single" w:color="auto" w:sz="6" w:space="0"/>
              <w:bottom w:val="single" w:color="auto" w:sz="6" w:space="0"/>
              <w:right w:val="single" w:color="auto" w:sz="12" w:space="0"/>
            </w:tcBorders>
            <w:noWrap w:val="0"/>
          </w:tcPr>
          <w:p w14:paraId="3B198BEC">
            <w:pPr>
              <w:spacing w:line="340" w:lineRule="exact"/>
              <w:jc w:val="left"/>
              <w:rPr>
                <w:color w:val="auto"/>
                <w:sz w:val="24"/>
              </w:rPr>
            </w:pPr>
          </w:p>
        </w:tc>
      </w:tr>
      <w:tr w14:paraId="33FDBF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tcPr>
          <w:p w14:paraId="3870FD48">
            <w:pPr>
              <w:spacing w:line="340" w:lineRule="exact"/>
              <w:jc w:val="center"/>
              <w:rPr>
                <w:color w:val="auto"/>
                <w:sz w:val="24"/>
              </w:rPr>
            </w:pPr>
            <w:r>
              <w:rPr>
                <w:color w:val="auto"/>
                <w:sz w:val="24"/>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3FA5FB0">
            <w:pPr>
              <w:spacing w:line="340" w:lineRule="exact"/>
              <w:jc w:val="left"/>
              <w:rPr>
                <w:color w:val="auto"/>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76A9D08C">
            <w:pPr>
              <w:spacing w:line="340" w:lineRule="exact"/>
              <w:jc w:val="left"/>
              <w:rPr>
                <w:color w:val="auto"/>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1403D9DD">
            <w:pPr>
              <w:spacing w:line="340" w:lineRule="exact"/>
              <w:jc w:val="left"/>
              <w:rPr>
                <w:color w:val="auto"/>
                <w:sz w:val="24"/>
              </w:rPr>
            </w:pPr>
          </w:p>
        </w:tc>
        <w:tc>
          <w:tcPr>
            <w:tcW w:w="778" w:type="pct"/>
            <w:tcBorders>
              <w:top w:val="single" w:color="auto" w:sz="6" w:space="0"/>
              <w:left w:val="single" w:color="auto" w:sz="6" w:space="0"/>
              <w:bottom w:val="single" w:color="auto" w:sz="6" w:space="0"/>
              <w:right w:val="single" w:color="auto" w:sz="12" w:space="0"/>
            </w:tcBorders>
            <w:noWrap w:val="0"/>
          </w:tcPr>
          <w:p w14:paraId="73959643">
            <w:pPr>
              <w:spacing w:line="340" w:lineRule="exact"/>
              <w:jc w:val="left"/>
              <w:rPr>
                <w:color w:val="auto"/>
                <w:sz w:val="24"/>
              </w:rPr>
            </w:pPr>
          </w:p>
        </w:tc>
      </w:tr>
      <w:tr w14:paraId="75A226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tcPr>
          <w:p w14:paraId="2B4C12C3">
            <w:pPr>
              <w:spacing w:line="340" w:lineRule="exact"/>
              <w:jc w:val="center"/>
              <w:rPr>
                <w:color w:val="auto"/>
                <w:sz w:val="24"/>
              </w:rPr>
            </w:pPr>
            <w:r>
              <w:rPr>
                <w:color w:val="auto"/>
                <w:sz w:val="24"/>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383DA552">
            <w:pPr>
              <w:spacing w:line="340" w:lineRule="exact"/>
              <w:jc w:val="left"/>
              <w:rPr>
                <w:color w:val="auto"/>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7E798243">
            <w:pPr>
              <w:spacing w:line="340" w:lineRule="exact"/>
              <w:jc w:val="left"/>
              <w:rPr>
                <w:color w:val="auto"/>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1A402040">
            <w:pPr>
              <w:spacing w:line="340" w:lineRule="exact"/>
              <w:jc w:val="left"/>
              <w:rPr>
                <w:color w:val="auto"/>
                <w:sz w:val="24"/>
              </w:rPr>
            </w:pPr>
          </w:p>
        </w:tc>
        <w:tc>
          <w:tcPr>
            <w:tcW w:w="778" w:type="pct"/>
            <w:tcBorders>
              <w:top w:val="single" w:color="auto" w:sz="6" w:space="0"/>
              <w:left w:val="single" w:color="auto" w:sz="6" w:space="0"/>
              <w:bottom w:val="single" w:color="auto" w:sz="6" w:space="0"/>
              <w:right w:val="single" w:color="auto" w:sz="12" w:space="0"/>
            </w:tcBorders>
            <w:noWrap w:val="0"/>
          </w:tcPr>
          <w:p w14:paraId="2539E0E0">
            <w:pPr>
              <w:spacing w:line="340" w:lineRule="exact"/>
              <w:jc w:val="left"/>
              <w:rPr>
                <w:color w:val="auto"/>
                <w:sz w:val="24"/>
              </w:rPr>
            </w:pPr>
          </w:p>
        </w:tc>
      </w:tr>
      <w:tr w14:paraId="4BF56E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tcPr>
          <w:p w14:paraId="510CB195">
            <w:pPr>
              <w:spacing w:line="340" w:lineRule="exact"/>
              <w:jc w:val="center"/>
              <w:rPr>
                <w:color w:val="auto"/>
                <w:sz w:val="24"/>
              </w:rPr>
            </w:pPr>
            <w:r>
              <w:rPr>
                <w:color w:val="auto"/>
                <w:sz w:val="24"/>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3C0CE4FC">
            <w:pPr>
              <w:spacing w:line="340" w:lineRule="exact"/>
              <w:jc w:val="left"/>
              <w:rPr>
                <w:color w:val="auto"/>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3659E04">
            <w:pPr>
              <w:spacing w:line="340" w:lineRule="exact"/>
              <w:jc w:val="left"/>
              <w:rPr>
                <w:color w:val="auto"/>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1B7301E8">
            <w:pPr>
              <w:spacing w:line="340" w:lineRule="exact"/>
              <w:jc w:val="left"/>
              <w:rPr>
                <w:color w:val="auto"/>
                <w:sz w:val="24"/>
              </w:rPr>
            </w:pPr>
          </w:p>
        </w:tc>
        <w:tc>
          <w:tcPr>
            <w:tcW w:w="778" w:type="pct"/>
            <w:tcBorders>
              <w:top w:val="single" w:color="auto" w:sz="6" w:space="0"/>
              <w:left w:val="single" w:color="auto" w:sz="6" w:space="0"/>
              <w:bottom w:val="single" w:color="auto" w:sz="6" w:space="0"/>
              <w:right w:val="single" w:color="auto" w:sz="12" w:space="0"/>
            </w:tcBorders>
            <w:noWrap w:val="0"/>
          </w:tcPr>
          <w:p w14:paraId="710E2D42">
            <w:pPr>
              <w:spacing w:line="340" w:lineRule="exact"/>
              <w:jc w:val="left"/>
              <w:rPr>
                <w:color w:val="auto"/>
                <w:sz w:val="24"/>
              </w:rPr>
            </w:pPr>
          </w:p>
        </w:tc>
      </w:tr>
    </w:tbl>
    <w:p w14:paraId="3C34F968">
      <w:pPr>
        <w:spacing w:line="300" w:lineRule="auto"/>
        <w:contextualSpacing/>
        <w:rPr>
          <w:rFonts w:eastAsia="仿宋"/>
          <w:b/>
          <w:bCs/>
          <w:color w:val="auto"/>
          <w:sz w:val="28"/>
          <w:szCs w:val="28"/>
        </w:rPr>
      </w:pPr>
      <w:r>
        <w:rPr>
          <w:rFonts w:eastAsia="仿宋"/>
          <w:b/>
          <w:bCs/>
          <w:color w:val="auto"/>
          <w:sz w:val="28"/>
          <w:szCs w:val="28"/>
        </w:rPr>
        <w:t>注：</w:t>
      </w:r>
    </w:p>
    <w:p w14:paraId="1828C307">
      <w:pPr>
        <w:spacing w:line="300" w:lineRule="auto"/>
        <w:ind w:firstLine="560"/>
        <w:contextualSpacing/>
        <w:rPr>
          <w:rFonts w:eastAsia="仿宋"/>
          <w:color w:val="auto"/>
          <w:sz w:val="28"/>
          <w:szCs w:val="28"/>
        </w:rPr>
      </w:pPr>
      <w:r>
        <w:rPr>
          <w:rFonts w:eastAsia="仿宋"/>
          <w:color w:val="auto"/>
          <w:sz w:val="28"/>
          <w:szCs w:val="28"/>
        </w:rPr>
        <w:t>1.未说明偏离的，将被认为响应</w:t>
      </w:r>
      <w:r>
        <w:rPr>
          <w:rFonts w:hint="eastAsia" w:eastAsia="仿宋"/>
          <w:color w:val="auto"/>
          <w:sz w:val="28"/>
          <w:szCs w:val="28"/>
        </w:rPr>
        <w:t>磋商</w:t>
      </w:r>
      <w:r>
        <w:rPr>
          <w:rFonts w:eastAsia="仿宋"/>
          <w:color w:val="auto"/>
          <w:sz w:val="28"/>
          <w:szCs w:val="28"/>
        </w:rPr>
        <w:t>文件的规定，但该表不作为</w:t>
      </w:r>
      <w:r>
        <w:rPr>
          <w:rFonts w:hint="eastAsia" w:eastAsia="仿宋"/>
          <w:color w:val="auto"/>
          <w:sz w:val="28"/>
          <w:szCs w:val="28"/>
        </w:rPr>
        <w:t>供应商</w:t>
      </w:r>
      <w:r>
        <w:rPr>
          <w:rFonts w:eastAsia="仿宋"/>
          <w:color w:val="auto"/>
          <w:sz w:val="28"/>
          <w:szCs w:val="28"/>
        </w:rPr>
        <w:t>对所</w:t>
      </w:r>
      <w:r>
        <w:rPr>
          <w:rFonts w:hint="eastAsia" w:eastAsia="仿宋"/>
          <w:color w:val="auto"/>
          <w:sz w:val="28"/>
          <w:szCs w:val="28"/>
        </w:rPr>
        <w:t>响应</w:t>
      </w:r>
      <w:r>
        <w:rPr>
          <w:rFonts w:eastAsia="仿宋"/>
          <w:color w:val="auto"/>
          <w:sz w:val="28"/>
          <w:szCs w:val="28"/>
        </w:rPr>
        <w:t>内容关于商务部分等详细描述和说明的替代。</w:t>
      </w:r>
    </w:p>
    <w:p w14:paraId="33D95F74">
      <w:pPr>
        <w:spacing w:line="300" w:lineRule="auto"/>
        <w:ind w:firstLine="560"/>
        <w:contextualSpacing/>
        <w:rPr>
          <w:rFonts w:eastAsia="仿宋"/>
          <w:color w:val="auto"/>
          <w:sz w:val="28"/>
          <w:szCs w:val="28"/>
        </w:rPr>
      </w:pPr>
      <w:r>
        <w:rPr>
          <w:rFonts w:eastAsia="仿宋"/>
          <w:color w:val="auto"/>
          <w:sz w:val="28"/>
          <w:szCs w:val="28"/>
        </w:rPr>
        <w:t>2.如有偏离的，在“偏离说明”一栏选择“正偏离</w:t>
      </w:r>
      <w:r>
        <w:rPr>
          <w:rFonts w:hint="eastAsia" w:eastAsia="仿宋"/>
          <w:color w:val="auto"/>
          <w:sz w:val="28"/>
          <w:szCs w:val="28"/>
        </w:rPr>
        <w:t>”“</w:t>
      </w:r>
      <w:r>
        <w:rPr>
          <w:rFonts w:eastAsia="仿宋"/>
          <w:color w:val="auto"/>
          <w:sz w:val="28"/>
          <w:szCs w:val="28"/>
        </w:rPr>
        <w:t>负偏离”进行填写。正偏离、负偏离的确认和负偏离的是否响应</w:t>
      </w:r>
      <w:r>
        <w:rPr>
          <w:rFonts w:hint="eastAsia" w:eastAsia="仿宋"/>
          <w:color w:val="auto"/>
          <w:sz w:val="28"/>
          <w:szCs w:val="28"/>
        </w:rPr>
        <w:t>磋商</w:t>
      </w:r>
      <w:r>
        <w:rPr>
          <w:rFonts w:eastAsia="仿宋"/>
          <w:color w:val="auto"/>
          <w:sz w:val="28"/>
          <w:szCs w:val="28"/>
        </w:rPr>
        <w:t>文件，由</w:t>
      </w:r>
      <w:r>
        <w:rPr>
          <w:rFonts w:hint="eastAsia" w:eastAsia="仿宋"/>
          <w:color w:val="auto"/>
          <w:sz w:val="28"/>
          <w:szCs w:val="28"/>
        </w:rPr>
        <w:t>磋商小组</w:t>
      </w:r>
      <w:r>
        <w:rPr>
          <w:rFonts w:eastAsia="仿宋"/>
          <w:color w:val="auto"/>
          <w:sz w:val="28"/>
          <w:szCs w:val="28"/>
        </w:rPr>
        <w:t>认定。</w:t>
      </w:r>
    </w:p>
    <w:p w14:paraId="35F3E8E6">
      <w:pPr>
        <w:spacing w:line="300" w:lineRule="auto"/>
        <w:ind w:firstLine="560"/>
        <w:contextualSpacing/>
        <w:rPr>
          <w:rFonts w:eastAsia="仿宋"/>
          <w:bCs/>
          <w:color w:val="auto"/>
          <w:sz w:val="28"/>
          <w:szCs w:val="28"/>
        </w:rPr>
      </w:pPr>
      <w:r>
        <w:rPr>
          <w:rFonts w:eastAsia="仿宋"/>
          <w:bCs/>
          <w:color w:val="auto"/>
          <w:sz w:val="28"/>
          <w:szCs w:val="28"/>
        </w:rPr>
        <w:t>3.</w:t>
      </w:r>
      <w:r>
        <w:rPr>
          <w:rFonts w:hint="eastAsia" w:eastAsia="仿宋"/>
          <w:bCs/>
          <w:color w:val="auto"/>
          <w:sz w:val="28"/>
          <w:szCs w:val="28"/>
        </w:rPr>
        <w:t>供应商</w:t>
      </w:r>
      <w:r>
        <w:rPr>
          <w:rFonts w:eastAsia="仿宋"/>
          <w:bCs/>
          <w:color w:val="auto"/>
          <w:sz w:val="28"/>
          <w:szCs w:val="28"/>
        </w:rPr>
        <w:t>若提供其他增值服务，可以在表中自行据实填写。</w:t>
      </w:r>
    </w:p>
    <w:p w14:paraId="4403AF4A">
      <w:pPr>
        <w:spacing w:line="400" w:lineRule="exact"/>
        <w:ind w:firstLine="540"/>
        <w:contextualSpacing/>
        <w:rPr>
          <w:rFonts w:eastAsia="仿宋"/>
          <w:b/>
          <w:color w:val="auto"/>
          <w:sz w:val="28"/>
          <w:szCs w:val="28"/>
        </w:rPr>
      </w:pPr>
    </w:p>
    <w:p w14:paraId="3650BBB1">
      <w:pPr>
        <w:spacing w:line="400" w:lineRule="exact"/>
        <w:ind w:firstLine="540"/>
        <w:contextualSpacing/>
        <w:rPr>
          <w:rFonts w:eastAsia="仿宋"/>
          <w:b/>
          <w:color w:val="auto"/>
          <w:sz w:val="28"/>
          <w:szCs w:val="28"/>
        </w:rPr>
      </w:pPr>
    </w:p>
    <w:p w14:paraId="40D65B1F">
      <w:pPr>
        <w:spacing w:line="300" w:lineRule="auto"/>
        <w:ind w:firstLine="560"/>
        <w:contextualSpacing/>
        <w:rPr>
          <w:rFonts w:eastAsia="仿宋"/>
          <w:color w:val="auto"/>
          <w:sz w:val="28"/>
          <w:szCs w:val="28"/>
        </w:rPr>
      </w:pPr>
    </w:p>
    <w:p w14:paraId="1AEEAAF7">
      <w:pPr>
        <w:spacing w:line="300" w:lineRule="auto"/>
        <w:ind w:firstLine="3080"/>
        <w:contextualSpacing/>
        <w:rPr>
          <w:rFonts w:eastAsia="仿宋"/>
          <w:color w:val="auto"/>
          <w:sz w:val="28"/>
          <w:szCs w:val="28"/>
        </w:rPr>
      </w:pPr>
      <w:r>
        <w:rPr>
          <w:rFonts w:hint="eastAsia" w:eastAsia="仿宋"/>
          <w:color w:val="auto"/>
          <w:sz w:val="28"/>
          <w:szCs w:val="28"/>
        </w:rPr>
        <w:t>供应商</w:t>
      </w:r>
      <w:r>
        <w:rPr>
          <w:rFonts w:eastAsia="仿宋"/>
          <w:color w:val="auto"/>
          <w:sz w:val="28"/>
          <w:szCs w:val="28"/>
        </w:rPr>
        <w:t>名称（</w:t>
      </w:r>
      <w:r>
        <w:rPr>
          <w:rFonts w:hint="eastAsia" w:eastAsia="仿宋"/>
          <w:bCs/>
          <w:color w:val="auto"/>
          <w:sz w:val="28"/>
          <w:szCs w:val="28"/>
        </w:rPr>
        <w:t>加盖</w:t>
      </w:r>
      <w:r>
        <w:rPr>
          <w:rFonts w:eastAsia="仿宋"/>
          <w:color w:val="auto"/>
          <w:sz w:val="28"/>
          <w:szCs w:val="28"/>
        </w:rPr>
        <w:t>公章）：</w:t>
      </w:r>
      <w:r>
        <w:rPr>
          <w:rFonts w:eastAsia="仿宋"/>
          <w:color w:val="auto"/>
          <w:sz w:val="28"/>
          <w:szCs w:val="28"/>
          <w:u w:val="single"/>
        </w:rPr>
        <w:t xml:space="preserve">                  </w:t>
      </w:r>
    </w:p>
    <w:p w14:paraId="76756A2B">
      <w:pPr>
        <w:spacing w:line="300" w:lineRule="auto"/>
        <w:ind w:firstLine="3080"/>
        <w:contextualSpacing/>
        <w:rPr>
          <w:rFonts w:eastAsia="仿宋"/>
          <w:color w:val="auto"/>
          <w:sz w:val="28"/>
          <w:szCs w:val="28"/>
        </w:rPr>
      </w:pPr>
      <w:r>
        <w:rPr>
          <w:rFonts w:eastAsia="仿宋"/>
          <w:color w:val="auto"/>
          <w:sz w:val="28"/>
          <w:szCs w:val="28"/>
        </w:rPr>
        <w:t>日期：</w:t>
      </w:r>
      <w:r>
        <w:rPr>
          <w:rFonts w:eastAsia="仿宋"/>
          <w:color w:val="auto"/>
          <w:sz w:val="28"/>
          <w:szCs w:val="28"/>
          <w:u w:val="single"/>
        </w:rPr>
        <w:t xml:space="preserve">       </w:t>
      </w:r>
      <w:r>
        <w:rPr>
          <w:rFonts w:eastAsia="仿宋"/>
          <w:color w:val="auto"/>
          <w:sz w:val="28"/>
          <w:szCs w:val="28"/>
        </w:rPr>
        <w:t>年</w:t>
      </w:r>
      <w:r>
        <w:rPr>
          <w:rFonts w:eastAsia="仿宋"/>
          <w:color w:val="auto"/>
          <w:sz w:val="28"/>
          <w:szCs w:val="28"/>
          <w:u w:val="single"/>
        </w:rPr>
        <w:t xml:space="preserve">   </w:t>
      </w:r>
      <w:r>
        <w:rPr>
          <w:rFonts w:eastAsia="仿宋"/>
          <w:color w:val="auto"/>
          <w:sz w:val="28"/>
          <w:szCs w:val="28"/>
        </w:rPr>
        <w:t>月</w:t>
      </w:r>
      <w:r>
        <w:rPr>
          <w:rFonts w:eastAsia="仿宋"/>
          <w:color w:val="auto"/>
          <w:sz w:val="28"/>
          <w:szCs w:val="28"/>
          <w:u w:val="single"/>
        </w:rPr>
        <w:t xml:space="preserve">    </w:t>
      </w:r>
      <w:r>
        <w:rPr>
          <w:rFonts w:eastAsia="仿宋"/>
          <w:color w:val="auto"/>
          <w:sz w:val="28"/>
          <w:szCs w:val="28"/>
        </w:rPr>
        <w:t>日</w:t>
      </w:r>
    </w:p>
    <w:p w14:paraId="50AEDF10">
      <w:pPr>
        <w:spacing w:line="300" w:lineRule="auto"/>
        <w:ind w:firstLine="480"/>
        <w:contextualSpacing/>
        <w:rPr>
          <w:color w:val="auto"/>
          <w:sz w:val="24"/>
        </w:rPr>
      </w:pPr>
    </w:p>
    <w:p w14:paraId="2334BB1E">
      <w:pPr>
        <w:spacing w:line="400" w:lineRule="exact"/>
        <w:contextualSpacing/>
        <w:rPr>
          <w:rFonts w:eastAsia="方正黑体_GBK"/>
          <w:color w:val="auto"/>
          <w:sz w:val="32"/>
          <w:szCs w:val="32"/>
        </w:rPr>
      </w:pPr>
    </w:p>
    <w:p w14:paraId="6D305729">
      <w:pPr>
        <w:spacing w:line="400" w:lineRule="exact"/>
        <w:contextualSpacing/>
        <w:rPr>
          <w:rFonts w:eastAsia="方正黑体_GBK"/>
          <w:color w:val="auto"/>
          <w:sz w:val="32"/>
          <w:szCs w:val="32"/>
        </w:rPr>
      </w:pPr>
    </w:p>
    <w:p w14:paraId="13FB77D0">
      <w:pPr>
        <w:spacing w:line="400" w:lineRule="exact"/>
        <w:contextualSpacing/>
        <w:rPr>
          <w:rFonts w:eastAsia="方正黑体_GBK"/>
          <w:color w:val="auto"/>
          <w:sz w:val="32"/>
          <w:szCs w:val="32"/>
        </w:rPr>
      </w:pPr>
    </w:p>
    <w:p w14:paraId="019ABE07">
      <w:pPr>
        <w:spacing w:line="400" w:lineRule="exact"/>
        <w:contextualSpacing/>
        <w:rPr>
          <w:rFonts w:eastAsia="方正黑体_GBK"/>
          <w:color w:val="auto"/>
          <w:sz w:val="32"/>
          <w:szCs w:val="32"/>
        </w:rPr>
      </w:pPr>
    </w:p>
    <w:p w14:paraId="6856019F">
      <w:pPr>
        <w:spacing w:line="400" w:lineRule="exact"/>
        <w:contextualSpacing/>
        <w:rPr>
          <w:rFonts w:eastAsia="方正黑体_GBK"/>
          <w:color w:val="auto"/>
          <w:sz w:val="32"/>
          <w:szCs w:val="32"/>
        </w:rPr>
      </w:pPr>
    </w:p>
    <w:p w14:paraId="25731379">
      <w:pPr>
        <w:spacing w:line="400" w:lineRule="exact"/>
        <w:contextualSpacing/>
        <w:rPr>
          <w:rFonts w:eastAsia="方正黑体_GBK"/>
          <w:color w:val="auto"/>
          <w:sz w:val="32"/>
          <w:szCs w:val="32"/>
        </w:rPr>
      </w:pPr>
    </w:p>
    <w:p w14:paraId="1709B5A8">
      <w:pPr>
        <w:spacing w:line="400" w:lineRule="exact"/>
        <w:contextualSpacing/>
        <w:rPr>
          <w:rFonts w:hint="eastAsia" w:ascii="宋体" w:hAnsi="宋体" w:eastAsia="宋体" w:cs="宋体"/>
          <w:b/>
          <w:bCs/>
          <w:color w:val="auto"/>
          <w:sz w:val="32"/>
          <w:szCs w:val="32"/>
        </w:rPr>
      </w:pPr>
    </w:p>
    <w:p w14:paraId="22989175">
      <w:pPr>
        <w:spacing w:line="400" w:lineRule="exact"/>
        <w:contextualSpacing/>
        <w:rPr>
          <w:rFonts w:eastAsia="方正黑体_GBK"/>
          <w:color w:val="auto"/>
          <w:sz w:val="32"/>
          <w:szCs w:val="32"/>
        </w:rPr>
      </w:pPr>
      <w:r>
        <w:rPr>
          <w:rFonts w:hint="eastAsia" w:ascii="宋体" w:hAnsi="宋体" w:eastAsia="宋体" w:cs="宋体"/>
          <w:b/>
          <w:bCs/>
          <w:color w:val="auto"/>
          <w:sz w:val="32"/>
          <w:szCs w:val="32"/>
        </w:rPr>
        <w:t>附件7</w:t>
      </w:r>
    </w:p>
    <w:p w14:paraId="237FB713">
      <w:pPr>
        <w:keepNext w:val="0"/>
        <w:keepLines w:val="0"/>
        <w:pageBreakBefore w:val="0"/>
        <w:widowControl w:val="0"/>
        <w:spacing w:after="361"/>
        <w:jc w:val="center"/>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技术部分正负偏离表</w:t>
      </w:r>
    </w:p>
    <w:p w14:paraId="300B4965">
      <w:pPr>
        <w:spacing w:line="520" w:lineRule="exact"/>
        <w:rPr>
          <w:rFonts w:eastAsia="仿宋"/>
          <w:color w:val="auto"/>
          <w:sz w:val="28"/>
          <w:szCs w:val="28"/>
        </w:rPr>
      </w:pPr>
      <w:r>
        <w:rPr>
          <w:rFonts w:eastAsia="仿宋"/>
          <w:bCs/>
          <w:color w:val="auto"/>
          <w:sz w:val="28"/>
          <w:szCs w:val="28"/>
        </w:rPr>
        <w:t>项目</w:t>
      </w:r>
      <w:r>
        <w:rPr>
          <w:rFonts w:hint="eastAsia" w:eastAsia="仿宋"/>
          <w:bCs/>
          <w:color w:val="auto"/>
          <w:sz w:val="28"/>
          <w:szCs w:val="28"/>
        </w:rPr>
        <w:t>编号：</w:t>
      </w:r>
      <w:r>
        <w:rPr>
          <w:rFonts w:eastAsia="仿宋"/>
          <w:color w:val="auto"/>
          <w:sz w:val="28"/>
          <w:szCs w:val="28"/>
          <w:u w:val="single"/>
        </w:rPr>
        <w:t xml:space="preserve">                    </w:t>
      </w:r>
    </w:p>
    <w:p w14:paraId="7AF570CB">
      <w:pPr>
        <w:spacing w:line="520" w:lineRule="exact"/>
        <w:ind w:firstLine="560"/>
        <w:jc w:val="center"/>
        <w:rPr>
          <w:rFonts w:eastAsia="仿宋"/>
          <w:color w:val="auto"/>
          <w:sz w:val="28"/>
          <w:szCs w:val="28"/>
        </w:rPr>
      </w:pPr>
      <w:r>
        <w:rPr>
          <w:rFonts w:eastAsia="仿宋"/>
          <w:color w:val="auto"/>
          <w:sz w:val="28"/>
          <w:szCs w:val="28"/>
        </w:rPr>
        <w:t>（由</w:t>
      </w:r>
      <w:r>
        <w:rPr>
          <w:rFonts w:hint="eastAsia" w:eastAsia="仿宋"/>
          <w:color w:val="auto"/>
          <w:sz w:val="28"/>
          <w:szCs w:val="28"/>
        </w:rPr>
        <w:t>供应商</w:t>
      </w:r>
      <w:r>
        <w:rPr>
          <w:rFonts w:eastAsia="仿宋"/>
          <w:color w:val="auto"/>
          <w:sz w:val="28"/>
          <w:szCs w:val="28"/>
        </w:rPr>
        <w:t>据实填写，表格不够自行添加）</w:t>
      </w:r>
    </w:p>
    <w:tbl>
      <w:tblPr>
        <w:tblStyle w:val="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23"/>
        <w:gridCol w:w="2244"/>
        <w:gridCol w:w="1959"/>
        <w:gridCol w:w="2528"/>
        <w:gridCol w:w="1393"/>
      </w:tblGrid>
      <w:tr w14:paraId="59A2C6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45A4D776">
            <w:pPr>
              <w:spacing w:line="340" w:lineRule="exact"/>
              <w:jc w:val="center"/>
              <w:rPr>
                <w:rFonts w:eastAsia="黑体"/>
                <w:color w:val="auto"/>
                <w:sz w:val="24"/>
              </w:rPr>
            </w:pPr>
            <w:r>
              <w:rPr>
                <w:rFonts w:eastAsia="黑体"/>
                <w:color w:val="auto"/>
                <w:sz w:val="24"/>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0D020186">
            <w:pPr>
              <w:spacing w:line="340" w:lineRule="exact"/>
              <w:jc w:val="center"/>
              <w:rPr>
                <w:rFonts w:eastAsia="黑体"/>
                <w:color w:val="auto"/>
                <w:sz w:val="24"/>
              </w:rPr>
            </w:pPr>
            <w:r>
              <w:rPr>
                <w:rFonts w:eastAsia="黑体"/>
                <w:color w:val="auto"/>
                <w:sz w:val="24"/>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43ECB6C7">
            <w:pPr>
              <w:spacing w:line="340" w:lineRule="exact"/>
              <w:jc w:val="center"/>
              <w:rPr>
                <w:rFonts w:eastAsia="黑体"/>
                <w:color w:val="auto"/>
                <w:sz w:val="24"/>
              </w:rPr>
            </w:pPr>
            <w:r>
              <w:rPr>
                <w:rFonts w:hint="eastAsia" w:eastAsia="黑体"/>
                <w:color w:val="auto"/>
                <w:sz w:val="24"/>
              </w:rPr>
              <w:t>磋商</w:t>
            </w:r>
            <w:r>
              <w:rPr>
                <w:rFonts w:eastAsia="黑体"/>
                <w:color w:val="auto"/>
                <w:sz w:val="24"/>
              </w:rPr>
              <w:t>文件要求的技术要求</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13B317EB">
            <w:pPr>
              <w:spacing w:line="340" w:lineRule="exact"/>
              <w:jc w:val="center"/>
              <w:rPr>
                <w:rFonts w:eastAsia="黑体"/>
                <w:color w:val="auto"/>
                <w:sz w:val="24"/>
              </w:rPr>
            </w:pPr>
            <w:r>
              <w:rPr>
                <w:rFonts w:hint="eastAsia" w:eastAsia="黑体"/>
                <w:color w:val="auto"/>
                <w:sz w:val="24"/>
              </w:rPr>
              <w:t>响应</w:t>
            </w:r>
            <w:r>
              <w:rPr>
                <w:rFonts w:eastAsia="黑体"/>
                <w:color w:val="auto"/>
                <w:sz w:val="24"/>
              </w:rPr>
              <w:t>文件响应情况</w:t>
            </w:r>
          </w:p>
        </w:tc>
        <w:tc>
          <w:tcPr>
            <w:tcW w:w="778" w:type="pct"/>
            <w:tcBorders>
              <w:top w:val="single" w:color="auto" w:sz="12" w:space="0"/>
              <w:left w:val="single" w:color="auto" w:sz="6" w:space="0"/>
              <w:bottom w:val="single" w:color="auto" w:sz="6" w:space="0"/>
              <w:right w:val="single" w:color="auto" w:sz="12" w:space="0"/>
            </w:tcBorders>
            <w:noWrap w:val="0"/>
          </w:tcPr>
          <w:p w14:paraId="71C1D23B">
            <w:pPr>
              <w:spacing w:line="340" w:lineRule="exact"/>
              <w:jc w:val="center"/>
              <w:rPr>
                <w:rFonts w:eastAsia="黑体"/>
                <w:color w:val="auto"/>
                <w:sz w:val="24"/>
              </w:rPr>
            </w:pPr>
          </w:p>
          <w:p w14:paraId="7310B718">
            <w:pPr>
              <w:spacing w:line="340" w:lineRule="exact"/>
              <w:jc w:val="center"/>
              <w:rPr>
                <w:rFonts w:eastAsia="黑体"/>
                <w:color w:val="auto"/>
                <w:sz w:val="24"/>
              </w:rPr>
            </w:pPr>
            <w:r>
              <w:rPr>
                <w:rFonts w:eastAsia="黑体"/>
                <w:color w:val="auto"/>
                <w:sz w:val="24"/>
              </w:rPr>
              <w:t>偏离说明</w:t>
            </w:r>
          </w:p>
        </w:tc>
      </w:tr>
      <w:tr w14:paraId="5F3C31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tcPr>
          <w:p w14:paraId="1D70AC86">
            <w:pPr>
              <w:spacing w:line="340" w:lineRule="exact"/>
              <w:jc w:val="center"/>
              <w:rPr>
                <w:color w:val="auto"/>
                <w:sz w:val="24"/>
              </w:rPr>
            </w:pPr>
            <w:r>
              <w:rPr>
                <w:color w:val="auto"/>
                <w:sz w:val="24"/>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0CBAAEDE">
            <w:pPr>
              <w:spacing w:line="340" w:lineRule="exact"/>
              <w:jc w:val="left"/>
              <w:rPr>
                <w:color w:val="auto"/>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B951AEB">
            <w:pPr>
              <w:spacing w:line="340" w:lineRule="exact"/>
              <w:jc w:val="left"/>
              <w:rPr>
                <w:color w:val="auto"/>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B48599A">
            <w:pPr>
              <w:spacing w:line="340" w:lineRule="exact"/>
              <w:jc w:val="left"/>
              <w:rPr>
                <w:color w:val="auto"/>
                <w:sz w:val="24"/>
              </w:rPr>
            </w:pPr>
          </w:p>
        </w:tc>
        <w:tc>
          <w:tcPr>
            <w:tcW w:w="778" w:type="pct"/>
            <w:tcBorders>
              <w:top w:val="single" w:color="auto" w:sz="6" w:space="0"/>
              <w:left w:val="single" w:color="auto" w:sz="6" w:space="0"/>
              <w:bottom w:val="single" w:color="auto" w:sz="6" w:space="0"/>
              <w:right w:val="single" w:color="auto" w:sz="12" w:space="0"/>
            </w:tcBorders>
            <w:noWrap w:val="0"/>
          </w:tcPr>
          <w:p w14:paraId="6991ABEB">
            <w:pPr>
              <w:spacing w:line="340" w:lineRule="exact"/>
              <w:jc w:val="left"/>
              <w:rPr>
                <w:color w:val="auto"/>
                <w:sz w:val="24"/>
              </w:rPr>
            </w:pPr>
          </w:p>
        </w:tc>
      </w:tr>
      <w:tr w14:paraId="2487F4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tcPr>
          <w:p w14:paraId="098A34C3">
            <w:pPr>
              <w:spacing w:line="340" w:lineRule="exact"/>
              <w:jc w:val="center"/>
              <w:rPr>
                <w:color w:val="auto"/>
                <w:sz w:val="24"/>
              </w:rPr>
            </w:pPr>
            <w:r>
              <w:rPr>
                <w:color w:val="auto"/>
                <w:sz w:val="24"/>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27E22C88">
            <w:pPr>
              <w:spacing w:line="340" w:lineRule="exact"/>
              <w:jc w:val="left"/>
              <w:rPr>
                <w:color w:val="auto"/>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023CBB0">
            <w:pPr>
              <w:spacing w:line="340" w:lineRule="exact"/>
              <w:jc w:val="left"/>
              <w:rPr>
                <w:color w:val="auto"/>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E5E277E">
            <w:pPr>
              <w:spacing w:line="340" w:lineRule="exact"/>
              <w:jc w:val="left"/>
              <w:rPr>
                <w:color w:val="auto"/>
                <w:sz w:val="24"/>
              </w:rPr>
            </w:pPr>
          </w:p>
        </w:tc>
        <w:tc>
          <w:tcPr>
            <w:tcW w:w="778" w:type="pct"/>
            <w:tcBorders>
              <w:top w:val="single" w:color="auto" w:sz="6" w:space="0"/>
              <w:left w:val="single" w:color="auto" w:sz="6" w:space="0"/>
              <w:bottom w:val="single" w:color="auto" w:sz="6" w:space="0"/>
              <w:right w:val="single" w:color="auto" w:sz="12" w:space="0"/>
            </w:tcBorders>
            <w:noWrap w:val="0"/>
          </w:tcPr>
          <w:p w14:paraId="316F6543">
            <w:pPr>
              <w:spacing w:line="340" w:lineRule="exact"/>
              <w:jc w:val="left"/>
              <w:rPr>
                <w:color w:val="auto"/>
                <w:sz w:val="24"/>
              </w:rPr>
            </w:pPr>
          </w:p>
        </w:tc>
      </w:tr>
      <w:tr w14:paraId="1E38A9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tcPr>
          <w:p w14:paraId="73E47C9B">
            <w:pPr>
              <w:spacing w:line="340" w:lineRule="exact"/>
              <w:jc w:val="center"/>
              <w:rPr>
                <w:color w:val="auto"/>
                <w:sz w:val="24"/>
              </w:rPr>
            </w:pPr>
            <w:r>
              <w:rPr>
                <w:color w:val="auto"/>
                <w:sz w:val="24"/>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D455AEF">
            <w:pPr>
              <w:spacing w:line="340" w:lineRule="exact"/>
              <w:jc w:val="left"/>
              <w:rPr>
                <w:color w:val="auto"/>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7EA1FCF1">
            <w:pPr>
              <w:spacing w:line="340" w:lineRule="exact"/>
              <w:jc w:val="left"/>
              <w:rPr>
                <w:color w:val="auto"/>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285B82C2">
            <w:pPr>
              <w:spacing w:line="340" w:lineRule="exact"/>
              <w:jc w:val="left"/>
              <w:rPr>
                <w:color w:val="auto"/>
                <w:sz w:val="24"/>
              </w:rPr>
            </w:pPr>
          </w:p>
        </w:tc>
        <w:tc>
          <w:tcPr>
            <w:tcW w:w="778" w:type="pct"/>
            <w:tcBorders>
              <w:top w:val="single" w:color="auto" w:sz="6" w:space="0"/>
              <w:left w:val="single" w:color="auto" w:sz="6" w:space="0"/>
              <w:bottom w:val="single" w:color="auto" w:sz="6" w:space="0"/>
              <w:right w:val="single" w:color="auto" w:sz="12" w:space="0"/>
            </w:tcBorders>
            <w:noWrap w:val="0"/>
          </w:tcPr>
          <w:p w14:paraId="429CA18D">
            <w:pPr>
              <w:spacing w:line="340" w:lineRule="exact"/>
              <w:jc w:val="left"/>
              <w:rPr>
                <w:color w:val="auto"/>
                <w:sz w:val="24"/>
              </w:rPr>
            </w:pPr>
          </w:p>
        </w:tc>
      </w:tr>
      <w:tr w14:paraId="23C939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tcPr>
          <w:p w14:paraId="4B2FDC19">
            <w:pPr>
              <w:spacing w:line="340" w:lineRule="exact"/>
              <w:jc w:val="center"/>
              <w:rPr>
                <w:color w:val="auto"/>
                <w:sz w:val="24"/>
              </w:rPr>
            </w:pPr>
            <w:r>
              <w:rPr>
                <w:color w:val="auto"/>
                <w:sz w:val="24"/>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796CA8C5">
            <w:pPr>
              <w:spacing w:line="340" w:lineRule="exact"/>
              <w:jc w:val="left"/>
              <w:rPr>
                <w:color w:val="auto"/>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04A50445">
            <w:pPr>
              <w:spacing w:line="340" w:lineRule="exact"/>
              <w:jc w:val="left"/>
              <w:rPr>
                <w:color w:val="auto"/>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1A8464A4">
            <w:pPr>
              <w:spacing w:line="340" w:lineRule="exact"/>
              <w:jc w:val="left"/>
              <w:rPr>
                <w:color w:val="auto"/>
                <w:sz w:val="24"/>
              </w:rPr>
            </w:pPr>
          </w:p>
        </w:tc>
        <w:tc>
          <w:tcPr>
            <w:tcW w:w="778" w:type="pct"/>
            <w:tcBorders>
              <w:top w:val="single" w:color="auto" w:sz="6" w:space="0"/>
              <w:left w:val="single" w:color="auto" w:sz="6" w:space="0"/>
              <w:bottom w:val="single" w:color="auto" w:sz="6" w:space="0"/>
              <w:right w:val="single" w:color="auto" w:sz="12" w:space="0"/>
            </w:tcBorders>
            <w:noWrap w:val="0"/>
          </w:tcPr>
          <w:p w14:paraId="18815233">
            <w:pPr>
              <w:spacing w:line="340" w:lineRule="exact"/>
              <w:jc w:val="left"/>
              <w:rPr>
                <w:color w:val="auto"/>
                <w:sz w:val="24"/>
              </w:rPr>
            </w:pPr>
          </w:p>
        </w:tc>
      </w:tr>
    </w:tbl>
    <w:p w14:paraId="59482999">
      <w:pPr>
        <w:spacing w:line="300" w:lineRule="auto"/>
        <w:contextualSpacing/>
        <w:rPr>
          <w:rFonts w:eastAsia="仿宋"/>
          <w:b/>
          <w:bCs/>
          <w:color w:val="auto"/>
          <w:sz w:val="28"/>
          <w:szCs w:val="28"/>
        </w:rPr>
      </w:pPr>
      <w:r>
        <w:rPr>
          <w:rFonts w:eastAsia="仿宋"/>
          <w:b/>
          <w:bCs/>
          <w:color w:val="auto"/>
          <w:sz w:val="28"/>
          <w:szCs w:val="28"/>
        </w:rPr>
        <w:t>注：</w:t>
      </w:r>
    </w:p>
    <w:p w14:paraId="19105FE5">
      <w:pPr>
        <w:spacing w:line="300" w:lineRule="auto"/>
        <w:ind w:firstLine="560"/>
        <w:contextualSpacing/>
        <w:rPr>
          <w:rFonts w:eastAsia="仿宋"/>
          <w:color w:val="auto"/>
          <w:sz w:val="28"/>
          <w:szCs w:val="28"/>
        </w:rPr>
      </w:pPr>
      <w:r>
        <w:rPr>
          <w:rFonts w:eastAsia="仿宋"/>
          <w:color w:val="auto"/>
          <w:sz w:val="28"/>
          <w:szCs w:val="28"/>
        </w:rPr>
        <w:t>1.未说明偏离的，将被认为响应</w:t>
      </w:r>
      <w:r>
        <w:rPr>
          <w:rFonts w:hint="eastAsia" w:eastAsia="仿宋"/>
          <w:color w:val="auto"/>
          <w:sz w:val="28"/>
          <w:szCs w:val="28"/>
        </w:rPr>
        <w:t>磋商</w:t>
      </w:r>
      <w:r>
        <w:rPr>
          <w:rFonts w:eastAsia="仿宋"/>
          <w:color w:val="auto"/>
          <w:sz w:val="28"/>
          <w:szCs w:val="28"/>
        </w:rPr>
        <w:t>文件的规定，但该表不作为</w:t>
      </w:r>
      <w:r>
        <w:rPr>
          <w:rFonts w:hint="eastAsia" w:eastAsia="仿宋"/>
          <w:color w:val="auto"/>
          <w:sz w:val="28"/>
          <w:szCs w:val="28"/>
        </w:rPr>
        <w:t>供应商</w:t>
      </w:r>
      <w:r>
        <w:rPr>
          <w:rFonts w:eastAsia="仿宋"/>
          <w:color w:val="auto"/>
          <w:sz w:val="28"/>
          <w:szCs w:val="28"/>
        </w:rPr>
        <w:t>对所</w:t>
      </w:r>
      <w:r>
        <w:rPr>
          <w:rFonts w:hint="eastAsia" w:eastAsia="仿宋"/>
          <w:color w:val="auto"/>
          <w:sz w:val="28"/>
          <w:szCs w:val="28"/>
        </w:rPr>
        <w:t>响应</w:t>
      </w:r>
      <w:r>
        <w:rPr>
          <w:rFonts w:eastAsia="仿宋"/>
          <w:color w:val="auto"/>
          <w:sz w:val="28"/>
          <w:szCs w:val="28"/>
        </w:rPr>
        <w:t>内容关于技术部分等详细描述和说明的替代。</w:t>
      </w:r>
    </w:p>
    <w:p w14:paraId="00C2A1A2">
      <w:pPr>
        <w:spacing w:line="300" w:lineRule="auto"/>
        <w:ind w:firstLine="560"/>
        <w:contextualSpacing/>
        <w:rPr>
          <w:rFonts w:eastAsia="仿宋"/>
          <w:color w:val="auto"/>
          <w:sz w:val="28"/>
          <w:szCs w:val="28"/>
        </w:rPr>
      </w:pPr>
      <w:r>
        <w:rPr>
          <w:rFonts w:eastAsia="仿宋"/>
          <w:color w:val="auto"/>
          <w:sz w:val="28"/>
          <w:szCs w:val="28"/>
        </w:rPr>
        <w:t>2. 如有偏离的，在“偏离说明”一栏选择“正偏离</w:t>
      </w:r>
      <w:r>
        <w:rPr>
          <w:rFonts w:hint="eastAsia" w:eastAsia="仿宋"/>
          <w:color w:val="auto"/>
          <w:sz w:val="28"/>
          <w:szCs w:val="28"/>
        </w:rPr>
        <w:t>”“</w:t>
      </w:r>
      <w:r>
        <w:rPr>
          <w:rFonts w:eastAsia="仿宋"/>
          <w:color w:val="auto"/>
          <w:sz w:val="28"/>
          <w:szCs w:val="28"/>
        </w:rPr>
        <w:t>负偏离”进行填写。正偏离、负偏离的确认和负偏离的是否响应</w:t>
      </w:r>
      <w:r>
        <w:rPr>
          <w:rFonts w:hint="eastAsia" w:eastAsia="仿宋"/>
          <w:color w:val="auto"/>
          <w:sz w:val="28"/>
          <w:szCs w:val="28"/>
        </w:rPr>
        <w:t>磋商</w:t>
      </w:r>
      <w:r>
        <w:rPr>
          <w:rFonts w:eastAsia="仿宋"/>
          <w:color w:val="auto"/>
          <w:sz w:val="28"/>
          <w:szCs w:val="28"/>
        </w:rPr>
        <w:t>文件，由</w:t>
      </w:r>
      <w:r>
        <w:rPr>
          <w:rFonts w:hint="eastAsia" w:eastAsia="仿宋"/>
          <w:color w:val="auto"/>
          <w:sz w:val="28"/>
          <w:szCs w:val="28"/>
        </w:rPr>
        <w:t>磋商小组</w:t>
      </w:r>
      <w:r>
        <w:rPr>
          <w:rFonts w:eastAsia="仿宋"/>
          <w:color w:val="auto"/>
          <w:sz w:val="28"/>
          <w:szCs w:val="28"/>
        </w:rPr>
        <w:t>认定。</w:t>
      </w:r>
    </w:p>
    <w:p w14:paraId="09018857">
      <w:pPr>
        <w:spacing w:line="300" w:lineRule="auto"/>
        <w:ind w:firstLine="560"/>
        <w:contextualSpacing/>
        <w:rPr>
          <w:rFonts w:eastAsia="仿宋"/>
          <w:color w:val="auto"/>
          <w:sz w:val="28"/>
          <w:szCs w:val="28"/>
        </w:rPr>
      </w:pPr>
      <w:r>
        <w:rPr>
          <w:rFonts w:eastAsia="仿宋"/>
          <w:color w:val="auto"/>
          <w:sz w:val="28"/>
          <w:szCs w:val="28"/>
        </w:rPr>
        <w:t>3.</w:t>
      </w:r>
      <w:r>
        <w:rPr>
          <w:rFonts w:hint="eastAsia" w:eastAsia="仿宋"/>
          <w:color w:val="auto"/>
          <w:sz w:val="28"/>
          <w:szCs w:val="28"/>
        </w:rPr>
        <w:t>供应商</w:t>
      </w:r>
      <w:r>
        <w:rPr>
          <w:rFonts w:eastAsia="仿宋"/>
          <w:color w:val="auto"/>
          <w:sz w:val="28"/>
          <w:szCs w:val="28"/>
        </w:rPr>
        <w:t>若提供其他增值服务，可以在表中自行据实填写。</w:t>
      </w:r>
    </w:p>
    <w:p w14:paraId="72CABD07">
      <w:pPr>
        <w:spacing w:line="400" w:lineRule="exact"/>
        <w:ind w:firstLine="540"/>
        <w:contextualSpacing/>
        <w:rPr>
          <w:b/>
          <w:color w:val="auto"/>
          <w:sz w:val="28"/>
          <w:szCs w:val="28"/>
        </w:rPr>
      </w:pPr>
    </w:p>
    <w:p w14:paraId="4B054DA1">
      <w:pPr>
        <w:spacing w:line="400" w:lineRule="exact"/>
        <w:ind w:firstLine="540"/>
        <w:contextualSpacing/>
        <w:rPr>
          <w:b/>
          <w:color w:val="auto"/>
          <w:sz w:val="28"/>
          <w:szCs w:val="28"/>
        </w:rPr>
      </w:pPr>
    </w:p>
    <w:p w14:paraId="360C000D">
      <w:pPr>
        <w:spacing w:line="400" w:lineRule="exact"/>
        <w:ind w:firstLine="540"/>
        <w:contextualSpacing/>
        <w:rPr>
          <w:b/>
          <w:color w:val="auto"/>
          <w:sz w:val="28"/>
          <w:szCs w:val="28"/>
        </w:rPr>
      </w:pPr>
    </w:p>
    <w:p w14:paraId="35895AFF">
      <w:pPr>
        <w:spacing w:line="400" w:lineRule="exact"/>
        <w:ind w:firstLine="540"/>
        <w:contextualSpacing/>
        <w:rPr>
          <w:b/>
          <w:color w:val="auto"/>
          <w:sz w:val="28"/>
          <w:szCs w:val="28"/>
        </w:rPr>
      </w:pPr>
    </w:p>
    <w:p w14:paraId="3C7B9AFE">
      <w:pPr>
        <w:spacing w:line="300" w:lineRule="auto"/>
        <w:ind w:firstLine="3080"/>
        <w:contextualSpacing/>
        <w:rPr>
          <w:rFonts w:eastAsia="仿宋"/>
          <w:color w:val="auto"/>
          <w:sz w:val="28"/>
          <w:szCs w:val="28"/>
        </w:rPr>
      </w:pPr>
      <w:r>
        <w:rPr>
          <w:rFonts w:hint="eastAsia" w:eastAsia="仿宋"/>
          <w:color w:val="auto"/>
          <w:sz w:val="28"/>
          <w:szCs w:val="28"/>
        </w:rPr>
        <w:t>供应商</w:t>
      </w:r>
      <w:r>
        <w:rPr>
          <w:rFonts w:eastAsia="仿宋"/>
          <w:color w:val="auto"/>
          <w:sz w:val="28"/>
          <w:szCs w:val="28"/>
        </w:rPr>
        <w:t>名称（</w:t>
      </w:r>
      <w:r>
        <w:rPr>
          <w:rFonts w:hint="eastAsia" w:eastAsia="仿宋"/>
          <w:bCs/>
          <w:color w:val="auto"/>
          <w:sz w:val="28"/>
          <w:szCs w:val="28"/>
        </w:rPr>
        <w:t>加盖</w:t>
      </w:r>
      <w:r>
        <w:rPr>
          <w:rFonts w:eastAsia="仿宋"/>
          <w:color w:val="auto"/>
          <w:sz w:val="28"/>
          <w:szCs w:val="28"/>
        </w:rPr>
        <w:t>公章）：</w:t>
      </w:r>
      <w:r>
        <w:rPr>
          <w:rFonts w:eastAsia="仿宋"/>
          <w:color w:val="auto"/>
          <w:sz w:val="28"/>
          <w:szCs w:val="28"/>
          <w:u w:val="single"/>
        </w:rPr>
        <w:t xml:space="preserve">                  </w:t>
      </w:r>
    </w:p>
    <w:p w14:paraId="1C5E71E2">
      <w:pPr>
        <w:spacing w:line="300" w:lineRule="auto"/>
        <w:ind w:firstLine="3080"/>
        <w:contextualSpacing/>
        <w:rPr>
          <w:rFonts w:eastAsia="方正黑体_GBK"/>
          <w:color w:val="auto"/>
          <w:sz w:val="32"/>
          <w:szCs w:val="32"/>
        </w:rPr>
      </w:pPr>
      <w:r>
        <w:rPr>
          <w:rFonts w:eastAsia="仿宋"/>
          <w:color w:val="auto"/>
          <w:sz w:val="28"/>
          <w:szCs w:val="28"/>
        </w:rPr>
        <w:t>日期：</w:t>
      </w:r>
      <w:r>
        <w:rPr>
          <w:rFonts w:eastAsia="仿宋"/>
          <w:color w:val="auto"/>
          <w:sz w:val="28"/>
          <w:szCs w:val="28"/>
          <w:u w:val="single"/>
        </w:rPr>
        <w:t xml:space="preserve">       </w:t>
      </w:r>
      <w:r>
        <w:rPr>
          <w:rFonts w:eastAsia="仿宋"/>
          <w:color w:val="auto"/>
          <w:sz w:val="28"/>
          <w:szCs w:val="28"/>
        </w:rPr>
        <w:t>年</w:t>
      </w:r>
      <w:r>
        <w:rPr>
          <w:rFonts w:eastAsia="仿宋"/>
          <w:color w:val="auto"/>
          <w:sz w:val="28"/>
          <w:szCs w:val="28"/>
          <w:u w:val="single"/>
        </w:rPr>
        <w:t xml:space="preserve">   </w:t>
      </w:r>
      <w:r>
        <w:rPr>
          <w:rFonts w:eastAsia="仿宋"/>
          <w:color w:val="auto"/>
          <w:sz w:val="28"/>
          <w:szCs w:val="28"/>
        </w:rPr>
        <w:t>月</w:t>
      </w:r>
      <w:r>
        <w:rPr>
          <w:rFonts w:eastAsia="仿宋"/>
          <w:color w:val="auto"/>
          <w:sz w:val="28"/>
          <w:szCs w:val="28"/>
          <w:u w:val="single"/>
        </w:rPr>
        <w:t xml:space="preserve">    </w:t>
      </w:r>
      <w:r>
        <w:rPr>
          <w:rFonts w:eastAsia="仿宋"/>
          <w:color w:val="auto"/>
          <w:sz w:val="28"/>
          <w:szCs w:val="28"/>
        </w:rPr>
        <w:t>日</w:t>
      </w:r>
    </w:p>
    <w:p w14:paraId="29843295">
      <w:pPr>
        <w:spacing w:line="400" w:lineRule="exact"/>
        <w:ind w:firstLine="540"/>
        <w:contextualSpacing/>
        <w:rPr>
          <w:rFonts w:ascii="宋体" w:hAnsi="宋体" w:cs="宋体"/>
          <w:b/>
          <w:color w:val="auto"/>
          <w:sz w:val="28"/>
          <w:szCs w:val="28"/>
        </w:rPr>
      </w:pPr>
    </w:p>
    <w:p w14:paraId="3E6BFC6A">
      <w:pPr>
        <w:spacing w:line="400" w:lineRule="exact"/>
        <w:ind w:firstLine="540"/>
        <w:contextualSpacing/>
        <w:rPr>
          <w:rFonts w:ascii="宋体" w:hAnsi="宋体" w:cs="宋体"/>
          <w:b/>
          <w:color w:val="auto"/>
          <w:sz w:val="28"/>
          <w:szCs w:val="28"/>
        </w:rPr>
      </w:pPr>
    </w:p>
    <w:p w14:paraId="69DE5BA2">
      <w:pPr>
        <w:spacing w:line="400" w:lineRule="exact"/>
        <w:ind w:firstLine="540"/>
        <w:contextualSpacing/>
        <w:rPr>
          <w:rFonts w:ascii="宋体" w:hAnsi="宋体" w:cs="宋体"/>
          <w:b/>
          <w:color w:val="auto"/>
          <w:sz w:val="28"/>
          <w:szCs w:val="28"/>
        </w:rPr>
      </w:pPr>
    </w:p>
    <w:p w14:paraId="05A7A9EB">
      <w:pPr>
        <w:spacing w:line="400" w:lineRule="exact"/>
        <w:ind w:firstLine="540"/>
        <w:contextualSpacing/>
        <w:rPr>
          <w:rFonts w:ascii="宋体" w:hAnsi="宋体" w:cs="宋体"/>
          <w:b/>
          <w:color w:val="auto"/>
          <w:sz w:val="28"/>
          <w:szCs w:val="28"/>
        </w:rPr>
      </w:pPr>
    </w:p>
    <w:p w14:paraId="7DFE4062">
      <w:pPr>
        <w:spacing w:line="400" w:lineRule="exact"/>
        <w:ind w:firstLine="540"/>
        <w:contextualSpacing/>
        <w:rPr>
          <w:rFonts w:ascii="宋体" w:hAnsi="宋体" w:cs="宋体"/>
          <w:b/>
          <w:color w:val="auto"/>
          <w:sz w:val="28"/>
          <w:szCs w:val="28"/>
        </w:rPr>
      </w:pPr>
    </w:p>
    <w:p w14:paraId="3F3D1C0A">
      <w:pPr>
        <w:spacing w:line="400" w:lineRule="exact"/>
        <w:ind w:firstLine="540"/>
        <w:contextualSpacing/>
        <w:rPr>
          <w:rFonts w:ascii="宋体" w:hAnsi="宋体" w:cs="宋体"/>
          <w:b/>
          <w:color w:val="auto"/>
          <w:sz w:val="28"/>
          <w:szCs w:val="28"/>
        </w:rPr>
      </w:pPr>
    </w:p>
    <w:p w14:paraId="391D863C">
      <w:pPr>
        <w:widowControl/>
        <w:jc w:val="left"/>
        <w:rPr>
          <w:rFonts w:hint="eastAsia" w:ascii="宋体" w:hAnsi="宋体" w:eastAsia="宋体" w:cs="宋体"/>
          <w:b/>
          <w:bCs/>
          <w:color w:val="auto"/>
          <w:sz w:val="32"/>
          <w:szCs w:val="32"/>
        </w:rPr>
      </w:pPr>
    </w:p>
    <w:p w14:paraId="6A9A4E56">
      <w:pPr>
        <w:widowControl/>
        <w:jc w:val="left"/>
        <w:rPr>
          <w:b/>
          <w:color w:val="auto"/>
          <w:sz w:val="32"/>
          <w:szCs w:val="32"/>
        </w:rPr>
      </w:pPr>
      <w:r>
        <w:rPr>
          <w:rFonts w:hint="eastAsia" w:ascii="宋体" w:hAnsi="宋体" w:eastAsia="宋体" w:cs="宋体"/>
          <w:b/>
          <w:bCs/>
          <w:color w:val="auto"/>
          <w:sz w:val="32"/>
          <w:szCs w:val="32"/>
        </w:rPr>
        <w:t>附件8</w:t>
      </w:r>
    </w:p>
    <w:p w14:paraId="55D80887">
      <w:pPr>
        <w:keepNext w:val="0"/>
        <w:keepLines w:val="0"/>
        <w:pageBreakBefore w:val="0"/>
        <w:widowControl w:val="0"/>
        <w:spacing w:after="361" w:line="50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分项报价明细表（服务类）</w:t>
      </w:r>
    </w:p>
    <w:p w14:paraId="74488683">
      <w:pPr>
        <w:keepNext w:val="0"/>
        <w:keepLines w:val="0"/>
        <w:pageBreakBefore w:val="0"/>
        <w:widowControl w:val="0"/>
        <w:spacing w:line="500" w:lineRule="exact"/>
        <w:rPr>
          <w:rFonts w:eastAsia="仿宋_GB2312"/>
          <w:color w:val="auto"/>
          <w:sz w:val="28"/>
          <w:szCs w:val="28"/>
          <w:highlight w:val="yellow"/>
        </w:rPr>
      </w:pPr>
      <w:r>
        <w:rPr>
          <w:rFonts w:eastAsia="仿宋"/>
          <w:bCs/>
          <w:color w:val="auto"/>
          <w:sz w:val="28"/>
          <w:szCs w:val="28"/>
        </w:rPr>
        <w:t>项目编号：</w:t>
      </w:r>
      <w:r>
        <w:rPr>
          <w:rFonts w:eastAsia="仿宋"/>
          <w:color w:val="auto"/>
          <w:sz w:val="28"/>
          <w:szCs w:val="28"/>
          <w:u w:val="single"/>
        </w:rPr>
        <w:t xml:space="preserve">                      </w:t>
      </w:r>
    </w:p>
    <w:p w14:paraId="10FA0BB3">
      <w:pPr>
        <w:keepNext w:val="0"/>
        <w:keepLines w:val="0"/>
        <w:pageBreakBefore w:val="0"/>
        <w:widowControl w:val="0"/>
        <w:spacing w:line="500" w:lineRule="exact"/>
        <w:rPr>
          <w:rFonts w:eastAsia="仿宋_GB2312"/>
          <w:color w:val="auto"/>
          <w:sz w:val="28"/>
          <w:szCs w:val="28"/>
        </w:rPr>
      </w:pPr>
      <w:r>
        <w:rPr>
          <w:rFonts w:hint="eastAsia" w:eastAsia="仿宋_GB2312"/>
          <w:color w:val="auto"/>
          <w:sz w:val="28"/>
          <w:szCs w:val="28"/>
        </w:rPr>
        <w:t>供应商</w:t>
      </w:r>
      <w:r>
        <w:rPr>
          <w:rFonts w:eastAsia="仿宋_GB2312"/>
          <w:color w:val="auto"/>
          <w:sz w:val="28"/>
          <w:szCs w:val="28"/>
        </w:rPr>
        <w:t>名称（</w:t>
      </w:r>
      <w:r>
        <w:rPr>
          <w:rFonts w:hint="eastAsia" w:eastAsia="仿宋"/>
          <w:bCs/>
          <w:color w:val="auto"/>
          <w:sz w:val="28"/>
          <w:szCs w:val="28"/>
        </w:rPr>
        <w:t>加盖公章</w:t>
      </w:r>
      <w:r>
        <w:rPr>
          <w:rFonts w:eastAsia="仿宋_GB2312"/>
          <w:color w:val="auto"/>
          <w:sz w:val="28"/>
          <w:szCs w:val="28"/>
        </w:rPr>
        <w:t>）：                            年  月  日</w:t>
      </w:r>
    </w:p>
    <w:tbl>
      <w:tblPr>
        <w:tblStyle w:val="34"/>
        <w:tblW w:w="102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1162"/>
        <w:gridCol w:w="1404"/>
      </w:tblGrid>
      <w:tr w14:paraId="62A0D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971" w:type="dxa"/>
            <w:vAlign w:val="center"/>
          </w:tcPr>
          <w:p w14:paraId="621B4C4E">
            <w:pPr>
              <w:snapToGrid w:val="0"/>
              <w:spacing w:line="360" w:lineRule="auto"/>
              <w:jc w:val="center"/>
              <w:rPr>
                <w:rFonts w:ascii="黑体" w:hAnsi="黑体" w:eastAsia="黑体" w:cs="黑体"/>
                <w:bCs/>
                <w:color w:val="000000"/>
                <w:szCs w:val="21"/>
                <w:highlight w:val="none"/>
              </w:rPr>
            </w:pPr>
            <w:r>
              <w:rPr>
                <w:rFonts w:hint="eastAsia" w:ascii="黑体" w:hAnsi="黑体" w:eastAsia="黑体" w:cs="黑体"/>
                <w:bCs/>
                <w:color w:val="000000"/>
                <w:szCs w:val="21"/>
                <w:highlight w:val="none"/>
              </w:rPr>
              <w:t>序号</w:t>
            </w:r>
          </w:p>
        </w:tc>
        <w:tc>
          <w:tcPr>
            <w:tcW w:w="1321" w:type="dxa"/>
            <w:vAlign w:val="center"/>
          </w:tcPr>
          <w:p w14:paraId="4C4B39CE">
            <w:pPr>
              <w:snapToGrid w:val="0"/>
              <w:spacing w:line="360" w:lineRule="auto"/>
              <w:jc w:val="center"/>
              <w:rPr>
                <w:rFonts w:ascii="黑体" w:hAnsi="黑体" w:eastAsia="黑体" w:cs="黑体"/>
                <w:bCs/>
                <w:color w:val="000000"/>
                <w:szCs w:val="21"/>
                <w:highlight w:val="none"/>
              </w:rPr>
            </w:pPr>
            <w:r>
              <w:rPr>
                <w:rFonts w:hint="eastAsia" w:ascii="黑体" w:hAnsi="黑体" w:eastAsia="黑体" w:cs="黑体"/>
                <w:bCs/>
                <w:color w:val="000000"/>
                <w:szCs w:val="21"/>
                <w:highlight w:val="none"/>
              </w:rPr>
              <w:t>名称</w:t>
            </w:r>
          </w:p>
        </w:tc>
        <w:tc>
          <w:tcPr>
            <w:tcW w:w="1417" w:type="dxa"/>
            <w:vAlign w:val="center"/>
          </w:tcPr>
          <w:p w14:paraId="7CF57C22">
            <w:pPr>
              <w:snapToGrid w:val="0"/>
              <w:spacing w:line="360" w:lineRule="auto"/>
              <w:jc w:val="center"/>
              <w:rPr>
                <w:rFonts w:hint="eastAsia" w:ascii="黑体" w:hAnsi="黑体" w:eastAsia="黑体" w:cs="黑体"/>
                <w:bCs/>
                <w:color w:val="000000"/>
                <w:szCs w:val="21"/>
                <w:highlight w:val="none"/>
                <w:lang w:eastAsia="zh-CN"/>
              </w:rPr>
            </w:pPr>
            <w:r>
              <w:rPr>
                <w:rFonts w:hint="eastAsia" w:ascii="黑体" w:hAnsi="黑体" w:eastAsia="黑体" w:cs="黑体"/>
                <w:bCs/>
                <w:color w:val="000000"/>
                <w:szCs w:val="21"/>
                <w:highlight w:val="none"/>
              </w:rPr>
              <w:t>服务</w:t>
            </w:r>
            <w:r>
              <w:rPr>
                <w:rFonts w:hint="eastAsia" w:ascii="黑体" w:hAnsi="黑体" w:eastAsia="黑体" w:cs="黑体"/>
                <w:bCs/>
                <w:color w:val="000000"/>
                <w:szCs w:val="21"/>
                <w:highlight w:val="none"/>
                <w:lang w:val="en-US" w:eastAsia="zh-CN"/>
              </w:rPr>
              <w:t>内容</w:t>
            </w:r>
          </w:p>
        </w:tc>
        <w:tc>
          <w:tcPr>
            <w:tcW w:w="1418" w:type="dxa"/>
            <w:vAlign w:val="center"/>
          </w:tcPr>
          <w:p w14:paraId="70A81E8F">
            <w:pPr>
              <w:snapToGrid w:val="0"/>
              <w:spacing w:line="360" w:lineRule="auto"/>
              <w:jc w:val="center"/>
              <w:rPr>
                <w:rFonts w:hint="eastAsia" w:ascii="黑体" w:hAnsi="黑体" w:eastAsia="黑体" w:cs="黑体"/>
                <w:bCs/>
                <w:color w:val="000000"/>
                <w:szCs w:val="21"/>
                <w:highlight w:val="none"/>
                <w:lang w:eastAsia="zh-CN"/>
              </w:rPr>
            </w:pPr>
            <w:r>
              <w:rPr>
                <w:rFonts w:hint="eastAsia" w:ascii="黑体" w:hAnsi="黑体" w:eastAsia="黑体" w:cs="黑体"/>
                <w:bCs/>
                <w:color w:val="000000"/>
                <w:szCs w:val="21"/>
                <w:highlight w:val="none"/>
              </w:rPr>
              <w:t>服务</w:t>
            </w:r>
            <w:r>
              <w:rPr>
                <w:rFonts w:hint="eastAsia" w:ascii="黑体" w:hAnsi="黑体" w:eastAsia="黑体" w:cs="黑体"/>
                <w:bCs/>
                <w:color w:val="000000"/>
                <w:szCs w:val="21"/>
                <w:highlight w:val="none"/>
                <w:lang w:val="en-US" w:eastAsia="zh-CN"/>
              </w:rPr>
              <w:t>周期</w:t>
            </w:r>
          </w:p>
        </w:tc>
        <w:tc>
          <w:tcPr>
            <w:tcW w:w="1275" w:type="dxa"/>
            <w:vAlign w:val="center"/>
          </w:tcPr>
          <w:p w14:paraId="7CA937AD">
            <w:pPr>
              <w:snapToGrid w:val="0"/>
              <w:spacing w:line="360" w:lineRule="auto"/>
              <w:jc w:val="center"/>
              <w:rPr>
                <w:rFonts w:hint="eastAsia" w:ascii="黑体" w:hAnsi="黑体" w:eastAsia="黑体" w:cs="黑体"/>
                <w:bCs/>
                <w:color w:val="000000"/>
                <w:szCs w:val="21"/>
                <w:highlight w:val="none"/>
                <w:lang w:val="en-US" w:eastAsia="zh-CN"/>
              </w:rPr>
            </w:pPr>
            <w:r>
              <w:rPr>
                <w:rFonts w:hint="eastAsia" w:ascii="黑体" w:hAnsi="黑体" w:eastAsia="黑体" w:cs="黑体"/>
                <w:bCs/>
                <w:color w:val="000000"/>
                <w:szCs w:val="21"/>
                <w:highlight w:val="none"/>
                <w:lang w:val="en-US" w:eastAsia="zh-CN"/>
              </w:rPr>
              <w:t>数量</w:t>
            </w:r>
          </w:p>
        </w:tc>
        <w:tc>
          <w:tcPr>
            <w:tcW w:w="1276" w:type="dxa"/>
            <w:vAlign w:val="center"/>
          </w:tcPr>
          <w:p w14:paraId="02C9DF10">
            <w:pPr>
              <w:snapToGrid w:val="0"/>
              <w:spacing w:line="360" w:lineRule="auto"/>
              <w:jc w:val="center"/>
              <w:rPr>
                <w:rFonts w:hint="eastAsia" w:ascii="黑体" w:hAnsi="黑体" w:eastAsia="黑体" w:cs="黑体"/>
                <w:bCs/>
                <w:color w:val="000000"/>
                <w:szCs w:val="21"/>
                <w:highlight w:val="none"/>
                <w:lang w:val="en-US" w:eastAsia="zh-CN"/>
              </w:rPr>
            </w:pPr>
            <w:r>
              <w:rPr>
                <w:rFonts w:hint="eastAsia" w:ascii="黑体" w:hAnsi="黑体" w:eastAsia="黑体" w:cs="黑体"/>
                <w:bCs/>
                <w:color w:val="000000"/>
                <w:szCs w:val="21"/>
                <w:highlight w:val="none"/>
                <w:lang w:val="en-US" w:eastAsia="zh-CN"/>
              </w:rPr>
              <w:t>单位</w:t>
            </w:r>
          </w:p>
        </w:tc>
        <w:tc>
          <w:tcPr>
            <w:tcW w:w="1162" w:type="dxa"/>
            <w:vAlign w:val="center"/>
          </w:tcPr>
          <w:p w14:paraId="157F1BFE">
            <w:pPr>
              <w:snapToGrid w:val="0"/>
              <w:spacing w:line="360" w:lineRule="auto"/>
              <w:jc w:val="center"/>
              <w:rPr>
                <w:rFonts w:ascii="黑体" w:hAnsi="黑体" w:eastAsia="黑体" w:cs="黑体"/>
                <w:bCs/>
                <w:color w:val="000000"/>
                <w:szCs w:val="21"/>
                <w:highlight w:val="none"/>
              </w:rPr>
            </w:pPr>
            <w:r>
              <w:rPr>
                <w:rFonts w:hint="eastAsia" w:ascii="黑体" w:hAnsi="黑体" w:eastAsia="黑体" w:cs="黑体"/>
                <w:bCs/>
                <w:color w:val="000000"/>
                <w:szCs w:val="21"/>
                <w:highlight w:val="none"/>
              </w:rPr>
              <w:t>金额</w:t>
            </w:r>
          </w:p>
        </w:tc>
        <w:tc>
          <w:tcPr>
            <w:tcW w:w="1404" w:type="dxa"/>
            <w:vAlign w:val="center"/>
          </w:tcPr>
          <w:p w14:paraId="48619513">
            <w:pPr>
              <w:snapToGrid w:val="0"/>
              <w:spacing w:line="360" w:lineRule="auto"/>
              <w:ind w:firstLine="105" w:firstLineChars="50"/>
              <w:jc w:val="center"/>
              <w:rPr>
                <w:rFonts w:ascii="黑体" w:hAnsi="黑体" w:eastAsia="黑体" w:cs="黑体"/>
                <w:bCs/>
                <w:color w:val="000000"/>
                <w:szCs w:val="21"/>
                <w:highlight w:val="none"/>
              </w:rPr>
            </w:pPr>
            <w:r>
              <w:rPr>
                <w:rFonts w:hint="eastAsia" w:ascii="黑体" w:hAnsi="黑体" w:eastAsia="黑体" w:cs="黑体"/>
                <w:bCs/>
                <w:color w:val="000000"/>
                <w:szCs w:val="21"/>
                <w:highlight w:val="none"/>
              </w:rPr>
              <w:t>备注</w:t>
            </w:r>
          </w:p>
        </w:tc>
      </w:tr>
      <w:tr w14:paraId="294F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971" w:type="dxa"/>
            <w:vAlign w:val="center"/>
          </w:tcPr>
          <w:p w14:paraId="4F01D088">
            <w:pPr>
              <w:snapToGrid w:val="0"/>
              <w:spacing w:line="360" w:lineRule="auto"/>
              <w:jc w:val="center"/>
              <w:rPr>
                <w:rFonts w:eastAsia="仿宋_GB2312"/>
                <w:color w:val="000000"/>
                <w:szCs w:val="21"/>
                <w:highlight w:val="none"/>
              </w:rPr>
            </w:pPr>
            <w:r>
              <w:rPr>
                <w:rFonts w:eastAsia="仿宋_GB2312"/>
                <w:color w:val="000000"/>
                <w:szCs w:val="21"/>
                <w:highlight w:val="none"/>
              </w:rPr>
              <w:t>1</w:t>
            </w:r>
          </w:p>
        </w:tc>
        <w:tc>
          <w:tcPr>
            <w:tcW w:w="1321" w:type="dxa"/>
            <w:vAlign w:val="center"/>
          </w:tcPr>
          <w:p w14:paraId="13A9CC13">
            <w:pPr>
              <w:snapToGrid w:val="0"/>
              <w:spacing w:line="360" w:lineRule="auto"/>
              <w:jc w:val="center"/>
              <w:rPr>
                <w:rFonts w:eastAsia="仿宋_GB2312"/>
                <w:color w:val="000000"/>
                <w:sz w:val="24"/>
                <w:highlight w:val="none"/>
              </w:rPr>
            </w:pPr>
          </w:p>
        </w:tc>
        <w:tc>
          <w:tcPr>
            <w:tcW w:w="1417" w:type="dxa"/>
            <w:vAlign w:val="center"/>
          </w:tcPr>
          <w:p w14:paraId="7406A022">
            <w:pPr>
              <w:snapToGrid w:val="0"/>
              <w:spacing w:line="360" w:lineRule="auto"/>
              <w:jc w:val="center"/>
              <w:rPr>
                <w:rFonts w:eastAsia="仿宋_GB2312"/>
                <w:color w:val="000000"/>
                <w:sz w:val="24"/>
                <w:highlight w:val="none"/>
              </w:rPr>
            </w:pPr>
          </w:p>
        </w:tc>
        <w:tc>
          <w:tcPr>
            <w:tcW w:w="1418" w:type="dxa"/>
            <w:vAlign w:val="center"/>
          </w:tcPr>
          <w:p w14:paraId="3D3A3123">
            <w:pPr>
              <w:snapToGrid w:val="0"/>
              <w:spacing w:line="360" w:lineRule="auto"/>
              <w:jc w:val="center"/>
              <w:rPr>
                <w:rFonts w:eastAsia="仿宋_GB2312"/>
                <w:color w:val="000000"/>
                <w:sz w:val="24"/>
                <w:highlight w:val="none"/>
              </w:rPr>
            </w:pPr>
          </w:p>
        </w:tc>
        <w:tc>
          <w:tcPr>
            <w:tcW w:w="1275" w:type="dxa"/>
            <w:vAlign w:val="center"/>
          </w:tcPr>
          <w:p w14:paraId="7C7BDE0F">
            <w:pPr>
              <w:snapToGrid w:val="0"/>
              <w:spacing w:line="360" w:lineRule="auto"/>
              <w:jc w:val="center"/>
              <w:rPr>
                <w:rFonts w:eastAsia="仿宋_GB2312"/>
                <w:color w:val="000000"/>
                <w:sz w:val="24"/>
                <w:highlight w:val="none"/>
              </w:rPr>
            </w:pPr>
          </w:p>
        </w:tc>
        <w:tc>
          <w:tcPr>
            <w:tcW w:w="1276" w:type="dxa"/>
            <w:vAlign w:val="center"/>
          </w:tcPr>
          <w:p w14:paraId="3702D731">
            <w:pPr>
              <w:snapToGrid w:val="0"/>
              <w:spacing w:line="360" w:lineRule="auto"/>
              <w:jc w:val="center"/>
              <w:rPr>
                <w:rFonts w:eastAsia="仿宋_GB2312"/>
                <w:color w:val="000000"/>
                <w:sz w:val="24"/>
                <w:highlight w:val="none"/>
              </w:rPr>
            </w:pPr>
          </w:p>
        </w:tc>
        <w:tc>
          <w:tcPr>
            <w:tcW w:w="1162" w:type="dxa"/>
            <w:vAlign w:val="center"/>
          </w:tcPr>
          <w:p w14:paraId="03064274">
            <w:pPr>
              <w:snapToGrid w:val="0"/>
              <w:spacing w:line="360" w:lineRule="auto"/>
              <w:jc w:val="center"/>
              <w:rPr>
                <w:rFonts w:eastAsia="仿宋_GB2312"/>
                <w:color w:val="000000"/>
                <w:sz w:val="24"/>
                <w:highlight w:val="none"/>
              </w:rPr>
            </w:pPr>
          </w:p>
        </w:tc>
        <w:tc>
          <w:tcPr>
            <w:tcW w:w="1404" w:type="dxa"/>
            <w:vAlign w:val="center"/>
          </w:tcPr>
          <w:p w14:paraId="223012D7">
            <w:pPr>
              <w:snapToGrid w:val="0"/>
              <w:spacing w:line="360" w:lineRule="auto"/>
              <w:jc w:val="center"/>
              <w:rPr>
                <w:rFonts w:eastAsia="仿宋_GB2312"/>
                <w:color w:val="000000"/>
                <w:sz w:val="24"/>
                <w:highlight w:val="none"/>
              </w:rPr>
            </w:pPr>
          </w:p>
        </w:tc>
      </w:tr>
      <w:tr w14:paraId="7C2DB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971" w:type="dxa"/>
            <w:vAlign w:val="center"/>
          </w:tcPr>
          <w:p w14:paraId="6BCE563A">
            <w:pPr>
              <w:snapToGrid w:val="0"/>
              <w:spacing w:line="360" w:lineRule="auto"/>
              <w:jc w:val="center"/>
              <w:rPr>
                <w:rFonts w:eastAsia="仿宋_GB2312"/>
                <w:color w:val="000000"/>
                <w:szCs w:val="21"/>
                <w:highlight w:val="none"/>
              </w:rPr>
            </w:pPr>
            <w:r>
              <w:rPr>
                <w:rFonts w:eastAsia="仿宋_GB2312"/>
                <w:color w:val="000000"/>
                <w:szCs w:val="21"/>
                <w:highlight w:val="none"/>
              </w:rPr>
              <w:t>2</w:t>
            </w:r>
          </w:p>
        </w:tc>
        <w:tc>
          <w:tcPr>
            <w:tcW w:w="1321" w:type="dxa"/>
            <w:vAlign w:val="center"/>
          </w:tcPr>
          <w:p w14:paraId="65CEEAB3">
            <w:pPr>
              <w:snapToGrid w:val="0"/>
              <w:spacing w:line="360" w:lineRule="auto"/>
              <w:jc w:val="center"/>
              <w:rPr>
                <w:rFonts w:eastAsia="仿宋_GB2312"/>
                <w:color w:val="000000"/>
                <w:sz w:val="24"/>
                <w:highlight w:val="none"/>
              </w:rPr>
            </w:pPr>
          </w:p>
        </w:tc>
        <w:tc>
          <w:tcPr>
            <w:tcW w:w="1417" w:type="dxa"/>
            <w:vAlign w:val="center"/>
          </w:tcPr>
          <w:p w14:paraId="4E0ECA24">
            <w:pPr>
              <w:snapToGrid w:val="0"/>
              <w:spacing w:line="360" w:lineRule="auto"/>
              <w:jc w:val="center"/>
              <w:rPr>
                <w:rFonts w:eastAsia="仿宋_GB2312"/>
                <w:color w:val="000000"/>
                <w:sz w:val="24"/>
                <w:highlight w:val="none"/>
              </w:rPr>
            </w:pPr>
          </w:p>
        </w:tc>
        <w:tc>
          <w:tcPr>
            <w:tcW w:w="1418" w:type="dxa"/>
            <w:vAlign w:val="center"/>
          </w:tcPr>
          <w:p w14:paraId="286D9D3F">
            <w:pPr>
              <w:snapToGrid w:val="0"/>
              <w:spacing w:line="360" w:lineRule="auto"/>
              <w:jc w:val="center"/>
              <w:rPr>
                <w:rFonts w:eastAsia="仿宋_GB2312"/>
                <w:color w:val="000000"/>
                <w:sz w:val="24"/>
                <w:highlight w:val="none"/>
              </w:rPr>
            </w:pPr>
          </w:p>
        </w:tc>
        <w:tc>
          <w:tcPr>
            <w:tcW w:w="1275" w:type="dxa"/>
            <w:vAlign w:val="center"/>
          </w:tcPr>
          <w:p w14:paraId="10364F62">
            <w:pPr>
              <w:snapToGrid w:val="0"/>
              <w:spacing w:line="360" w:lineRule="auto"/>
              <w:jc w:val="center"/>
              <w:rPr>
                <w:rFonts w:eastAsia="仿宋_GB2312"/>
                <w:color w:val="000000"/>
                <w:sz w:val="24"/>
                <w:highlight w:val="none"/>
              </w:rPr>
            </w:pPr>
          </w:p>
        </w:tc>
        <w:tc>
          <w:tcPr>
            <w:tcW w:w="1276" w:type="dxa"/>
            <w:vAlign w:val="center"/>
          </w:tcPr>
          <w:p w14:paraId="0E901FBF">
            <w:pPr>
              <w:snapToGrid w:val="0"/>
              <w:spacing w:line="360" w:lineRule="auto"/>
              <w:jc w:val="center"/>
              <w:rPr>
                <w:rFonts w:eastAsia="仿宋_GB2312"/>
                <w:color w:val="000000"/>
                <w:sz w:val="24"/>
                <w:highlight w:val="none"/>
              </w:rPr>
            </w:pPr>
          </w:p>
        </w:tc>
        <w:tc>
          <w:tcPr>
            <w:tcW w:w="1162" w:type="dxa"/>
            <w:vAlign w:val="center"/>
          </w:tcPr>
          <w:p w14:paraId="4A1E9E41">
            <w:pPr>
              <w:snapToGrid w:val="0"/>
              <w:spacing w:line="360" w:lineRule="auto"/>
              <w:jc w:val="center"/>
              <w:rPr>
                <w:rFonts w:eastAsia="仿宋_GB2312"/>
                <w:color w:val="000000"/>
                <w:sz w:val="24"/>
                <w:highlight w:val="none"/>
              </w:rPr>
            </w:pPr>
          </w:p>
        </w:tc>
        <w:tc>
          <w:tcPr>
            <w:tcW w:w="1404" w:type="dxa"/>
            <w:vAlign w:val="center"/>
          </w:tcPr>
          <w:p w14:paraId="13AA027A">
            <w:pPr>
              <w:snapToGrid w:val="0"/>
              <w:spacing w:line="360" w:lineRule="auto"/>
              <w:jc w:val="center"/>
              <w:rPr>
                <w:rFonts w:eastAsia="仿宋_GB2312"/>
                <w:color w:val="000000"/>
                <w:sz w:val="24"/>
                <w:highlight w:val="none"/>
              </w:rPr>
            </w:pPr>
          </w:p>
        </w:tc>
      </w:tr>
      <w:tr w14:paraId="40F3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0064E7A1">
            <w:pPr>
              <w:snapToGrid w:val="0"/>
              <w:spacing w:line="360" w:lineRule="auto"/>
              <w:jc w:val="center"/>
              <w:rPr>
                <w:rFonts w:eastAsia="仿宋_GB2312"/>
                <w:color w:val="000000"/>
                <w:szCs w:val="21"/>
                <w:highlight w:val="none"/>
              </w:rPr>
            </w:pPr>
            <w:r>
              <w:rPr>
                <w:rFonts w:eastAsia="仿宋_GB2312"/>
                <w:color w:val="000000"/>
                <w:szCs w:val="21"/>
                <w:highlight w:val="none"/>
              </w:rPr>
              <w:t>3</w:t>
            </w:r>
          </w:p>
        </w:tc>
        <w:tc>
          <w:tcPr>
            <w:tcW w:w="1321" w:type="dxa"/>
            <w:vAlign w:val="center"/>
          </w:tcPr>
          <w:p w14:paraId="3A16CC74">
            <w:pPr>
              <w:snapToGrid w:val="0"/>
              <w:spacing w:line="360" w:lineRule="auto"/>
              <w:jc w:val="center"/>
              <w:rPr>
                <w:rFonts w:eastAsia="仿宋_GB2312"/>
                <w:color w:val="000000"/>
                <w:sz w:val="24"/>
                <w:highlight w:val="none"/>
              </w:rPr>
            </w:pPr>
          </w:p>
        </w:tc>
        <w:tc>
          <w:tcPr>
            <w:tcW w:w="1417" w:type="dxa"/>
            <w:vAlign w:val="center"/>
          </w:tcPr>
          <w:p w14:paraId="17AE4421">
            <w:pPr>
              <w:snapToGrid w:val="0"/>
              <w:spacing w:line="360" w:lineRule="auto"/>
              <w:jc w:val="center"/>
              <w:rPr>
                <w:rFonts w:eastAsia="仿宋_GB2312"/>
                <w:color w:val="000000"/>
                <w:sz w:val="24"/>
                <w:highlight w:val="none"/>
              </w:rPr>
            </w:pPr>
          </w:p>
        </w:tc>
        <w:tc>
          <w:tcPr>
            <w:tcW w:w="1418" w:type="dxa"/>
            <w:vAlign w:val="center"/>
          </w:tcPr>
          <w:p w14:paraId="13785A84">
            <w:pPr>
              <w:snapToGrid w:val="0"/>
              <w:spacing w:line="360" w:lineRule="auto"/>
              <w:jc w:val="center"/>
              <w:rPr>
                <w:rFonts w:eastAsia="仿宋_GB2312"/>
                <w:color w:val="000000"/>
                <w:sz w:val="24"/>
                <w:highlight w:val="none"/>
              </w:rPr>
            </w:pPr>
          </w:p>
        </w:tc>
        <w:tc>
          <w:tcPr>
            <w:tcW w:w="1275" w:type="dxa"/>
            <w:vAlign w:val="center"/>
          </w:tcPr>
          <w:p w14:paraId="0B353A18">
            <w:pPr>
              <w:snapToGrid w:val="0"/>
              <w:spacing w:line="360" w:lineRule="auto"/>
              <w:jc w:val="center"/>
              <w:rPr>
                <w:rFonts w:eastAsia="仿宋_GB2312"/>
                <w:color w:val="000000"/>
                <w:sz w:val="24"/>
                <w:highlight w:val="none"/>
              </w:rPr>
            </w:pPr>
          </w:p>
        </w:tc>
        <w:tc>
          <w:tcPr>
            <w:tcW w:w="1276" w:type="dxa"/>
            <w:vAlign w:val="center"/>
          </w:tcPr>
          <w:p w14:paraId="140270C8">
            <w:pPr>
              <w:snapToGrid w:val="0"/>
              <w:spacing w:line="360" w:lineRule="auto"/>
              <w:jc w:val="center"/>
              <w:rPr>
                <w:rFonts w:eastAsia="仿宋_GB2312"/>
                <w:color w:val="000000"/>
                <w:sz w:val="24"/>
                <w:highlight w:val="none"/>
              </w:rPr>
            </w:pPr>
          </w:p>
        </w:tc>
        <w:tc>
          <w:tcPr>
            <w:tcW w:w="1162" w:type="dxa"/>
            <w:vAlign w:val="center"/>
          </w:tcPr>
          <w:p w14:paraId="3CAD55C3">
            <w:pPr>
              <w:snapToGrid w:val="0"/>
              <w:spacing w:line="360" w:lineRule="auto"/>
              <w:jc w:val="center"/>
              <w:rPr>
                <w:rFonts w:eastAsia="仿宋_GB2312"/>
                <w:color w:val="000000"/>
                <w:sz w:val="24"/>
                <w:highlight w:val="none"/>
              </w:rPr>
            </w:pPr>
          </w:p>
        </w:tc>
        <w:tc>
          <w:tcPr>
            <w:tcW w:w="1404" w:type="dxa"/>
            <w:vAlign w:val="center"/>
          </w:tcPr>
          <w:p w14:paraId="60C00104">
            <w:pPr>
              <w:snapToGrid w:val="0"/>
              <w:spacing w:line="360" w:lineRule="auto"/>
              <w:jc w:val="center"/>
              <w:rPr>
                <w:rFonts w:eastAsia="仿宋_GB2312"/>
                <w:color w:val="000000"/>
                <w:sz w:val="24"/>
                <w:highlight w:val="none"/>
              </w:rPr>
            </w:pPr>
          </w:p>
        </w:tc>
      </w:tr>
      <w:tr w14:paraId="5B168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6539F707">
            <w:pPr>
              <w:snapToGrid w:val="0"/>
              <w:spacing w:line="360" w:lineRule="auto"/>
              <w:jc w:val="center"/>
              <w:rPr>
                <w:rFonts w:eastAsia="仿宋_GB2312"/>
                <w:color w:val="000000"/>
                <w:szCs w:val="21"/>
                <w:highlight w:val="none"/>
              </w:rPr>
            </w:pPr>
            <w:r>
              <w:rPr>
                <w:rFonts w:eastAsia="仿宋_GB2312"/>
                <w:color w:val="000000"/>
                <w:szCs w:val="21"/>
                <w:highlight w:val="none"/>
              </w:rPr>
              <w:t>4</w:t>
            </w:r>
          </w:p>
        </w:tc>
        <w:tc>
          <w:tcPr>
            <w:tcW w:w="1321" w:type="dxa"/>
            <w:vAlign w:val="center"/>
          </w:tcPr>
          <w:p w14:paraId="7BC6B216">
            <w:pPr>
              <w:snapToGrid w:val="0"/>
              <w:spacing w:line="360" w:lineRule="auto"/>
              <w:jc w:val="center"/>
              <w:rPr>
                <w:rFonts w:eastAsia="仿宋_GB2312"/>
                <w:color w:val="000000"/>
                <w:sz w:val="24"/>
                <w:highlight w:val="none"/>
              </w:rPr>
            </w:pPr>
          </w:p>
        </w:tc>
        <w:tc>
          <w:tcPr>
            <w:tcW w:w="1417" w:type="dxa"/>
            <w:vAlign w:val="center"/>
          </w:tcPr>
          <w:p w14:paraId="10AB0170">
            <w:pPr>
              <w:snapToGrid w:val="0"/>
              <w:spacing w:line="360" w:lineRule="auto"/>
              <w:jc w:val="center"/>
              <w:rPr>
                <w:rFonts w:eastAsia="仿宋_GB2312"/>
                <w:color w:val="000000"/>
                <w:sz w:val="24"/>
                <w:highlight w:val="none"/>
              </w:rPr>
            </w:pPr>
          </w:p>
        </w:tc>
        <w:tc>
          <w:tcPr>
            <w:tcW w:w="1418" w:type="dxa"/>
            <w:vAlign w:val="center"/>
          </w:tcPr>
          <w:p w14:paraId="0B62DA84">
            <w:pPr>
              <w:snapToGrid w:val="0"/>
              <w:spacing w:line="360" w:lineRule="auto"/>
              <w:jc w:val="center"/>
              <w:rPr>
                <w:rFonts w:eastAsia="仿宋_GB2312"/>
                <w:color w:val="000000"/>
                <w:sz w:val="24"/>
                <w:highlight w:val="none"/>
              </w:rPr>
            </w:pPr>
          </w:p>
        </w:tc>
        <w:tc>
          <w:tcPr>
            <w:tcW w:w="1275" w:type="dxa"/>
            <w:vAlign w:val="center"/>
          </w:tcPr>
          <w:p w14:paraId="6A65AF99">
            <w:pPr>
              <w:snapToGrid w:val="0"/>
              <w:spacing w:line="360" w:lineRule="auto"/>
              <w:jc w:val="center"/>
              <w:rPr>
                <w:rFonts w:eastAsia="仿宋_GB2312"/>
                <w:color w:val="000000"/>
                <w:sz w:val="24"/>
                <w:highlight w:val="none"/>
              </w:rPr>
            </w:pPr>
          </w:p>
        </w:tc>
        <w:tc>
          <w:tcPr>
            <w:tcW w:w="1276" w:type="dxa"/>
            <w:vAlign w:val="center"/>
          </w:tcPr>
          <w:p w14:paraId="5A0E82E2">
            <w:pPr>
              <w:snapToGrid w:val="0"/>
              <w:spacing w:line="360" w:lineRule="auto"/>
              <w:jc w:val="center"/>
              <w:rPr>
                <w:rFonts w:eastAsia="仿宋_GB2312"/>
                <w:color w:val="000000"/>
                <w:sz w:val="24"/>
                <w:highlight w:val="none"/>
              </w:rPr>
            </w:pPr>
          </w:p>
        </w:tc>
        <w:tc>
          <w:tcPr>
            <w:tcW w:w="1162" w:type="dxa"/>
            <w:vAlign w:val="center"/>
          </w:tcPr>
          <w:p w14:paraId="79BFED11">
            <w:pPr>
              <w:snapToGrid w:val="0"/>
              <w:spacing w:line="360" w:lineRule="auto"/>
              <w:jc w:val="center"/>
              <w:rPr>
                <w:rFonts w:eastAsia="仿宋_GB2312"/>
                <w:color w:val="000000"/>
                <w:sz w:val="24"/>
                <w:highlight w:val="none"/>
              </w:rPr>
            </w:pPr>
          </w:p>
        </w:tc>
        <w:tc>
          <w:tcPr>
            <w:tcW w:w="1404" w:type="dxa"/>
            <w:vAlign w:val="center"/>
          </w:tcPr>
          <w:p w14:paraId="52F6A4A1">
            <w:pPr>
              <w:snapToGrid w:val="0"/>
              <w:spacing w:line="360" w:lineRule="auto"/>
              <w:jc w:val="center"/>
              <w:rPr>
                <w:rFonts w:eastAsia="仿宋_GB2312"/>
                <w:color w:val="000000"/>
                <w:sz w:val="24"/>
                <w:highlight w:val="none"/>
              </w:rPr>
            </w:pPr>
          </w:p>
        </w:tc>
      </w:tr>
      <w:tr w14:paraId="273A8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0B36C000">
            <w:pPr>
              <w:snapToGrid w:val="0"/>
              <w:spacing w:line="360" w:lineRule="auto"/>
              <w:jc w:val="center"/>
              <w:rPr>
                <w:rFonts w:eastAsia="仿宋_GB2312"/>
                <w:color w:val="000000"/>
                <w:sz w:val="24"/>
                <w:highlight w:val="none"/>
              </w:rPr>
            </w:pPr>
          </w:p>
        </w:tc>
        <w:tc>
          <w:tcPr>
            <w:tcW w:w="1321" w:type="dxa"/>
            <w:vAlign w:val="center"/>
          </w:tcPr>
          <w:p w14:paraId="4E70865B">
            <w:pPr>
              <w:snapToGrid w:val="0"/>
              <w:spacing w:line="360" w:lineRule="auto"/>
              <w:jc w:val="center"/>
              <w:rPr>
                <w:rFonts w:eastAsia="仿宋_GB2312"/>
                <w:color w:val="000000"/>
                <w:sz w:val="24"/>
                <w:highlight w:val="none"/>
              </w:rPr>
            </w:pPr>
          </w:p>
        </w:tc>
        <w:tc>
          <w:tcPr>
            <w:tcW w:w="1417" w:type="dxa"/>
            <w:vAlign w:val="center"/>
          </w:tcPr>
          <w:p w14:paraId="4DDF4067">
            <w:pPr>
              <w:snapToGrid w:val="0"/>
              <w:spacing w:line="360" w:lineRule="auto"/>
              <w:jc w:val="center"/>
              <w:rPr>
                <w:rFonts w:eastAsia="仿宋_GB2312"/>
                <w:color w:val="000000"/>
                <w:sz w:val="24"/>
                <w:highlight w:val="none"/>
              </w:rPr>
            </w:pPr>
          </w:p>
        </w:tc>
        <w:tc>
          <w:tcPr>
            <w:tcW w:w="1418" w:type="dxa"/>
            <w:vAlign w:val="center"/>
          </w:tcPr>
          <w:p w14:paraId="08B6861D">
            <w:pPr>
              <w:snapToGrid w:val="0"/>
              <w:spacing w:line="360" w:lineRule="auto"/>
              <w:jc w:val="center"/>
              <w:rPr>
                <w:rFonts w:eastAsia="仿宋_GB2312"/>
                <w:color w:val="000000"/>
                <w:sz w:val="24"/>
                <w:highlight w:val="none"/>
              </w:rPr>
            </w:pPr>
          </w:p>
        </w:tc>
        <w:tc>
          <w:tcPr>
            <w:tcW w:w="1275" w:type="dxa"/>
            <w:vAlign w:val="center"/>
          </w:tcPr>
          <w:p w14:paraId="5D43C014">
            <w:pPr>
              <w:snapToGrid w:val="0"/>
              <w:spacing w:line="360" w:lineRule="auto"/>
              <w:jc w:val="center"/>
              <w:rPr>
                <w:rFonts w:eastAsia="仿宋_GB2312"/>
                <w:color w:val="000000"/>
                <w:sz w:val="24"/>
                <w:highlight w:val="none"/>
              </w:rPr>
            </w:pPr>
          </w:p>
        </w:tc>
        <w:tc>
          <w:tcPr>
            <w:tcW w:w="1276" w:type="dxa"/>
            <w:vAlign w:val="center"/>
          </w:tcPr>
          <w:p w14:paraId="0B2CAC4A">
            <w:pPr>
              <w:snapToGrid w:val="0"/>
              <w:spacing w:line="360" w:lineRule="auto"/>
              <w:jc w:val="center"/>
              <w:rPr>
                <w:rFonts w:eastAsia="仿宋_GB2312"/>
                <w:color w:val="000000"/>
                <w:sz w:val="24"/>
                <w:highlight w:val="none"/>
              </w:rPr>
            </w:pPr>
          </w:p>
        </w:tc>
        <w:tc>
          <w:tcPr>
            <w:tcW w:w="1162" w:type="dxa"/>
            <w:vAlign w:val="center"/>
          </w:tcPr>
          <w:p w14:paraId="4BDA515F">
            <w:pPr>
              <w:snapToGrid w:val="0"/>
              <w:spacing w:line="360" w:lineRule="auto"/>
              <w:jc w:val="center"/>
              <w:rPr>
                <w:rFonts w:eastAsia="仿宋_GB2312"/>
                <w:color w:val="000000"/>
                <w:sz w:val="24"/>
                <w:highlight w:val="none"/>
              </w:rPr>
            </w:pPr>
          </w:p>
        </w:tc>
        <w:tc>
          <w:tcPr>
            <w:tcW w:w="1404" w:type="dxa"/>
            <w:vAlign w:val="center"/>
          </w:tcPr>
          <w:p w14:paraId="11709616">
            <w:pPr>
              <w:snapToGrid w:val="0"/>
              <w:spacing w:line="360" w:lineRule="auto"/>
              <w:jc w:val="center"/>
              <w:rPr>
                <w:rFonts w:eastAsia="仿宋_GB2312"/>
                <w:color w:val="000000"/>
                <w:sz w:val="24"/>
                <w:highlight w:val="none"/>
              </w:rPr>
            </w:pPr>
          </w:p>
        </w:tc>
      </w:tr>
      <w:tr w14:paraId="7804F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0B0E8935">
            <w:pPr>
              <w:snapToGrid w:val="0"/>
              <w:spacing w:line="360" w:lineRule="auto"/>
              <w:jc w:val="center"/>
              <w:rPr>
                <w:rFonts w:ascii="仿宋" w:hAnsi="仿宋" w:eastAsia="仿宋" w:cs="仿宋"/>
                <w:color w:val="000000"/>
                <w:sz w:val="24"/>
                <w:highlight w:val="none"/>
              </w:rPr>
            </w:pPr>
            <w:r>
              <w:rPr>
                <w:rFonts w:hint="eastAsia" w:ascii="仿宋" w:hAnsi="仿宋" w:eastAsia="仿宋" w:cs="仿宋"/>
                <w:color w:val="000000"/>
                <w:sz w:val="24"/>
                <w:highlight w:val="none"/>
              </w:rPr>
              <w:t>合计</w:t>
            </w:r>
          </w:p>
        </w:tc>
        <w:tc>
          <w:tcPr>
            <w:tcW w:w="6707" w:type="dxa"/>
            <w:gridSpan w:val="5"/>
            <w:vAlign w:val="center"/>
          </w:tcPr>
          <w:p w14:paraId="47B26F0D">
            <w:pPr>
              <w:snapToGrid w:val="0"/>
              <w:spacing w:line="360" w:lineRule="auto"/>
              <w:rPr>
                <w:rFonts w:ascii="仿宋" w:hAnsi="仿宋" w:eastAsia="仿宋" w:cs="仿宋"/>
                <w:color w:val="000000"/>
                <w:szCs w:val="21"/>
                <w:highlight w:val="none"/>
              </w:rPr>
            </w:pPr>
            <w:r>
              <w:rPr>
                <w:rFonts w:hint="eastAsia" w:ascii="仿宋" w:hAnsi="仿宋" w:eastAsia="仿宋" w:cs="仿宋"/>
                <w:szCs w:val="21"/>
                <w:highlight w:val="none"/>
              </w:rPr>
              <w:t>人民币（大写）：</w:t>
            </w:r>
          </w:p>
        </w:tc>
        <w:tc>
          <w:tcPr>
            <w:tcW w:w="2566" w:type="dxa"/>
            <w:gridSpan w:val="2"/>
            <w:vAlign w:val="center"/>
          </w:tcPr>
          <w:p w14:paraId="235B136D">
            <w:pPr>
              <w:snapToGrid w:val="0"/>
              <w:spacing w:line="360" w:lineRule="auto"/>
              <w:rPr>
                <w:rFonts w:ascii="仿宋" w:hAnsi="仿宋" w:eastAsia="仿宋" w:cs="仿宋"/>
                <w:color w:val="000000"/>
                <w:szCs w:val="21"/>
                <w:highlight w:val="none"/>
              </w:rPr>
            </w:pPr>
            <w:r>
              <w:rPr>
                <w:rFonts w:hint="eastAsia" w:ascii="仿宋" w:hAnsi="仿宋" w:eastAsia="仿宋" w:cs="仿宋"/>
                <w:szCs w:val="21"/>
                <w:highlight w:val="none"/>
              </w:rPr>
              <w:t>（小写）：¥</w:t>
            </w:r>
          </w:p>
        </w:tc>
      </w:tr>
    </w:tbl>
    <w:p w14:paraId="2864204B">
      <w:pPr>
        <w:spacing w:line="360" w:lineRule="auto"/>
        <w:rPr>
          <w:rFonts w:eastAsia="仿宋"/>
          <w:b/>
          <w:color w:val="auto"/>
          <w:sz w:val="24"/>
          <w:lang w:val="zh-CN"/>
        </w:rPr>
      </w:pPr>
      <w:r>
        <w:rPr>
          <w:rFonts w:eastAsia="仿宋"/>
          <w:b/>
          <w:color w:val="auto"/>
          <w:sz w:val="24"/>
          <w:lang w:val="zh-CN"/>
        </w:rPr>
        <w:t>注：1.供应商须按实填写</w:t>
      </w:r>
      <w:r>
        <w:rPr>
          <w:rFonts w:hint="eastAsia" w:eastAsia="仿宋"/>
          <w:b/>
          <w:color w:val="auto"/>
          <w:sz w:val="24"/>
          <w:lang w:val="zh-CN"/>
        </w:rPr>
        <w:t>分项报价</w:t>
      </w:r>
      <w:r>
        <w:rPr>
          <w:rFonts w:eastAsia="仿宋"/>
          <w:b/>
          <w:color w:val="auto"/>
          <w:sz w:val="24"/>
          <w:lang w:val="zh-CN"/>
        </w:rPr>
        <w:t>明细表中的各项内容，且本表各分项报价合计应当与磋商报价表报价合计相等</w:t>
      </w:r>
      <w:r>
        <w:rPr>
          <w:rFonts w:hint="eastAsia" w:eastAsia="仿宋"/>
          <w:b/>
          <w:color w:val="auto"/>
          <w:sz w:val="24"/>
          <w:lang w:val="zh-CN"/>
        </w:rPr>
        <w:t>，</w:t>
      </w:r>
      <w:r>
        <w:rPr>
          <w:rFonts w:eastAsia="仿宋"/>
          <w:b/>
          <w:color w:val="auto"/>
          <w:sz w:val="24"/>
          <w:lang w:val="zh-CN"/>
        </w:rPr>
        <w:t>请各供应商务必按照以上要求填报。</w:t>
      </w:r>
    </w:p>
    <w:p w14:paraId="085E8DA3">
      <w:pPr>
        <w:spacing w:line="360" w:lineRule="auto"/>
        <w:ind w:firstLine="482"/>
        <w:rPr>
          <w:rFonts w:eastAsia="仿宋"/>
          <w:b/>
          <w:color w:val="auto"/>
          <w:sz w:val="24"/>
          <w:lang w:val="zh-CN"/>
        </w:rPr>
      </w:pPr>
      <w:r>
        <w:rPr>
          <w:rFonts w:eastAsia="仿宋"/>
          <w:b/>
          <w:color w:val="auto"/>
          <w:sz w:val="24"/>
          <w:lang w:val="zh-CN"/>
        </w:rPr>
        <w:t>2.主要标的信息将随中标（成交）结果公告进行公示。内容不实的，属于提供虚假材料谋取中标、成交，依照《中华人民共和国政府采购法》等国家有关规定追究相应责任。</w:t>
      </w:r>
    </w:p>
    <w:p w14:paraId="3D6FCEBC">
      <w:pPr>
        <w:spacing w:line="300" w:lineRule="auto"/>
        <w:ind w:firstLine="482"/>
        <w:outlineLvl w:val="0"/>
        <w:rPr>
          <w:b/>
          <w:color w:val="auto"/>
          <w:sz w:val="24"/>
          <w:lang w:val="zh-CN"/>
        </w:rPr>
      </w:pPr>
    </w:p>
    <w:p w14:paraId="32F0672F">
      <w:pPr>
        <w:spacing w:line="400" w:lineRule="exact"/>
        <w:ind w:firstLine="540"/>
        <w:contextualSpacing/>
        <w:rPr>
          <w:rFonts w:ascii="宋体" w:hAnsi="宋体" w:cs="宋体"/>
          <w:b/>
          <w:color w:val="auto"/>
          <w:sz w:val="28"/>
          <w:szCs w:val="28"/>
        </w:rPr>
      </w:pPr>
    </w:p>
    <w:p w14:paraId="2F7F97CF">
      <w:pPr>
        <w:spacing w:line="400" w:lineRule="exact"/>
        <w:ind w:firstLine="540"/>
        <w:contextualSpacing/>
        <w:rPr>
          <w:rFonts w:ascii="宋体" w:hAnsi="宋体" w:cs="宋体"/>
          <w:b/>
          <w:color w:val="auto"/>
          <w:sz w:val="28"/>
          <w:szCs w:val="28"/>
        </w:rPr>
      </w:pPr>
    </w:p>
    <w:p w14:paraId="239D13AF">
      <w:pPr>
        <w:spacing w:line="400" w:lineRule="exact"/>
        <w:ind w:firstLine="540"/>
        <w:contextualSpacing/>
        <w:rPr>
          <w:rFonts w:ascii="宋体" w:hAnsi="宋体" w:cs="宋体"/>
          <w:b/>
          <w:color w:val="auto"/>
          <w:sz w:val="28"/>
          <w:szCs w:val="28"/>
        </w:rPr>
      </w:pPr>
    </w:p>
    <w:p w14:paraId="44F4FCF3">
      <w:pPr>
        <w:spacing w:line="400" w:lineRule="exact"/>
        <w:ind w:firstLine="540"/>
        <w:contextualSpacing/>
        <w:rPr>
          <w:rFonts w:ascii="宋体" w:hAnsi="宋体" w:cs="宋体"/>
          <w:b/>
          <w:color w:val="auto"/>
          <w:sz w:val="28"/>
          <w:szCs w:val="28"/>
        </w:rPr>
      </w:pPr>
    </w:p>
    <w:p w14:paraId="7B0D5C1A">
      <w:pPr>
        <w:spacing w:line="300" w:lineRule="auto"/>
        <w:outlineLvl w:val="0"/>
        <w:rPr>
          <w:rFonts w:eastAsia="方正黑体_GBK"/>
          <w:color w:val="auto"/>
          <w:sz w:val="32"/>
          <w:szCs w:val="32"/>
        </w:rPr>
      </w:pPr>
    </w:p>
    <w:p w14:paraId="2BACCD57">
      <w:pPr>
        <w:widowControl/>
        <w:jc w:val="left"/>
        <w:rPr>
          <w:rFonts w:ascii="Times New Roman" w:hAnsi="Times New Roman" w:cs="Times New Roman"/>
          <w:b/>
          <w:bCs/>
          <w:color w:val="auto"/>
        </w:rPr>
      </w:pPr>
      <w:r>
        <w:rPr>
          <w:rFonts w:eastAsia="方正黑体_GBK"/>
          <w:color w:val="auto"/>
          <w:sz w:val="32"/>
          <w:szCs w:val="32"/>
        </w:rPr>
        <w:br w:type="page" w:clear="all"/>
      </w:r>
      <w:r>
        <w:rPr>
          <w:rFonts w:hint="eastAsia" w:ascii="宋体" w:hAnsi="宋体" w:eastAsia="宋体" w:cs="宋体"/>
          <w:b/>
          <w:bCs/>
          <w:color w:val="auto"/>
          <w:sz w:val="32"/>
          <w:szCs w:val="32"/>
        </w:rPr>
        <w:t>附件9</w:t>
      </w:r>
    </w:p>
    <w:p w14:paraId="25F5D8F9">
      <w:pPr>
        <w:spacing w:line="400" w:lineRule="exact"/>
        <w:jc w:val="center"/>
        <w:rPr>
          <w:rFonts w:ascii="方正小标宋简体" w:hAnsi="方正小标宋简体" w:eastAsia="方正小标宋简体" w:cs="方正小标宋简体"/>
          <w:bCs/>
          <w:color w:val="auto"/>
          <w:sz w:val="30"/>
          <w:szCs w:val="30"/>
        </w:rPr>
      </w:pPr>
      <w:r>
        <w:rPr>
          <w:rFonts w:hint="eastAsia" w:ascii="宋体" w:hAnsi="宋体" w:eastAsia="宋体" w:cs="宋体"/>
          <w:b/>
          <w:bCs w:val="0"/>
          <w:color w:val="auto"/>
          <w:sz w:val="30"/>
          <w:szCs w:val="30"/>
        </w:rPr>
        <w:t>中小微企业声明函（服务类项目）</w:t>
      </w:r>
    </w:p>
    <w:p w14:paraId="76AEAA3D">
      <w:pPr>
        <w:spacing w:line="380" w:lineRule="exact"/>
        <w:ind w:firstLine="360"/>
        <w:jc w:val="center"/>
        <w:rPr>
          <w:color w:val="auto"/>
          <w:sz w:val="24"/>
        </w:rPr>
      </w:pPr>
    </w:p>
    <w:p w14:paraId="67F46E57">
      <w:pPr>
        <w:keepNext w:val="0"/>
        <w:keepLines w:val="0"/>
        <w:pageBreakBefore w:val="0"/>
        <w:widowControl w:val="0"/>
        <w:spacing w:line="440" w:lineRule="exact"/>
        <w:ind w:firstLine="360"/>
        <w:rPr>
          <w:rFonts w:ascii="仿宋" w:hAnsi="仿宋" w:eastAsia="仿宋" w:cs="仿宋"/>
          <w:color w:val="auto"/>
          <w:sz w:val="24"/>
        </w:rPr>
      </w:pPr>
      <w:r>
        <w:rPr>
          <w:rFonts w:hint="eastAsia" w:ascii="仿宋" w:hAnsi="仿宋" w:eastAsia="仿宋" w:cs="仿宋"/>
          <w:color w:val="auto"/>
          <w:sz w:val="24"/>
        </w:rPr>
        <w:t>本公司（联合体）郑重声明，根据《政府采购促进中小企业发展管理办法》（财库</w:t>
      </w:r>
      <w:r>
        <w:rPr>
          <w:rFonts w:hint="eastAsia" w:eastAsia="仿宋"/>
          <w:color w:val="auto"/>
          <w:sz w:val="24"/>
        </w:rPr>
        <w:t>〔2020〕46号</w:t>
      </w:r>
      <w:r>
        <w:rPr>
          <w:rFonts w:hint="eastAsia" w:ascii="仿宋" w:hAnsi="仿宋" w:eastAsia="仿宋" w:cs="仿宋"/>
          <w:color w:val="auto"/>
          <w:sz w:val="24"/>
        </w:rPr>
        <w:t>）的规定，本公司（联合体）参加</w:t>
      </w:r>
      <w:r>
        <w:rPr>
          <w:rFonts w:hint="eastAsia" w:ascii="仿宋" w:hAnsi="仿宋" w:eastAsia="仿宋" w:cs="仿宋"/>
          <w:color w:val="auto"/>
          <w:sz w:val="24"/>
          <w:u w:val="single"/>
        </w:rPr>
        <w:t>（单位名称）</w:t>
      </w:r>
      <w:r>
        <w:rPr>
          <w:rFonts w:hint="eastAsia" w:ascii="仿宋" w:hAnsi="仿宋" w:eastAsia="仿宋" w:cs="仿宋"/>
          <w:color w:val="auto"/>
          <w:sz w:val="24"/>
        </w:rPr>
        <w:t>采购编号为</w:t>
      </w:r>
      <w:r>
        <w:rPr>
          <w:rFonts w:hint="eastAsia" w:ascii="仿宋" w:hAnsi="仿宋" w:eastAsia="仿宋" w:cs="仿宋"/>
          <w:color w:val="auto"/>
          <w:sz w:val="24"/>
          <w:u w:val="single"/>
        </w:rPr>
        <w:t>（采购编号）</w:t>
      </w:r>
      <w:r>
        <w:rPr>
          <w:rFonts w:hint="eastAsia" w:ascii="仿宋" w:hAnsi="仿宋" w:eastAsia="仿宋" w:cs="仿宋"/>
          <w:color w:val="auto"/>
          <w:sz w:val="24"/>
        </w:rPr>
        <w:t>，</w:t>
      </w:r>
      <w:r>
        <w:rPr>
          <w:rFonts w:hint="eastAsia" w:ascii="仿宋" w:hAnsi="仿宋" w:eastAsia="仿宋" w:cs="仿宋"/>
          <w:color w:val="auto"/>
          <w:sz w:val="24"/>
          <w:u w:val="single"/>
        </w:rPr>
        <w:t xml:space="preserve">              </w:t>
      </w:r>
      <w:r>
        <w:rPr>
          <w:rFonts w:hint="eastAsia" w:ascii="仿宋" w:hAnsi="仿宋" w:eastAsia="仿宋" w:cs="仿宋"/>
          <w:color w:val="auto"/>
          <w:sz w:val="24"/>
        </w:rPr>
        <w:t>项目（项目名称）的采购活动，提供的服务全部由符合政策的中小微企业承接。相关企业（含联合体中的中小微企业、签订采购包意向协议的中小微企业）的具体情况如下：</w:t>
      </w:r>
    </w:p>
    <w:p w14:paraId="01B0CA41">
      <w:pPr>
        <w:keepNext w:val="0"/>
        <w:keepLines w:val="0"/>
        <w:pageBreakBefore w:val="0"/>
        <w:widowControl w:val="0"/>
        <w:spacing w:line="440" w:lineRule="exact"/>
        <w:ind w:firstLine="480"/>
        <w:rPr>
          <w:rFonts w:ascii="仿宋" w:hAnsi="仿宋" w:eastAsia="仿宋" w:cs="仿宋"/>
          <w:color w:val="auto"/>
          <w:sz w:val="24"/>
        </w:rPr>
      </w:pPr>
      <w:r>
        <w:rPr>
          <w:rFonts w:hint="eastAsia" w:eastAsia="仿宋"/>
          <w:color w:val="auto"/>
          <w:sz w:val="24"/>
        </w:rPr>
        <w:t>1.</w:t>
      </w:r>
      <w:r>
        <w:rPr>
          <w:rFonts w:hint="eastAsia" w:ascii="仿宋" w:hAnsi="仿宋" w:eastAsia="仿宋" w:cs="仿宋"/>
          <w:color w:val="auto"/>
          <w:sz w:val="24"/>
          <w:u w:val="single"/>
        </w:rPr>
        <w:t>（标的名称）</w:t>
      </w:r>
      <w:r>
        <w:rPr>
          <w:rFonts w:hint="eastAsia" w:ascii="仿宋" w:hAnsi="仿宋" w:eastAsia="仿宋" w:cs="仿宋"/>
          <w:color w:val="auto"/>
          <w:sz w:val="24"/>
        </w:rPr>
        <w:t>，属于</w:t>
      </w:r>
      <w:r>
        <w:rPr>
          <w:rFonts w:hint="eastAsia" w:ascii="仿宋" w:hAnsi="仿宋" w:eastAsia="仿宋" w:cs="仿宋"/>
          <w:color w:val="auto"/>
          <w:sz w:val="24"/>
          <w:u w:val="single"/>
        </w:rPr>
        <w:t>（供应商填写磋商文件中明确的所属行业）</w:t>
      </w:r>
      <w:r>
        <w:rPr>
          <w:rFonts w:hint="eastAsia" w:ascii="仿宋" w:hAnsi="仿宋" w:eastAsia="仿宋" w:cs="仿宋"/>
          <w:color w:val="auto"/>
          <w:sz w:val="24"/>
        </w:rPr>
        <w:t>行业；承接企业为</w:t>
      </w:r>
      <w:r>
        <w:rPr>
          <w:rFonts w:hint="eastAsia" w:ascii="仿宋" w:hAnsi="仿宋" w:eastAsia="仿宋" w:cs="仿宋"/>
          <w:color w:val="auto"/>
          <w:sz w:val="24"/>
          <w:u w:val="single"/>
        </w:rPr>
        <w:t>（企业名称）</w:t>
      </w:r>
      <w:r>
        <w:rPr>
          <w:rFonts w:hint="eastAsia" w:ascii="仿宋" w:hAnsi="仿宋" w:eastAsia="仿宋" w:cs="仿宋"/>
          <w:color w:val="auto"/>
          <w:sz w:val="24"/>
        </w:rPr>
        <w:t>，从业人员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万元，属于（□中型企业 □小型企业 □微型企业）；</w:t>
      </w:r>
    </w:p>
    <w:p w14:paraId="083F522E">
      <w:pPr>
        <w:keepNext w:val="0"/>
        <w:keepLines w:val="0"/>
        <w:pageBreakBefore w:val="0"/>
        <w:widowControl w:val="0"/>
        <w:spacing w:line="440" w:lineRule="exact"/>
        <w:ind w:firstLine="480"/>
        <w:rPr>
          <w:rFonts w:ascii="仿宋" w:hAnsi="仿宋" w:eastAsia="仿宋" w:cs="仿宋"/>
          <w:color w:val="auto"/>
          <w:sz w:val="24"/>
        </w:rPr>
      </w:pPr>
      <w:r>
        <w:rPr>
          <w:rFonts w:hint="eastAsia" w:eastAsia="仿宋"/>
          <w:color w:val="auto"/>
          <w:sz w:val="24"/>
        </w:rPr>
        <w:t>2.</w:t>
      </w:r>
      <w:r>
        <w:rPr>
          <w:rFonts w:hint="eastAsia" w:ascii="仿宋" w:hAnsi="仿宋" w:eastAsia="仿宋" w:cs="仿宋"/>
          <w:color w:val="auto"/>
          <w:sz w:val="24"/>
          <w:u w:val="single"/>
        </w:rPr>
        <w:t>（标的名称）</w:t>
      </w:r>
      <w:r>
        <w:rPr>
          <w:rFonts w:hint="eastAsia" w:ascii="仿宋" w:hAnsi="仿宋" w:eastAsia="仿宋" w:cs="仿宋"/>
          <w:color w:val="auto"/>
          <w:sz w:val="24"/>
        </w:rPr>
        <w:t>，属于</w:t>
      </w:r>
      <w:r>
        <w:rPr>
          <w:rFonts w:hint="eastAsia" w:ascii="仿宋" w:hAnsi="仿宋" w:eastAsia="仿宋" w:cs="仿宋"/>
          <w:color w:val="auto"/>
          <w:sz w:val="24"/>
          <w:u w:val="single"/>
        </w:rPr>
        <w:t>（供应商填写磋商文件中明确的所属行业）</w:t>
      </w:r>
      <w:r>
        <w:rPr>
          <w:rFonts w:hint="eastAsia" w:ascii="仿宋" w:hAnsi="仿宋" w:eastAsia="仿宋" w:cs="仿宋"/>
          <w:color w:val="auto"/>
          <w:sz w:val="24"/>
        </w:rPr>
        <w:t>行业；承接企业为</w:t>
      </w:r>
      <w:r>
        <w:rPr>
          <w:rFonts w:hint="eastAsia" w:ascii="仿宋" w:hAnsi="仿宋" w:eastAsia="仿宋" w:cs="仿宋"/>
          <w:color w:val="auto"/>
          <w:sz w:val="24"/>
          <w:u w:val="single"/>
        </w:rPr>
        <w:t>（企业名称）</w:t>
      </w:r>
      <w:r>
        <w:rPr>
          <w:rFonts w:hint="eastAsia" w:ascii="仿宋" w:hAnsi="仿宋" w:eastAsia="仿宋" w:cs="仿宋"/>
          <w:color w:val="auto"/>
          <w:sz w:val="24"/>
        </w:rPr>
        <w:t>，从业人员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万元，属于</w:t>
      </w:r>
      <w:r>
        <w:rPr>
          <w:rFonts w:hint="eastAsia" w:ascii="仿宋" w:hAnsi="仿宋" w:eastAsia="仿宋" w:cs="仿宋"/>
          <w:color w:val="auto"/>
          <w:sz w:val="24"/>
          <w:u w:val="single"/>
        </w:rPr>
        <w:t>（□中型企业 □小型企业 □微型企业）；</w:t>
      </w:r>
    </w:p>
    <w:p w14:paraId="6C1EF9BB">
      <w:pPr>
        <w:keepNext w:val="0"/>
        <w:keepLines w:val="0"/>
        <w:pageBreakBefore w:val="0"/>
        <w:widowControl w:val="0"/>
        <w:spacing w:line="440" w:lineRule="exact"/>
        <w:ind w:firstLine="360"/>
        <w:rPr>
          <w:rFonts w:ascii="仿宋" w:hAnsi="仿宋" w:eastAsia="仿宋" w:cs="仿宋"/>
          <w:color w:val="auto"/>
          <w:sz w:val="24"/>
        </w:rPr>
      </w:pPr>
      <w:r>
        <w:rPr>
          <w:rFonts w:hint="eastAsia" w:ascii="仿宋" w:hAnsi="仿宋" w:eastAsia="仿宋" w:cs="仿宋"/>
          <w:color w:val="auto"/>
          <w:sz w:val="24"/>
        </w:rPr>
        <w:t>……</w:t>
      </w:r>
    </w:p>
    <w:p w14:paraId="027ED42D">
      <w:pPr>
        <w:keepNext w:val="0"/>
        <w:keepLines w:val="0"/>
        <w:pageBreakBefore w:val="0"/>
        <w:widowControl w:val="0"/>
        <w:spacing w:line="440" w:lineRule="exact"/>
        <w:ind w:firstLine="360"/>
        <w:rPr>
          <w:rFonts w:ascii="仿宋" w:hAnsi="仿宋" w:eastAsia="仿宋" w:cs="仿宋"/>
          <w:color w:val="auto"/>
          <w:sz w:val="24"/>
        </w:rPr>
      </w:pPr>
      <w:r>
        <w:rPr>
          <w:rFonts w:hint="eastAsia" w:ascii="仿宋" w:hAnsi="仿宋" w:eastAsia="仿宋" w:cs="仿宋"/>
          <w:color w:val="auto"/>
          <w:sz w:val="24"/>
        </w:rPr>
        <w:t>以上企业，不属于大企业的分支机构，不存在控股股东为大企业的情形，也不存在与大企业的负责人为同一人的情形。</w:t>
      </w:r>
    </w:p>
    <w:p w14:paraId="5B6B45A9">
      <w:pPr>
        <w:keepNext w:val="0"/>
        <w:keepLines w:val="0"/>
        <w:pageBreakBefore w:val="0"/>
        <w:widowControl w:val="0"/>
        <w:spacing w:line="440" w:lineRule="exact"/>
        <w:ind w:firstLine="360"/>
        <w:rPr>
          <w:rFonts w:hint="eastAsia" w:ascii="仿宋" w:hAnsi="仿宋" w:eastAsia="仿宋" w:cs="仿宋"/>
          <w:color w:val="auto"/>
          <w:sz w:val="24"/>
          <w:lang w:eastAsia="zh-CN"/>
        </w:rPr>
      </w:pPr>
      <w:r>
        <w:rPr>
          <w:rFonts w:hint="eastAsia" w:ascii="仿宋" w:hAnsi="仿宋" w:eastAsia="仿宋" w:cs="仿宋"/>
          <w:color w:val="auto"/>
          <w:sz w:val="24"/>
        </w:rPr>
        <w:t>本企业对上述声明内容的真实性负责。如有虚假，将依法承担相应责任</w:t>
      </w:r>
      <w:r>
        <w:rPr>
          <w:rFonts w:hint="eastAsia" w:ascii="仿宋" w:hAnsi="仿宋" w:eastAsia="仿宋" w:cs="仿宋"/>
          <w:color w:val="auto"/>
          <w:sz w:val="24"/>
          <w:lang w:eastAsia="zh-CN"/>
        </w:rPr>
        <w:t>。</w:t>
      </w:r>
    </w:p>
    <w:p w14:paraId="75F9A9E8">
      <w:pPr>
        <w:spacing w:line="380" w:lineRule="exact"/>
        <w:ind w:firstLine="360"/>
        <w:rPr>
          <w:rFonts w:ascii="仿宋" w:hAnsi="仿宋" w:eastAsia="仿宋" w:cs="仿宋"/>
          <w:color w:val="auto"/>
          <w:sz w:val="24"/>
        </w:rPr>
      </w:pPr>
      <w:r>
        <w:rPr>
          <w:rFonts w:hint="eastAsia" w:ascii="仿宋" w:hAnsi="仿宋" w:eastAsia="仿宋" w:cs="仿宋"/>
          <w:color w:val="auto"/>
          <w:sz w:val="24"/>
        </w:rPr>
        <w:t> </w:t>
      </w:r>
    </w:p>
    <w:p w14:paraId="52238A7A">
      <w:pPr>
        <w:pStyle w:val="31"/>
        <w:keepNext w:val="0"/>
        <w:keepLines w:val="0"/>
        <w:pageBreakBefore w:val="0"/>
        <w:spacing w:before="0" w:beforeAutospacing="0" w:after="0" w:afterAutospacing="0" w:line="500" w:lineRule="exact"/>
        <w:ind w:right="180" w:firstLine="360"/>
        <w:jc w:val="center"/>
        <w:rPr>
          <w:rFonts w:ascii="仿宋" w:hAnsi="仿宋" w:eastAsia="仿宋" w:cs="仿宋"/>
          <w:color w:val="auto"/>
        </w:rPr>
      </w:pPr>
      <w:r>
        <w:rPr>
          <w:rFonts w:hint="eastAsia" w:ascii="仿宋" w:hAnsi="仿宋" w:eastAsia="仿宋" w:cs="仿宋"/>
          <w:color w:val="auto"/>
        </w:rPr>
        <w:t>            </w:t>
      </w:r>
      <w:r>
        <w:rPr>
          <w:rFonts w:hint="eastAsia" w:ascii="仿宋" w:hAnsi="仿宋" w:eastAsia="仿宋" w:cs="仿宋"/>
          <w:color w:val="auto"/>
          <w:lang w:val="en-US" w:eastAsia="zh-CN"/>
        </w:rPr>
        <w:t xml:space="preserve">       </w:t>
      </w:r>
      <w:r>
        <w:rPr>
          <w:rFonts w:hint="eastAsia" w:ascii="仿宋" w:hAnsi="仿宋" w:eastAsia="仿宋" w:cs="仿宋"/>
          <w:color w:val="auto"/>
        </w:rPr>
        <w:t>   企业名称（加盖CA电子公章）：</w:t>
      </w:r>
    </w:p>
    <w:p w14:paraId="504C4AC8">
      <w:pPr>
        <w:keepNext w:val="0"/>
        <w:keepLines w:val="0"/>
        <w:pageBreakBefore w:val="0"/>
        <w:spacing w:line="500" w:lineRule="exact"/>
        <w:ind w:firstLine="2310"/>
        <w:contextualSpacing/>
        <w:rPr>
          <w:rFonts w:ascii="仿宋" w:hAnsi="仿宋" w:eastAsia="仿宋" w:cs="仿宋"/>
          <w:color w:val="auto"/>
        </w:rPr>
      </w:pPr>
      <w:r>
        <w:rPr>
          <w:rFonts w:hint="eastAsia" w:ascii="仿宋" w:hAnsi="仿宋" w:eastAsia="仿宋" w:cs="仿宋"/>
          <w:color w:val="auto"/>
          <w:shd w:val="clear" w:color="auto" w:fill="FFFFFF"/>
        </w:rPr>
        <w:t xml:space="preserve">           </w:t>
      </w:r>
      <w:r>
        <w:rPr>
          <w:rFonts w:hint="eastAsia" w:ascii="仿宋" w:hAnsi="仿宋" w:eastAsia="仿宋" w:cs="仿宋"/>
          <w:color w:val="auto"/>
          <w:shd w:val="clear" w:color="auto" w:fill="FFFFFF"/>
          <w:lang w:val="en-US" w:eastAsia="zh-CN"/>
        </w:rPr>
        <w:t xml:space="preserve">    </w:t>
      </w:r>
      <w:r>
        <w:rPr>
          <w:rFonts w:hint="eastAsia" w:ascii="仿宋" w:hAnsi="仿宋" w:eastAsia="仿宋" w:cs="仿宋"/>
          <w:color w:val="auto"/>
          <w:shd w:val="clear" w:color="auto" w:fill="FFFFFF"/>
        </w:rPr>
        <w:t> </w:t>
      </w:r>
      <w:r>
        <w:rPr>
          <w:rFonts w:eastAsia="仿宋"/>
          <w:color w:val="auto"/>
          <w:sz w:val="24"/>
        </w:rPr>
        <w:t>日期：</w:t>
      </w:r>
      <w:r>
        <w:rPr>
          <w:rFonts w:eastAsia="仿宋"/>
          <w:color w:val="auto"/>
          <w:sz w:val="24"/>
          <w:u w:val="single"/>
        </w:rPr>
        <w:t xml:space="preserve">       </w:t>
      </w:r>
      <w:r>
        <w:rPr>
          <w:rFonts w:eastAsia="仿宋"/>
          <w:color w:val="auto"/>
          <w:sz w:val="24"/>
        </w:rPr>
        <w:t>年</w:t>
      </w:r>
      <w:r>
        <w:rPr>
          <w:rFonts w:eastAsia="仿宋"/>
          <w:color w:val="auto"/>
          <w:sz w:val="24"/>
          <w:u w:val="single"/>
        </w:rPr>
        <w:t xml:space="preserve">   </w:t>
      </w:r>
      <w:r>
        <w:rPr>
          <w:rFonts w:eastAsia="仿宋"/>
          <w:color w:val="auto"/>
          <w:sz w:val="24"/>
        </w:rPr>
        <w:t>月</w:t>
      </w:r>
      <w:r>
        <w:rPr>
          <w:rFonts w:eastAsia="仿宋"/>
          <w:color w:val="auto"/>
          <w:sz w:val="24"/>
          <w:u w:val="single"/>
        </w:rPr>
        <w:t xml:space="preserve">    </w:t>
      </w:r>
      <w:r>
        <w:rPr>
          <w:rFonts w:eastAsia="仿宋"/>
          <w:color w:val="auto"/>
          <w:sz w:val="24"/>
        </w:rPr>
        <w:t>日</w:t>
      </w:r>
    </w:p>
    <w:p w14:paraId="3F5E7246">
      <w:pPr>
        <w:pStyle w:val="31"/>
        <w:widowControl w:val="0"/>
        <w:spacing w:before="0" w:beforeAutospacing="0" w:after="0" w:afterAutospacing="0" w:line="380" w:lineRule="exact"/>
        <w:ind w:firstLine="480"/>
        <w:jc w:val="both"/>
        <w:rPr>
          <w:rFonts w:ascii="仿宋" w:hAnsi="仿宋" w:eastAsia="仿宋" w:cs="仿宋"/>
          <w:color w:val="auto"/>
        </w:rPr>
      </w:pPr>
    </w:p>
    <w:p w14:paraId="6B7FA101">
      <w:pPr>
        <w:pStyle w:val="31"/>
        <w:widowControl w:val="0"/>
        <w:spacing w:before="0" w:beforeAutospacing="0" w:after="0" w:afterAutospacing="0" w:line="380" w:lineRule="exact"/>
        <w:ind w:firstLine="480"/>
        <w:jc w:val="both"/>
        <w:rPr>
          <w:rFonts w:ascii="仿宋" w:hAnsi="仿宋" w:eastAsia="仿宋" w:cs="仿宋"/>
          <w:color w:val="auto"/>
        </w:rPr>
      </w:pPr>
      <w:r>
        <w:rPr>
          <w:rFonts w:hint="eastAsia" w:ascii="仿宋" w:hAnsi="仿宋" w:eastAsia="仿宋" w:cs="仿宋"/>
          <w:color w:val="auto"/>
        </w:rPr>
        <w:t>备注：</w:t>
      </w:r>
    </w:p>
    <w:p w14:paraId="3D8F4320">
      <w:pPr>
        <w:pStyle w:val="31"/>
        <w:widowControl w:val="0"/>
        <w:spacing w:before="0" w:beforeAutospacing="0" w:after="0" w:afterAutospacing="0" w:line="380" w:lineRule="exact"/>
        <w:ind w:firstLine="480"/>
        <w:jc w:val="both"/>
        <w:rPr>
          <w:rFonts w:ascii="仿宋" w:hAnsi="仿宋" w:eastAsia="仿宋" w:cs="仿宋"/>
          <w:color w:val="auto"/>
        </w:rPr>
      </w:pPr>
      <w:r>
        <w:rPr>
          <w:rFonts w:hint="eastAsia" w:ascii="Times New Roman" w:hAnsi="Times New Roman" w:eastAsia="仿宋" w:cs="Times New Roman"/>
          <w:color w:val="auto"/>
        </w:rPr>
        <w:t>1.</w:t>
      </w:r>
      <w:r>
        <w:rPr>
          <w:rFonts w:hint="eastAsia" w:ascii="仿宋" w:hAnsi="仿宋" w:eastAsia="仿宋" w:cs="仿宋"/>
          <w:color w:val="auto"/>
        </w:rPr>
        <w:t>从业人员、营业收入、资产总额填报上一年度数据，无上一年度数据的新成立企业可不填报。</w:t>
      </w:r>
    </w:p>
    <w:p w14:paraId="7E14096A">
      <w:pPr>
        <w:pStyle w:val="31"/>
        <w:widowControl w:val="0"/>
        <w:spacing w:before="0" w:beforeAutospacing="0" w:after="0" w:afterAutospacing="0" w:line="380" w:lineRule="exact"/>
        <w:ind w:firstLine="480"/>
        <w:jc w:val="both"/>
        <w:rPr>
          <w:rFonts w:ascii="仿宋" w:hAnsi="仿宋" w:eastAsia="仿宋" w:cs="仿宋"/>
          <w:color w:val="auto"/>
        </w:rPr>
      </w:pPr>
      <w:r>
        <w:rPr>
          <w:rFonts w:hint="eastAsia" w:ascii="Times New Roman" w:hAnsi="Times New Roman" w:eastAsia="仿宋" w:cs="Times New Roman"/>
          <w:color w:val="auto"/>
        </w:rPr>
        <w:t>2.</w:t>
      </w:r>
      <w:r>
        <w:rPr>
          <w:rFonts w:hint="eastAsia" w:ascii="仿宋" w:hAnsi="仿宋" w:eastAsia="仿宋" w:cs="仿宋"/>
          <w:color w:val="auto"/>
        </w:rPr>
        <w:t>专门面向中小微型企业采购的项目，供应商如不提供此声明函，则不能通过资格审查；非专门面向中小微型企业采购的项目，供应商如不提供此声明函，价格将不做相应扣除。</w:t>
      </w:r>
    </w:p>
    <w:p w14:paraId="7002C20B">
      <w:pPr>
        <w:pStyle w:val="31"/>
        <w:widowControl w:val="0"/>
        <w:spacing w:before="0" w:beforeAutospacing="0" w:after="0" w:afterAutospacing="0" w:line="380" w:lineRule="exact"/>
        <w:ind w:firstLine="480"/>
        <w:jc w:val="both"/>
        <w:rPr>
          <w:rFonts w:ascii="仿宋" w:hAnsi="仿宋" w:eastAsia="仿宋" w:cs="仿宋"/>
          <w:color w:val="auto"/>
        </w:rPr>
      </w:pPr>
      <w:r>
        <w:rPr>
          <w:rFonts w:hint="eastAsia" w:ascii="Times New Roman" w:hAnsi="Times New Roman" w:eastAsia="仿宋" w:cs="Times New Roman"/>
          <w:color w:val="auto"/>
        </w:rPr>
        <w:t>3.</w:t>
      </w:r>
      <w:r>
        <w:rPr>
          <w:rFonts w:hint="eastAsia" w:ascii="仿宋" w:hAnsi="仿宋" w:eastAsia="仿宋" w:cs="仿宋"/>
          <w:color w:val="auto"/>
        </w:rPr>
        <w:t>供应商应对照《工业和信息化部、国家统计局、国家发展和改革委员会、财政部关于印发中小企业划型标准规定的通</w:t>
      </w:r>
      <w:r>
        <w:rPr>
          <w:rFonts w:ascii="Times New Roman" w:hAnsi="Times New Roman" w:eastAsia="仿宋" w:cs="Times New Roman"/>
          <w:color w:val="auto"/>
        </w:rPr>
        <w:t>知》（工信部联企业〔2011〕300号)和《国家统计局关于印发〈统计上大中小微型企业划分办法（2017）〉的通知》（国统字〔2017〕213号）的规定，自行勾选承接企业的企业规模类型。</w:t>
      </w:r>
    </w:p>
    <w:p w14:paraId="282F93E9">
      <w:pPr>
        <w:spacing w:line="300" w:lineRule="auto"/>
        <w:outlineLvl w:val="0"/>
        <w:rPr>
          <w:rFonts w:hint="eastAsia" w:ascii="宋体" w:hAnsi="宋体" w:eastAsia="宋体" w:cs="宋体"/>
          <w:b/>
          <w:bCs/>
          <w:color w:val="auto"/>
          <w:sz w:val="32"/>
          <w:szCs w:val="32"/>
        </w:rPr>
      </w:pPr>
      <w:r>
        <w:rPr>
          <w:rFonts w:hint="eastAsia" w:ascii="宋体" w:hAnsi="宋体" w:eastAsia="宋体" w:cs="宋体"/>
          <w:b/>
          <w:bCs/>
          <w:color w:val="auto"/>
          <w:sz w:val="32"/>
          <w:szCs w:val="32"/>
        </w:rPr>
        <w:t>附件10</w:t>
      </w:r>
    </w:p>
    <w:p w14:paraId="4FDCCBCA">
      <w:pPr>
        <w:spacing w:line="400" w:lineRule="exact"/>
        <w:jc w:val="center"/>
        <w:rPr>
          <w:rFonts w:hint="eastAsia" w:ascii="宋体" w:hAnsi="宋体" w:eastAsia="宋体" w:cs="宋体"/>
          <w:b/>
          <w:bCs w:val="0"/>
          <w:color w:val="auto"/>
        </w:rPr>
      </w:pPr>
      <w:r>
        <w:rPr>
          <w:rFonts w:hint="eastAsia" w:ascii="宋体" w:hAnsi="宋体" w:eastAsia="宋体" w:cs="宋体"/>
          <w:b/>
          <w:bCs w:val="0"/>
          <w:color w:val="auto"/>
          <w:sz w:val="30"/>
          <w:szCs w:val="30"/>
        </w:rPr>
        <w:t>残疾人福利性单位声明函</w:t>
      </w:r>
    </w:p>
    <w:p w14:paraId="235883FC">
      <w:pPr>
        <w:pStyle w:val="31"/>
        <w:spacing w:before="0" w:beforeAutospacing="0" w:after="0" w:afterAutospacing="0" w:line="400" w:lineRule="exact"/>
        <w:ind w:firstLine="482"/>
        <w:jc w:val="both"/>
        <w:rPr>
          <w:rFonts w:ascii="仿宋" w:hAnsi="仿宋" w:eastAsia="仿宋" w:cs="仿宋"/>
          <w:color w:val="auto"/>
          <w:sz w:val="28"/>
          <w:szCs w:val="28"/>
        </w:rPr>
      </w:pPr>
    </w:p>
    <w:p w14:paraId="1AFEF03A">
      <w:pPr>
        <w:pStyle w:val="31"/>
        <w:spacing w:beforeAutospacing="0" w:afterAutospacing="0" w:line="360" w:lineRule="auto"/>
        <w:ind w:firstLine="480"/>
        <w:jc w:val="both"/>
        <w:rPr>
          <w:rFonts w:ascii="仿宋" w:hAnsi="仿宋" w:eastAsia="仿宋" w:cs="仿宋"/>
          <w:color w:val="auto"/>
          <w:sz w:val="28"/>
          <w:szCs w:val="28"/>
        </w:rPr>
      </w:pPr>
      <w:r>
        <w:rPr>
          <w:rFonts w:hint="eastAsia" w:ascii="仿宋" w:hAnsi="仿宋" w:eastAsia="仿宋" w:cs="仿宋"/>
          <w:color w:val="auto"/>
          <w:sz w:val="28"/>
          <w:szCs w:val="28"/>
        </w:rPr>
        <w:t>本单位郑重声明，根据《财政部 民政部 中国残疾人联合会关于促进残疾人就业政府采购政策的通知》（</w:t>
      </w:r>
      <w:r>
        <w:rPr>
          <w:rFonts w:ascii="Times New Roman" w:hAnsi="Times New Roman" w:eastAsia="仿宋" w:cs="Times New Roman"/>
          <w:color w:val="auto"/>
          <w:sz w:val="28"/>
          <w:szCs w:val="28"/>
        </w:rPr>
        <w:t>财库〔2017〕141号</w:t>
      </w:r>
      <w:r>
        <w:rPr>
          <w:rFonts w:hint="eastAsia" w:ascii="仿宋" w:hAnsi="仿宋" w:eastAsia="仿宋" w:cs="仿宋"/>
          <w:color w:val="auto"/>
          <w:sz w:val="28"/>
          <w:szCs w:val="28"/>
        </w:rPr>
        <w:t>）的规定，本单位为符合条件的残疾人福利性单位，且本单位参加</w:t>
      </w:r>
      <w:r>
        <w:rPr>
          <w:rFonts w:hint="eastAsia" w:ascii="仿宋" w:hAnsi="仿宋" w:eastAsia="仿宋" w:cs="仿宋"/>
          <w:color w:val="auto"/>
          <w:sz w:val="28"/>
          <w:szCs w:val="28"/>
          <w:u w:val="single"/>
        </w:rPr>
        <w:t>（单位名称）</w:t>
      </w:r>
      <w:r>
        <w:rPr>
          <w:rFonts w:hint="eastAsia" w:ascii="仿宋" w:hAnsi="仿宋" w:eastAsia="仿宋" w:cs="仿宋"/>
          <w:color w:val="auto"/>
          <w:sz w:val="28"/>
          <w:szCs w:val="28"/>
        </w:rPr>
        <w:t>采购编号为</w:t>
      </w:r>
      <w:r>
        <w:rPr>
          <w:rFonts w:hint="eastAsia" w:ascii="仿宋" w:hAnsi="仿宋" w:eastAsia="仿宋" w:cs="仿宋"/>
          <w:color w:val="auto"/>
          <w:sz w:val="28"/>
          <w:szCs w:val="28"/>
          <w:u w:val="single"/>
        </w:rPr>
        <w:t>（采购编号）</w:t>
      </w:r>
      <w:r>
        <w:rPr>
          <w:rFonts w:hint="eastAsia" w:ascii="仿宋" w:hAnsi="仿宋" w:eastAsia="仿宋" w:cs="仿宋"/>
          <w:color w:val="auto"/>
          <w:sz w:val="28"/>
          <w:szCs w:val="28"/>
        </w:rPr>
        <w:t>， </w:t>
      </w:r>
      <w:r>
        <w:rPr>
          <w:rFonts w:eastAsia="仿宋"/>
          <w:color w:val="auto"/>
          <w:u w:val="single"/>
        </w:rPr>
        <w:t xml:space="preserve">    </w:t>
      </w:r>
      <w:r>
        <w:rPr>
          <w:rFonts w:hint="eastAsia" w:eastAsia="仿宋"/>
          <w:color w:val="auto"/>
          <w:u w:val="single"/>
        </w:rPr>
        <w:t xml:space="preserve">     </w:t>
      </w:r>
      <w:r>
        <w:rPr>
          <w:rFonts w:eastAsia="仿宋"/>
          <w:color w:val="auto"/>
          <w:u w:val="single"/>
        </w:rPr>
        <w:t xml:space="preserve">   </w:t>
      </w:r>
      <w:r>
        <w:rPr>
          <w:rFonts w:hint="eastAsia" w:ascii="仿宋" w:hAnsi="仿宋" w:eastAsia="仿宋" w:cs="仿宋"/>
          <w:color w:val="auto"/>
          <w:sz w:val="28"/>
          <w:szCs w:val="28"/>
        </w:rPr>
        <w:t>项目（项目名称）采购活动由本单位提供服务。</w:t>
      </w:r>
    </w:p>
    <w:p w14:paraId="5A4325DD">
      <w:pPr>
        <w:pStyle w:val="31"/>
        <w:spacing w:beforeAutospacing="0" w:afterAutospacing="0" w:line="360" w:lineRule="auto"/>
        <w:ind w:firstLine="480"/>
        <w:jc w:val="both"/>
        <w:rPr>
          <w:rFonts w:ascii="仿宋" w:hAnsi="仿宋" w:eastAsia="仿宋" w:cs="仿宋"/>
          <w:color w:val="auto"/>
          <w:sz w:val="28"/>
          <w:szCs w:val="28"/>
        </w:rPr>
      </w:pPr>
      <w:r>
        <w:rPr>
          <w:rFonts w:hint="eastAsia" w:ascii="仿宋" w:hAnsi="仿宋" w:eastAsia="仿宋" w:cs="仿宋"/>
          <w:color w:val="auto"/>
          <w:sz w:val="28"/>
          <w:szCs w:val="28"/>
        </w:rPr>
        <w:t>本单位对上述声明的真实性负责。如有虚假，将依法承担相应责任。</w:t>
      </w:r>
    </w:p>
    <w:p w14:paraId="5BC7D3A1">
      <w:pPr>
        <w:pStyle w:val="31"/>
        <w:spacing w:beforeAutospacing="0" w:afterAutospacing="0" w:line="360" w:lineRule="auto"/>
        <w:ind w:firstLine="480"/>
        <w:jc w:val="both"/>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备注：</w:t>
      </w:r>
    </w:p>
    <w:p w14:paraId="05252885">
      <w:pPr>
        <w:pStyle w:val="31"/>
        <w:spacing w:beforeAutospacing="0" w:afterAutospacing="0" w:line="360" w:lineRule="auto"/>
        <w:ind w:firstLine="480"/>
        <w:jc w:val="both"/>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1.专门面向中小微型企业采购的项目，供应商为残疾人福利性单位并提供服务的必须提供此声明函，否则将不能通过资格审查。</w:t>
      </w:r>
    </w:p>
    <w:p w14:paraId="220CF11A">
      <w:pPr>
        <w:pStyle w:val="31"/>
        <w:spacing w:beforeAutospacing="0" w:afterAutospacing="0" w:line="360" w:lineRule="auto"/>
        <w:ind w:firstLine="480"/>
        <w:jc w:val="both"/>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2.非专门面向中小微型企业采购的项目，供应商如不提供此声明函，价格将不做相应扣除。</w:t>
      </w:r>
    </w:p>
    <w:p w14:paraId="3E351452">
      <w:pPr>
        <w:pStyle w:val="31"/>
        <w:spacing w:beforeAutospacing="0" w:afterAutospacing="0" w:line="360" w:lineRule="auto"/>
        <w:ind w:firstLine="480"/>
        <w:jc w:val="both"/>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3.中标/成交供应商为残疾人福利性单位的，此声明函将随中标/成交结果同时公告，接受社会监督。</w:t>
      </w:r>
    </w:p>
    <w:p w14:paraId="6AB8AEE6">
      <w:pPr>
        <w:pStyle w:val="31"/>
        <w:spacing w:beforeAutospacing="0" w:afterAutospacing="0" w:line="360" w:lineRule="auto"/>
        <w:ind w:firstLine="624"/>
        <w:jc w:val="both"/>
        <w:rPr>
          <w:rFonts w:ascii="仿宋" w:hAnsi="仿宋" w:eastAsia="仿宋" w:cs="仿宋"/>
          <w:color w:val="auto"/>
          <w:sz w:val="28"/>
          <w:szCs w:val="28"/>
        </w:rPr>
      </w:pPr>
      <w:r>
        <w:rPr>
          <w:rFonts w:hint="eastAsia" w:ascii="仿宋" w:hAnsi="仿宋" w:eastAsia="仿宋" w:cs="仿宋"/>
          <w:color w:val="auto"/>
          <w:sz w:val="28"/>
          <w:szCs w:val="28"/>
        </w:rPr>
        <w:t> </w:t>
      </w:r>
    </w:p>
    <w:p w14:paraId="31048AEA">
      <w:pPr>
        <w:pStyle w:val="31"/>
        <w:tabs>
          <w:tab w:val="left" w:pos="4864"/>
        </w:tabs>
        <w:spacing w:beforeAutospacing="0" w:afterAutospacing="0" w:line="360" w:lineRule="auto"/>
        <w:ind w:right="1559" w:firstLine="624"/>
        <w:jc w:val="center"/>
        <w:rPr>
          <w:rFonts w:ascii="仿宋" w:hAnsi="仿宋" w:eastAsia="仿宋" w:cs="仿宋"/>
          <w:color w:val="auto"/>
          <w:sz w:val="28"/>
          <w:szCs w:val="28"/>
        </w:rPr>
      </w:pPr>
      <w:r>
        <w:rPr>
          <w:rFonts w:hint="eastAsia" w:ascii="仿宋" w:hAnsi="仿宋" w:eastAsia="仿宋" w:cs="仿宋"/>
          <w:color w:val="auto"/>
          <w:sz w:val="28"/>
          <w:szCs w:val="28"/>
        </w:rPr>
        <w:t>      供应商全称（加盖CA电子公章）：</w:t>
      </w:r>
    </w:p>
    <w:p w14:paraId="4843FB63">
      <w:pPr>
        <w:spacing w:line="300" w:lineRule="auto"/>
        <w:ind w:firstLine="2240"/>
        <w:contextualSpacing/>
        <w:rPr>
          <w:rFonts w:eastAsia="方正黑体_GBK"/>
          <w:color w:val="auto"/>
          <w:sz w:val="32"/>
          <w:szCs w:val="32"/>
        </w:rPr>
      </w:pPr>
      <w:r>
        <w:rPr>
          <w:rFonts w:eastAsia="仿宋"/>
          <w:color w:val="auto"/>
          <w:sz w:val="28"/>
          <w:szCs w:val="28"/>
        </w:rPr>
        <w:t>日期：</w:t>
      </w:r>
      <w:r>
        <w:rPr>
          <w:rFonts w:eastAsia="仿宋"/>
          <w:color w:val="auto"/>
          <w:sz w:val="28"/>
          <w:szCs w:val="28"/>
          <w:u w:val="single"/>
        </w:rPr>
        <w:t xml:space="preserve">       </w:t>
      </w:r>
      <w:r>
        <w:rPr>
          <w:rFonts w:eastAsia="仿宋"/>
          <w:color w:val="auto"/>
          <w:sz w:val="28"/>
          <w:szCs w:val="28"/>
        </w:rPr>
        <w:t>年</w:t>
      </w:r>
      <w:r>
        <w:rPr>
          <w:rFonts w:eastAsia="仿宋"/>
          <w:color w:val="auto"/>
          <w:sz w:val="28"/>
          <w:szCs w:val="28"/>
          <w:u w:val="single"/>
        </w:rPr>
        <w:t xml:space="preserve">   </w:t>
      </w:r>
      <w:r>
        <w:rPr>
          <w:rFonts w:eastAsia="仿宋"/>
          <w:color w:val="auto"/>
          <w:sz w:val="28"/>
          <w:szCs w:val="28"/>
        </w:rPr>
        <w:t>月</w:t>
      </w:r>
      <w:r>
        <w:rPr>
          <w:rFonts w:eastAsia="仿宋"/>
          <w:color w:val="auto"/>
          <w:sz w:val="28"/>
          <w:szCs w:val="28"/>
          <w:u w:val="single"/>
        </w:rPr>
        <w:t xml:space="preserve">    </w:t>
      </w:r>
      <w:r>
        <w:rPr>
          <w:rFonts w:eastAsia="仿宋"/>
          <w:color w:val="auto"/>
          <w:sz w:val="28"/>
          <w:szCs w:val="28"/>
        </w:rPr>
        <w:t>日</w:t>
      </w:r>
    </w:p>
    <w:p w14:paraId="635A62FF">
      <w:pPr>
        <w:ind w:firstLine="420"/>
        <w:rPr>
          <w:rFonts w:ascii="仿宋_GB2312" w:hAnsi="宋体" w:eastAsia="仿宋_GB2312"/>
          <w:color w:val="auto"/>
          <w:sz w:val="28"/>
          <w:szCs w:val="28"/>
        </w:rPr>
      </w:pPr>
    </w:p>
    <w:p w14:paraId="29D153A8">
      <w:pPr>
        <w:ind w:firstLine="420"/>
        <w:rPr>
          <w:rFonts w:ascii="仿宋_GB2312" w:hAnsi="宋体" w:eastAsia="仿宋_GB2312"/>
          <w:color w:val="auto"/>
          <w:sz w:val="28"/>
          <w:szCs w:val="28"/>
        </w:rPr>
      </w:pPr>
    </w:p>
    <w:p w14:paraId="10A0310C">
      <w:pPr>
        <w:ind w:firstLine="420"/>
        <w:rPr>
          <w:rFonts w:ascii="仿宋_GB2312" w:hAnsi="宋体" w:eastAsia="仿宋_GB2312"/>
          <w:color w:val="auto"/>
          <w:sz w:val="28"/>
          <w:szCs w:val="28"/>
        </w:rPr>
      </w:pPr>
    </w:p>
    <w:p w14:paraId="349F36C4">
      <w:pPr>
        <w:ind w:firstLine="420"/>
        <w:rPr>
          <w:rFonts w:ascii="仿宋_GB2312" w:hAnsi="宋体" w:eastAsia="仿宋_GB2312"/>
          <w:color w:val="auto"/>
          <w:sz w:val="28"/>
          <w:szCs w:val="28"/>
        </w:rPr>
      </w:pPr>
    </w:p>
    <w:p w14:paraId="73D60197">
      <w:pPr>
        <w:ind w:firstLine="420"/>
        <w:rPr>
          <w:rFonts w:ascii="仿宋_GB2312" w:hAnsi="宋体" w:eastAsia="仿宋_GB2312"/>
          <w:color w:val="auto"/>
          <w:sz w:val="28"/>
          <w:szCs w:val="28"/>
        </w:rPr>
      </w:pPr>
    </w:p>
    <w:p w14:paraId="05BAC00A">
      <w:pPr>
        <w:spacing w:line="300" w:lineRule="auto"/>
        <w:outlineLvl w:val="0"/>
        <w:rPr>
          <w:rFonts w:hint="eastAsia" w:ascii="宋体" w:hAnsi="宋体" w:eastAsia="宋体" w:cs="宋体"/>
          <w:b/>
          <w:bCs/>
          <w:color w:val="auto"/>
          <w:sz w:val="32"/>
          <w:szCs w:val="32"/>
        </w:rPr>
      </w:pPr>
    </w:p>
    <w:p w14:paraId="4010E65E">
      <w:pPr>
        <w:spacing w:line="300" w:lineRule="auto"/>
        <w:outlineLvl w:val="0"/>
        <w:rPr>
          <w:rFonts w:hint="eastAsia" w:ascii="宋体" w:hAnsi="宋体" w:eastAsia="宋体" w:cs="宋体"/>
          <w:b/>
          <w:bCs/>
          <w:color w:val="auto"/>
          <w:sz w:val="32"/>
          <w:szCs w:val="32"/>
        </w:rPr>
      </w:pPr>
    </w:p>
    <w:p w14:paraId="3AF63245">
      <w:pPr>
        <w:spacing w:line="300" w:lineRule="auto"/>
        <w:outlineLvl w:val="0"/>
        <w:rPr>
          <w:rFonts w:hint="eastAsia" w:ascii="宋体" w:hAnsi="宋体" w:eastAsia="宋体" w:cs="宋体"/>
          <w:b/>
          <w:bCs/>
          <w:color w:val="auto"/>
          <w:sz w:val="32"/>
          <w:szCs w:val="32"/>
        </w:rPr>
      </w:pPr>
      <w:r>
        <w:rPr>
          <w:rFonts w:hint="eastAsia" w:ascii="宋体" w:hAnsi="宋体" w:eastAsia="宋体" w:cs="宋体"/>
          <w:b/>
          <w:bCs/>
          <w:color w:val="auto"/>
          <w:sz w:val="32"/>
          <w:szCs w:val="32"/>
        </w:rPr>
        <w:t>附件11</w:t>
      </w:r>
    </w:p>
    <w:p w14:paraId="4032D789">
      <w:pPr>
        <w:spacing w:line="400" w:lineRule="exact"/>
        <w:jc w:val="center"/>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监狱和戒毒企业证明材料</w:t>
      </w:r>
    </w:p>
    <w:p w14:paraId="1581DD7E">
      <w:pPr>
        <w:spacing w:line="420" w:lineRule="exact"/>
        <w:ind w:firstLine="495"/>
        <w:rPr>
          <w:rFonts w:ascii="宋体" w:hAnsi="宋体" w:cs="宋体"/>
          <w:color w:val="auto"/>
          <w:sz w:val="28"/>
          <w:szCs w:val="28"/>
        </w:rPr>
      </w:pPr>
    </w:p>
    <w:p w14:paraId="027BED1B">
      <w:pPr>
        <w:spacing w:line="420" w:lineRule="exact"/>
        <w:ind w:firstLine="498"/>
        <w:rPr>
          <w:rFonts w:ascii="仿宋" w:hAnsi="仿宋" w:eastAsia="仿宋" w:cs="仿宋"/>
          <w:b/>
          <w:color w:val="auto"/>
          <w:sz w:val="28"/>
          <w:szCs w:val="28"/>
        </w:rPr>
      </w:pPr>
      <w:r>
        <w:rPr>
          <w:rFonts w:hint="eastAsia" w:ascii="仿宋" w:hAnsi="仿宋" w:eastAsia="仿宋" w:cs="仿宋"/>
          <w:b/>
          <w:color w:val="auto"/>
          <w:sz w:val="28"/>
          <w:szCs w:val="28"/>
        </w:rPr>
        <w:t>（格式自拟）</w:t>
      </w:r>
    </w:p>
    <w:p w14:paraId="08C6D901">
      <w:pPr>
        <w:spacing w:line="420" w:lineRule="exact"/>
        <w:ind w:firstLine="495"/>
        <w:rPr>
          <w:rFonts w:ascii="宋体" w:hAnsi="宋体" w:cs="宋体"/>
          <w:color w:val="auto"/>
          <w:sz w:val="28"/>
          <w:szCs w:val="28"/>
        </w:rPr>
      </w:pPr>
    </w:p>
    <w:p w14:paraId="1C6E00C9">
      <w:pPr>
        <w:spacing w:line="420" w:lineRule="exact"/>
        <w:ind w:firstLine="660"/>
        <w:rPr>
          <w:rFonts w:eastAsia="仿宋"/>
          <w:color w:val="auto"/>
          <w:sz w:val="28"/>
          <w:szCs w:val="28"/>
        </w:rPr>
      </w:pPr>
      <w:r>
        <w:rPr>
          <w:rFonts w:eastAsia="仿宋"/>
          <w:color w:val="auto"/>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6A33E12">
      <w:pPr>
        <w:spacing w:line="300" w:lineRule="auto"/>
        <w:outlineLvl w:val="0"/>
        <w:rPr>
          <w:rFonts w:eastAsia="仿宋"/>
          <w:color w:val="auto"/>
          <w:sz w:val="28"/>
          <w:szCs w:val="28"/>
        </w:rPr>
      </w:pPr>
    </w:p>
    <w:p w14:paraId="6EA1ECC7">
      <w:pPr>
        <w:spacing w:line="300" w:lineRule="auto"/>
        <w:outlineLvl w:val="0"/>
        <w:rPr>
          <w:rFonts w:eastAsia="仿宋"/>
          <w:color w:val="auto"/>
          <w:sz w:val="28"/>
          <w:szCs w:val="28"/>
        </w:rPr>
      </w:pPr>
    </w:p>
    <w:p w14:paraId="693A55C4">
      <w:pPr>
        <w:spacing w:line="300" w:lineRule="auto"/>
        <w:outlineLvl w:val="0"/>
        <w:rPr>
          <w:rFonts w:eastAsia="仿宋"/>
          <w:color w:val="auto"/>
          <w:sz w:val="28"/>
          <w:szCs w:val="28"/>
        </w:rPr>
      </w:pPr>
    </w:p>
    <w:p w14:paraId="4F70D845">
      <w:pPr>
        <w:spacing w:line="300" w:lineRule="auto"/>
        <w:outlineLvl w:val="0"/>
        <w:rPr>
          <w:rFonts w:eastAsia="仿宋"/>
          <w:color w:val="auto"/>
          <w:sz w:val="28"/>
          <w:szCs w:val="28"/>
        </w:rPr>
      </w:pPr>
    </w:p>
    <w:p w14:paraId="658A66E0">
      <w:pPr>
        <w:spacing w:line="300" w:lineRule="auto"/>
        <w:outlineLvl w:val="0"/>
        <w:rPr>
          <w:rFonts w:eastAsia="仿宋"/>
          <w:color w:val="auto"/>
          <w:sz w:val="28"/>
          <w:szCs w:val="28"/>
          <w:lang w:bidi="zh-CN"/>
        </w:rPr>
      </w:pPr>
      <w:r>
        <w:rPr>
          <w:rFonts w:eastAsia="仿宋"/>
          <w:color w:val="auto"/>
          <w:sz w:val="28"/>
          <w:szCs w:val="28"/>
          <w:lang w:bidi="zh-CN"/>
        </w:rPr>
        <w:t>注：1.供应商如不提供此声明函，价格将不做相应扣除。</w:t>
      </w:r>
    </w:p>
    <w:p w14:paraId="48B9EF54">
      <w:pPr>
        <w:spacing w:line="300" w:lineRule="auto"/>
        <w:ind w:firstLine="560"/>
        <w:outlineLvl w:val="0"/>
        <w:rPr>
          <w:rFonts w:eastAsia="仿宋"/>
          <w:color w:val="auto"/>
          <w:sz w:val="28"/>
          <w:szCs w:val="28"/>
        </w:rPr>
      </w:pPr>
      <w:r>
        <w:rPr>
          <w:rFonts w:eastAsia="仿宋"/>
          <w:color w:val="auto"/>
          <w:sz w:val="28"/>
          <w:szCs w:val="28"/>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6D48BDB1">
      <w:pPr>
        <w:spacing w:line="300" w:lineRule="auto"/>
        <w:outlineLvl w:val="0"/>
        <w:rPr>
          <w:color w:val="auto"/>
          <w:sz w:val="28"/>
          <w:szCs w:val="28"/>
        </w:rPr>
      </w:pPr>
    </w:p>
    <w:p w14:paraId="4382552D">
      <w:pPr>
        <w:spacing w:line="300" w:lineRule="auto"/>
        <w:outlineLvl w:val="0"/>
        <w:rPr>
          <w:color w:val="auto"/>
          <w:sz w:val="28"/>
          <w:szCs w:val="28"/>
        </w:rPr>
      </w:pPr>
    </w:p>
    <w:p w14:paraId="581043DD">
      <w:pPr>
        <w:spacing w:line="300" w:lineRule="auto"/>
        <w:outlineLvl w:val="0"/>
        <w:rPr>
          <w:color w:val="auto"/>
          <w:sz w:val="28"/>
          <w:szCs w:val="28"/>
        </w:rPr>
      </w:pPr>
    </w:p>
    <w:p w14:paraId="73E79E26">
      <w:pPr>
        <w:spacing w:line="300" w:lineRule="auto"/>
        <w:outlineLvl w:val="0"/>
        <w:rPr>
          <w:color w:val="auto"/>
          <w:sz w:val="28"/>
          <w:szCs w:val="28"/>
        </w:rPr>
      </w:pPr>
    </w:p>
    <w:p w14:paraId="2A7C8513">
      <w:pPr>
        <w:spacing w:line="300" w:lineRule="auto"/>
        <w:outlineLvl w:val="0"/>
        <w:rPr>
          <w:color w:val="auto"/>
          <w:sz w:val="28"/>
          <w:szCs w:val="28"/>
        </w:rPr>
      </w:pPr>
    </w:p>
    <w:p w14:paraId="346A53C1">
      <w:pPr>
        <w:spacing w:line="300" w:lineRule="auto"/>
        <w:outlineLvl w:val="0"/>
        <w:rPr>
          <w:color w:val="auto"/>
          <w:sz w:val="28"/>
          <w:szCs w:val="28"/>
        </w:rPr>
      </w:pPr>
    </w:p>
    <w:p w14:paraId="44EBC80F">
      <w:pPr>
        <w:spacing w:line="300" w:lineRule="auto"/>
        <w:outlineLvl w:val="0"/>
        <w:rPr>
          <w:color w:val="auto"/>
          <w:sz w:val="28"/>
          <w:szCs w:val="28"/>
        </w:rPr>
      </w:pPr>
    </w:p>
    <w:p w14:paraId="3ADFDFA2">
      <w:pPr>
        <w:spacing w:line="300" w:lineRule="auto"/>
        <w:outlineLvl w:val="0"/>
        <w:rPr>
          <w:color w:val="auto"/>
          <w:sz w:val="28"/>
          <w:szCs w:val="28"/>
        </w:rPr>
      </w:pPr>
    </w:p>
    <w:p w14:paraId="1613AD8A">
      <w:pPr>
        <w:spacing w:line="300" w:lineRule="auto"/>
        <w:outlineLvl w:val="0"/>
        <w:rPr>
          <w:color w:val="auto"/>
          <w:sz w:val="28"/>
          <w:szCs w:val="28"/>
        </w:rPr>
      </w:pPr>
    </w:p>
    <w:p w14:paraId="08E5961A">
      <w:pPr>
        <w:spacing w:line="300" w:lineRule="auto"/>
        <w:outlineLvl w:val="0"/>
        <w:rPr>
          <w:color w:val="auto"/>
          <w:sz w:val="28"/>
          <w:szCs w:val="28"/>
        </w:rPr>
      </w:pPr>
    </w:p>
    <w:p w14:paraId="081BB06D">
      <w:pPr>
        <w:spacing w:line="300" w:lineRule="auto"/>
        <w:outlineLvl w:val="0"/>
        <w:rPr>
          <w:color w:val="auto"/>
          <w:sz w:val="28"/>
          <w:szCs w:val="28"/>
        </w:rPr>
      </w:pPr>
    </w:p>
    <w:p w14:paraId="63900894">
      <w:pPr>
        <w:spacing w:line="300" w:lineRule="auto"/>
        <w:outlineLvl w:val="0"/>
        <w:rPr>
          <w:color w:val="auto"/>
          <w:sz w:val="28"/>
          <w:szCs w:val="28"/>
        </w:rPr>
      </w:pPr>
    </w:p>
    <w:p w14:paraId="581FF510">
      <w:pPr>
        <w:spacing w:line="300" w:lineRule="auto"/>
        <w:outlineLvl w:val="0"/>
        <w:rPr>
          <w:rFonts w:hint="eastAsia" w:ascii="宋体" w:hAnsi="宋体" w:eastAsia="宋体" w:cs="宋体"/>
          <w:b/>
          <w:bCs/>
          <w:color w:val="auto"/>
          <w:sz w:val="32"/>
          <w:szCs w:val="32"/>
        </w:rPr>
      </w:pPr>
    </w:p>
    <w:p w14:paraId="2A2741A6">
      <w:pPr>
        <w:spacing w:line="300" w:lineRule="auto"/>
        <w:outlineLvl w:val="0"/>
        <w:rPr>
          <w:rFonts w:hint="eastAsia" w:ascii="宋体" w:hAnsi="宋体" w:eastAsia="宋体" w:cs="宋体"/>
          <w:b/>
          <w:bCs/>
          <w:color w:val="auto"/>
          <w:sz w:val="32"/>
          <w:szCs w:val="32"/>
        </w:rPr>
      </w:pPr>
    </w:p>
    <w:p w14:paraId="50779F2C">
      <w:pPr>
        <w:spacing w:line="300" w:lineRule="auto"/>
        <w:outlineLvl w:val="0"/>
        <w:rPr>
          <w:rFonts w:hint="eastAsia" w:ascii="宋体" w:hAnsi="宋体" w:eastAsia="宋体" w:cs="宋体"/>
          <w:b/>
          <w:bCs/>
          <w:color w:val="auto"/>
          <w:sz w:val="32"/>
          <w:szCs w:val="32"/>
        </w:rPr>
      </w:pPr>
      <w:r>
        <w:rPr>
          <w:rFonts w:hint="eastAsia" w:ascii="宋体" w:hAnsi="宋体" w:eastAsia="宋体" w:cs="宋体"/>
          <w:b/>
          <w:bCs/>
          <w:color w:val="auto"/>
          <w:sz w:val="32"/>
          <w:szCs w:val="32"/>
        </w:rPr>
        <w:t>附件12</w:t>
      </w:r>
    </w:p>
    <w:p w14:paraId="3B290A4F">
      <w:pPr>
        <w:jc w:val="center"/>
        <w:rPr>
          <w:rFonts w:ascii="方正小标宋简体" w:hAnsi="方正小标宋简体" w:eastAsia="方正小标宋简体" w:cs="方正小标宋简体"/>
          <w:b/>
          <w:bCs w:val="0"/>
          <w:color w:val="auto"/>
          <w:sz w:val="44"/>
          <w:szCs w:val="44"/>
        </w:rPr>
      </w:pPr>
      <w:r>
        <w:rPr>
          <w:rFonts w:hint="eastAsia" w:ascii="宋体" w:hAnsi="宋体" w:eastAsia="宋体" w:cs="宋体"/>
          <w:b/>
          <w:bCs w:val="0"/>
          <w:color w:val="auto"/>
          <w:sz w:val="44"/>
          <w:szCs w:val="44"/>
        </w:rPr>
        <w:t>质疑函范本</w:t>
      </w:r>
    </w:p>
    <w:p w14:paraId="2F622BA4">
      <w:pPr>
        <w:spacing w:line="560" w:lineRule="exact"/>
        <w:rPr>
          <w:rFonts w:eastAsia="黑体"/>
          <w:bCs/>
          <w:color w:val="auto"/>
          <w:sz w:val="32"/>
          <w:szCs w:val="32"/>
        </w:rPr>
      </w:pPr>
      <w:r>
        <w:rPr>
          <w:rFonts w:eastAsia="黑体"/>
          <w:bCs/>
          <w:color w:val="auto"/>
          <w:sz w:val="32"/>
          <w:szCs w:val="32"/>
        </w:rPr>
        <w:t>一、质疑供应商基本信息</w:t>
      </w:r>
    </w:p>
    <w:p w14:paraId="3028FB2D">
      <w:pPr>
        <w:spacing w:line="560" w:lineRule="exact"/>
        <w:rPr>
          <w:rFonts w:eastAsia="仿宋"/>
          <w:color w:val="auto"/>
          <w:sz w:val="32"/>
          <w:szCs w:val="32"/>
          <w:u w:val="single"/>
        </w:rPr>
      </w:pPr>
      <w:r>
        <w:rPr>
          <w:rFonts w:eastAsia="仿宋"/>
          <w:color w:val="auto"/>
          <w:sz w:val="32"/>
          <w:szCs w:val="32"/>
        </w:rPr>
        <w:t>质疑供应商：</w:t>
      </w:r>
    </w:p>
    <w:p w14:paraId="44879316">
      <w:pPr>
        <w:spacing w:line="560" w:lineRule="exact"/>
        <w:rPr>
          <w:rFonts w:eastAsia="仿宋"/>
          <w:color w:val="auto"/>
          <w:sz w:val="32"/>
          <w:szCs w:val="32"/>
        </w:rPr>
      </w:pPr>
      <w:r>
        <w:rPr>
          <w:rFonts w:eastAsia="仿宋"/>
          <w:color w:val="auto"/>
          <w:sz w:val="32"/>
          <w:szCs w:val="32"/>
        </w:rPr>
        <w:t>地址：邮编：</w:t>
      </w:r>
    </w:p>
    <w:p w14:paraId="7849F2C7">
      <w:pPr>
        <w:spacing w:line="560" w:lineRule="exact"/>
        <w:rPr>
          <w:rFonts w:eastAsia="仿宋"/>
          <w:color w:val="auto"/>
          <w:sz w:val="32"/>
          <w:szCs w:val="32"/>
        </w:rPr>
      </w:pPr>
      <w:r>
        <w:rPr>
          <w:rFonts w:eastAsia="仿宋"/>
          <w:color w:val="auto"/>
          <w:sz w:val="32"/>
          <w:szCs w:val="32"/>
        </w:rPr>
        <w:t>联系人：联系电话：</w:t>
      </w:r>
    </w:p>
    <w:p w14:paraId="741C4E98">
      <w:pPr>
        <w:spacing w:line="560" w:lineRule="exact"/>
        <w:rPr>
          <w:rFonts w:eastAsia="仿宋"/>
          <w:color w:val="auto"/>
          <w:sz w:val="32"/>
          <w:szCs w:val="32"/>
          <w:u w:val="single"/>
        </w:rPr>
      </w:pPr>
      <w:r>
        <w:rPr>
          <w:rFonts w:eastAsia="仿宋"/>
          <w:color w:val="auto"/>
          <w:sz w:val="32"/>
          <w:szCs w:val="32"/>
        </w:rPr>
        <w:t>授权代表：</w:t>
      </w:r>
    </w:p>
    <w:p w14:paraId="17D53D9B">
      <w:pPr>
        <w:spacing w:line="560" w:lineRule="exact"/>
        <w:rPr>
          <w:rFonts w:eastAsia="仿宋"/>
          <w:color w:val="auto"/>
          <w:sz w:val="32"/>
          <w:szCs w:val="32"/>
        </w:rPr>
      </w:pPr>
      <w:r>
        <w:rPr>
          <w:rFonts w:eastAsia="仿宋"/>
          <w:color w:val="auto"/>
          <w:sz w:val="32"/>
          <w:szCs w:val="32"/>
        </w:rPr>
        <w:t>联系电话：</w:t>
      </w:r>
    </w:p>
    <w:p w14:paraId="014B1332">
      <w:pPr>
        <w:spacing w:line="560" w:lineRule="exact"/>
        <w:rPr>
          <w:rFonts w:eastAsia="仿宋"/>
          <w:color w:val="auto"/>
          <w:sz w:val="32"/>
          <w:szCs w:val="32"/>
        </w:rPr>
      </w:pPr>
      <w:r>
        <w:rPr>
          <w:rFonts w:eastAsia="仿宋"/>
          <w:color w:val="auto"/>
          <w:sz w:val="32"/>
          <w:szCs w:val="32"/>
        </w:rPr>
        <w:t>地址：邮编：</w:t>
      </w:r>
    </w:p>
    <w:p w14:paraId="7311E5B3">
      <w:pPr>
        <w:spacing w:line="560" w:lineRule="exact"/>
        <w:rPr>
          <w:rFonts w:eastAsia="黑体"/>
          <w:bCs/>
          <w:color w:val="auto"/>
          <w:sz w:val="32"/>
          <w:szCs w:val="32"/>
        </w:rPr>
      </w:pPr>
      <w:r>
        <w:rPr>
          <w:rFonts w:eastAsia="黑体"/>
          <w:bCs/>
          <w:color w:val="auto"/>
          <w:sz w:val="32"/>
          <w:szCs w:val="32"/>
        </w:rPr>
        <w:t>二、质疑项目基本情况</w:t>
      </w:r>
    </w:p>
    <w:p w14:paraId="1D754034">
      <w:pPr>
        <w:spacing w:line="560" w:lineRule="exact"/>
        <w:rPr>
          <w:rFonts w:eastAsia="仿宋"/>
          <w:color w:val="auto"/>
          <w:sz w:val="32"/>
          <w:szCs w:val="32"/>
        </w:rPr>
      </w:pPr>
      <w:r>
        <w:rPr>
          <w:rFonts w:eastAsia="仿宋"/>
          <w:color w:val="auto"/>
          <w:sz w:val="32"/>
          <w:szCs w:val="32"/>
        </w:rPr>
        <w:t>质疑项目的名称：</w:t>
      </w:r>
    </w:p>
    <w:p w14:paraId="3387EDF8">
      <w:pPr>
        <w:spacing w:line="560" w:lineRule="exact"/>
        <w:rPr>
          <w:rFonts w:eastAsia="仿宋"/>
          <w:color w:val="auto"/>
          <w:sz w:val="32"/>
          <w:szCs w:val="32"/>
        </w:rPr>
      </w:pPr>
      <w:r>
        <w:rPr>
          <w:rFonts w:eastAsia="仿宋"/>
          <w:color w:val="auto"/>
          <w:sz w:val="32"/>
          <w:szCs w:val="32"/>
        </w:rPr>
        <w:t>质疑项目的编号：包号：</w:t>
      </w:r>
    </w:p>
    <w:p w14:paraId="7162CA84">
      <w:pPr>
        <w:spacing w:line="560" w:lineRule="exact"/>
        <w:rPr>
          <w:rFonts w:eastAsia="仿宋"/>
          <w:color w:val="auto"/>
          <w:sz w:val="32"/>
          <w:szCs w:val="32"/>
        </w:rPr>
      </w:pPr>
      <w:r>
        <w:rPr>
          <w:rFonts w:eastAsia="仿宋"/>
          <w:color w:val="auto"/>
          <w:sz w:val="32"/>
          <w:szCs w:val="32"/>
        </w:rPr>
        <w:t>采购人名称：</w:t>
      </w:r>
    </w:p>
    <w:p w14:paraId="23D91AF5">
      <w:pPr>
        <w:spacing w:line="560" w:lineRule="exact"/>
        <w:rPr>
          <w:rFonts w:eastAsia="仿宋"/>
          <w:color w:val="auto"/>
          <w:sz w:val="32"/>
          <w:szCs w:val="32"/>
        </w:rPr>
      </w:pPr>
      <w:r>
        <w:rPr>
          <w:rFonts w:eastAsia="仿宋"/>
          <w:color w:val="auto"/>
          <w:sz w:val="32"/>
          <w:szCs w:val="32"/>
        </w:rPr>
        <w:t>采购文件获取日期：</w:t>
      </w:r>
    </w:p>
    <w:p w14:paraId="00AF8649">
      <w:pPr>
        <w:spacing w:line="560" w:lineRule="exact"/>
        <w:rPr>
          <w:rFonts w:eastAsia="黑体"/>
          <w:bCs/>
          <w:color w:val="auto"/>
          <w:sz w:val="32"/>
          <w:szCs w:val="32"/>
        </w:rPr>
      </w:pPr>
      <w:r>
        <w:rPr>
          <w:rFonts w:eastAsia="黑体"/>
          <w:bCs/>
          <w:color w:val="auto"/>
          <w:sz w:val="32"/>
          <w:szCs w:val="32"/>
        </w:rPr>
        <w:t>三、质疑事项具体内容</w:t>
      </w:r>
    </w:p>
    <w:p w14:paraId="029CB08F">
      <w:pPr>
        <w:spacing w:line="560" w:lineRule="exact"/>
        <w:rPr>
          <w:rFonts w:eastAsia="仿宋"/>
          <w:color w:val="auto"/>
          <w:sz w:val="32"/>
          <w:szCs w:val="32"/>
        </w:rPr>
      </w:pPr>
      <w:r>
        <w:rPr>
          <w:rFonts w:eastAsia="仿宋"/>
          <w:color w:val="auto"/>
          <w:sz w:val="32"/>
          <w:szCs w:val="32"/>
        </w:rPr>
        <w:t>质疑事项1：</w:t>
      </w:r>
    </w:p>
    <w:p w14:paraId="5CFF64D6">
      <w:pPr>
        <w:spacing w:line="560" w:lineRule="exact"/>
        <w:rPr>
          <w:rFonts w:eastAsia="仿宋"/>
          <w:color w:val="auto"/>
          <w:sz w:val="32"/>
          <w:szCs w:val="32"/>
        </w:rPr>
      </w:pPr>
      <w:r>
        <w:rPr>
          <w:rFonts w:eastAsia="仿宋"/>
          <w:color w:val="auto"/>
          <w:sz w:val="32"/>
          <w:szCs w:val="32"/>
        </w:rPr>
        <w:t>事实依据：</w:t>
      </w:r>
    </w:p>
    <w:p w14:paraId="11F504EE">
      <w:pPr>
        <w:spacing w:line="560" w:lineRule="exact"/>
        <w:rPr>
          <w:rFonts w:eastAsia="仿宋"/>
          <w:color w:val="auto"/>
          <w:sz w:val="32"/>
          <w:szCs w:val="32"/>
        </w:rPr>
      </w:pPr>
    </w:p>
    <w:p w14:paraId="70C0847C">
      <w:pPr>
        <w:spacing w:line="560" w:lineRule="exact"/>
        <w:rPr>
          <w:rFonts w:eastAsia="仿宋"/>
          <w:color w:val="auto"/>
          <w:sz w:val="32"/>
          <w:szCs w:val="32"/>
        </w:rPr>
      </w:pPr>
      <w:r>
        <w:rPr>
          <w:rFonts w:eastAsia="仿宋"/>
          <w:color w:val="auto"/>
          <w:sz w:val="32"/>
          <w:szCs w:val="32"/>
        </w:rPr>
        <w:t>法律依据：</w:t>
      </w:r>
    </w:p>
    <w:p w14:paraId="78C36037">
      <w:pPr>
        <w:spacing w:line="560" w:lineRule="exact"/>
        <w:rPr>
          <w:rFonts w:eastAsia="仿宋"/>
          <w:color w:val="auto"/>
          <w:sz w:val="32"/>
          <w:szCs w:val="32"/>
        </w:rPr>
      </w:pPr>
    </w:p>
    <w:p w14:paraId="48CB016F">
      <w:pPr>
        <w:spacing w:line="560" w:lineRule="exact"/>
        <w:rPr>
          <w:rFonts w:eastAsia="仿宋"/>
          <w:color w:val="auto"/>
          <w:sz w:val="32"/>
          <w:szCs w:val="32"/>
        </w:rPr>
      </w:pPr>
      <w:r>
        <w:rPr>
          <w:rFonts w:eastAsia="仿宋"/>
          <w:color w:val="auto"/>
          <w:sz w:val="32"/>
          <w:szCs w:val="32"/>
        </w:rPr>
        <w:t>质疑事项2</w:t>
      </w:r>
    </w:p>
    <w:p w14:paraId="322327BE">
      <w:pPr>
        <w:spacing w:line="560" w:lineRule="exact"/>
        <w:rPr>
          <w:rFonts w:eastAsia="仿宋"/>
          <w:color w:val="auto"/>
          <w:sz w:val="32"/>
          <w:szCs w:val="32"/>
        </w:rPr>
      </w:pPr>
      <w:r>
        <w:rPr>
          <w:rFonts w:eastAsia="仿宋"/>
          <w:color w:val="auto"/>
          <w:sz w:val="32"/>
          <w:szCs w:val="32"/>
        </w:rPr>
        <w:t>……</w:t>
      </w:r>
    </w:p>
    <w:p w14:paraId="537D6A8D">
      <w:pPr>
        <w:spacing w:line="560" w:lineRule="exact"/>
        <w:rPr>
          <w:rFonts w:eastAsia="黑体"/>
          <w:bCs/>
          <w:color w:val="auto"/>
          <w:sz w:val="32"/>
          <w:szCs w:val="32"/>
        </w:rPr>
      </w:pPr>
      <w:r>
        <w:rPr>
          <w:rFonts w:eastAsia="黑体"/>
          <w:bCs/>
          <w:color w:val="auto"/>
          <w:sz w:val="32"/>
          <w:szCs w:val="32"/>
        </w:rPr>
        <w:t>四、与质疑事项相关的质疑请求</w:t>
      </w:r>
    </w:p>
    <w:p w14:paraId="057877A9">
      <w:pPr>
        <w:spacing w:line="560" w:lineRule="exact"/>
        <w:rPr>
          <w:rFonts w:eastAsia="仿宋"/>
          <w:color w:val="auto"/>
          <w:sz w:val="32"/>
          <w:szCs w:val="32"/>
        </w:rPr>
      </w:pPr>
      <w:r>
        <w:rPr>
          <w:rFonts w:eastAsia="仿宋"/>
          <w:color w:val="auto"/>
          <w:sz w:val="32"/>
          <w:szCs w:val="32"/>
        </w:rPr>
        <w:t>请求：</w:t>
      </w:r>
    </w:p>
    <w:p w14:paraId="05AF92B1">
      <w:pPr>
        <w:spacing w:line="560" w:lineRule="exact"/>
        <w:rPr>
          <w:rFonts w:eastAsia="仿宋"/>
          <w:color w:val="auto"/>
          <w:sz w:val="32"/>
          <w:szCs w:val="32"/>
        </w:rPr>
      </w:pPr>
      <w:r>
        <w:rPr>
          <w:rFonts w:eastAsia="仿宋"/>
          <w:color w:val="auto"/>
          <w:sz w:val="32"/>
          <w:szCs w:val="32"/>
        </w:rPr>
        <w:t xml:space="preserve">签字（签章）：                   公章：                      </w:t>
      </w:r>
    </w:p>
    <w:p w14:paraId="41566F96">
      <w:pPr>
        <w:spacing w:line="560" w:lineRule="exact"/>
        <w:rPr>
          <w:rFonts w:eastAsia="仿宋"/>
          <w:color w:val="auto"/>
          <w:sz w:val="32"/>
          <w:szCs w:val="32"/>
        </w:rPr>
      </w:pPr>
      <w:r>
        <w:rPr>
          <w:rFonts w:eastAsia="仿宋"/>
          <w:color w:val="auto"/>
          <w:sz w:val="32"/>
          <w:szCs w:val="32"/>
        </w:rPr>
        <w:t>日期：</w:t>
      </w:r>
    </w:p>
    <w:p w14:paraId="73AB99D4">
      <w:pPr>
        <w:spacing w:line="560" w:lineRule="exact"/>
        <w:rPr>
          <w:rFonts w:eastAsia="黑体"/>
          <w:b/>
          <w:color w:val="auto"/>
          <w:sz w:val="32"/>
          <w:szCs w:val="32"/>
        </w:rPr>
      </w:pPr>
    </w:p>
    <w:p w14:paraId="0307FFFA">
      <w:pPr>
        <w:spacing w:line="560" w:lineRule="exact"/>
        <w:rPr>
          <w:rFonts w:eastAsia="黑体"/>
          <w:bCs/>
          <w:color w:val="auto"/>
          <w:sz w:val="32"/>
          <w:szCs w:val="32"/>
        </w:rPr>
      </w:pPr>
      <w:r>
        <w:rPr>
          <w:rFonts w:eastAsia="黑体"/>
          <w:bCs/>
          <w:color w:val="auto"/>
          <w:sz w:val="32"/>
          <w:szCs w:val="32"/>
        </w:rPr>
        <w:t>质疑函制作说明：</w:t>
      </w:r>
    </w:p>
    <w:p w14:paraId="76134C89">
      <w:pPr>
        <w:spacing w:line="560" w:lineRule="exact"/>
        <w:ind w:firstLine="640"/>
        <w:rPr>
          <w:rFonts w:eastAsia="仿宋"/>
          <w:color w:val="auto"/>
          <w:sz w:val="32"/>
          <w:szCs w:val="32"/>
        </w:rPr>
      </w:pPr>
      <w:r>
        <w:rPr>
          <w:rFonts w:eastAsia="仿宋"/>
          <w:color w:val="auto"/>
          <w:sz w:val="32"/>
          <w:szCs w:val="32"/>
        </w:rPr>
        <w:t>1.供应商提出质疑时，应提交质疑函和必要的证明材料。</w:t>
      </w:r>
    </w:p>
    <w:p w14:paraId="061CF173">
      <w:pPr>
        <w:spacing w:line="560" w:lineRule="exact"/>
        <w:ind w:firstLine="640"/>
        <w:rPr>
          <w:rFonts w:eastAsia="仿宋"/>
          <w:color w:val="auto"/>
          <w:sz w:val="32"/>
          <w:szCs w:val="32"/>
        </w:rPr>
      </w:pPr>
      <w:r>
        <w:rPr>
          <w:rFonts w:eastAsia="仿宋"/>
          <w:color w:val="auto"/>
          <w:sz w:val="32"/>
          <w:szCs w:val="3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DF080F3">
      <w:pPr>
        <w:spacing w:line="560" w:lineRule="exact"/>
        <w:ind w:firstLine="640"/>
        <w:rPr>
          <w:rFonts w:eastAsia="仿宋"/>
          <w:color w:val="auto"/>
          <w:sz w:val="32"/>
          <w:szCs w:val="32"/>
        </w:rPr>
      </w:pPr>
      <w:r>
        <w:rPr>
          <w:rFonts w:eastAsia="仿宋"/>
          <w:color w:val="auto"/>
          <w:sz w:val="32"/>
          <w:szCs w:val="32"/>
        </w:rPr>
        <w:t>3.质疑供应商若对项目的某一分包进行质疑，质疑函中应列明具体分包号。</w:t>
      </w:r>
    </w:p>
    <w:p w14:paraId="074A9F98">
      <w:pPr>
        <w:spacing w:line="560" w:lineRule="exact"/>
        <w:ind w:firstLine="640"/>
        <w:rPr>
          <w:rFonts w:eastAsia="仿宋"/>
          <w:color w:val="auto"/>
          <w:sz w:val="32"/>
          <w:szCs w:val="32"/>
        </w:rPr>
      </w:pPr>
      <w:r>
        <w:rPr>
          <w:rFonts w:eastAsia="仿宋"/>
          <w:color w:val="auto"/>
          <w:sz w:val="32"/>
          <w:szCs w:val="32"/>
        </w:rPr>
        <w:t>4.质疑函的质疑事项应具体、明确，并有必要的事实依据和法律依据。</w:t>
      </w:r>
    </w:p>
    <w:p w14:paraId="2068445F">
      <w:pPr>
        <w:spacing w:line="560" w:lineRule="exact"/>
        <w:ind w:firstLine="640"/>
        <w:rPr>
          <w:rFonts w:eastAsia="仿宋"/>
          <w:color w:val="auto"/>
          <w:sz w:val="32"/>
          <w:szCs w:val="32"/>
        </w:rPr>
      </w:pPr>
      <w:r>
        <w:rPr>
          <w:rFonts w:eastAsia="仿宋"/>
          <w:color w:val="auto"/>
          <w:sz w:val="32"/>
          <w:szCs w:val="32"/>
        </w:rPr>
        <w:t>5.质疑函的质疑请求应与质疑事项相关。</w:t>
      </w:r>
    </w:p>
    <w:p w14:paraId="35EB375D">
      <w:pPr>
        <w:spacing w:line="400" w:lineRule="exact"/>
        <w:ind w:firstLine="540"/>
        <w:contextualSpacing/>
        <w:rPr>
          <w:rFonts w:cs="宋体" w:asciiTheme="minorEastAsia" w:hAnsiTheme="minorEastAsia" w:eastAsiaTheme="minorEastAsia"/>
          <w:b/>
          <w:color w:val="auto"/>
          <w:sz w:val="28"/>
          <w:szCs w:val="28"/>
          <w:highlight w:val="none"/>
        </w:rPr>
      </w:pPr>
      <w:r>
        <w:rPr>
          <w:rFonts w:eastAsia="仿宋"/>
          <w:color w:val="auto"/>
          <w:sz w:val="32"/>
          <w:szCs w:val="32"/>
        </w:rPr>
        <w:t>6.质疑供应商为自然人的，质疑函应由本人签字；质疑供应商为法人或者其他组织的，质疑函应由法定代表人、主要负责人，或者其授权代表签字或者盖章，并加盖公章。</w:t>
      </w:r>
    </w:p>
    <w:p w14:paraId="6DD26735">
      <w:pPr>
        <w:spacing w:line="500" w:lineRule="exact"/>
        <w:ind w:firstLine="562"/>
        <w:contextualSpacing/>
        <w:outlineLvl w:val="0"/>
        <w:rPr>
          <w:rFonts w:asciiTheme="minorEastAsia" w:hAnsiTheme="minorEastAsia" w:eastAsiaTheme="minorEastAsia"/>
          <w:b/>
          <w:color w:val="auto"/>
          <w:sz w:val="28"/>
          <w:szCs w:val="28"/>
          <w:highlight w:val="none"/>
        </w:rPr>
      </w:pPr>
    </w:p>
    <w:sectPr>
      <w:footerReference r:id="rId10" w:type="first"/>
      <w:headerReference r:id="rId6" w:type="default"/>
      <w:footerReference r:id="rId8" w:type="default"/>
      <w:headerReference r:id="rId7" w:type="even"/>
      <w:footerReference r:id="rId9" w:type="even"/>
      <w:pgSz w:w="11907" w:h="16839"/>
      <w:pgMar w:top="1587" w:right="1588" w:bottom="1588" w:left="1588" w:header="720" w:footer="737" w:gutter="0"/>
      <w:pgNumType w:start="2"/>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02F" w:usb1="29D77CFB" w:usb2="00000012" w:usb3="00000000" w:csb0="00080001" w:csb1="00000000"/>
  </w:font>
  <w:font w:name="Segoe UI">
    <w:panose1 w:val="020B0502040204020203"/>
    <w:charset w:val="00"/>
    <w:family w:val="auto"/>
    <w:pitch w:val="default"/>
    <w:sig w:usb0="E4002EFF" w:usb1="C000E47F" w:usb2="00000009" w:usb3="00000000" w:csb0="200001FF"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0056B">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EAA78D">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0ukX88AgAAbwQAAA4AAAAAAAAAAQAgAAAAHwEAAGRycy9lMm9E&#10;b2MueG1sUEsFBgAAAAAGAAYAWQEAAM0FAAAAAA==&#10;">
              <v:fill on="f" focussize="0,0"/>
              <v:stroke on="f" weight="0.5pt"/>
              <v:imagedata o:title=""/>
              <o:lock v:ext="edit" aspectratio="f"/>
              <v:textbox inset="0mm,0mm,0mm,0mm" style="mso-fit-shape-to-text:t;">
                <w:txbxContent>
                  <w:p w14:paraId="3EEAA78D">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71198"/>
      <w:showingPlcHdr/>
      <w:docPartObj>
        <w:docPartGallery w:val="autotext"/>
      </w:docPartObj>
    </w:sdtPr>
    <w:sdtContent>
      <w:p w14:paraId="28FB4B31">
        <w:pPr>
          <w:pStyle w:val="20"/>
          <w:jc w:val="center"/>
        </w:pPr>
        <w:r>
          <w:rPr>
            <w:rFonts w:hint="eastAsia"/>
            <w:lang w:eastAsia="zh-CN"/>
          </w:rPr>
          <w:t xml:space="preserve">     </w:t>
        </w:r>
      </w:p>
    </w:sdtContent>
  </w:sdt>
  <w:p w14:paraId="7BA3F0C3">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F21DE">
    <w:pPr>
      <w:pStyle w:val="20"/>
      <w:jc w:val="right"/>
      <w:rPr>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E4616F">
                          <w:pPr>
                            <w:pStyle w:val="20"/>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3o8bY9AgAAbw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p99T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t6PG2PQIAAG8EAAAOAAAAAAAAAAEAIAAAAB8BAABkcnMvZTJv&#10;RG9jLnhtbFBLBQYAAAAABgAGAFkBAADOBQAAAAA=&#10;">
              <v:fill on="f" focussize="0,0"/>
              <v:stroke on="f" weight="0.5pt"/>
              <v:imagedata o:title=""/>
              <o:lock v:ext="edit" aspectratio="f"/>
              <v:textbox inset="0mm,0mm,0mm,0mm" style="mso-fit-shape-to-text:t;">
                <w:txbxContent>
                  <w:p w14:paraId="7DE4616F">
                    <w:pPr>
                      <w:pStyle w:val="20"/>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9BC09">
    <w:pPr>
      <w:pStyle w:val="20"/>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74</w:t>
    </w:r>
    <w:r>
      <w:rPr>
        <w:sz w:val="28"/>
        <w:szCs w:val="28"/>
      </w:rPr>
      <w:fldChar w:fldCharType="end"/>
    </w:r>
    <w:r>
      <w:rPr>
        <w:sz w:val="28"/>
        <w:szCs w:val="28"/>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1ABB1">
    <w:pPr>
      <w:pStyle w:val="2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1B2C13">
                          <w:pPr>
                            <w:pStyle w:val="2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gzEVQ9AgAAbwQAAA4AAABkcnMvZTJvRG9jLnhtbK1UwY7TMBC9I/EP&#10;lu806S6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yyhPa32BUVuLcaF7DR0OzXjv4+WufQcVvmOHAEmDrnY6aoHsCEaj1KeL1KILhEeI2dVslqOL&#10;o2/8wGwZK8bn1vnwRoAm0Sipw14meHbc+NCHjiExm4G1VCr1UxnSlvTm+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4MxFUPQIAAG8EAAAOAAAAAAAAAAEAIAAAAB8BAABkcnMvZTJv&#10;RG9jLnhtbFBLBQYAAAAABgAGAFkBAADOBQAAAAA=&#10;">
              <v:fill on="f" focussize="0,0"/>
              <v:stroke on="f" weight="0.5pt"/>
              <v:imagedata o:title=""/>
              <o:lock v:ext="edit" aspectratio="f"/>
              <v:textbox inset="0mm,0mm,0mm,0mm" style="mso-fit-shape-to-text:t;">
                <w:txbxContent>
                  <w:p w14:paraId="4B1B2C13">
                    <w:pPr>
                      <w:pStyle w:val="20"/>
                    </w:pPr>
                    <w:r>
                      <w:fldChar w:fldCharType="begin"/>
                    </w:r>
                    <w:r>
                      <w:instrText xml:space="preserve"> PAGE  \* MERGEFORMAT </w:instrText>
                    </w:r>
                    <w:r>
                      <w:fldChar w:fldCharType="separate"/>
                    </w:r>
                    <w:r>
                      <w:t>43</w:t>
                    </w:r>
                    <w:r>
                      <w:fldChar w:fldCharType="end"/>
                    </w:r>
                  </w:p>
                </w:txbxContent>
              </v:textbox>
            </v:shape>
          </w:pict>
        </mc:Fallback>
      </mc:AlternateContent>
    </w:r>
    <w:sdt>
      <w:sdtPr>
        <w:id w:val="147461765"/>
        <w:showingPlcHdr/>
        <w:docPartObj>
          <w:docPartGallery w:val="autotext"/>
        </w:docPartObj>
      </w:sdtPr>
      <w:sdtContent>
        <w:r>
          <w:rPr>
            <w:rFonts w:hint="eastAsia"/>
            <w:lang w:eastAsia="zh-CN"/>
          </w:rPr>
          <w:t xml:space="preserve">     </w:t>
        </w:r>
      </w:sdtContent>
    </w:sdt>
  </w:p>
  <w:p w14:paraId="179951C8">
    <w:pPr>
      <w:pStyle w:val="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EE11A">
    <w:pPr>
      <w:pStyle w:val="21"/>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F1F93">
    <w:pPr>
      <w:pStyle w:val="21"/>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9A67B">
    <w:pPr>
      <w:pStyle w:val="2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992F0B"/>
    <w:multiLevelType w:val="singleLevel"/>
    <w:tmpl w:val="24992F0B"/>
    <w:lvl w:ilvl="0" w:tentative="0">
      <w:start w:val="5"/>
      <w:numFmt w:val="chineseCounting"/>
      <w:suff w:val="space"/>
      <w:lvlText w:val="第%1条"/>
      <w:lvlJc w:val="left"/>
      <w:rPr>
        <w:rFonts w:hint="eastAsia"/>
        <w:b/>
        <w:bCs/>
      </w:rPr>
    </w:lvl>
  </w:abstractNum>
  <w:abstractNum w:abstractNumId="1">
    <w:nsid w:val="40AB28EF"/>
    <w:multiLevelType w:val="singleLevel"/>
    <w:tmpl w:val="40AB28EF"/>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5F3167"/>
    <w:rsid w:val="0E7D3AEE"/>
    <w:rsid w:val="0FC67049"/>
    <w:rsid w:val="103A226A"/>
    <w:rsid w:val="11BB1FBF"/>
    <w:rsid w:val="14C8078D"/>
    <w:rsid w:val="16C84A74"/>
    <w:rsid w:val="24DE60C8"/>
    <w:rsid w:val="254B57FD"/>
    <w:rsid w:val="256D7ED1"/>
    <w:rsid w:val="26B74DA3"/>
    <w:rsid w:val="279664C8"/>
    <w:rsid w:val="2BA82C10"/>
    <w:rsid w:val="2BB563D7"/>
    <w:rsid w:val="2D8C5B17"/>
    <w:rsid w:val="30532045"/>
    <w:rsid w:val="36B83D65"/>
    <w:rsid w:val="41A53056"/>
    <w:rsid w:val="50DF2F34"/>
    <w:rsid w:val="5CAF666F"/>
    <w:rsid w:val="64C51278"/>
    <w:rsid w:val="6647693E"/>
    <w:rsid w:val="7BF070AA"/>
    <w:rsid w:val="7DCA78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19"/>
    <w:qFormat/>
    <w:uiPriority w:val="0"/>
    <w:pPr>
      <w:keepNext/>
      <w:keepLines/>
      <w:spacing w:before="340" w:after="330" w:line="578" w:lineRule="auto"/>
      <w:outlineLvl w:val="0"/>
    </w:pPr>
    <w:rPr>
      <w:b/>
      <w:bCs/>
      <w:sz w:val="44"/>
      <w:szCs w:val="44"/>
    </w:rPr>
  </w:style>
  <w:style w:type="paragraph" w:styleId="3">
    <w:name w:val="heading 2"/>
    <w:basedOn w:val="1"/>
    <w:next w:val="1"/>
    <w:link w:val="220"/>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21"/>
    <w:qFormat/>
    <w:uiPriority w:val="0"/>
    <w:pPr>
      <w:keepNext/>
      <w:keepLines/>
      <w:spacing w:before="260" w:after="260" w:line="416" w:lineRule="auto"/>
      <w:outlineLvl w:val="2"/>
    </w:pPr>
    <w:rPr>
      <w:b/>
      <w:bCs/>
      <w:sz w:val="32"/>
      <w:szCs w:val="32"/>
    </w:rPr>
  </w:style>
  <w:style w:type="paragraph" w:styleId="5">
    <w:name w:val="heading 4"/>
    <w:basedOn w:val="1"/>
    <w:next w:val="1"/>
    <w:link w:val="222"/>
    <w:qFormat/>
    <w:uiPriority w:val="0"/>
    <w:pPr>
      <w:keepNext/>
      <w:jc w:val="center"/>
      <w:outlineLvl w:val="3"/>
    </w:pPr>
    <w:rPr>
      <w:rFonts w:eastAsia="新宋体"/>
      <w:sz w:val="30"/>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spacing w:after="57"/>
      <w:ind w:left="1701"/>
    </w:pPr>
  </w:style>
  <w:style w:type="paragraph" w:styleId="7">
    <w:name w:val="Normal Indent"/>
    <w:basedOn w:val="1"/>
    <w:link w:val="223"/>
    <w:qFormat/>
    <w:uiPriority w:val="0"/>
    <w:pPr>
      <w:ind w:firstLine="420"/>
    </w:pPr>
    <w:rPr>
      <w:szCs w:val="20"/>
    </w:rPr>
  </w:style>
  <w:style w:type="paragraph" w:styleId="8">
    <w:name w:val="Document Map"/>
    <w:basedOn w:val="1"/>
    <w:link w:val="224"/>
    <w:semiHidden/>
    <w:qFormat/>
    <w:uiPriority w:val="0"/>
    <w:pPr>
      <w:shd w:val="clear" w:color="auto" w:fill="000080"/>
    </w:pPr>
  </w:style>
  <w:style w:type="paragraph" w:styleId="9">
    <w:name w:val="annotation text"/>
    <w:basedOn w:val="1"/>
    <w:qFormat/>
    <w:uiPriority w:val="0"/>
    <w:pPr>
      <w:jc w:val="left"/>
    </w:pPr>
  </w:style>
  <w:style w:type="paragraph" w:styleId="10">
    <w:name w:val="Body Text"/>
    <w:basedOn w:val="1"/>
    <w:next w:val="1"/>
    <w:qFormat/>
    <w:uiPriority w:val="0"/>
    <w:pPr>
      <w:spacing w:after="120"/>
    </w:pPr>
    <w:rPr>
      <w:szCs w:val="20"/>
    </w:rPr>
  </w:style>
  <w:style w:type="paragraph" w:styleId="11">
    <w:name w:val="Body Text Indent"/>
    <w:basedOn w:val="1"/>
    <w:next w:val="12"/>
    <w:link w:val="225"/>
    <w:qFormat/>
    <w:uiPriority w:val="0"/>
    <w:pPr>
      <w:spacing w:after="120"/>
      <w:ind w:left="420"/>
    </w:pPr>
  </w:style>
  <w:style w:type="paragraph" w:styleId="12">
    <w:name w:val="envelope return"/>
    <w:basedOn w:val="1"/>
    <w:qFormat/>
    <w:uiPriority w:val="0"/>
    <w:rPr>
      <w:rFonts w:ascii="Arial" w:hAnsi="Arial"/>
    </w:rPr>
  </w:style>
  <w:style w:type="paragraph" w:styleId="13">
    <w:name w:val="toc 5"/>
    <w:basedOn w:val="1"/>
    <w:next w:val="1"/>
    <w:unhideWhenUsed/>
    <w:qFormat/>
    <w:uiPriority w:val="39"/>
    <w:pPr>
      <w:spacing w:after="57"/>
      <w:ind w:left="1134"/>
    </w:pPr>
  </w:style>
  <w:style w:type="paragraph" w:styleId="14">
    <w:name w:val="toc 3"/>
    <w:basedOn w:val="1"/>
    <w:next w:val="1"/>
    <w:unhideWhenUsed/>
    <w:qFormat/>
    <w:uiPriority w:val="39"/>
    <w:pPr>
      <w:spacing w:after="57"/>
      <w:ind w:left="567"/>
    </w:pPr>
  </w:style>
  <w:style w:type="paragraph" w:styleId="15">
    <w:name w:val="Plain Text"/>
    <w:basedOn w:val="1"/>
    <w:link w:val="260"/>
    <w:qFormat/>
    <w:uiPriority w:val="0"/>
    <w:rPr>
      <w:rFonts w:ascii="宋体" w:hAnsi="Courier New"/>
      <w:szCs w:val="20"/>
    </w:rPr>
  </w:style>
  <w:style w:type="paragraph" w:styleId="16">
    <w:name w:val="toc 8"/>
    <w:basedOn w:val="1"/>
    <w:next w:val="1"/>
    <w:unhideWhenUsed/>
    <w:qFormat/>
    <w:uiPriority w:val="39"/>
    <w:pPr>
      <w:spacing w:after="57"/>
      <w:ind w:left="1984"/>
    </w:pPr>
  </w:style>
  <w:style w:type="paragraph" w:styleId="17">
    <w:name w:val="Date"/>
    <w:basedOn w:val="1"/>
    <w:next w:val="1"/>
    <w:link w:val="226"/>
    <w:qFormat/>
    <w:uiPriority w:val="0"/>
    <w:pPr>
      <w:ind w:left="100"/>
    </w:pPr>
  </w:style>
  <w:style w:type="paragraph" w:styleId="18">
    <w:name w:val="endnote text"/>
    <w:basedOn w:val="1"/>
    <w:link w:val="217"/>
    <w:semiHidden/>
    <w:unhideWhenUsed/>
    <w:qFormat/>
    <w:uiPriority w:val="99"/>
    <w:rPr>
      <w:sz w:val="20"/>
    </w:rPr>
  </w:style>
  <w:style w:type="paragraph" w:styleId="19">
    <w:name w:val="Balloon Text"/>
    <w:basedOn w:val="1"/>
    <w:link w:val="227"/>
    <w:semiHidden/>
    <w:qFormat/>
    <w:uiPriority w:val="0"/>
    <w:rPr>
      <w:sz w:val="18"/>
      <w:szCs w:val="18"/>
    </w:rPr>
  </w:style>
  <w:style w:type="paragraph" w:styleId="20">
    <w:name w:val="footer"/>
    <w:basedOn w:val="1"/>
    <w:link w:val="228"/>
    <w:qFormat/>
    <w:uiPriority w:val="99"/>
    <w:pPr>
      <w:tabs>
        <w:tab w:val="center" w:pos="4153"/>
        <w:tab w:val="right" w:pos="8306"/>
      </w:tabs>
      <w:jc w:val="left"/>
    </w:pPr>
    <w:rPr>
      <w:sz w:val="18"/>
      <w:szCs w:val="18"/>
    </w:rPr>
  </w:style>
  <w:style w:type="paragraph" w:styleId="21">
    <w:name w:val="header"/>
    <w:basedOn w:val="1"/>
    <w:link w:val="229"/>
    <w:qFormat/>
    <w:uiPriority w:val="0"/>
    <w:pPr>
      <w:pBdr>
        <w:bottom w:val="single" w:color="000000" w:sz="6" w:space="1"/>
      </w:pBdr>
      <w:tabs>
        <w:tab w:val="center" w:pos="4153"/>
        <w:tab w:val="right" w:pos="8306"/>
      </w:tabs>
      <w:jc w:val="center"/>
    </w:pPr>
    <w:rPr>
      <w:sz w:val="18"/>
      <w:szCs w:val="18"/>
    </w:r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80"/>
    <w:qFormat/>
    <w:uiPriority w:val="11"/>
    <w:pPr>
      <w:spacing w:before="200" w:after="200"/>
    </w:pPr>
    <w:rPr>
      <w:sz w:val="24"/>
    </w:rPr>
  </w:style>
  <w:style w:type="paragraph" w:styleId="25">
    <w:name w:val="footnote text"/>
    <w:basedOn w:val="1"/>
    <w:link w:val="216"/>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Body Text Indent 3"/>
    <w:basedOn w:val="1"/>
    <w:link w:val="230"/>
    <w:qFormat/>
    <w:uiPriority w:val="0"/>
    <w:pPr>
      <w:spacing w:line="520" w:lineRule="exact"/>
      <w:ind w:firstLine="539"/>
    </w:pPr>
    <w:rPr>
      <w:rFonts w:ascii="宋体"/>
      <w:b/>
      <w:spacing w:val="6"/>
      <w:sz w:val="28"/>
    </w:r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2">
    <w:name w:val="Title"/>
    <w:basedOn w:val="1"/>
    <w:next w:val="1"/>
    <w:link w:val="79"/>
    <w:qFormat/>
    <w:uiPriority w:val="10"/>
    <w:pPr>
      <w:spacing w:before="300" w:after="200"/>
      <w:contextualSpacing/>
    </w:pPr>
    <w:rPr>
      <w:sz w:val="48"/>
      <w:szCs w:val="48"/>
    </w:rPr>
  </w:style>
  <w:style w:type="paragraph" w:styleId="33">
    <w:name w:val="Body Text First Indent 2"/>
    <w:basedOn w:val="11"/>
    <w:unhideWhenUsed/>
    <w:qFormat/>
    <w:uiPriority w:val="99"/>
    <w:pPr>
      <w:ind w:firstLine="200"/>
    </w:pPr>
  </w:style>
  <w:style w:type="table" w:styleId="35">
    <w:name w:val="Table Grid"/>
    <w:basedOn w:val="34"/>
    <w:qFormat/>
    <w:uiPriority w:val="0"/>
    <w:pPr>
      <w:widowControl w:val="0"/>
      <w:jc w:val="both"/>
    </w:pPr>
    <w:tblPr>
      <w:tblCellMar>
        <w:top w:w="0" w:type="dxa"/>
        <w:left w:w="108" w:type="dxa"/>
        <w:bottom w:w="0" w:type="dxa"/>
        <w:right w:w="108" w:type="dxa"/>
      </w:tblCellMar>
    </w:tblPr>
  </w:style>
  <w:style w:type="character" w:styleId="37">
    <w:name w:val="Strong"/>
    <w:qFormat/>
    <w:uiPriority w:val="22"/>
    <w:rPr>
      <w:b/>
      <w:bCs/>
    </w:rPr>
  </w:style>
  <w:style w:type="character" w:styleId="38">
    <w:name w:val="endnote reference"/>
    <w:semiHidden/>
    <w:unhideWhenUsed/>
    <w:qFormat/>
    <w:uiPriority w:val="99"/>
    <w:rPr>
      <w:vertAlign w:val="superscript"/>
    </w:rPr>
  </w:style>
  <w:style w:type="character" w:styleId="39">
    <w:name w:val="page number"/>
    <w:basedOn w:val="36"/>
    <w:qFormat/>
    <w:uiPriority w:val="0"/>
  </w:style>
  <w:style w:type="character" w:styleId="40">
    <w:name w:val="FollowedHyperlink"/>
    <w:unhideWhenUsed/>
    <w:qFormat/>
    <w:uiPriority w:val="99"/>
    <w:rPr>
      <w:color w:val="800080"/>
      <w:u w:val="none"/>
    </w:rPr>
  </w:style>
  <w:style w:type="character" w:styleId="41">
    <w:name w:val="Emphasis"/>
    <w:qFormat/>
    <w:uiPriority w:val="0"/>
    <w:rPr>
      <w:b/>
      <w:bCs/>
    </w:rPr>
  </w:style>
  <w:style w:type="character" w:styleId="42">
    <w:name w:val="HTML Definition"/>
    <w:unhideWhenUsed/>
    <w:qFormat/>
    <w:uiPriority w:val="99"/>
  </w:style>
  <w:style w:type="character" w:styleId="43">
    <w:name w:val="HTML Typewriter"/>
    <w:unhideWhenUsed/>
    <w:qFormat/>
    <w:uiPriority w:val="99"/>
    <w:rPr>
      <w:rFonts w:ascii="monospace" w:hAnsi="monospace" w:eastAsia="monospace" w:cs="monospace"/>
      <w:sz w:val="20"/>
    </w:rPr>
  </w:style>
  <w:style w:type="character" w:styleId="44">
    <w:name w:val="HTML Acronym"/>
    <w:unhideWhenUsed/>
    <w:qFormat/>
    <w:uiPriority w:val="99"/>
  </w:style>
  <w:style w:type="character" w:styleId="45">
    <w:name w:val="HTML Variable"/>
    <w:unhideWhenUsed/>
    <w:qFormat/>
    <w:uiPriority w:val="99"/>
  </w:style>
  <w:style w:type="character" w:styleId="46">
    <w:name w:val="Hyperlink"/>
    <w:unhideWhenUsed/>
    <w:qFormat/>
    <w:uiPriority w:val="99"/>
    <w:rPr>
      <w:color w:val="0000FF"/>
      <w:u w:val="none"/>
    </w:rPr>
  </w:style>
  <w:style w:type="character" w:styleId="47">
    <w:name w:val="HTML Code"/>
    <w:unhideWhenUsed/>
    <w:qFormat/>
    <w:uiPriority w:val="99"/>
    <w:rPr>
      <w:rFonts w:ascii="monospace" w:hAnsi="monospace" w:eastAsia="monospace" w:cs="monospace"/>
      <w:sz w:val="20"/>
    </w:rPr>
  </w:style>
  <w:style w:type="character" w:styleId="48">
    <w:name w:val="HTML Cite"/>
    <w:unhideWhenUsed/>
    <w:qFormat/>
    <w:uiPriority w:val="99"/>
  </w:style>
  <w:style w:type="character" w:styleId="49">
    <w:name w:val="footnote reference"/>
    <w:unhideWhenUsed/>
    <w:qFormat/>
    <w:uiPriority w:val="99"/>
    <w:rPr>
      <w:vertAlign w:val="superscript"/>
    </w:rPr>
  </w:style>
  <w:style w:type="character" w:styleId="50">
    <w:name w:val="HTML Keyboard"/>
    <w:unhideWhenUsed/>
    <w:qFormat/>
    <w:uiPriority w:val="99"/>
    <w:rPr>
      <w:rFonts w:ascii="monospace" w:hAnsi="monospace" w:eastAsia="monospace" w:cs="monospace"/>
      <w:sz w:val="20"/>
    </w:rPr>
  </w:style>
  <w:style w:type="character" w:styleId="51">
    <w:name w:val="HTML Sample"/>
    <w:unhideWhenUsed/>
    <w:qFormat/>
    <w:uiPriority w:val="99"/>
    <w:rPr>
      <w:rFonts w:ascii="monospace" w:hAnsi="monospace" w:eastAsia="monospace" w:cs="monospace"/>
    </w:rPr>
  </w:style>
  <w:style w:type="character" w:customStyle="1" w:styleId="52">
    <w:name w:val="Title Char"/>
    <w:basedOn w:val="36"/>
    <w:qFormat/>
    <w:uiPriority w:val="10"/>
    <w:rPr>
      <w:sz w:val="48"/>
      <w:szCs w:val="48"/>
    </w:rPr>
  </w:style>
  <w:style w:type="character" w:customStyle="1" w:styleId="53">
    <w:name w:val="Subtitle Char"/>
    <w:basedOn w:val="36"/>
    <w:qFormat/>
    <w:uiPriority w:val="11"/>
    <w:rPr>
      <w:sz w:val="24"/>
      <w:szCs w:val="24"/>
    </w:rPr>
  </w:style>
  <w:style w:type="character" w:customStyle="1" w:styleId="54">
    <w:name w:val="Quote Char"/>
    <w:qFormat/>
    <w:uiPriority w:val="29"/>
    <w:rPr>
      <w:i/>
    </w:rPr>
  </w:style>
  <w:style w:type="character" w:customStyle="1" w:styleId="55">
    <w:name w:val="Intense Quote Char"/>
    <w:qFormat/>
    <w:uiPriority w:val="30"/>
    <w:rPr>
      <w:i/>
    </w:rPr>
  </w:style>
  <w:style w:type="character" w:customStyle="1" w:styleId="56">
    <w:name w:val="Footnote Text Char"/>
    <w:qFormat/>
    <w:uiPriority w:val="99"/>
    <w:rPr>
      <w:sz w:val="18"/>
    </w:rPr>
  </w:style>
  <w:style w:type="character" w:customStyle="1" w:styleId="57">
    <w:name w:val="Endnote Text Char"/>
    <w:qFormat/>
    <w:uiPriority w:val="99"/>
    <w:rPr>
      <w:sz w:val="20"/>
    </w:rPr>
  </w:style>
  <w:style w:type="paragraph" w:customStyle="1" w:styleId="58">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9">
    <w:name w:val="Heading 1"/>
    <w:basedOn w:val="1"/>
    <w:next w:val="1"/>
    <w:link w:val="60"/>
    <w:qFormat/>
    <w:uiPriority w:val="9"/>
    <w:pPr>
      <w:keepNext/>
      <w:keepLines/>
      <w:spacing w:before="480" w:after="200"/>
      <w:outlineLvl w:val="0"/>
    </w:pPr>
    <w:rPr>
      <w:rFonts w:ascii="Arial" w:hAnsi="Arial" w:eastAsia="Arial" w:cs="Arial"/>
      <w:sz w:val="40"/>
      <w:szCs w:val="40"/>
    </w:rPr>
  </w:style>
  <w:style w:type="character" w:customStyle="1" w:styleId="60">
    <w:name w:val="Heading 1 Char"/>
    <w:link w:val="59"/>
    <w:qFormat/>
    <w:uiPriority w:val="9"/>
    <w:rPr>
      <w:rFonts w:ascii="Arial" w:hAnsi="Arial" w:eastAsia="Arial" w:cs="Arial"/>
      <w:sz w:val="40"/>
      <w:szCs w:val="40"/>
    </w:rPr>
  </w:style>
  <w:style w:type="paragraph" w:customStyle="1" w:styleId="61">
    <w:name w:val="Heading 2"/>
    <w:basedOn w:val="1"/>
    <w:next w:val="1"/>
    <w:link w:val="62"/>
    <w:unhideWhenUsed/>
    <w:qFormat/>
    <w:uiPriority w:val="9"/>
    <w:pPr>
      <w:keepNext/>
      <w:keepLines/>
      <w:spacing w:before="360" w:after="200"/>
      <w:outlineLvl w:val="1"/>
    </w:pPr>
    <w:rPr>
      <w:rFonts w:ascii="Arial" w:hAnsi="Arial" w:eastAsia="Arial" w:cs="Arial"/>
      <w:sz w:val="34"/>
    </w:rPr>
  </w:style>
  <w:style w:type="character" w:customStyle="1" w:styleId="62">
    <w:name w:val="Heading 2 Char"/>
    <w:link w:val="61"/>
    <w:qFormat/>
    <w:uiPriority w:val="9"/>
    <w:rPr>
      <w:rFonts w:ascii="Arial" w:hAnsi="Arial" w:eastAsia="Arial" w:cs="Arial"/>
      <w:sz w:val="34"/>
    </w:rPr>
  </w:style>
  <w:style w:type="paragraph" w:customStyle="1" w:styleId="63">
    <w:name w:val="Heading 3"/>
    <w:basedOn w:val="1"/>
    <w:next w:val="1"/>
    <w:link w:val="64"/>
    <w:unhideWhenUsed/>
    <w:qFormat/>
    <w:uiPriority w:val="9"/>
    <w:pPr>
      <w:keepNext/>
      <w:keepLines/>
      <w:spacing w:before="320" w:after="200"/>
      <w:outlineLvl w:val="2"/>
    </w:pPr>
    <w:rPr>
      <w:rFonts w:ascii="Arial" w:hAnsi="Arial" w:eastAsia="Arial" w:cs="Arial"/>
      <w:sz w:val="30"/>
      <w:szCs w:val="30"/>
    </w:rPr>
  </w:style>
  <w:style w:type="character" w:customStyle="1" w:styleId="64">
    <w:name w:val="Heading 3 Char"/>
    <w:link w:val="63"/>
    <w:qFormat/>
    <w:uiPriority w:val="9"/>
    <w:rPr>
      <w:rFonts w:ascii="Arial" w:hAnsi="Arial" w:eastAsia="Arial" w:cs="Arial"/>
      <w:sz w:val="30"/>
      <w:szCs w:val="30"/>
    </w:rPr>
  </w:style>
  <w:style w:type="paragraph" w:customStyle="1" w:styleId="65">
    <w:name w:val="Heading 4"/>
    <w:basedOn w:val="1"/>
    <w:next w:val="1"/>
    <w:link w:val="66"/>
    <w:unhideWhenUsed/>
    <w:qFormat/>
    <w:uiPriority w:val="9"/>
    <w:pPr>
      <w:keepNext/>
      <w:keepLines/>
      <w:spacing w:before="320" w:after="200"/>
      <w:outlineLvl w:val="3"/>
    </w:pPr>
    <w:rPr>
      <w:rFonts w:ascii="Arial" w:hAnsi="Arial" w:eastAsia="Arial" w:cs="Arial"/>
      <w:b/>
      <w:bCs/>
      <w:sz w:val="26"/>
      <w:szCs w:val="26"/>
    </w:rPr>
  </w:style>
  <w:style w:type="character" w:customStyle="1" w:styleId="66">
    <w:name w:val="Heading 4 Char"/>
    <w:link w:val="65"/>
    <w:qFormat/>
    <w:uiPriority w:val="9"/>
    <w:rPr>
      <w:rFonts w:ascii="Arial" w:hAnsi="Arial" w:eastAsia="Arial" w:cs="Arial"/>
      <w:b/>
      <w:bCs/>
      <w:sz w:val="26"/>
      <w:szCs w:val="26"/>
    </w:rPr>
  </w:style>
  <w:style w:type="paragraph" w:customStyle="1" w:styleId="67">
    <w:name w:val="Heading 5"/>
    <w:basedOn w:val="1"/>
    <w:next w:val="1"/>
    <w:link w:val="68"/>
    <w:unhideWhenUsed/>
    <w:qFormat/>
    <w:uiPriority w:val="9"/>
    <w:pPr>
      <w:keepNext/>
      <w:keepLines/>
      <w:spacing w:before="320" w:after="200"/>
      <w:outlineLvl w:val="4"/>
    </w:pPr>
    <w:rPr>
      <w:rFonts w:ascii="Arial" w:hAnsi="Arial" w:eastAsia="Arial" w:cs="Arial"/>
      <w:b/>
      <w:bCs/>
      <w:sz w:val="24"/>
    </w:rPr>
  </w:style>
  <w:style w:type="character" w:customStyle="1" w:styleId="68">
    <w:name w:val="Heading 5 Char"/>
    <w:link w:val="67"/>
    <w:qFormat/>
    <w:uiPriority w:val="9"/>
    <w:rPr>
      <w:rFonts w:ascii="Arial" w:hAnsi="Arial" w:eastAsia="Arial" w:cs="Arial"/>
      <w:b/>
      <w:bCs/>
      <w:sz w:val="24"/>
      <w:szCs w:val="24"/>
    </w:rPr>
  </w:style>
  <w:style w:type="paragraph" w:customStyle="1" w:styleId="69">
    <w:name w:val="Heading 6"/>
    <w:basedOn w:val="1"/>
    <w:next w:val="1"/>
    <w:link w:val="70"/>
    <w:unhideWhenUsed/>
    <w:qFormat/>
    <w:uiPriority w:val="9"/>
    <w:pPr>
      <w:keepNext/>
      <w:keepLines/>
      <w:spacing w:before="320" w:after="200"/>
      <w:outlineLvl w:val="5"/>
    </w:pPr>
    <w:rPr>
      <w:rFonts w:ascii="Arial" w:hAnsi="Arial" w:eastAsia="Arial" w:cs="Arial"/>
      <w:b/>
      <w:bCs/>
      <w:sz w:val="22"/>
      <w:szCs w:val="22"/>
    </w:rPr>
  </w:style>
  <w:style w:type="character" w:customStyle="1" w:styleId="70">
    <w:name w:val="Heading 6 Char"/>
    <w:link w:val="69"/>
    <w:qFormat/>
    <w:uiPriority w:val="9"/>
    <w:rPr>
      <w:rFonts w:ascii="Arial" w:hAnsi="Arial" w:eastAsia="Arial" w:cs="Arial"/>
      <w:b/>
      <w:bCs/>
      <w:sz w:val="22"/>
      <w:szCs w:val="22"/>
    </w:rPr>
  </w:style>
  <w:style w:type="paragraph" w:customStyle="1" w:styleId="71">
    <w:name w:val="Heading 7"/>
    <w:basedOn w:val="1"/>
    <w:next w:val="1"/>
    <w:link w:val="72"/>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72">
    <w:name w:val="Heading 7 Char"/>
    <w:link w:val="71"/>
    <w:qFormat/>
    <w:uiPriority w:val="9"/>
    <w:rPr>
      <w:rFonts w:ascii="Arial" w:hAnsi="Arial" w:eastAsia="Arial" w:cs="Arial"/>
      <w:b/>
      <w:bCs/>
      <w:i/>
      <w:iCs/>
      <w:sz w:val="22"/>
      <w:szCs w:val="22"/>
    </w:rPr>
  </w:style>
  <w:style w:type="paragraph" w:customStyle="1" w:styleId="73">
    <w:name w:val="Heading 8"/>
    <w:basedOn w:val="1"/>
    <w:next w:val="1"/>
    <w:link w:val="74"/>
    <w:unhideWhenUsed/>
    <w:qFormat/>
    <w:uiPriority w:val="9"/>
    <w:pPr>
      <w:keepNext/>
      <w:keepLines/>
      <w:spacing w:before="320" w:after="200"/>
      <w:outlineLvl w:val="7"/>
    </w:pPr>
    <w:rPr>
      <w:rFonts w:ascii="Arial" w:hAnsi="Arial" w:eastAsia="Arial" w:cs="Arial"/>
      <w:i/>
      <w:iCs/>
      <w:sz w:val="22"/>
      <w:szCs w:val="22"/>
    </w:rPr>
  </w:style>
  <w:style w:type="character" w:customStyle="1" w:styleId="74">
    <w:name w:val="Heading 8 Char"/>
    <w:link w:val="73"/>
    <w:qFormat/>
    <w:uiPriority w:val="9"/>
    <w:rPr>
      <w:rFonts w:ascii="Arial" w:hAnsi="Arial" w:eastAsia="Arial" w:cs="Arial"/>
      <w:i/>
      <w:iCs/>
      <w:sz w:val="22"/>
      <w:szCs w:val="22"/>
    </w:rPr>
  </w:style>
  <w:style w:type="paragraph" w:customStyle="1" w:styleId="75">
    <w:name w:val="Heading 9"/>
    <w:basedOn w:val="1"/>
    <w:next w:val="1"/>
    <w:link w:val="76"/>
    <w:unhideWhenUsed/>
    <w:qFormat/>
    <w:uiPriority w:val="9"/>
    <w:pPr>
      <w:keepNext/>
      <w:keepLines/>
      <w:spacing w:before="320" w:after="200"/>
      <w:outlineLvl w:val="8"/>
    </w:pPr>
    <w:rPr>
      <w:rFonts w:ascii="Arial" w:hAnsi="Arial" w:eastAsia="Arial" w:cs="Arial"/>
      <w:i/>
      <w:iCs/>
      <w:szCs w:val="21"/>
    </w:rPr>
  </w:style>
  <w:style w:type="character" w:customStyle="1" w:styleId="76">
    <w:name w:val="Heading 9 Char"/>
    <w:link w:val="75"/>
    <w:qFormat/>
    <w:uiPriority w:val="9"/>
    <w:rPr>
      <w:rFonts w:ascii="Arial" w:hAnsi="Arial" w:eastAsia="Arial" w:cs="Arial"/>
      <w:i/>
      <w:iCs/>
      <w:sz w:val="21"/>
      <w:szCs w:val="21"/>
    </w:rPr>
  </w:style>
  <w:style w:type="paragraph" w:styleId="77">
    <w:name w:val="List Paragraph"/>
    <w:basedOn w:val="1"/>
    <w:qFormat/>
    <w:uiPriority w:val="34"/>
    <w:pPr>
      <w:ind w:left="720"/>
      <w:contextualSpacing/>
    </w:pPr>
  </w:style>
  <w:style w:type="paragraph" w:styleId="78">
    <w:name w:val="No Spacing"/>
    <w:qFormat/>
    <w:uiPriority w:val="1"/>
    <w:rPr>
      <w:rFonts w:hint="default" w:ascii="Times New Roman" w:hAnsi="Times New Roman" w:eastAsia="宋体" w:cs="Times New Roman"/>
      <w:lang w:val="en-US" w:eastAsia="zh-CN" w:bidi="ar-SA"/>
    </w:rPr>
  </w:style>
  <w:style w:type="character" w:customStyle="1" w:styleId="79">
    <w:name w:val="标题 Char"/>
    <w:link w:val="32"/>
    <w:qFormat/>
    <w:uiPriority w:val="10"/>
    <w:rPr>
      <w:sz w:val="48"/>
      <w:szCs w:val="48"/>
    </w:rPr>
  </w:style>
  <w:style w:type="character" w:customStyle="1" w:styleId="80">
    <w:name w:val="副标题 Char"/>
    <w:link w:val="24"/>
    <w:qFormat/>
    <w:uiPriority w:val="11"/>
    <w:rPr>
      <w:sz w:val="24"/>
      <w:szCs w:val="24"/>
    </w:rPr>
  </w:style>
  <w:style w:type="paragraph" w:styleId="81">
    <w:name w:val="Quote"/>
    <w:basedOn w:val="1"/>
    <w:next w:val="1"/>
    <w:link w:val="82"/>
    <w:qFormat/>
    <w:uiPriority w:val="29"/>
    <w:pPr>
      <w:ind w:left="720" w:right="720"/>
    </w:pPr>
    <w:rPr>
      <w:i/>
    </w:rPr>
  </w:style>
  <w:style w:type="character" w:customStyle="1" w:styleId="82">
    <w:name w:val="引用 Char"/>
    <w:link w:val="81"/>
    <w:qFormat/>
    <w:uiPriority w:val="29"/>
    <w:rPr>
      <w:i/>
    </w:rPr>
  </w:style>
  <w:style w:type="paragraph" w:styleId="83">
    <w:name w:val="Intense Quote"/>
    <w:basedOn w:val="1"/>
    <w:next w:val="1"/>
    <w:link w:val="8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4">
    <w:name w:val="明显引用 Char"/>
    <w:link w:val="83"/>
    <w:qFormat/>
    <w:uiPriority w:val="30"/>
    <w:rPr>
      <w:i/>
    </w:rPr>
  </w:style>
  <w:style w:type="paragraph" w:customStyle="1" w:styleId="85">
    <w:name w:val="Header"/>
    <w:basedOn w:val="1"/>
    <w:link w:val="86"/>
    <w:unhideWhenUsed/>
    <w:qFormat/>
    <w:uiPriority w:val="99"/>
    <w:pPr>
      <w:tabs>
        <w:tab w:val="center" w:pos="7143"/>
        <w:tab w:val="right" w:pos="14287"/>
      </w:tabs>
    </w:pPr>
  </w:style>
  <w:style w:type="character" w:customStyle="1" w:styleId="86">
    <w:name w:val="Header Char"/>
    <w:link w:val="85"/>
    <w:qFormat/>
    <w:uiPriority w:val="99"/>
  </w:style>
  <w:style w:type="paragraph" w:customStyle="1" w:styleId="87">
    <w:name w:val="Footer"/>
    <w:basedOn w:val="1"/>
    <w:link w:val="90"/>
    <w:unhideWhenUsed/>
    <w:qFormat/>
    <w:uiPriority w:val="99"/>
    <w:pPr>
      <w:tabs>
        <w:tab w:val="center" w:pos="7143"/>
        <w:tab w:val="right" w:pos="14287"/>
      </w:tabs>
    </w:pPr>
  </w:style>
  <w:style w:type="character" w:customStyle="1" w:styleId="88">
    <w:name w:val="Footer Char"/>
    <w:link w:val="87"/>
    <w:qFormat/>
    <w:uiPriority w:val="99"/>
  </w:style>
  <w:style w:type="paragraph" w:customStyle="1" w:styleId="89">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character" w:customStyle="1" w:styleId="90">
    <w:name w:val="Caption Char"/>
    <w:link w:val="87"/>
    <w:qFormat/>
    <w:uiPriority w:val="99"/>
  </w:style>
  <w:style w:type="table" w:customStyle="1" w:styleId="9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2">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3">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4">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4">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2">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9">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6">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3">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7">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1">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8">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6">
    <w:name w:val="脚注文本 Char"/>
    <w:link w:val="25"/>
    <w:qFormat/>
    <w:uiPriority w:val="99"/>
    <w:rPr>
      <w:sz w:val="18"/>
    </w:rPr>
  </w:style>
  <w:style w:type="character" w:customStyle="1" w:styleId="217">
    <w:name w:val="尾注文本 Char"/>
    <w:link w:val="18"/>
    <w:qFormat/>
    <w:uiPriority w:val="99"/>
    <w:rPr>
      <w:sz w:val="20"/>
    </w:rPr>
  </w:style>
  <w:style w:type="paragraph" w:customStyle="1" w:styleId="218">
    <w:name w:val="TOC Heading"/>
    <w:unhideWhenUsed/>
    <w:qFormat/>
    <w:uiPriority w:val="39"/>
    <w:rPr>
      <w:rFonts w:hint="default" w:ascii="Times New Roman" w:hAnsi="Times New Roman" w:eastAsia="宋体" w:cs="Times New Roman"/>
      <w:lang w:val="en-US" w:eastAsia="zh-CN" w:bidi="ar-SA"/>
    </w:rPr>
  </w:style>
  <w:style w:type="character" w:customStyle="1" w:styleId="219">
    <w:name w:val="标题 1 Char"/>
    <w:link w:val="2"/>
    <w:qFormat/>
    <w:uiPriority w:val="0"/>
    <w:rPr>
      <w:b/>
      <w:bCs/>
      <w:sz w:val="44"/>
      <w:szCs w:val="44"/>
    </w:rPr>
  </w:style>
  <w:style w:type="character" w:customStyle="1" w:styleId="220">
    <w:name w:val="标题 2 Char"/>
    <w:link w:val="3"/>
    <w:qFormat/>
    <w:uiPriority w:val="0"/>
    <w:rPr>
      <w:rFonts w:ascii="Arial" w:hAnsi="Arial" w:eastAsia="黑体"/>
      <w:b/>
      <w:bCs/>
      <w:sz w:val="32"/>
      <w:szCs w:val="32"/>
    </w:rPr>
  </w:style>
  <w:style w:type="character" w:customStyle="1" w:styleId="221">
    <w:name w:val="标题 3 Char"/>
    <w:link w:val="4"/>
    <w:qFormat/>
    <w:uiPriority w:val="0"/>
    <w:rPr>
      <w:b/>
      <w:bCs/>
      <w:sz w:val="32"/>
      <w:szCs w:val="32"/>
    </w:rPr>
  </w:style>
  <w:style w:type="character" w:customStyle="1" w:styleId="222">
    <w:name w:val="标题 4 Char"/>
    <w:link w:val="5"/>
    <w:qFormat/>
    <w:uiPriority w:val="0"/>
    <w:rPr>
      <w:rFonts w:eastAsia="新宋体"/>
      <w:sz w:val="30"/>
      <w:szCs w:val="21"/>
    </w:rPr>
  </w:style>
  <w:style w:type="character" w:customStyle="1" w:styleId="223">
    <w:name w:val="正文缩进 Char"/>
    <w:link w:val="7"/>
    <w:qFormat/>
    <w:uiPriority w:val="0"/>
    <w:rPr>
      <w:sz w:val="21"/>
    </w:rPr>
  </w:style>
  <w:style w:type="character" w:customStyle="1" w:styleId="224">
    <w:name w:val="文档结构图 Char"/>
    <w:link w:val="8"/>
    <w:semiHidden/>
    <w:qFormat/>
    <w:uiPriority w:val="0"/>
    <w:rPr>
      <w:sz w:val="21"/>
      <w:szCs w:val="24"/>
      <w:shd w:val="clear" w:color="auto" w:fill="000080"/>
    </w:rPr>
  </w:style>
  <w:style w:type="character" w:customStyle="1" w:styleId="225">
    <w:name w:val="正文文本缩进 Char"/>
    <w:link w:val="11"/>
    <w:qFormat/>
    <w:uiPriority w:val="0"/>
    <w:rPr>
      <w:sz w:val="21"/>
      <w:szCs w:val="24"/>
    </w:rPr>
  </w:style>
  <w:style w:type="character" w:customStyle="1" w:styleId="226">
    <w:name w:val="日期 Char"/>
    <w:link w:val="17"/>
    <w:qFormat/>
    <w:uiPriority w:val="0"/>
    <w:rPr>
      <w:sz w:val="21"/>
      <w:szCs w:val="24"/>
    </w:rPr>
  </w:style>
  <w:style w:type="character" w:customStyle="1" w:styleId="227">
    <w:name w:val="批注框文本 Char"/>
    <w:link w:val="19"/>
    <w:semiHidden/>
    <w:qFormat/>
    <w:uiPriority w:val="0"/>
    <w:rPr>
      <w:sz w:val="18"/>
      <w:szCs w:val="18"/>
    </w:rPr>
  </w:style>
  <w:style w:type="character" w:customStyle="1" w:styleId="228">
    <w:name w:val="页脚 Char"/>
    <w:link w:val="20"/>
    <w:qFormat/>
    <w:uiPriority w:val="99"/>
    <w:rPr>
      <w:sz w:val="18"/>
      <w:szCs w:val="18"/>
    </w:rPr>
  </w:style>
  <w:style w:type="character" w:customStyle="1" w:styleId="229">
    <w:name w:val="页眉 Char"/>
    <w:link w:val="21"/>
    <w:qFormat/>
    <w:uiPriority w:val="0"/>
    <w:rPr>
      <w:sz w:val="18"/>
      <w:szCs w:val="18"/>
    </w:rPr>
  </w:style>
  <w:style w:type="character" w:customStyle="1" w:styleId="230">
    <w:name w:val="正文文本缩进 3 Char"/>
    <w:link w:val="27"/>
    <w:qFormat/>
    <w:uiPriority w:val="0"/>
    <w:rPr>
      <w:rFonts w:ascii="宋体"/>
      <w:b/>
      <w:spacing w:val="6"/>
      <w:sz w:val="28"/>
      <w:szCs w:val="24"/>
    </w:rPr>
  </w:style>
  <w:style w:type="character" w:customStyle="1" w:styleId="231">
    <w:name w:val="正文缩进2格 Char"/>
    <w:link w:val="232"/>
    <w:qFormat/>
    <w:uiPriority w:val="0"/>
    <w:rPr>
      <w:rFonts w:ascii="仿宋_GB2312" w:hAnsi="宋体" w:eastAsia="仿宋_GB2312"/>
      <w:sz w:val="31"/>
      <w:szCs w:val="28"/>
    </w:rPr>
  </w:style>
  <w:style w:type="paragraph" w:customStyle="1" w:styleId="232">
    <w:name w:val="正文缩进2格"/>
    <w:basedOn w:val="1"/>
    <w:link w:val="231"/>
    <w:qFormat/>
    <w:uiPriority w:val="0"/>
    <w:pPr>
      <w:spacing w:line="600" w:lineRule="exact"/>
      <w:ind w:firstLine="639"/>
    </w:pPr>
    <w:rPr>
      <w:rFonts w:ascii="仿宋_GB2312" w:hAnsi="宋体" w:eastAsia="仿宋_GB2312"/>
      <w:sz w:val="31"/>
      <w:szCs w:val="28"/>
    </w:rPr>
  </w:style>
  <w:style w:type="character" w:customStyle="1" w:styleId="233">
    <w:name w:val="标题 3.1 Char"/>
    <w:link w:val="234"/>
    <w:qFormat/>
    <w:uiPriority w:val="0"/>
    <w:rPr>
      <w:rFonts w:ascii="宋体" w:hAnsi="宋体"/>
      <w:b/>
      <w:bCs/>
      <w:color w:val="000000"/>
      <w:sz w:val="32"/>
      <w:szCs w:val="32"/>
    </w:rPr>
  </w:style>
  <w:style w:type="paragraph" w:customStyle="1" w:styleId="234">
    <w:name w:val="标题 3.1"/>
    <w:basedOn w:val="4"/>
    <w:link w:val="233"/>
    <w:qFormat/>
    <w:uiPriority w:val="0"/>
    <w:pPr>
      <w:tabs>
        <w:tab w:val="left" w:pos="1440"/>
        <w:tab w:val="left" w:pos="1620"/>
      </w:tabs>
      <w:spacing w:line="600" w:lineRule="exact"/>
    </w:pPr>
    <w:rPr>
      <w:rFonts w:ascii="宋体" w:hAnsi="宋体"/>
      <w:color w:val="000000"/>
    </w:rPr>
  </w:style>
  <w:style w:type="paragraph" w:customStyle="1" w:styleId="235">
    <w:name w:val="Char"/>
    <w:basedOn w:val="1"/>
    <w:qFormat/>
    <w:uiPriority w:val="0"/>
    <w:rPr>
      <w:rFonts w:ascii="Tahoma" w:hAnsi="Tahoma"/>
      <w:sz w:val="24"/>
      <w:szCs w:val="20"/>
    </w:rPr>
  </w:style>
  <w:style w:type="paragraph" w:customStyle="1" w:styleId="236">
    <w:name w:val="正文缩进4格"/>
    <w:basedOn w:val="232"/>
    <w:qFormat/>
    <w:uiPriority w:val="0"/>
    <w:pPr>
      <w:ind w:left="2" w:firstLine="538"/>
    </w:pPr>
    <w:rPr>
      <w:color w:val="000000"/>
      <w:sz w:val="28"/>
    </w:rPr>
  </w:style>
  <w:style w:type="paragraph" w:customStyle="1" w:styleId="237">
    <w:name w:val="Char Char Char Char"/>
    <w:basedOn w:val="1"/>
    <w:qFormat/>
    <w:uiPriority w:val="0"/>
    <w:rPr>
      <w:rFonts w:ascii="Tahoma" w:hAnsi="Tahoma"/>
      <w:sz w:val="24"/>
      <w:szCs w:val="20"/>
    </w:rPr>
  </w:style>
  <w:style w:type="paragraph" w:customStyle="1" w:styleId="238">
    <w:name w:val="Char1"/>
    <w:basedOn w:val="1"/>
    <w:qFormat/>
    <w:uiPriority w:val="0"/>
    <w:pPr>
      <w:tabs>
        <w:tab w:val="left" w:pos="840"/>
      </w:tabs>
      <w:ind w:left="840" w:hanging="420"/>
    </w:pPr>
    <w:rPr>
      <w:sz w:val="24"/>
    </w:rPr>
  </w:style>
  <w:style w:type="paragraph" w:customStyle="1" w:styleId="239">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40">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41">
    <w:name w:val="Char Char 字元 字元 字元 Char Char Char Char"/>
    <w:basedOn w:val="1"/>
    <w:qFormat/>
    <w:uiPriority w:val="0"/>
    <w:pPr>
      <w:spacing w:line="360" w:lineRule="auto"/>
    </w:pPr>
    <w:rPr>
      <w:sz w:val="24"/>
      <w:szCs w:val="20"/>
    </w:rPr>
  </w:style>
  <w:style w:type="paragraph" w:customStyle="1" w:styleId="242">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243">
    <w:name w:val="Char2"/>
    <w:basedOn w:val="1"/>
    <w:qFormat/>
    <w:uiPriority w:val="0"/>
    <w:rPr>
      <w:rFonts w:ascii="Tahoma" w:hAnsi="Tahoma"/>
      <w:sz w:val="24"/>
      <w:szCs w:val="20"/>
    </w:rPr>
  </w:style>
  <w:style w:type="paragraph" w:customStyle="1" w:styleId="244">
    <w:name w:val="msonormalcxsplast"/>
    <w:basedOn w:val="1"/>
    <w:qFormat/>
    <w:uiPriority w:val="0"/>
    <w:pPr>
      <w:widowControl/>
      <w:spacing w:before="100" w:beforeAutospacing="1" w:after="100" w:afterAutospacing="1"/>
      <w:jc w:val="left"/>
    </w:pPr>
    <w:rPr>
      <w:rFonts w:ascii="宋体" w:hAnsi="宋体" w:cs="宋体"/>
      <w:sz w:val="24"/>
    </w:rPr>
  </w:style>
  <w:style w:type="character" w:customStyle="1" w:styleId="245">
    <w:name w:val="普通正文 Char"/>
    <w:link w:val="246"/>
    <w:qFormat/>
    <w:uiPriority w:val="0"/>
    <w:rPr>
      <w:rFonts w:ascii="Arial" w:hAnsi="Arial"/>
      <w:sz w:val="24"/>
      <w:szCs w:val="24"/>
    </w:rPr>
  </w:style>
  <w:style w:type="paragraph" w:customStyle="1" w:styleId="246">
    <w:name w:val="普通正文"/>
    <w:basedOn w:val="1"/>
    <w:link w:val="245"/>
    <w:qFormat/>
    <w:uiPriority w:val="0"/>
    <w:pPr>
      <w:spacing w:before="120" w:after="120" w:line="360" w:lineRule="auto"/>
      <w:ind w:left="-2" w:right="120" w:firstLine="480"/>
      <w:jc w:val="center"/>
    </w:pPr>
    <w:rPr>
      <w:rFonts w:ascii="Arial" w:hAnsi="Arial"/>
      <w:sz w:val="24"/>
    </w:rPr>
  </w:style>
  <w:style w:type="character" w:customStyle="1" w:styleId="247">
    <w:name w:val="mini-outputtext1"/>
    <w:qFormat/>
    <w:uiPriority w:val="0"/>
  </w:style>
  <w:style w:type="character" w:customStyle="1" w:styleId="248">
    <w:name w:val="font31"/>
    <w:qFormat/>
    <w:uiPriority w:val="0"/>
    <w:rPr>
      <w:rFonts w:hint="eastAsia" w:ascii="宋体" w:hAnsi="宋体" w:eastAsia="宋体" w:cs="宋体"/>
      <w:color w:val="000000"/>
      <w:sz w:val="21"/>
      <w:szCs w:val="21"/>
      <w:u w:val="none"/>
    </w:rPr>
  </w:style>
  <w:style w:type="character" w:customStyle="1" w:styleId="249">
    <w:name w:val="font61"/>
    <w:qFormat/>
    <w:uiPriority w:val="0"/>
    <w:rPr>
      <w:rFonts w:ascii="Times New Roman" w:hAnsi="Times New Roman" w:cs="Times New Roman"/>
      <w:color w:val="000000"/>
      <w:sz w:val="21"/>
      <w:szCs w:val="21"/>
      <w:u w:val="none"/>
    </w:rPr>
  </w:style>
  <w:style w:type="character" w:customStyle="1" w:styleId="250">
    <w:name w:val="font01"/>
    <w:qFormat/>
    <w:uiPriority w:val="0"/>
    <w:rPr>
      <w:rFonts w:ascii="等线" w:hAnsi="等线" w:eastAsia="等线" w:cs="等线"/>
      <w:color w:val="000000"/>
      <w:sz w:val="22"/>
      <w:szCs w:val="22"/>
      <w:u w:val="none"/>
    </w:rPr>
  </w:style>
  <w:style w:type="character" w:customStyle="1" w:styleId="251">
    <w:name w:val="font51"/>
    <w:qFormat/>
    <w:uiPriority w:val="0"/>
    <w:rPr>
      <w:rFonts w:ascii="等线" w:hAnsi="等线" w:eastAsia="等线" w:cs="等线"/>
      <w:b/>
      <w:bCs/>
      <w:color w:val="000000"/>
      <w:sz w:val="22"/>
      <w:szCs w:val="22"/>
      <w:u w:val="none"/>
    </w:rPr>
  </w:style>
  <w:style w:type="paragraph" w:customStyle="1" w:styleId="252">
    <w:name w:val="普通(网站) Char"/>
    <w:basedOn w:val="1"/>
    <w:qFormat/>
    <w:uiPriority w:val="0"/>
    <w:pPr>
      <w:widowControl/>
      <w:spacing w:before="100" w:beforeAutospacing="1" w:after="100" w:afterAutospacing="1"/>
      <w:jc w:val="left"/>
    </w:pPr>
    <w:rPr>
      <w:rFonts w:hint="eastAsia" w:ascii="宋体" w:hAnsi="宋体"/>
      <w:sz w:val="24"/>
    </w:rPr>
  </w:style>
  <w:style w:type="character" w:customStyle="1" w:styleId="253">
    <w:name w:val="页脚 字符"/>
    <w:qFormat/>
    <w:uiPriority w:val="99"/>
  </w:style>
  <w:style w:type="paragraph" w:customStyle="1" w:styleId="254">
    <w:name w:val="Normal_18"/>
    <w:qFormat/>
    <w:uiPriority w:val="0"/>
    <w:pPr>
      <w:spacing w:before="120" w:after="240"/>
      <w:jc w:val="both"/>
    </w:pPr>
    <w:rPr>
      <w:rFonts w:hint="default" w:ascii="Calibri" w:hAnsi="Calibri" w:eastAsia="Calibri" w:cs="Times New Roman"/>
      <w:sz w:val="22"/>
      <w:szCs w:val="22"/>
      <w:lang w:val="ru-RU" w:eastAsia="en-US" w:bidi="ar-SA"/>
    </w:rPr>
  </w:style>
  <w:style w:type="paragraph" w:customStyle="1" w:styleId="255">
    <w:name w:val="正文缩进1"/>
    <w:basedOn w:val="256"/>
    <w:qFormat/>
    <w:uiPriority w:val="0"/>
    <w:pPr>
      <w:ind w:firstLine="420"/>
    </w:pPr>
    <w:rPr>
      <w:sz w:val="20"/>
    </w:rPr>
  </w:style>
  <w:style w:type="paragraph" w:customStyle="1" w:styleId="256">
    <w:name w:val="正文12"/>
    <w:next w:val="25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57">
    <w:name w:val="标题 21"/>
    <w:basedOn w:val="256"/>
    <w:next w:val="256"/>
    <w:qFormat/>
    <w:uiPriority w:val="0"/>
    <w:pPr>
      <w:keepNext/>
      <w:keepLines/>
      <w:spacing w:before="260" w:after="260" w:line="416" w:lineRule="auto"/>
      <w:outlineLvl w:val="1"/>
    </w:pPr>
    <w:rPr>
      <w:rFonts w:ascii="Arial" w:hAnsi="Arial" w:eastAsia="黑体"/>
      <w:b/>
      <w:bCs/>
      <w:sz w:val="32"/>
      <w:szCs w:val="32"/>
    </w:rPr>
  </w:style>
  <w:style w:type="character" w:customStyle="1" w:styleId="258">
    <w:name w:val="NormalCharacter"/>
    <w:semiHidden/>
    <w:qFormat/>
    <w:uiPriority w:val="0"/>
  </w:style>
  <w:style w:type="paragraph" w:customStyle="1" w:styleId="259">
    <w:name w:val="HtmlNormal"/>
    <w:basedOn w:val="1"/>
    <w:qFormat/>
    <w:uiPriority w:val="0"/>
    <w:pPr>
      <w:widowControl/>
      <w:jc w:val="left"/>
    </w:pPr>
    <w:rPr>
      <w:sz w:val="24"/>
      <w:szCs w:val="21"/>
    </w:rPr>
  </w:style>
  <w:style w:type="character" w:customStyle="1" w:styleId="260">
    <w:name w:val="纯文本 Char"/>
    <w:basedOn w:val="36"/>
    <w:link w:val="15"/>
    <w:qFormat/>
    <w:uiPriority w:val="0"/>
    <w:rPr>
      <w:rFonts w:ascii="宋体" w:hAnsi="Courier New"/>
      <w:sz w:val="21"/>
    </w:rPr>
  </w:style>
  <w:style w:type="paragraph" w:customStyle="1" w:styleId="261">
    <w:name w:val="表格文字"/>
    <w:basedOn w:val="262"/>
    <w:next w:val="10"/>
    <w:qFormat/>
    <w:uiPriority w:val="0"/>
  </w:style>
  <w:style w:type="paragraph" w:customStyle="1" w:styleId="262">
    <w:name w:val="表格文字（两侧对齐）"/>
    <w:basedOn w:val="1"/>
    <w:qFormat/>
    <w:uiPriority w:val="0"/>
    <w:rPr>
      <w:sz w:val="20"/>
    </w:rPr>
  </w:style>
  <w:style w:type="paragraph" w:customStyle="1" w:styleId="263">
    <w:name w:val="正文文本11"/>
    <w:basedOn w:val="1"/>
    <w:next w:val="1"/>
    <w:qFormat/>
    <w:uiPriority w:val="0"/>
    <w:pPr>
      <w:spacing w:after="120"/>
    </w:pPr>
    <w:rPr>
      <w:rFonts w:ascii="Times New Roman" w:hAnsi="Times New Roman"/>
      <w:szCs w:val="20"/>
    </w:rPr>
  </w:style>
  <w:style w:type="paragraph" w:customStyle="1" w:styleId="264">
    <w:name w:val="Table Text"/>
    <w:basedOn w:val="1"/>
    <w:semiHidden/>
    <w:qFormat/>
    <w:uiPriority w:val="0"/>
    <w:pPr>
      <w:widowControl w:val="0"/>
      <w:spacing w:after="0" w:line="240" w:lineRule="auto"/>
      <w:jc w:val="both"/>
    </w:pPr>
    <w:rPr>
      <w:rFonts w:ascii="宋体" w:hAnsi="宋体" w:eastAsia="宋体" w:cs="宋体"/>
      <w:sz w:val="28"/>
      <w:szCs w:val="28"/>
    </w:rPr>
  </w:style>
  <w:style w:type="paragraph" w:customStyle="1" w:styleId="265">
    <w:name w:val="正文首行缩进11"/>
    <w:basedOn w:val="266"/>
    <w:qFormat/>
    <w:uiPriority w:val="0"/>
    <w:pPr>
      <w:spacing w:line="360" w:lineRule="auto"/>
      <w:ind w:firstLine="200"/>
    </w:pPr>
    <w:rPr>
      <w:rFonts w:ascii="仿宋_GB2312" w:hAnsi="Times New Roman" w:eastAsia="仿宋_GB2312"/>
      <w:sz w:val="30"/>
      <w:szCs w:val="30"/>
    </w:rPr>
  </w:style>
  <w:style w:type="paragraph" w:customStyle="1" w:styleId="266">
    <w:name w:val="正文文本1"/>
    <w:basedOn w:val="1"/>
    <w:next w:val="1"/>
    <w:qFormat/>
    <w:uiPriority w:val="0"/>
    <w:rPr>
      <w:rFonts w:ascii="楷体_GB2312" w:hAnsi="Arial" w:eastAsia="楷体_GB2312"/>
      <w:sz w:val="28"/>
      <w:szCs w:val="28"/>
    </w:rPr>
  </w:style>
  <w:style w:type="paragraph" w:customStyle="1" w:styleId="267">
    <w:name w:val="Body Text First Indent 21"/>
    <w:basedOn w:val="1"/>
    <w:qFormat/>
    <w:uiPriority w:val="0"/>
    <w:pPr>
      <w:ind w:left="420" w:leftChars="200" w:firstLine="420"/>
    </w:pPr>
    <w:rPr>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8e9ed4cb-cdff-48a4-be38-d3c7ed0f97fe</errorID>
      <errorWord>:</errorWord>
      <group>L1_Format</group>
      <groupName>格式问题</groupName>
      <ability>L2_HalfPunc_CN</ability>
      <abilityName>全半角问题</abilityName>
      <candidateList>
        <item>：</item>
      </candidateList>
      <explain>文本全半角错误。</explain>
      <paraID>21AEFE34</paraID>
      <start>33</start>
      <end>34</end>
      <status>modified</status>
      <modifiedWord>：</modifiedWord>
      <trackRevisions>false</trackRevisions>
    </reviewItem>
    <reviewItem>
      <errorID>02dde23f-068c-4a7d-8b75-b40204c7a3c0</errorID>
      <errorWord>(</errorWord>
      <group>L1_Format</group>
      <groupName>格式问题</groupName>
      <ability>L2_HalfPunc_CN</ability>
      <abilityName>全半角问题</abilityName>
      <candidateList>
        <item>（</item>
      </candidateList>
      <explain>文本全半角错误。</explain>
      <paraID> B2645DF</paraID>
      <start>160</start>
      <end>161</end>
      <status>modified</status>
      <modifiedWord>（</modifiedWord>
      <trackRevisions>false</trackRevisions>
    </reviewItem>
    <reviewItem>
      <errorID>eff47600-d7f2-4b4c-9021-4f3231a28e1f</errorID>
      <errorWord>)</errorWord>
      <group>L1_Format</group>
      <groupName>格式问题</groupName>
      <ability>L2_HalfPunc_CN</ability>
      <abilityName>全半角问题</abilityName>
      <candidateList>
        <item>）</item>
      </candidateList>
      <explain>文本全半角错误。</explain>
      <paraID> B2645DF</paraID>
      <start>170</start>
      <end>171</end>
      <status>modified</status>
      <modifiedWord>）</modifiedWord>
      <trackRevisions>false</trackRevisions>
    </reviewItem>
    <reviewItem>
      <errorID>ddaf3842-ec8f-4081-95e4-dab15dd312ca</errorID>
      <errorWord>“.</errorWord>
      <group>L1_Punc</group>
      <groupName>标点问题</groupName>
      <ability>L2_Punc_CN</ability>
      <abilityName>标点符号问题</abilityName>
      <candidateList>
        <item>“</item>
      </candidateList>
      <explain/>
      <paraID>509101A0</paraID>
      <start>76</start>
      <end>78</end>
      <status>ignored</status>
      <modifiedWord/>
      <trackRevisions>false</trackRevisions>
    </reviewItem>
    <reviewItem>
      <errorID>ee1d3783-9d02-4a84-a62a-430e7ca10c83</errorID>
      <errorWord>“.</errorWord>
      <group>L1_Punc</group>
      <groupName>标点问题</groupName>
      <ability>L2_Punc_CN</ability>
      <abilityName>标点符号问题</abilityName>
      <candidateList>
        <item>“</item>
      </candidateList>
      <explain/>
      <paraID>509101A0</paraID>
      <start>91</start>
      <end>93</end>
      <status>ignored</status>
      <modifiedWord/>
      <trackRevisions>false</trackRevisions>
    </reviewItem>
    <reviewItem>
      <errorID>41c569f0-3453-40a6-8405-f564c0c14f8e</errorID>
      <errorWord>“.</errorWord>
      <group>L1_Punc</group>
      <groupName>标点问题</groupName>
      <ability>L2_Punc_CN</ability>
      <abilityName>标点符号问题</abilityName>
      <candidateList>
        <item>“</item>
      </candidateList>
      <explain/>
      <paraID>61C73245</paraID>
      <start>11</start>
      <end>13</end>
      <status>ignored</status>
      <modifiedWord/>
      <trackRevisions>false</trackRevisions>
    </reviewItem>
    <reviewItem>
      <errorID>6058bc18-151d-40db-9203-d2735171b0e1</errorID>
      <errorWord>（</errorWord>
      <group>L1_Punc</group>
      <groupName>标点问题</groupName>
      <ability>L2_Punc_CN</ability>
      <abilityName>标点符号问题</abilityName>
      <candidateList/>
      <explain>同一形式括号套用。</explain>
      <paraID> A6AA129</paraID>
      <start>35</start>
      <end>36</end>
      <status>ignored</status>
      <modifiedWord/>
      <trackRevisions>false</trackRevisions>
    </reviewItem>
    <reviewItem>
      <errorID>046b7b18-c7fa-4712-855e-ce2fc8c6a2d3</errorID>
      <errorWord>）</errorWord>
      <group>L1_Punc</group>
      <groupName>标点问题</groupName>
      <ability>L2_Punc_CN</ability>
      <abilityName>标点符号问题</abilityName>
      <candidateList/>
      <explain>同一形式括号套用。</explain>
      <paraID> A6AA129</paraID>
      <start>39</start>
      <end>40</end>
      <status>ignored</status>
      <modifiedWord/>
      <trackRevisions>false</trackRevisions>
    </reviewItem>
    <reviewItem>
      <errorID>420e6a1a-d347-4d61-907c-90e31e8218a6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ignored</status>
      <modifiedWord/>
      <trackRevisions>false</trackRevisions>
    </reviewItem>
    <reviewItem>
      <errorID>f92f31a3-214b-431f-81f9-ee5536d25d7c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ignored</status>
      <modifiedWord/>
      <trackRevisions>false</trackRevisions>
    </reviewItem>
    <reviewItem>
      <errorID>5fc8192b-a56c-415f-bc38-5e63994b6635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ignored</status>
      <modifiedWord/>
      <trackRevisions>false</trackRevisions>
    </reviewItem>
    <reviewItem>
      <errorID>a56f37da-6971-480a-8a28-53ef58d7ea3b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99e8f9c6-1da4-4690-8551-92dc440f1131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f996dd5b-d4fc-4201-821b-1369c8dc1e62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b5646cf1-afa1-44da-997e-93518f63102a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04b7d320-68e1-4e67-9a05-62b8672b2d50</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843a51d8-3739-484a-981d-e92b1760fde4</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7f7ec420-50e2-4db7-87bb-b98e29e9caea</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459c27d8-acd3-440e-98a4-f35717b04e68</errorID>
      <errorWord>苏</errorWord>
      <group>L1_Word</group>
      <groupName>字词问题</groupName>
      <ability>L2_Typo</ability>
      <abilityName>字词错误</abilityName>
      <candidateList>
        <item>苏省</item>
      </candidateList>
      <explain/>
      <paraID>17F37750</paraID>
      <start>11</start>
      <end>12</end>
      <status>unmodified</status>
      <modifiedWord/>
      <trackRevisions>false</trackRevisions>
    </reviewItem>
    <reviewItem>
      <errorID>27d0e2d5-e2be-45c2-8688-f6ad169c2397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5719FE29</paraID>
      <start>12</start>
      <end>15</end>
      <status>unmodified</status>
      <modifiedWord/>
      <trackRevisions>false</trackRevisions>
    </reviewItem>
    <reviewItem>
      <errorID>9b5a2675-523f-4c1c-a4f2-c5ebb59edae6</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40A054DD</paraID>
      <start>9</start>
      <end>13</end>
      <status>unmodified</status>
      <modifiedWord/>
      <trackRevisions>false</trackRevisions>
    </reviewItem>
    <reviewItem>
      <errorID>cb3318a6-dc81-4888-855c-c9dee252793a</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bcb235ab-a4da-461c-8d5c-6f9fe32b45ca</errorID>
      <errorWord>,</errorWord>
      <group>L1_Format</group>
      <groupName>格式问题</groupName>
      <ability>L2_HalfPunc_CN</ability>
      <abilityName>全半角问题</abilityName>
      <candidateList>
        <item>，</item>
      </candidateList>
      <explain>文本全半角错误。</explain>
      <paraID>21FE131B</paraID>
      <start>54</start>
      <end>55</end>
      <status>unmodified</status>
      <modifiedWord/>
      <trackRevisions>false</trackRevisions>
    </reviewItem>
    <reviewItem>
      <errorID>1900b3cc-1326-4879-a8c9-5b96877b3fe5</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3c7dae7c-73e2-4579-b594-5cc6213020b7</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ca2d604a-4143-4f62-bb5b-c09247da7ede</errorID>
      <errorWord>,</errorWord>
      <group>L1_Format</group>
      <groupName>格式问题</groupName>
      <ability>L2_HalfPunc_CN</ability>
      <abilityName>全半角问题</abilityName>
      <candidateList>
        <item>，</item>
      </candidateList>
      <explain>文本全半角错误。</explain>
      <paraID> C70D9F7</paraID>
      <start>19</start>
      <end>20</end>
      <status>unmodified</status>
      <modifiedWord/>
      <trackRevisions>false</trackRevisions>
    </reviewItem>
    <reviewItem>
      <errorID>0b276ac4-cb53-4cc2-8669-61d4691744b4</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ac09d1d2-0ff3-4335-97ac-04ae9e0b0afd</errorID>
      <errorWord>&lt;</errorWord>
      <group>L1_Format</group>
      <groupName>格式问题</groupName>
      <ability>L2_HalfPunc_CN</ability>
      <abilityName>全半角问题</abilityName>
      <candidateList>
        <item>〈</item>
      </candidateList>
      <explain>文本全半角错误。</explain>
      <paraID>40479963</paraID>
      <start>48</start>
      <end>49</end>
      <status>unmodified</status>
      <modifiedWord/>
      <trackRevisions>false</trackRevisions>
    </reviewItem>
    <reviewItem>
      <errorID>ed20cc15-a191-4a3c-9cc6-c299a8c570fc</errorID>
      <errorWord>&lt;</errorWord>
      <group>L1_Format</group>
      <groupName>格式问题</groupName>
      <ability>L2_HalfPunc_CN</ability>
      <abilityName>全半角问题</abilityName>
      <candidateList>
        <item>〈</item>
      </candidateList>
      <explain>文本全半角错误。</explain>
      <paraID>74AD836B</paraID>
      <start>48</start>
      <end>49</end>
      <status>unmodified</status>
      <modifiedWord/>
      <trackRevisions>false</trackRevisions>
    </reviewItem>
    <reviewItem>
      <errorID>f23392d5-0d22-4ba3-87f9-8fea9e9d96ff</errorID>
      <errorWord>&lt;</errorWord>
      <group>L1_Format</group>
      <groupName>格式问题</groupName>
      <ability>L2_HalfPunc_CN</ability>
      <abilityName>全半角问题</abilityName>
      <candidateList>
        <item>〈</item>
      </candidateList>
      <explain>文本全半角错误。</explain>
      <paraID>36FEA969</paraID>
      <start>33</start>
      <end>34</end>
      <status>unmodified</status>
      <modifiedWord/>
      <trackRevisions>false</trackRevisions>
    </reviewItem>
    <reviewItem>
      <errorID>5c148c30-ab4e-40d3-b506-48d7c3835551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d843cb71-3a84-4565-850c-da68c9826a8d</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75efbbf4-7236-44a1-896c-36ce6c9c81c7</errorID>
      <errorWord>规定的属无效</errorWord>
      <group>L1_Word</group>
      <groupName>字词问题</groupName>
      <ability>L2_Typo</ability>
      <abilityName>字词错误</abilityName>
      <candidateList>
        <item>规定的属于无效</item>
      </candidateList>
      <explain/>
      <paraID>456A490F</paraID>
      <start>19</start>
      <end>25</end>
      <status>unmodified</status>
      <modifiedWord/>
      <trackRevisions>false</trackRevisions>
    </reviewItem>
    <reviewItem>
      <errorID>9dc8922e-6804-416c-a5ca-65625fa81db3</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95835c05-7c28-418d-b574-54c93e2c8188</errorID>
      <errorWord>人确定成交供应商</errorWord>
      <group>L1_Word</group>
      <groupName>字词问题</groupName>
      <ability>L2_Typo</ability>
      <abilityName>字词错误</abilityName>
      <candidateList>
        <item>人在确定成交供应商</item>
      </candidateList>
      <explain/>
      <paraID> 586C06A</paraID>
      <start>5</start>
      <end>13</end>
      <status>unmodified</status>
      <modifiedWord/>
      <trackRevisions>false</trackRevisions>
    </reviewItem>
    <reviewItem>
      <errorID>fc5a79b4-6c68-44ca-8a7d-ff31e620afd6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7d7cb99b-2391-452d-a63e-6e28ba91b71d</errorID>
      <errorWord>&lt;</errorWord>
      <group>L1_Format</group>
      <groupName>格式问题</groupName>
      <ability>L2_HalfPunc_CN</ability>
      <abilityName>全半角问题</abilityName>
      <candidateList>
        <item>〈</item>
      </candidateList>
      <explain>文本全半角错误。</explain>
      <paraID>  57DB80</paraID>
      <start>24</start>
      <end>25</end>
      <status>unmodified</status>
      <modifiedWord/>
      <trackRevisions>false</trackRevisions>
    </reviewItem>
    <reviewItem>
      <errorID>92ee97f4-c89b-4214-a8cd-30037807b66f</errorID>
      <errorWord>&gt;的通知》</errorWord>
      <group>L1_Punc</group>
      <groupName>标点问题</groupName>
      <ability>L2_Punc_CN</ability>
      <abilityName>标点符号问题</abilityName>
      <candidateList>
        <item>〉的通知》</item>
      </candidateList>
      <explain/>
      <paraID>  57DB80</paraID>
      <start>48</start>
      <end>53</end>
      <status>unmodified</status>
      <modifiedWord/>
      <trackRevisions>false</trackRevisions>
    </reviewItem>
    <reviewItem>
      <errorID>9601eb21-7c8a-47a5-b3f0-a6c5b248aa76</errorID>
      <errorWord>:</errorWord>
      <group>L1_Format</group>
      <groupName>格式问题</groupName>
      <ability>L2_HalfPunc_CN</ability>
      <abilityName>全半角问题</abilityName>
      <candidateList>
        <item>：</item>
      </candidateList>
      <explain>文本全半角错误。</explain>
      <paraID> D5DE90B</paraID>
      <start>38</start>
      <end>39</end>
      <status>unmodified</status>
      <modifiedWord/>
      <trackRevisions>false</trackRevisions>
    </reviewItem>
    <reviewItem>
      <errorID>a515d109-abd6-4773-bfed-3834dc9383cb</errorID>
      <errorWord>;</errorWord>
      <group>L1_Format</group>
      <groupName>格式问题</groupName>
      <ability>L2_HalfPunc_CN</ability>
      <abilityName>全半角问题</abilityName>
      <candidateList>
        <item>；</item>
      </candidateList>
      <explain>文本全半角错误。</explain>
      <paraID> D5DE90B</paraID>
      <start>85</start>
      <end>86</end>
      <status>unmodified</status>
      <modifiedWord/>
      <trackRevisions>false</trackRevisions>
    </reviewItem>
    <reviewItem>
      <errorID>38a75e7c-6467-45f9-a475-111b7054a27a</errorID>
      <errorWord>(</errorWord>
      <group>L1_Format</group>
      <groupName>格式问题</groupName>
      <ability>L2_HalfPunc_CN</ability>
      <abilityName>全半角问题</abilityName>
      <candidateList>
        <item>（</item>
      </candidateList>
      <explain>文本全半角错误。</explain>
      <paraID>37685821</paraID>
      <start>83</start>
      <end>84</end>
      <status>unmodified</status>
      <modifiedWord/>
      <trackRevisions>false</trackRevisions>
    </reviewItem>
    <reviewItem>
      <errorID>b143b8bd-4211-4497-acdc-9c1347d7e069</errorID>
      <errorWord>消防设施的</errorWord>
      <group>L1_Word</group>
      <groupName>字词问题</groupName>
      <ability>L2_Typo</ability>
      <abilityName>字词错误</abilityName>
      <candidateList>
        <item>消防设施</item>
      </candidateList>
      <explain/>
      <paraID>28DBC73F</paraID>
      <start>75</start>
      <end>80</end>
      <status>unmodified</status>
      <modifiedWord/>
      <trackRevisions>false</trackRevisions>
    </reviewItem>
    <reviewItem>
      <errorID>568a0e5f-80ae-4fdc-9eb6-b5e6f4d8eb87</errorID>
      <errorWord>消防局</errorWord>
      <group>L1_Knowledge</group>
      <groupName>知识性问题</groupName>
      <ability>L2_Organization</ability>
      <abilityName>机构检查</abilityName>
      <candidateList>
        <item>消防救援局</item>
      </candidateList>
      <explain>机关单位全简称表述错误</explain>
      <paraID>34BA5D0C</paraID>
      <start>16</start>
      <end>19</end>
      <status>unmodified</status>
      <modifiedWord/>
      <trackRevisions>false</trackRevisions>
    </reviewItem>
    <reviewItem>
      <errorID>a9e1f1dc-fdd9-40f7-a08f-2ebd44106c8b</errorID>
      <errorWord>消防局</errorWord>
      <group>L1_Knowledge</group>
      <groupName>知识性问题</groupName>
      <ability>L2_Organization</ability>
      <abilityName>机构检查</abilityName>
      <candidateList>
        <item>消防救援局</item>
      </candidateList>
      <explain>机关单位全简称表述错误</explain>
      <paraID>49A5D1EF</paraID>
      <start>42</start>
      <end>45</end>
      <status>unmodified</status>
      <modifiedWord/>
      <trackRevisions>false</trackRevisions>
    </reviewItem>
    <reviewItem>
      <errorID>c8198c61-bf34-4090-a6e8-7e806edf601f</errorID>
      <errorWord>、</errorWord>
      <group>L1_Word</group>
      <groupName>字词问题</groupName>
      <ability>L2_Typo</ability>
      <abilityName>字词错误</abilityName>
      <candidateList>
        <item>、第</item>
      </candidateList>
      <explain/>
      <paraID>427091C2</paraID>
      <start>205</start>
      <end>206</end>
      <status>unmodified</status>
      <modifiedWord/>
      <trackRevisions>false</trackRevisions>
    </reviewItem>
    <reviewItem>
      <errorID>0702b916-e3b0-481a-9fcd-74ba0b3df5f4</errorID>
      <errorWord>10号</errorWord>
      <group>L1_Knowledge</group>
      <groupName>知识性问题</groupName>
      <ability>L2_Time</ability>
      <abilityName>日期时间</abilityName>
      <candidateList>
        <item>10日</item>
      </candidateList>
      <explain>日期表达规范为x月x日。</explain>
      <paraID>64A1FBF9</paraID>
      <start>13</start>
      <end>16</end>
      <status>unmodified</status>
      <modifiedWord/>
      <trackRevisions>false</trackRevisions>
    </reviewItem>
    <reviewItem>
      <errorID>593ba1da-9e3c-4d28-976c-47a2259fdb1c</errorID>
      <errorWord>25号</errorWord>
      <group>L1_Knowledge</group>
      <groupName>知识性问题</groupName>
      <ability>L2_Time</ability>
      <abilityName>日期时间</abilityName>
      <candidateList>
        <item>25日</item>
      </candidateList>
      <explain>日期表达规范为x月x日。</explain>
      <paraID>64A1FBF9</paraID>
      <start>69</start>
      <end>72</end>
      <status>unmodified</status>
      <modifiedWord/>
      <trackRevisions>false</trackRevisions>
    </reviewItem>
    <reviewItem>
      <errorID>8498451e-4717-420e-a9f3-f38efa596c44</errorID>
      <errorWord>未有</errorWord>
      <group>L1_Word</group>
      <groupName>字词问题</groupName>
      <ability>L2_Typo</ability>
      <abilityName>字词错误</abilityName>
      <candidateList>
        <item>未</item>
      </candidateList>
      <explain>〈副〉❶没（跟“已”相对）：尚～成年｜健康仍～恢复。❷不：～便｜～敢苟同｜～可厚非。</explain>
      <paraID>  115415</paraID>
      <start>127</start>
      <end>129</end>
      <status>unmodified</status>
      <modifiedWord/>
      <trackRevisions>false</trackRevisions>
    </reviewItem>
    <reviewItem>
      <errorID>fcfeddca-9368-4612-a762-f05f73730e50</errorID>
      <errorWord>履约合同</errorWord>
      <group>L1_Word</group>
      <groupName>字词问题</groupName>
      <ability>L2_Typo</ability>
      <abilityName>字词错误</abilityName>
      <candidateList>
        <item>履行合同</item>
      </candidateList>
      <explain/>
      <paraID>  115415</paraID>
      <start>158</start>
      <end>162</end>
      <status>unmodified</status>
      <modifiedWord/>
      <trackRevisions>false</trackRevisions>
    </reviewItem>
    <reviewItem>
      <errorID>4db4989a-c406-41e2-87c3-50ab0fe42eb2</errorID>
      <errorWord>法律、法规</errorWord>
      <group>L1_Word</group>
      <groupName>字词问题</groupName>
      <ability>L2_Typo</ability>
      <abilityName>字词错误</abilityName>
      <candidateList>
        <item>法律法规</item>
      </candidateList>
      <explain/>
      <paraID>587CDE66</paraID>
      <start>100</start>
      <end>105</end>
      <status>unmodified</status>
      <modifiedWord/>
      <trackRevisions>false</trackRevisions>
    </reviewItem>
    <reviewItem>
      <errorID>5920dc3a-724a-488c-a056-cdced1078eed</errorID>
      <errorWord>(</errorWord>
      <group>L1_Format</group>
      <groupName>格式问题</groupName>
      <ability>L2_HalfPunc_CN</ability>
      <abilityName>全半角问题</abilityName>
      <candidateList>
        <item>（</item>
      </candidateList>
      <explain>文本全半角错误。</explain>
      <paraID>5D0F13BE</paraID>
      <start>83</start>
      <end>84</end>
      <status>unmodified</status>
      <modifiedWord/>
      <trackRevisions>false</trackRevisions>
    </reviewItem>
    <reviewItem>
      <errorID>62639bc7-43e9-4235-a2b6-b197dce479c9</errorID>
      <errorWord>消防设施的</errorWord>
      <group>L1_Word</group>
      <groupName>字词问题</groupName>
      <ability>L2_Typo</ability>
      <abilityName>字词错误</abilityName>
      <candidateList>
        <item>消防设施</item>
      </candidateList>
      <explain/>
      <paraID>49825F62</paraID>
      <start>75</start>
      <end>80</end>
      <status>unmodified</status>
      <modifiedWord/>
      <trackRevisions>false</trackRevisions>
    </reviewItem>
    <reviewItem>
      <errorID>7cbd86d8-5006-4174-a62a-f4e9918f1761</errorID>
      <errorWord>消防局</errorWord>
      <group>L1_Knowledge</group>
      <groupName>知识性问题</groupName>
      <ability>L2_Organization</ability>
      <abilityName>机构检查</abilityName>
      <candidateList>
        <item>消防救援局</item>
      </candidateList>
      <explain>机关单位全简称表述错误</explain>
      <paraID> 52B4F62</paraID>
      <start>16</start>
      <end>19</end>
      <status>unmodified</status>
      <modifiedWord/>
      <trackRevisions>false</trackRevisions>
    </reviewItem>
    <reviewItem>
      <errorID>0582f3bb-8cc0-4a0e-ab37-e10681f0cfae</errorID>
      <errorWord>消防局</errorWord>
      <group>L1_Knowledge</group>
      <groupName>知识性问题</groupName>
      <ability>L2_Organization</ability>
      <abilityName>机构检查</abilityName>
      <candidateList>
        <item>消防救援局</item>
      </candidateList>
      <explain>机关单位全简称表述错误</explain>
      <paraID>5F3751C0</paraID>
      <start>42</start>
      <end>45</end>
      <status>unmodified</status>
      <modifiedWord/>
      <trackRevisions>false</trackRevisions>
    </reviewItem>
    <reviewItem>
      <errorID>314091f0-9668-4348-877e-463e6a94e9a8</errorID>
      <errorWord>、</errorWord>
      <group>L1_Word</group>
      <groupName>字词问题</groupName>
      <ability>L2_Typo</ability>
      <abilityName>字词错误</abilityName>
      <candidateList>
        <item>、第</item>
      </candidateList>
      <explain/>
      <paraID>2C1ED31C</paraID>
      <start>198</start>
      <end>199</end>
      <status>unmodified</status>
      <modifiedWord/>
      <trackRevisions>false</trackRevisions>
    </reviewItem>
    <reviewItem>
      <errorID>f799493b-0e4d-4cae-a5d9-b0fd584a8746</errorID>
      <errorWord>10号</errorWord>
      <group>L1_Knowledge</group>
      <groupName>知识性问题</groupName>
      <ability>L2_Time</ability>
      <abilityName>日期时间</abilityName>
      <candidateList>
        <item>10日</item>
      </candidateList>
      <explain>日期表达规范为x月x日。</explain>
      <paraID>54320168</paraID>
      <start>12</start>
      <end>15</end>
      <status>unmodified</status>
      <modifiedWord/>
      <trackRevisions>false</trackRevisions>
    </reviewItem>
    <reviewItem>
      <errorID>79d7a25b-6816-46aa-b644-136380cfce71</errorID>
      <errorWord>25号</errorWord>
      <group>L1_Knowledge</group>
      <groupName>知识性问题</groupName>
      <ability>L2_Time</ability>
      <abilityName>日期时间</abilityName>
      <candidateList>
        <item>25日</item>
      </candidateList>
      <explain>日期表达规范为x月x日。</explain>
      <paraID>54320168</paraID>
      <start>65</start>
      <end>68</end>
      <status>unmodified</status>
      <modifiedWord/>
      <trackRevisions>false</trackRevisions>
    </reviewItem>
    <reviewItem>
      <errorID>c2a55c5b-f9ae-4a69-bc70-ea6b3ea179fd</errorID>
      <errorWord>未有</errorWord>
      <group>L1_Word</group>
      <groupName>字词问题</groupName>
      <ability>L2_Typo</ability>
      <abilityName>字词错误</abilityName>
      <candidateList>
        <item>未</item>
      </candidateList>
      <explain>〈副〉❶没（跟“已”相对）：尚～成年｜健康仍～恢复。❷不：～便｜～敢苟同｜～可厚非。</explain>
      <paraID> 89456D7</paraID>
      <start>117</start>
      <end>119</end>
      <status>unmodified</status>
      <modifiedWord/>
      <trackRevisions>false</trackRevisions>
    </reviewItem>
    <reviewItem>
      <errorID>0c588f2b-b438-4c52-a4a2-e7a1d3bdf02d</errorID>
      <errorWord>》</errorWord>
      <group>L1_Word</group>
      <groupName>字词问题</groupName>
      <ability>L2_Typo</ability>
      <abilityName>字词错误</abilityName>
      <candidateList>
        <item>》和</item>
      </candidateList>
      <explain/>
      <paraID>11E35588</paraID>
      <start>32</start>
      <end>34</end>
      <status>modified</status>
      <modifiedWord>》和</modifiedWord>
      <trackRevisions>false</trackRevisions>
    </reviewItem>
    <reviewItem>
      <errorID>8e3543d8-7dab-4596-942e-97f27ca744d4</errorID>
      <errorWord>体现体现</errorWord>
      <group>L1_Word</group>
      <groupName>字词问题</groupName>
      <ability>L2_Typo</ability>
      <abilityName>字词错误</abilityName>
      <candidateList>
        <item>体现</item>
      </candidateList>
      <explain>〈动〉某种性质或现象在某一事物上具体表现出来：说实话，办实事，～出了他的务实精神。</explain>
      <paraID>77FF73A0</paraID>
      <start>83</start>
      <end>85</end>
      <status>modified</status>
      <modifiedWord>体现</modifiedWord>
      <trackRevisions>false</trackRevisions>
    </reviewItem>
    <reviewItem>
      <errorID>0cbec09b-de2a-4874-ac49-9b3b3c80e96f</errorID>
      <errorWord>(</errorWord>
      <group>L1_Format</group>
      <groupName>格式问题</groupName>
      <ability>L2_HalfPunc_CN</ability>
      <abilityName>全半角问题</abilityName>
      <candidateList>
        <item>（</item>
      </candidateList>
      <explain>文本全半角错误。</explain>
      <paraID>3320BF8F</paraID>
      <start>6</start>
      <end>7</end>
      <status>modified</status>
      <modifiedWord>（</modifiedWord>
      <trackRevisions>false</trackRevisions>
    </reviewItem>
    <reviewItem>
      <errorID>939925da-a5d0-454f-856d-e508d9fcc3a7</errorID>
      <errorWord>)</errorWord>
      <group>L1_Format</group>
      <groupName>格式问题</groupName>
      <ability>L2_HalfPunc_CN</ability>
      <abilityName>全半角问题</abilityName>
      <candidateList>
        <item>）</item>
      </candidateList>
      <explain>文本全半角错误。</explain>
      <paraID>3320BF8F</paraID>
      <start>25</start>
      <end>26</end>
      <status>modified</status>
      <modifiedWord>）</modifiedWord>
      <trackRevisions>false</trackRevisions>
    </reviewItem>
    <reviewItem>
      <errorID>7a4fadf4-36a4-4e77-a760-8e114e217f3b</errorID>
      <errorWord>:</errorWord>
      <group>L1_Format</group>
      <groupName>格式问题</groupName>
      <ability>L2_HalfPunc_CN</ability>
      <abilityName>全半角问题</abilityName>
      <candidateList>
        <item>：</item>
      </candidateList>
      <explain>文本全半角错误。</explain>
      <paraID>229F317F</paraID>
      <start>1</start>
      <end>2</end>
      <status>modified</status>
      <modifiedWord>：</modifiedWord>
      <trackRevisions>false</trackRevisions>
    </reviewItem>
    <reviewItem>
      <errorID>e30c2458-fa0c-4721-a385-b32c33cb5658</errorID>
      <errorWord>:</errorWord>
      <group>L1_Format</group>
      <groupName>格式问题</groupName>
      <ability>L2_HalfPunc_CN</ability>
      <abilityName>全半角问题</abilityName>
      <candidateList>
        <item>：</item>
      </candidateList>
      <explain>文本全半角错误。</explain>
      <paraID>1F568D57</paraID>
      <start>10</start>
      <end>11</end>
      <status>modified</status>
      <modifiedWord>：</modifiedWord>
      <trackRevisions>false</trackRevisions>
    </reviewItem>
    <reviewItem>
      <errorID>dd893a10-217f-4480-9c9f-787587106d07</errorID>
      <errorWord>消防局</errorWord>
      <group>L1_Knowledge</group>
      <groupName>知识性问题</groupName>
      <ability>L2_Organization</ability>
      <abilityName>机构检查</abilityName>
      <candidateList>
        <item>消防救援局</item>
      </candidateList>
      <explain>机关单位全简称表述错误</explain>
      <paraID>303FDCE5</paraID>
      <start>8</start>
      <end>11</end>
      <status>ignored</status>
      <modifiedWord/>
      <trackRevisions>false</trackRevisions>
    </reviewItem>
    <reviewItem>
      <errorID>6911f620-62b0-47be-8ae0-748123df34c5</errorID>
      <errorWord>:</errorWord>
      <group>L1_Format</group>
      <groupName>格式问题</groupName>
      <ability>L2_HalfPunc_CN</ability>
      <abilityName>全半角问题</abilityName>
      <candidateList>
        <item>：</item>
      </candidateList>
      <explain>文本全半角错误。</explain>
      <paraID>2D5255E5</paraID>
      <start>17</start>
      <end>18</end>
      <status>modified</status>
      <modifiedWord>：</modifiedWord>
      <trackRevisions>false</trackRevisions>
    </reviewItem>
    <reviewItem>
      <errorID>0987c7d8-96dc-4744-89c6-d8f322c2746e</errorID>
      <errorWord>,</errorWord>
      <group>L1_Format</group>
      <groupName>格式问题</groupName>
      <ability>L2_HalfPunc_CN</ability>
      <abilityName>全半角问题</abilityName>
      <candidateList>
        <item>，</item>
      </candidateList>
      <explain>文本全半角错误。</explain>
      <paraID>2733C140</paraID>
      <start>31</start>
      <end>32</end>
      <status>modified</status>
      <modifiedWord>，</modifiedWord>
      <trackRevisions>false</trackRevisions>
    </reviewItem>
    <reviewItem>
      <errorID>e2316e47-0d00-4921-8d5b-278c2503126a</errorID>
      <errorWord>(</errorWord>
      <group>L1_Format</group>
      <groupName>格式问题</groupName>
      <ability>L2_HalfPunc_CN</ability>
      <abilityName>全半角问题</abilityName>
      <candidateList>
        <item>（</item>
      </candidateList>
      <explain>文本全半角错误。</explain>
      <paraID>5E086370</paraID>
      <start>32</start>
      <end>33</end>
      <status>modified</status>
      <modifiedWord>（</modifiedWord>
      <trackRevisions>false</trackRevisions>
    </reviewItem>
    <reviewItem>
      <errorID>e566f7d5-0ff8-4fab-ba09-e85546806154</errorID>
      <errorWord>)</errorWord>
      <group>L1_Format</group>
      <groupName>格式问题</groupName>
      <ability>L2_HalfPunc_CN</ability>
      <abilityName>全半角问题</abilityName>
      <candidateList>
        <item>）</item>
      </candidateList>
      <explain>文本全半角错误。</explain>
      <paraID>5E086370</paraID>
      <start>38</start>
      <end>39</end>
      <status>modified</status>
      <modifiedWord>）</modifiedWord>
      <trackRevisions>false</trackRevisions>
    </reviewItem>
    <reviewItem>
      <errorID>2657b1da-aff5-432a-8020-2433b6c3a90b</errorID>
      <errorWord>划</errorWord>
      <group>L1_Word</group>
      <groupName>字词问题</groupName>
      <ability>L2_Typo</ability>
      <abilityName>字词错误</abilityName>
      <candidateList>
        <item>划和</item>
      </candidateList>
      <explain/>
      <paraID> 81591BB</paraID>
      <start>22</start>
      <end>23</end>
      <status>ignored</status>
      <modifiedWord/>
      <trackRevisions>false</trackRevisions>
    </reviewItem>
    <reviewItem>
      <errorID>f067db6f-5eb0-41cc-9ab6-5b9cbd494725</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9bc5fb1b-6642-4a0d-a796-f34fd3217432</errorID>
      <errorWord>......</errorWord>
      <group>L1_Punc</group>
      <groupName>标点问题</groupName>
      <ability>L2_Punc_CN</ability>
      <abilityName>标点符号问题</abilityName>
      <candidateList>
        <item>……</item>
      </candidateList>
      <explain/>
      <paraID>1A1ED15D</paraID>
      <start>0</start>
      <end>6</end>
      <status>unmodified</status>
      <modifiedWord/>
      <trackRevisions>false</trackRevisions>
    </reviewItem>
    <reviewItem>
      <errorID>1f2d858b-e441-4bb8-b0f1-f4ebc49d8064</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D19252-4328-49A6-B828-27EFC084CAFB}">
  <ds:schemaRefs/>
</ds:datastoreItem>
</file>

<file path=customXml/itemProps3.xml><?xml version="1.0" encoding="utf-8"?>
<ds:datastoreItem xmlns:ds="http://schemas.openxmlformats.org/officeDocument/2006/customXml" ds:itemID="{775B47D5-FF1A-494C-9338-4390BA8E9514}">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52</Pages>
  <Words>11546</Words>
  <Characters>12285</Characters>
  <TotalTime>37</TotalTime>
  <ScaleCrop>false</ScaleCrop>
  <LinksUpToDate>false</LinksUpToDate>
  <CharactersWithSpaces>12328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2025-08-28T13:48:00Z</dcterms:created>
  <dc:creator>Us</dc:creator>
  <cp:lastModifiedBy>你好</cp:lastModifiedBy>
  <cp:lastPrinted>2026-09-03T07:04:00Z</cp:lastPrinted>
  <dcterms:modified xsi:type="dcterms:W3CDTF">2026-09-03T08:22:57Z</dcterms:modified>
  <dc:title>南通市环境监测中心站火</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eyJoZGlkIjoiOTM3MmM5MWJiZjdkNTc1YmVlNzM4NDhiMzJlNjBmOGEiLCJ1c2VySWQiOiIzNDU4MTA4NzYifQ==</vt:lpwstr>
  </property>
  <property fmtid="{D5CDD505-2E9C-101B-9397-08002B2CF9AE}" pid="3" name="KSOProductBuildVer">
    <vt:lpwstr>2052-12.1.0.28505</vt:lpwstr>
  </property>
  <property fmtid="{D5CDD505-2E9C-101B-9397-08002B2CF9AE}" pid="4" name="ICV">
    <vt:lpwstr>45B47FE1C80D4181B247C7DBAA4E063F_13</vt:lpwstr>
  </property>
</Properties>
</file>