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仿宋" w:hAnsi="仿宋" w:eastAsia="仿宋" w:cs="仿宋"/>
          <w:b/>
          <w:bCs/>
          <w:color w:val="auto"/>
          <w:sz w:val="84"/>
          <w:szCs w:val="24"/>
          <w:highlight w:val="none"/>
        </w:rPr>
      </w:pPr>
      <w:r>
        <w:rPr>
          <w:rFonts w:ascii="仿宋" w:hAnsi="仿宋" w:eastAsia="仿宋" w:cs="仿宋"/>
          <w:b/>
          <w:bCs/>
          <w:color w:val="auto"/>
          <w:sz w:val="84"/>
          <w:szCs w:val="24"/>
          <w:highlight w:val="none"/>
        </w:rPr>
      </w:r>
      <w:r/>
    </w:p>
    <w:p>
      <w:pPr>
        <w:jc w:val="center"/>
        <w:spacing w:before="120" w:after="120" w:line="360" w:lineRule="auto"/>
        <w:rPr>
          <w:rFonts w:ascii="仿宋" w:hAnsi="仿宋" w:eastAsia="仿宋" w:cs="仿宋"/>
          <w:b/>
          <w:bCs/>
          <w:color w:val="auto"/>
          <w:sz w:val="84"/>
          <w:szCs w:val="24"/>
          <w:highlight w:val="none"/>
        </w:rPr>
      </w:pPr>
      <w:r>
        <w:rPr>
          <w:rFonts w:ascii="仿宋" w:hAnsi="仿宋" w:eastAsia="仿宋" w:cs="仿宋"/>
          <w:b/>
          <w:bCs/>
          <w:color w:val="auto"/>
          <w:sz w:val="84"/>
          <w:szCs w:val="24"/>
          <w:highlight w:val="none"/>
        </w:rPr>
        <w:t xml:space="preserve">招　标　文　件</w:t>
      </w:r>
      <w:r/>
    </w:p>
    <w:p>
      <w:pPr>
        <w:ind w:left="0" w:right="0" w:firstLine="218"/>
        <w:jc w:val="center"/>
        <w:spacing w:before="120" w:after="120" w:line="360" w:lineRule="auto"/>
        <w:rPr>
          <w:rFonts w:hint="eastAsia" w:ascii="仿宋" w:hAnsi="仿宋" w:eastAsia="仿宋" w:cs="仿宋"/>
          <w:b/>
          <w:bCs/>
          <w:color w:val="auto"/>
          <w:sz w:val="32"/>
          <w:szCs w:val="24"/>
          <w:highlight w:val="none"/>
          <w:lang w:val="en-US" w:eastAsia="zh-CN"/>
        </w:rPr>
      </w:pPr>
      <w:r>
        <w:rPr>
          <w:rFonts w:ascii="仿宋" w:hAnsi="仿宋" w:eastAsia="仿宋" w:cs="仿宋"/>
          <w:b/>
          <w:bCs/>
          <w:color w:val="auto"/>
          <w:sz w:val="32"/>
          <w:szCs w:val="24"/>
          <w:highlight w:val="none"/>
        </w:rPr>
        <w:t xml:space="preserve">项目名称：</w:t>
      </w:r>
      <w:r>
        <w:rPr>
          <w:rFonts w:hint="eastAsia" w:ascii="仿宋" w:hAnsi="仿宋" w:eastAsia="仿宋" w:cs="仿宋"/>
          <w:b/>
          <w:bCs/>
          <w:color w:val="auto"/>
          <w:sz w:val="32"/>
          <w:szCs w:val="24"/>
          <w:highlight w:val="none"/>
          <w:u w:val="single"/>
          <w:lang w:eastAsia="zh-CN"/>
        </w:rPr>
        <w:t xml:space="preserve">如东县应急管理局危化品事故处置模块车采购项目</w:t>
      </w:r>
      <w:r/>
    </w:p>
    <w:p>
      <w:pPr>
        <w:ind w:left="0" w:right="0" w:firstLine="218"/>
        <w:jc w:val="left"/>
        <w:spacing w:before="120" w:after="120" w:line="360" w:lineRule="auto"/>
        <w:rPr>
          <w:rFonts w:hint="default" w:ascii="仿宋" w:hAnsi="仿宋" w:eastAsia="仿宋" w:cs="仿宋"/>
          <w:b/>
          <w:bCs/>
          <w:color w:val="auto"/>
          <w:sz w:val="32"/>
          <w:szCs w:val="24"/>
          <w:highlight w:val="none"/>
          <w:u w:val="none"/>
          <w:lang w:val="en-US" w:eastAsia="zh-CN"/>
        </w:rPr>
      </w:pPr>
      <w:r>
        <w:rPr>
          <w:rFonts w:ascii="仿宋" w:hAnsi="仿宋" w:eastAsia="仿宋" w:cs="仿宋"/>
          <w:b/>
          <w:bCs/>
          <w:color w:val="auto"/>
          <w:sz w:val="32"/>
          <w:szCs w:val="24"/>
          <w:highlight w:val="none"/>
        </w:rPr>
        <w:t xml:space="preserve">项目编号：</w:t>
      </w:r>
      <w:r>
        <w:rPr>
          <w:rFonts w:hint="eastAsia" w:ascii="仿宋" w:hAnsi="仿宋" w:eastAsia="仿宋" w:cs="仿宋"/>
          <w:b/>
          <w:bCs/>
          <w:color w:val="auto"/>
          <w:sz w:val="32"/>
          <w:szCs w:val="24"/>
          <w:highlight w:val="none"/>
          <w:u w:val="single"/>
          <w:lang w:val="en-US" w:eastAsia="zh-CN"/>
        </w:rPr>
        <w:t xml:space="preserve">        </w:t>
      </w:r>
      <w:r>
        <w:rPr>
          <w:rFonts w:hint="eastAsia" w:ascii="仿宋" w:hAnsi="仿宋" w:eastAsia="仿宋" w:cs="仿宋"/>
          <w:b/>
          <w:bCs/>
          <w:color w:val="auto"/>
          <w:sz w:val="32"/>
          <w:szCs w:val="24"/>
          <w:highlight w:val="none"/>
          <w:u w:val="single"/>
          <w:lang w:eastAsia="zh-CN"/>
        </w:rPr>
        <w:t xml:space="preserve">JSZC-320623-JSDZ-G2026-0067</w:t>
      </w:r>
      <w:r>
        <w:rPr>
          <w:rFonts w:hint="eastAsia" w:ascii="仿宋" w:hAnsi="仿宋" w:eastAsia="仿宋" w:cs="仿宋"/>
          <w:b/>
          <w:bCs/>
          <w:color w:val="auto"/>
          <w:sz w:val="32"/>
          <w:szCs w:val="24"/>
          <w:highlight w:val="none"/>
          <w:u w:val="single"/>
          <w:lang w:val="en-US" w:eastAsia="zh-CN"/>
        </w:rPr>
        <w:t xml:space="preserve">         </w:t>
      </w:r>
      <w:r/>
    </w:p>
    <w:p>
      <w:pPr>
        <w:ind w:left="2800" w:right="0" w:hanging="2800"/>
        <w:rPr>
          <w:rFonts w:ascii="仿宋" w:hAnsi="仿宋" w:eastAsia="仿宋" w:cs="仿宋"/>
          <w:b/>
          <w:color w:val="auto"/>
          <w:sz w:val="28"/>
          <w:szCs w:val="28"/>
          <w:highlight w:val="none"/>
        </w:rPr>
      </w:pPr>
      <w:r>
        <w:rPr>
          <w:rFonts w:ascii="仿宋" w:hAnsi="仿宋" w:eastAsia="仿宋" w:cs="仿宋"/>
          <w:color w:val="auto"/>
          <w:sz w:val="28"/>
          <w:szCs w:val="28"/>
          <w:highlight w:val="none"/>
        </w:rPr>
        <w:t xml:space="preserve">       </w:t>
      </w:r>
      <w:r>
        <w:rPr>
          <w:rFonts w:ascii="仿宋" w:hAnsi="仿宋" w:eastAsia="仿宋" w:cs="仿宋"/>
          <w:b/>
          <w:color w:val="auto"/>
          <w:sz w:val="28"/>
          <w:szCs w:val="28"/>
          <w:highlight w:val="none"/>
        </w:rPr>
        <w:t xml:space="preserve"> </w:t>
      </w:r>
      <w:r/>
    </w:p>
    <w:p>
      <w:pPr>
        <w:jc w:val="center"/>
        <w:rPr>
          <w:rFonts w:ascii="仿宋" w:hAnsi="仿宋" w:eastAsia="仿宋" w:cs="仿宋"/>
          <w:b/>
          <w:color w:val="auto"/>
          <w:sz w:val="28"/>
          <w:szCs w:val="28"/>
          <w:highlight w:val="none"/>
        </w:rPr>
      </w:pPr>
      <w:r>
        <w:rPr>
          <w:rFonts w:ascii="仿宋" w:hAnsi="仿宋" w:eastAsia="仿宋" w:cs="仿宋"/>
          <w:b/>
          <w:color w:val="auto"/>
          <w:sz w:val="28"/>
          <w:szCs w:val="28"/>
          <w:highlight w:val="none"/>
        </w:rPr>
        <w:t xml:space="preserve">（全流程电子化-货物类项目，适用苏采云系统）</w:t>
      </w:r>
      <w:r/>
    </w:p>
    <w:p>
      <w:pPr>
        <w:jc w:val="left"/>
        <w:spacing w:line="360" w:lineRule="auto"/>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before="120" w:after="120" w:line="360" w:lineRule="auto"/>
        <w:rPr>
          <w:rFonts w:ascii="仿宋" w:hAnsi="仿宋" w:eastAsia="仿宋" w:cs="仿宋"/>
          <w:b/>
          <w:bCs/>
          <w:color w:val="auto"/>
          <w:sz w:val="32"/>
          <w:szCs w:val="24"/>
          <w:highlight w:val="none"/>
          <w:lang w:eastAsia="zh-CN"/>
        </w:rPr>
      </w:pPr>
      <w:r>
        <w:rPr>
          <w:rFonts w:ascii="仿宋" w:hAnsi="仿宋" w:eastAsia="仿宋" w:cs="仿宋"/>
          <w:b/>
          <w:bCs/>
          <w:color w:val="auto"/>
          <w:sz w:val="32"/>
          <w:szCs w:val="24"/>
          <w:highlight w:val="none"/>
          <w:lang w:eastAsia="zh-CN"/>
        </w:rPr>
        <w:t xml:space="preserve">如东县应急管理局</w:t>
      </w:r>
      <w:r/>
    </w:p>
    <w:p>
      <w:pPr>
        <w:jc w:val="center"/>
        <w:spacing w:before="120" w:after="120" w:line="360" w:lineRule="auto"/>
        <w:rPr>
          <w:rFonts w:ascii="仿宋" w:hAnsi="仿宋" w:eastAsia="仿宋" w:cs="仿宋"/>
          <w:b/>
          <w:bCs/>
          <w:color w:val="auto"/>
          <w:sz w:val="32"/>
          <w:szCs w:val="24"/>
          <w:highlight w:val="none"/>
        </w:rPr>
      </w:pPr>
      <w:r>
        <w:rPr>
          <w:rFonts w:ascii="仿宋" w:hAnsi="仿宋" w:eastAsia="仿宋" w:cs="仿宋"/>
          <w:b/>
          <w:bCs/>
          <w:color w:val="auto"/>
          <w:sz w:val="32"/>
          <w:szCs w:val="24"/>
          <w:highlight w:val="none"/>
          <w:u w:val="single"/>
          <w:lang w:val="en-US" w:eastAsia="zh-CN"/>
        </w:rPr>
        <w:t xml:space="preserve">2026</w:t>
      </w:r>
      <w:r>
        <w:rPr>
          <w:rFonts w:ascii="仿宋" w:hAnsi="仿宋" w:eastAsia="仿宋" w:cs="仿宋"/>
          <w:b/>
          <w:bCs/>
          <w:color w:val="auto"/>
          <w:sz w:val="32"/>
          <w:szCs w:val="24"/>
          <w:highlight w:val="none"/>
        </w:rPr>
        <w:t xml:space="preserve">年</w:t>
      </w:r>
      <w:r>
        <w:rPr>
          <w:rFonts w:hint="eastAsia" w:ascii="仿宋" w:hAnsi="仿宋" w:eastAsia="仿宋" w:cs="仿宋"/>
          <w:b/>
          <w:bCs/>
          <w:color w:val="auto"/>
          <w:sz w:val="32"/>
          <w:szCs w:val="24"/>
          <w:highlight w:val="none"/>
          <w:u w:val="single"/>
          <w:lang w:val="en-US" w:eastAsia="zh-CN"/>
        </w:rPr>
        <w:t xml:space="preserve">9</w:t>
      </w:r>
      <w:r>
        <w:rPr>
          <w:rFonts w:ascii="仿宋" w:hAnsi="仿宋" w:eastAsia="仿宋" w:cs="仿宋"/>
          <w:b/>
          <w:bCs/>
          <w:color w:val="auto"/>
          <w:sz w:val="32"/>
          <w:szCs w:val="24"/>
          <w:highlight w:val="none"/>
        </w:rPr>
        <w:t xml:space="preserve">月</w:t>
      </w:r>
      <w:r/>
    </w:p>
    <w:p>
      <w:pPr>
        <w:jc w:val="left"/>
        <w:spacing w:before="120" w:after="120"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                        </w:t>
      </w:r>
      <w:r/>
    </w:p>
    <w:p>
      <w:pPr>
        <w:jc w:val="center"/>
        <w:spacing w:before="120" w:after="120" w:line="360" w:lineRule="auto"/>
        <w:rPr>
          <w:rFonts w:ascii="仿宋" w:hAnsi="仿宋" w:eastAsia="仿宋" w:cs="仿宋"/>
          <w:color w:val="auto"/>
          <w:sz w:val="24"/>
          <w:szCs w:val="24"/>
          <w:highlight w:val="none"/>
          <w:u w:val="single"/>
        </w:rPr>
        <w:sectPr>
          <w:headerReference w:type="default" r:id="rId9"/>
          <w:headerReference w:type="first" r:id="rId10"/>
          <w:footerReference w:type="default" r:id="rId13"/>
          <w:footerReference w:type="first" r:id="rId14"/>
          <w:footnotePr/>
          <w:endnotePr/>
          <w:type w:val="nextPage"/>
          <w:pgSz w:w="11906" w:h="16838" w:orient="portrait"/>
          <w:pgMar w:top="1418" w:right="1588" w:bottom="1418" w:left="1365" w:header="851" w:footer="907" w:gutter="0"/>
          <w:pgNumType w:start="0"/>
          <w:cols w:num="1" w:sep="0" w:space="720" w:equalWidth="1"/>
          <w:docGrid w:linePitch="360"/>
          <w:titlePg/>
        </w:sectPr>
      </w:pPr>
      <w:r>
        <w:rPr>
          <w:rFonts w:ascii="仿宋" w:hAnsi="仿宋" w:eastAsia="仿宋" w:cs="仿宋"/>
          <w:color w:val="auto"/>
          <w:sz w:val="24"/>
          <w:szCs w:val="24"/>
          <w:highlight w:val="none"/>
          <w:u w:val="single"/>
        </w:rPr>
      </w:r>
      <w:r/>
    </w:p>
    <w:p>
      <w:pPr>
        <w:jc w:val="center"/>
        <w:spacing w:line="480" w:lineRule="auto"/>
        <w:rPr>
          <w:rFonts w:ascii="仿宋" w:hAnsi="仿宋" w:eastAsia="仿宋" w:cs="仿宋"/>
          <w:b/>
          <w:color w:val="auto"/>
          <w:sz w:val="44"/>
          <w:szCs w:val="21"/>
          <w:highlight w:val="none"/>
        </w:rPr>
      </w:pPr>
      <w:r>
        <w:rPr>
          <w:rFonts w:ascii="仿宋" w:hAnsi="仿宋" w:eastAsia="仿宋" w:cs="仿宋"/>
          <w:b/>
          <w:color w:val="auto"/>
          <w:sz w:val="44"/>
          <w:szCs w:val="21"/>
          <w:highlight w:val="none"/>
        </w:rPr>
        <w:t xml:space="preserve">总  目  录</w:t>
      </w:r>
      <w:r/>
    </w:p>
    <w:p>
      <w:pPr>
        <w:spacing w:line="480" w:lineRule="auto"/>
        <w:rPr>
          <w:rFonts w:ascii="仿宋" w:hAnsi="仿宋" w:eastAsia="仿宋" w:cs="仿宋"/>
          <w:b/>
          <w:color w:val="auto"/>
          <w:sz w:val="28"/>
          <w:szCs w:val="21"/>
          <w:highlight w:val="none"/>
        </w:rPr>
      </w:pPr>
      <w:r>
        <w:rPr>
          <w:rFonts w:ascii="仿宋" w:hAnsi="仿宋" w:eastAsia="仿宋" w:cs="仿宋"/>
          <w:b/>
          <w:color w:val="auto"/>
          <w:sz w:val="28"/>
          <w:szCs w:val="21"/>
          <w:highlight w:val="none"/>
        </w:rPr>
      </w:r>
      <w:r/>
    </w:p>
    <w:sdt>
      <w:sdtPr>
        <w15:appearance w15:val="boundingBox"/>
        <w:id w:val="2"/>
        <w:docPartObj>
          <w:docPartGallery w:val="Table of Contents"/>
          <w:docPartUnique w:val="true"/>
        </w:docPartObj>
        <w:rPr>
          <w:color w:val="auto"/>
          <w:highlight w:val="none"/>
        </w:rPr>
      </w:sdtPr>
      <w:sdtContent>
        <w:p>
          <w:pPr>
            <w:pStyle w:val="737"/>
            <w:tabs>
              <w:tab w:val="right" w:pos="8953" w:leader="dot"/>
            </w:tabs>
            <w:rPr>
              <w:rFonts w:ascii="仿宋" w:hAnsi="仿宋" w:eastAsia="仿宋" w:cs="仿宋"/>
              <w:color w:val="auto"/>
              <w:sz w:val="36"/>
              <w:szCs w:val="36"/>
              <w:highlight w:val="none"/>
            </w:rPr>
          </w:pPr>
          <w:r>
            <w:rPr>
              <w:color w:val="auto"/>
              <w:highlight w:val="none"/>
            </w:rPr>
            <w:fldChar w:fldCharType="begin"/>
          </w:r>
          <w:r>
            <w:rPr>
              <w:rStyle w:val="786"/>
              <w:rFonts w:ascii="仿宋" w:hAnsi="仿宋" w:eastAsia="仿宋" w:cs="仿宋"/>
              <w:color w:val="auto"/>
              <w:sz w:val="36"/>
              <w:szCs w:val="56"/>
              <w:highlight w:val="none"/>
            </w:rPr>
            <w:instrText xml:space="preserve">TOC \o "1-1" \h \u </w:instrText>
          </w:r>
          <w:r>
            <w:rPr>
              <w:rStyle w:val="786"/>
              <w:rFonts w:ascii="仿宋" w:hAnsi="仿宋" w:eastAsia="仿宋" w:cs="仿宋"/>
              <w:color w:val="auto"/>
              <w:sz w:val="36"/>
              <w:szCs w:val="56"/>
              <w:highlight w:val="none"/>
            </w:rPr>
            <w:fldChar w:fldCharType="separate"/>
          </w:r>
          <w:r>
            <w:rPr>
              <w:color w:val="auto"/>
              <w:highlight w:val="none"/>
            </w:rPr>
            <w:fldChar w:fldCharType="begin"/>
          </w:r>
          <w:r>
            <w:rPr>
              <w:color w:val="auto"/>
              <w:highlight w:val="none"/>
            </w:rPr>
            <w:instrText xml:space="preserve"> HYPERLINK \l "__RefHeading___Toc28938" \h </w:instrText>
          </w:r>
          <w:r>
            <w:rPr>
              <w:color w:val="auto"/>
              <w:highlight w:val="none"/>
            </w:rPr>
            <w:fldChar w:fldCharType="separate"/>
          </w:r>
          <w:r>
            <w:rPr>
              <w:rStyle w:val="786"/>
              <w:rFonts w:ascii="仿宋" w:hAnsi="仿宋" w:eastAsia="仿宋" w:cs="仿宋"/>
              <w:color w:val="auto"/>
              <w:sz w:val="36"/>
              <w:szCs w:val="56"/>
              <w:highlight w:val="none"/>
            </w:rPr>
            <w:t xml:space="preserve">第一章  投标邀请</w:t>
          </w:r>
          <w:r>
            <w:rPr>
              <w:rStyle w:val="786"/>
              <w:rFonts w:ascii="仿宋" w:hAnsi="仿宋" w:eastAsia="仿宋" w:cs="仿宋"/>
              <w:color w:val="auto"/>
              <w:sz w:val="36"/>
              <w:szCs w:val="36"/>
              <w:highlight w:val="none"/>
            </w:rPr>
            <w:tab/>
          </w:r>
          <w:r>
            <w:rPr>
              <w:rStyle w:val="786"/>
              <w:rFonts w:ascii="仿宋" w:hAnsi="仿宋" w:eastAsia="仿宋" w:cs="仿宋"/>
              <w:color w:val="auto"/>
              <w:sz w:val="36"/>
              <w:szCs w:val="36"/>
              <w:highlight w:val="none"/>
            </w:rPr>
            <w:t xml:space="preserve">2</w:t>
          </w:r>
          <w:r>
            <w:rPr>
              <w:rStyle w:val="786"/>
              <w:rFonts w:ascii="仿宋" w:hAnsi="仿宋" w:eastAsia="仿宋" w:cs="仿宋"/>
              <w:color w:val="auto"/>
              <w:sz w:val="36"/>
              <w:szCs w:val="36"/>
              <w:highlight w:val="none"/>
            </w:rPr>
            <w:fldChar w:fldCharType="end"/>
          </w:r>
          <w:r/>
        </w:p>
        <w:p>
          <w:pPr>
            <w:pStyle w:val="737"/>
            <w:tabs>
              <w:tab w:val="right" w:pos="8953" w:leader="dot"/>
            </w:tabs>
            <w:rPr>
              <w:rFonts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"__RefHeading___Toc8900" \h </w:instrText>
          </w:r>
          <w:r>
            <w:rPr>
              <w:color w:val="auto"/>
              <w:highlight w:val="none"/>
            </w:rPr>
            <w:fldChar w:fldCharType="separate"/>
          </w:r>
          <w:r>
            <w:rPr>
              <w:rStyle w:val="786"/>
              <w:rFonts w:ascii="仿宋" w:hAnsi="仿宋" w:eastAsia="仿宋" w:cs="仿宋"/>
              <w:bCs/>
              <w:color w:val="auto"/>
              <w:sz w:val="36"/>
              <w:szCs w:val="56"/>
              <w:highlight w:val="none"/>
            </w:rPr>
            <w:t xml:space="preserve">第二章  投标人须知</w:t>
          </w:r>
          <w:r>
            <w:rPr>
              <w:rStyle w:val="786"/>
              <w:rFonts w:ascii="仿宋" w:hAnsi="仿宋" w:eastAsia="仿宋" w:cs="仿宋"/>
              <w:color w:val="auto"/>
              <w:sz w:val="36"/>
              <w:szCs w:val="36"/>
              <w:highlight w:val="none"/>
            </w:rPr>
            <w:tab/>
          </w:r>
          <w:r>
            <w:rPr>
              <w:rStyle w:val="786"/>
              <w:rFonts w:hint="eastAsia" w:ascii="仿宋" w:hAnsi="仿宋" w:eastAsia="仿宋" w:cs="仿宋"/>
              <w:caps/>
              <w:color w:val="auto"/>
              <w:sz w:val="36"/>
              <w:szCs w:val="36"/>
              <w:highlight w:val="none"/>
              <w:lang w:val="en-US" w:eastAsia="zh-CN"/>
            </w:rPr>
            <w:t xml:space="preserve">5</w:t>
          </w:r>
          <w:r>
            <w:rPr>
              <w:rStyle w:val="786"/>
              <w:rFonts w:ascii="仿宋" w:hAnsi="仿宋" w:eastAsia="仿宋" w:cs="仿宋"/>
              <w:caps/>
              <w:color w:val="auto"/>
              <w:sz w:val="36"/>
              <w:szCs w:val="36"/>
              <w:highlight w:val="none"/>
              <w:lang w:val="en-US" w:eastAsia="zh-CN"/>
            </w:rPr>
            <w:fldChar w:fldCharType="end"/>
          </w:r>
          <w:r/>
        </w:p>
        <w:p>
          <w:pPr>
            <w:pStyle w:val="737"/>
            <w:tabs>
              <w:tab w:val="right" w:pos="8953" w:leader="dot"/>
            </w:tabs>
            <w:rPr>
              <w:rFonts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"__RefHeading___Toc15715" \h </w:instrText>
          </w:r>
          <w:r>
            <w:rPr>
              <w:color w:val="auto"/>
              <w:highlight w:val="none"/>
            </w:rPr>
            <w:fldChar w:fldCharType="separate"/>
          </w:r>
          <w:r>
            <w:rPr>
              <w:rStyle w:val="786"/>
              <w:rFonts w:ascii="仿宋" w:hAnsi="仿宋" w:eastAsia="仿宋" w:cs="仿宋"/>
              <w:bCs/>
              <w:color w:val="auto"/>
              <w:sz w:val="36"/>
              <w:szCs w:val="40"/>
              <w:highlight w:val="none"/>
            </w:rPr>
            <w:t xml:space="preserve">第三章  合同文本</w:t>
          </w:r>
          <w:r>
            <w:rPr>
              <w:rStyle w:val="786"/>
              <w:rFonts w:ascii="仿宋" w:hAnsi="仿宋" w:eastAsia="仿宋" w:cs="仿宋"/>
              <w:color w:val="auto"/>
              <w:sz w:val="36"/>
              <w:szCs w:val="36"/>
              <w:highlight w:val="none"/>
            </w:rPr>
            <w:tab/>
          </w:r>
          <w:r>
            <w:rPr>
              <w:rStyle w:val="786"/>
              <w:rFonts w:ascii="仿宋" w:hAnsi="仿宋" w:eastAsia="仿宋" w:cs="仿宋"/>
              <w:caps/>
              <w:color w:val="auto"/>
              <w:sz w:val="36"/>
              <w:szCs w:val="36"/>
              <w:highlight w:val="none"/>
              <w:lang w:val="en-US" w:eastAsia="zh-CN"/>
            </w:rPr>
            <w:t xml:space="preserve">1</w:t>
          </w:r>
          <w:r>
            <w:rPr>
              <w:rStyle w:val="786"/>
              <w:rFonts w:hint="eastAsia" w:ascii="仿宋" w:hAnsi="仿宋" w:eastAsia="仿宋" w:cs="仿宋"/>
              <w:caps/>
              <w:color w:val="auto"/>
              <w:sz w:val="36"/>
              <w:szCs w:val="36"/>
              <w:highlight w:val="none"/>
              <w:lang w:val="en-US" w:eastAsia="zh-CN"/>
            </w:rPr>
            <w:t xml:space="preserve">6</w:t>
          </w:r>
          <w:r>
            <w:rPr>
              <w:rStyle w:val="786"/>
              <w:rFonts w:ascii="仿宋" w:hAnsi="仿宋" w:eastAsia="仿宋" w:cs="仿宋"/>
              <w:caps/>
              <w:color w:val="auto"/>
              <w:sz w:val="36"/>
              <w:szCs w:val="36"/>
              <w:highlight w:val="none"/>
              <w:lang w:val="en-US" w:eastAsia="zh-CN"/>
            </w:rPr>
            <w:fldChar w:fldCharType="end"/>
          </w:r>
          <w:r/>
        </w:p>
        <w:p>
          <w:pPr>
            <w:pStyle w:val="737"/>
            <w:tabs>
              <w:tab w:val="right" w:pos="8953" w:leader="dot"/>
            </w:tabs>
            <w:rPr>
              <w:rFonts w:ascii="仿宋" w:hAnsi="仿宋" w:eastAsia="仿宋" w:cs="仿宋"/>
              <w:color w:val="auto"/>
              <w:sz w:val="36"/>
              <w:szCs w:val="36"/>
              <w:highlight w:val="none"/>
            </w:rPr>
          </w:pPr>
          <w:r>
            <w:rPr>
              <w:color w:val="auto"/>
              <w:highlight w:val="none"/>
            </w:rPr>
            <w:fldChar w:fldCharType="begin"/>
          </w:r>
          <w:r>
            <w:rPr>
              <w:color w:val="auto"/>
              <w:highlight w:val="none"/>
            </w:rPr>
            <w:instrText xml:space="preserve"> HYPERLINK \l "__RefHeading___Toc26382" \h </w:instrText>
          </w:r>
          <w:r>
            <w:rPr>
              <w:color w:val="auto"/>
              <w:highlight w:val="none"/>
            </w:rPr>
            <w:fldChar w:fldCharType="separate"/>
          </w:r>
          <w:r>
            <w:rPr>
              <w:rStyle w:val="786"/>
              <w:rFonts w:ascii="仿宋" w:hAnsi="仿宋" w:eastAsia="仿宋" w:cs="仿宋"/>
              <w:bCs/>
              <w:color w:val="auto"/>
              <w:sz w:val="36"/>
              <w:szCs w:val="28"/>
              <w:highlight w:val="none"/>
            </w:rPr>
            <w:t xml:space="preserve">第四章 </w:t>
          </w:r>
          <w:r>
            <w:rPr>
              <w:rStyle w:val="786"/>
              <w:rFonts w:ascii="仿宋" w:hAnsi="仿宋" w:eastAsia="仿宋" w:cs="仿宋"/>
              <w:bCs/>
              <w:color w:val="auto"/>
              <w:sz w:val="36"/>
              <w:szCs w:val="28"/>
              <w:highlight w:val="none"/>
              <w:lang w:val="en-US" w:eastAsia="zh-CN"/>
            </w:rPr>
            <w:t xml:space="preserve"> </w:t>
          </w:r>
          <w:r>
            <w:rPr>
              <w:rStyle w:val="786"/>
              <w:rFonts w:ascii="仿宋" w:hAnsi="仿宋" w:eastAsia="仿宋" w:cs="仿宋"/>
              <w:bCs/>
              <w:color w:val="auto"/>
              <w:sz w:val="36"/>
              <w:szCs w:val="28"/>
              <w:highlight w:val="none"/>
            </w:rPr>
            <w:t xml:space="preserve">采购需求</w:t>
          </w:r>
          <w:r>
            <w:rPr>
              <w:rStyle w:val="786"/>
              <w:rFonts w:ascii="仿宋" w:hAnsi="仿宋" w:eastAsia="仿宋" w:cs="仿宋"/>
              <w:color w:val="auto"/>
              <w:sz w:val="36"/>
              <w:szCs w:val="36"/>
              <w:highlight w:val="none"/>
            </w:rPr>
            <w:tab/>
          </w:r>
          <w:r>
            <w:rPr>
              <w:rStyle w:val="786"/>
              <w:rFonts w:ascii="仿宋" w:hAnsi="仿宋" w:eastAsia="仿宋" w:cs="仿宋"/>
              <w:caps/>
              <w:color w:val="auto"/>
              <w:sz w:val="36"/>
              <w:szCs w:val="36"/>
              <w:highlight w:val="none"/>
              <w:lang w:val="en-US" w:eastAsia="zh-CN"/>
            </w:rPr>
            <w:t xml:space="preserve">2</w:t>
          </w:r>
          <w:r>
            <w:rPr>
              <w:rStyle w:val="786"/>
              <w:rFonts w:hint="eastAsia" w:ascii="仿宋" w:hAnsi="仿宋" w:eastAsia="仿宋" w:cs="仿宋"/>
              <w:caps/>
              <w:color w:val="auto"/>
              <w:sz w:val="36"/>
              <w:szCs w:val="36"/>
              <w:highlight w:val="none"/>
              <w:lang w:val="en-US" w:eastAsia="zh-CN"/>
            </w:rPr>
            <w:t xml:space="preserve">0</w:t>
          </w:r>
          <w:r>
            <w:rPr>
              <w:rStyle w:val="786"/>
              <w:rFonts w:ascii="仿宋" w:hAnsi="仿宋" w:eastAsia="仿宋" w:cs="仿宋"/>
              <w:caps/>
              <w:color w:val="auto"/>
              <w:sz w:val="36"/>
              <w:szCs w:val="36"/>
              <w:highlight w:val="none"/>
              <w:lang w:val="en-US" w:eastAsia="zh-CN"/>
            </w:rPr>
            <w:fldChar w:fldCharType="end"/>
          </w:r>
          <w:r/>
        </w:p>
        <w:p>
          <w:pPr>
            <w:pStyle w:val="737"/>
            <w:tabs>
              <w:tab w:val="right" w:pos="8953" w:leader="dot"/>
            </w:tabs>
            <w:rPr>
              <w:rFonts w:hint="default" w:ascii="仿宋" w:hAnsi="仿宋" w:eastAsia="仿宋" w:cs="仿宋"/>
              <w:color w:val="auto"/>
              <w:sz w:val="36"/>
              <w:szCs w:val="36"/>
              <w:highlight w:val="none"/>
              <w:lang w:val="en-US"/>
            </w:rPr>
          </w:pPr>
          <w:r>
            <w:rPr>
              <w:color w:val="auto"/>
              <w:highlight w:val="none"/>
            </w:rPr>
            <w:fldChar w:fldCharType="begin"/>
          </w:r>
          <w:r>
            <w:rPr>
              <w:color w:val="auto"/>
              <w:highlight w:val="none"/>
            </w:rPr>
            <w:instrText xml:space="preserve"> HYPERLINK \l "__RefHeading___Toc8870" \h </w:instrText>
          </w:r>
          <w:r>
            <w:rPr>
              <w:color w:val="auto"/>
              <w:highlight w:val="none"/>
            </w:rPr>
            <w:fldChar w:fldCharType="separate"/>
          </w:r>
          <w:r>
            <w:rPr>
              <w:rStyle w:val="786"/>
              <w:rFonts w:ascii="仿宋" w:hAnsi="仿宋" w:eastAsia="仿宋" w:cs="仿宋"/>
              <w:bCs/>
              <w:color w:val="auto"/>
              <w:sz w:val="36"/>
              <w:szCs w:val="40"/>
              <w:highlight w:val="none"/>
            </w:rPr>
            <w:t xml:space="preserve">第五章  评标方法与评标标准</w:t>
          </w:r>
          <w:r>
            <w:rPr>
              <w:rStyle w:val="786"/>
              <w:rFonts w:ascii="仿宋" w:hAnsi="仿宋" w:eastAsia="仿宋" w:cs="仿宋"/>
              <w:color w:val="auto"/>
              <w:sz w:val="36"/>
              <w:szCs w:val="36"/>
              <w:highlight w:val="none"/>
            </w:rPr>
            <w:tab/>
          </w:r>
          <w:r>
            <w:rPr>
              <w:rStyle w:val="786"/>
              <w:rFonts w:hint="eastAsia" w:ascii="仿宋" w:hAnsi="仿宋" w:eastAsia="仿宋" w:cs="仿宋"/>
              <w:caps/>
              <w:color w:val="auto"/>
              <w:sz w:val="36"/>
              <w:szCs w:val="36"/>
              <w:highlight w:val="none"/>
              <w:lang w:val="en-US" w:eastAsia="zh-CN"/>
            </w:rPr>
            <w:t xml:space="preserve">3</w:t>
          </w:r>
          <w:r>
            <w:rPr>
              <w:rStyle w:val="786"/>
              <w:rFonts w:ascii="仿宋" w:hAnsi="仿宋" w:eastAsia="仿宋" w:cs="仿宋"/>
              <w:caps/>
              <w:color w:val="auto"/>
              <w:sz w:val="36"/>
              <w:szCs w:val="36"/>
              <w:highlight w:val="none"/>
              <w:lang w:val="en-US" w:eastAsia="zh-CN"/>
            </w:rPr>
            <w:fldChar w:fldCharType="end"/>
          </w:r>
          <w:r>
            <w:rPr>
              <w:rStyle w:val="786"/>
              <w:rFonts w:hint="eastAsia" w:ascii="仿宋" w:hAnsi="仿宋" w:eastAsia="仿宋" w:cs="仿宋"/>
              <w:caps/>
              <w:color w:val="auto"/>
              <w:sz w:val="36"/>
              <w:szCs w:val="36"/>
              <w:highlight w:val="none"/>
              <w:lang w:val="en-US" w:eastAsia="zh-CN"/>
            </w:rPr>
            <w:t xml:space="preserve">1</w:t>
          </w:r>
          <w:r/>
        </w:p>
        <w:p>
          <w:pPr>
            <w:pStyle w:val="737"/>
            <w:tabs>
              <w:tab w:val="right" w:pos="8953" w:leader="dot"/>
            </w:tabs>
            <w:rPr>
              <w:rFonts w:ascii="仿宋" w:hAnsi="仿宋" w:eastAsia="仿宋" w:cs="仿宋"/>
              <w:color w:val="auto"/>
              <w:highlight w:val="none"/>
            </w:rPr>
          </w:pPr>
          <w:r>
            <w:rPr>
              <w:color w:val="auto"/>
              <w:highlight w:val="none"/>
            </w:rPr>
            <w:fldChar w:fldCharType="begin"/>
          </w:r>
          <w:r>
            <w:rPr>
              <w:color w:val="auto"/>
              <w:highlight w:val="none"/>
            </w:rPr>
            <w:instrText xml:space="preserve"> HYPERLINK \l "__RefHeading___Toc5763" \h </w:instrText>
          </w:r>
          <w:r>
            <w:rPr>
              <w:color w:val="auto"/>
              <w:highlight w:val="none"/>
            </w:rPr>
            <w:fldChar w:fldCharType="separate"/>
          </w:r>
          <w:r>
            <w:rPr>
              <w:rStyle w:val="786"/>
              <w:rFonts w:ascii="仿宋" w:hAnsi="仿宋" w:eastAsia="仿宋" w:cs="仿宋"/>
              <w:bCs/>
              <w:color w:val="auto"/>
              <w:sz w:val="36"/>
              <w:szCs w:val="40"/>
              <w:highlight w:val="none"/>
            </w:rPr>
            <w:t xml:space="preserve">第六章  投标文件格式</w:t>
          </w:r>
          <w:r>
            <w:rPr>
              <w:rStyle w:val="786"/>
              <w:rFonts w:ascii="仿宋" w:hAnsi="仿宋" w:eastAsia="仿宋" w:cs="仿宋"/>
              <w:color w:val="auto"/>
              <w:sz w:val="36"/>
              <w:szCs w:val="36"/>
              <w:highlight w:val="none"/>
            </w:rPr>
            <w:tab/>
          </w:r>
          <w:r>
            <w:rPr>
              <w:rStyle w:val="786"/>
              <w:rFonts w:hint="eastAsia" w:ascii="仿宋" w:hAnsi="仿宋" w:eastAsia="仿宋" w:cs="仿宋"/>
              <w:caps/>
              <w:color w:val="auto"/>
              <w:sz w:val="36"/>
              <w:szCs w:val="36"/>
              <w:highlight w:val="none"/>
              <w:lang w:val="en-US" w:eastAsia="zh-CN"/>
            </w:rPr>
            <w:t xml:space="preserve">3</w:t>
          </w:r>
          <w:r>
            <w:rPr>
              <w:rStyle w:val="786"/>
              <w:rFonts w:ascii="仿宋" w:hAnsi="仿宋" w:eastAsia="仿宋" w:cs="仿宋"/>
              <w:caps/>
              <w:color w:val="auto"/>
              <w:sz w:val="36"/>
              <w:szCs w:val="36"/>
              <w:highlight w:val="none"/>
              <w:lang w:val="en-US" w:eastAsia="zh-CN"/>
            </w:rPr>
            <w:fldChar w:fldCharType="end"/>
          </w:r>
          <w:r>
            <w:rPr>
              <w:rStyle w:val="786"/>
              <w:rFonts w:ascii="仿宋" w:hAnsi="仿宋" w:eastAsia="仿宋" w:cs="仿宋"/>
              <w:caps/>
              <w:color w:val="auto"/>
              <w:sz w:val="36"/>
              <w:szCs w:val="36"/>
              <w:highlight w:val="none"/>
              <w:lang w:val="en-US" w:eastAsia="zh-CN"/>
            </w:rPr>
            <w:fldChar w:fldCharType="end"/>
          </w:r>
          <w:r>
            <w:rPr>
              <w:rStyle w:val="786"/>
              <w:rFonts w:hint="eastAsia" w:ascii="仿宋" w:hAnsi="仿宋" w:eastAsia="仿宋" w:cs="仿宋"/>
              <w:caps/>
              <w:color w:val="auto"/>
              <w:sz w:val="36"/>
              <w:szCs w:val="36"/>
              <w:highlight w:val="none"/>
              <w:lang w:val="en-US" w:eastAsia="zh-CN"/>
            </w:rPr>
            <w:t xml:space="preserve">7</w:t>
          </w:r>
          <w:r/>
        </w:p>
      </w:sdtContent>
    </w:sdt>
    <w:p>
      <w:pPr>
        <w:rPr>
          <w:rFonts w:ascii="仿宋" w:hAnsi="仿宋" w:eastAsia="仿宋" w:cs="仿宋"/>
          <w:color w:val="auto"/>
          <w:sz w:val="36"/>
          <w:szCs w:val="36"/>
          <w:highlight w:val="none"/>
        </w:rPr>
      </w:pPr>
      <w:r>
        <w:rPr>
          <w:rFonts w:ascii="仿宋" w:hAnsi="仿宋" w:eastAsia="仿宋" w:cs="仿宋"/>
          <w:color w:val="auto"/>
          <w:sz w:val="36"/>
          <w:szCs w:val="36"/>
          <w:highlight w:val="none"/>
        </w:rPr>
      </w:r>
      <w:r/>
    </w:p>
    <w:p>
      <w:pPr>
        <w:rPr>
          <w:rFonts w:ascii="仿宋" w:hAnsi="仿宋" w:eastAsia="仿宋" w:cs="仿宋"/>
          <w:color w:val="auto"/>
          <w:sz w:val="36"/>
          <w:szCs w:val="21"/>
          <w:highlight w:val="none"/>
        </w:rPr>
      </w:pPr>
      <w:r>
        <w:rPr>
          <w:rFonts w:ascii="仿宋" w:hAnsi="仿宋" w:eastAsia="仿宋" w:cs="仿宋"/>
          <w:color w:val="auto"/>
          <w:sz w:val="36"/>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color w:val="auto"/>
          <w:highlight w:val="none"/>
        </w:rPr>
        <w:br w:type="page" w:clear="all"/>
      </w:r>
      <w:r/>
    </w:p>
    <w:p>
      <w:pPr>
        <w:numPr>
          <w:ilvl w:val="0"/>
          <w:numId w:val="0"/>
        </w:numPr>
        <w:jc w:val="center"/>
        <w:keepNext/>
        <w:rPr>
          <w:rFonts w:ascii="仿宋" w:hAnsi="仿宋" w:eastAsia="仿宋" w:cs="仿宋"/>
          <w:b/>
          <w:bCs/>
          <w:color w:val="auto"/>
          <w:sz w:val="44"/>
          <w:szCs w:val="44"/>
          <w:highlight w:val="none"/>
        </w:rPr>
        <w:outlineLvl w:val="0"/>
      </w:pPr>
      <w:r/>
      <w:bookmarkStart w:id="0" w:name="__RefHeading___Toc28938"/>
      <w:r/>
      <w:bookmarkEnd w:id="0"/>
      <w:r>
        <w:rPr>
          <w:rFonts w:ascii="仿宋" w:hAnsi="仿宋" w:eastAsia="仿宋" w:cs="仿宋"/>
          <w:b/>
          <w:bCs/>
          <w:color w:val="auto"/>
          <w:sz w:val="44"/>
          <w:szCs w:val="44"/>
          <w:highlight w:val="none"/>
        </w:rPr>
        <w:t xml:space="preserve">第一章  投标邀请</w:t>
      </w:r>
      <w:r/>
    </w:p>
    <w:p>
      <w:pPr>
        <w:ind w:right="0" w:firstLine="48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受</w:t>
      </w:r>
      <w:r>
        <w:rPr>
          <w:rFonts w:ascii="仿宋" w:hAnsi="仿宋" w:eastAsia="仿宋" w:cs="仿宋"/>
          <w:color w:val="auto"/>
          <w:sz w:val="24"/>
          <w:szCs w:val="24"/>
          <w:highlight w:val="none"/>
          <w:lang w:eastAsia="zh-CN"/>
        </w:rPr>
        <w:t xml:space="preserve">如东县应急管理局</w:t>
      </w:r>
      <w:r>
        <w:rPr>
          <w:rFonts w:ascii="仿宋" w:hAnsi="仿宋" w:eastAsia="仿宋" w:cs="仿宋"/>
          <w:color w:val="auto"/>
          <w:sz w:val="24"/>
          <w:szCs w:val="24"/>
          <w:highlight w:val="none"/>
        </w:rPr>
        <w:t xml:space="preserve">的委托，</w:t>
      </w:r>
      <w:r>
        <w:rPr>
          <w:rFonts w:ascii="仿宋" w:hAnsi="仿宋" w:eastAsia="仿宋" w:cs="仿宋"/>
          <w:color w:val="auto"/>
          <w:sz w:val="24"/>
          <w:szCs w:val="24"/>
          <w:highlight w:val="none"/>
          <w:lang w:val="en-US" w:eastAsia="zh-CN"/>
        </w:rPr>
        <w:t xml:space="preserve">大洲设计咨询集团有限公司</w:t>
      </w:r>
      <w:r>
        <w:rPr>
          <w:rFonts w:ascii="仿宋" w:hAnsi="仿宋" w:eastAsia="仿宋" w:cs="仿宋"/>
          <w:color w:val="auto"/>
          <w:sz w:val="24"/>
          <w:szCs w:val="24"/>
          <w:highlight w:val="none"/>
        </w:rPr>
        <w:t xml:space="preserve">就</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如东县应急管理局危化品事故处置模块车采购项目]</w:t>
      </w:r>
      <w:r>
        <w:rPr>
          <w:rFonts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eastAsia="zh-CN"/>
        </w:rPr>
        <w:t xml:space="preserve">项目编号</w:t>
      </w:r>
      <w:r>
        <w:rPr>
          <w:rFonts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 JSZC-320623-JSDZ-G2026-0067</w:t>
      </w:r>
      <w:r>
        <w:rPr>
          <w:rFonts w:hint="eastAsia"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eastAsia="zh-CN"/>
        </w:rPr>
        <w:t xml:space="preserve">)进行公开招标</w:t>
      </w:r>
      <w:r>
        <w:rPr>
          <w:rFonts w:ascii="仿宋" w:hAnsi="仿宋" w:eastAsia="仿宋" w:cs="仿宋"/>
          <w:color w:val="auto"/>
          <w:sz w:val="24"/>
          <w:szCs w:val="24"/>
          <w:highlight w:val="none"/>
        </w:rPr>
        <w:t xml:space="preserve">采购，欢迎符合条件的供应商投标。</w:t>
      </w:r>
      <w:r/>
    </w:p>
    <w:p>
      <w:pPr>
        <w:ind w:right="0" w:firstLine="480"/>
        <w:pageBreakBefore w:val="0"/>
        <w:spacing w:line="420" w:lineRule="exact"/>
        <w:widowControl w:val="off"/>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ascii="仿宋" w:hAnsi="仿宋" w:eastAsia="仿宋" w:cs="仿宋"/>
          <w:color w:val="auto"/>
          <w:sz w:val="24"/>
          <w:szCs w:val="24"/>
          <w:highlight w:val="none"/>
        </w:rPr>
        <w:t xml:space="preserve">项目概况</w:t>
      </w:r>
      <w:r/>
    </w:p>
    <w:p>
      <w:pPr>
        <w:ind w:right="0" w:firstLine="480"/>
        <w:pageBreakBefore w:val="0"/>
        <w:spacing w:line="420" w:lineRule="exact"/>
        <w:widowControl w:val="off"/>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u w:val="single"/>
          <w:lang w:eastAsia="zh-CN"/>
        </w:rPr>
        <w:t xml:space="preserve">如东县应急管理局危化品事故处置模块车采购项目</w:t>
      </w:r>
      <w:r>
        <w:rPr>
          <w:rFonts w:ascii="仿宋" w:hAnsi="仿宋" w:eastAsia="仿宋" w:cs="仿宋"/>
          <w:color w:val="auto"/>
          <w:sz w:val="24"/>
          <w:szCs w:val="24"/>
          <w:highlight w:val="none"/>
        </w:rPr>
        <w:t xml:space="preserve">的潜在投标人可在</w:t>
      </w:r>
      <w:r>
        <w:rPr>
          <w:rFonts w:ascii="仿宋" w:hAnsi="仿宋" w:eastAsia="仿宋" w:cs="仿宋"/>
          <w:color w:val="auto"/>
          <w:sz w:val="24"/>
          <w:szCs w:val="24"/>
          <w:highlight w:val="none"/>
          <w:u w:val="single"/>
        </w:rPr>
        <w:t xml:space="preserve">“江苏政府采购网”自行免费下载</w:t>
      </w:r>
      <w:r>
        <w:rPr>
          <w:rFonts w:ascii="仿宋" w:hAnsi="仿宋" w:eastAsia="仿宋" w:cs="仿宋"/>
          <w:color w:val="auto"/>
          <w:sz w:val="24"/>
          <w:szCs w:val="24"/>
          <w:highlight w:val="none"/>
        </w:rPr>
        <w:t xml:space="preserve">招标文件，并于</w:t>
      </w:r>
      <w:r>
        <w:rPr>
          <w:rFonts w:ascii="仿宋" w:hAnsi="仿宋" w:eastAsia="仿宋" w:cs="仿宋"/>
          <w:color w:val="auto"/>
          <w:sz w:val="24"/>
          <w:szCs w:val="24"/>
          <w:highlight w:val="none"/>
          <w:u w:val="single"/>
          <w:lang w:val="en-US" w:eastAsia="zh-CN"/>
        </w:rPr>
        <w:t xml:space="preserve">2026</w:t>
      </w:r>
      <w:r>
        <w:rPr>
          <w:rFonts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9</w:t>
      </w:r>
      <w:r>
        <w:rPr>
          <w:rFonts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24</w:t>
      </w:r>
      <w:r>
        <w:rPr>
          <w:rFonts w:hint="eastAsia" w:ascii="仿宋" w:hAnsi="仿宋" w:eastAsia="仿宋" w:cs="仿宋"/>
          <w:bCs/>
          <w:color w:val="auto"/>
          <w:sz w:val="24"/>
          <w:szCs w:val="24"/>
          <w:highlight w:val="none"/>
          <w:u w:val="single"/>
          <w:lang w:val="en-US" w:eastAsia="zh-CN"/>
        </w:rPr>
        <w:t xml:space="preserve">日9</w:t>
      </w:r>
      <w:r>
        <w:rPr>
          <w:rFonts w:ascii="仿宋" w:hAnsi="仿宋" w:eastAsia="仿宋" w:cs="仿宋"/>
          <w:bCs/>
          <w:color w:val="auto"/>
          <w:sz w:val="24"/>
          <w:szCs w:val="24"/>
          <w:highlight w:val="none"/>
          <w:u w:val="single"/>
        </w:rPr>
        <w:t xml:space="preserve">点</w:t>
      </w:r>
      <w:r>
        <w:rPr>
          <w:rFonts w:hint="eastAsia" w:ascii="仿宋" w:hAnsi="仿宋" w:eastAsia="仿宋" w:cs="仿宋"/>
          <w:bCs/>
          <w:color w:val="auto"/>
          <w:sz w:val="24"/>
          <w:szCs w:val="24"/>
          <w:highlight w:val="none"/>
          <w:u w:val="single"/>
          <w:lang w:val="en-US" w:eastAsia="zh-CN"/>
        </w:rPr>
        <w:t xml:space="preserve">0</w:t>
      </w:r>
      <w:r>
        <w:rPr>
          <w:rFonts w:ascii="仿宋" w:hAnsi="仿宋" w:eastAsia="仿宋" w:cs="仿宋"/>
          <w:bCs/>
          <w:color w:val="auto"/>
          <w:sz w:val="24"/>
          <w:szCs w:val="24"/>
          <w:highlight w:val="none"/>
          <w:u w:val="single"/>
          <w:lang w:val="en-US" w:eastAsia="zh-CN"/>
        </w:rPr>
        <w:t xml:space="preserve">0</w:t>
      </w:r>
      <w:r>
        <w:rPr>
          <w:rFonts w:ascii="仿宋" w:hAnsi="仿宋" w:eastAsia="仿宋" w:cs="仿宋"/>
          <w:bCs/>
          <w:color w:val="auto"/>
          <w:sz w:val="24"/>
          <w:szCs w:val="24"/>
          <w:highlight w:val="none"/>
          <w:u w:val="single"/>
        </w:rPr>
        <w:t xml:space="preserve">分（</w:t>
      </w:r>
      <w:r>
        <w:rPr>
          <w:rFonts w:ascii="仿宋" w:hAnsi="仿宋" w:eastAsia="仿宋" w:cs="仿宋"/>
          <w:bCs/>
          <w:color w:val="auto"/>
          <w:sz w:val="24"/>
          <w:szCs w:val="24"/>
          <w:highlight w:val="none"/>
        </w:rPr>
        <w:t xml:space="preserve">北京时间）前递交投标文件</w:t>
      </w:r>
      <w:r>
        <w:rPr>
          <w:rFonts w:ascii="仿宋" w:hAnsi="仿宋" w:eastAsia="仿宋" w:cs="仿宋"/>
          <w:color w:val="auto"/>
          <w:sz w:val="24"/>
          <w:szCs w:val="24"/>
          <w:highlight w:val="none"/>
        </w:rPr>
        <w:t xml:space="preserve">。</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一、项目基本情况</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1.项目编号：</w:t>
      </w:r>
      <w:r>
        <w:rPr>
          <w:rFonts w:hint="eastAsia" w:ascii="仿宋" w:hAnsi="仿宋" w:eastAsia="仿宋" w:cs="仿宋"/>
          <w:color w:val="auto"/>
          <w:sz w:val="24"/>
          <w:szCs w:val="24"/>
          <w:highlight w:val="none"/>
          <w:lang w:val="en-US" w:eastAsia="zh-CN"/>
        </w:rPr>
        <w:t xml:space="preserve">JSZC-320623-JSDZ-G2026-0067 </w:t>
      </w:r>
      <w:r>
        <w:rPr>
          <w:rFonts w:ascii="仿宋" w:hAnsi="仿宋" w:eastAsia="仿宋" w:cs="仿宋"/>
          <w:color w:val="auto"/>
          <w:sz w:val="24"/>
          <w:szCs w:val="24"/>
          <w:highlight w:val="none"/>
          <w:lang w:val="en-US" w:eastAsia="zh-CN"/>
        </w:rPr>
        <w:t xml:space="preserve"> </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2.项目名称：</w:t>
      </w:r>
      <w:r>
        <w:rPr>
          <w:rFonts w:hint="eastAsia" w:ascii="仿宋" w:hAnsi="仿宋" w:eastAsia="仿宋" w:cs="仿宋"/>
          <w:color w:val="auto"/>
          <w:sz w:val="24"/>
          <w:szCs w:val="24"/>
          <w:highlight w:val="none"/>
          <w:lang w:val="en-US" w:eastAsia="zh-CN"/>
        </w:rPr>
        <w:t xml:space="preserve">如东县应急管理局危化品事故处置模块车采购项目</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3.采购方式：公开招标</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4.项目类型：货物</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5.所属行业：工业</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bookmarkStart w:id="1" w:name="_Hlk24379207"/>
      <w:r>
        <w:rPr>
          <w:rFonts w:ascii="仿宋" w:hAnsi="仿宋" w:eastAsia="仿宋" w:cs="仿宋"/>
          <w:color w:val="auto"/>
          <w:sz w:val="24"/>
          <w:szCs w:val="24"/>
          <w:highlight w:val="none"/>
          <w:lang w:val="en-US" w:eastAsia="zh-CN"/>
        </w:rPr>
        <w:t xml:space="preserve">6.</w:t>
      </w:r>
      <w:bookmarkEnd w:id="1"/>
      <w:r>
        <w:rPr>
          <w:rFonts w:ascii="仿宋" w:hAnsi="仿宋" w:eastAsia="仿宋" w:cs="仿宋"/>
          <w:color w:val="auto"/>
          <w:sz w:val="24"/>
          <w:szCs w:val="24"/>
          <w:highlight w:val="none"/>
          <w:lang w:val="en-US" w:eastAsia="zh-CN"/>
        </w:rPr>
        <w:t xml:space="preserve">预算金额：</w:t>
      </w:r>
      <w:r>
        <w:rPr>
          <w:rFonts w:hint="eastAsia" w:ascii="仿宋" w:hAnsi="仿宋" w:eastAsia="仿宋" w:cs="仿宋"/>
          <w:color w:val="auto"/>
          <w:sz w:val="24"/>
          <w:szCs w:val="24"/>
          <w:highlight w:val="none"/>
          <w:lang w:val="en-US" w:eastAsia="zh-CN"/>
        </w:rPr>
        <w:t xml:space="preserve">200</w:t>
      </w:r>
      <w:r>
        <w:rPr>
          <w:rFonts w:ascii="仿宋" w:hAnsi="仿宋" w:eastAsia="仿宋" w:cs="仿宋"/>
          <w:color w:val="auto"/>
          <w:sz w:val="24"/>
          <w:szCs w:val="24"/>
          <w:highlight w:val="none"/>
          <w:lang w:val="en-US" w:eastAsia="zh-CN"/>
        </w:rPr>
        <w:t xml:space="preserve">万元</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最高限价（如有）：</w:t>
      </w:r>
      <w:r>
        <w:rPr>
          <w:rFonts w:hint="eastAsia" w:ascii="仿宋" w:hAnsi="仿宋" w:eastAsia="仿宋" w:cs="仿宋"/>
          <w:color w:val="auto"/>
          <w:sz w:val="24"/>
          <w:szCs w:val="24"/>
          <w:highlight w:val="none"/>
          <w:lang w:val="en-US" w:eastAsia="zh-CN"/>
        </w:rPr>
        <w:t xml:space="preserve">200</w:t>
      </w:r>
      <w:r>
        <w:rPr>
          <w:rFonts w:ascii="仿宋" w:hAnsi="仿宋" w:eastAsia="仿宋" w:cs="仿宋"/>
          <w:color w:val="auto"/>
          <w:sz w:val="24"/>
          <w:szCs w:val="24"/>
          <w:highlight w:val="none"/>
          <w:lang w:val="en-US" w:eastAsia="zh-CN"/>
        </w:rPr>
        <w:t xml:space="preserve">万元</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7.采购需求（简介）：本次招标采购的如东县应急管理局微型水罐消防车及随车器材装备，详细内容见本招标文件第四章</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8.合同履行期限：详细内容见本招标文件第四章</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9.本项目是否接受联合体投标：否</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10.本项目是否接受分包：否。</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二、申请人的资格要求</w:t>
      </w:r>
      <w:r/>
    </w:p>
    <w:p>
      <w:pPr>
        <w:ind w:right="0" w:firstLine="56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（一）通用资格要求</w:t>
      </w:r>
      <w:r/>
    </w:p>
    <w:p>
      <w:pPr>
        <w:ind w:right="0" w:firstLine="48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1.满足《中华人民共和国政府采购法》第二十二条规定</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（按附件</w:t>
      </w: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rPr>
        <w:t xml:space="preserve">格式进行声明，</w:t>
      </w:r>
      <w:r>
        <w:rPr>
          <w:rFonts w:ascii="仿宋" w:hAnsi="仿宋" w:eastAsia="仿宋" w:cs="仿宋"/>
          <w:color w:val="auto"/>
          <w:sz w:val="24"/>
          <w:szCs w:val="24"/>
          <w:highlight w:val="none"/>
          <w:lang w:eastAsia="zh-CN"/>
        </w:rPr>
        <w:t xml:space="preserve">投标</w:t>
      </w:r>
      <w:r>
        <w:rPr>
          <w:rFonts w:ascii="仿宋" w:hAnsi="仿宋" w:eastAsia="仿宋" w:cs="仿宋"/>
          <w:color w:val="auto"/>
          <w:sz w:val="24"/>
          <w:szCs w:val="24"/>
          <w:highlight w:val="none"/>
        </w:rPr>
        <w:t xml:space="preserve">文件中无需提供其他证明材料）</w:t>
      </w:r>
      <w:r>
        <w:rPr>
          <w:rFonts w:ascii="仿宋" w:hAnsi="仿宋" w:eastAsia="仿宋" w:cs="仿宋"/>
          <w:color w:val="auto"/>
          <w:sz w:val="24"/>
          <w:szCs w:val="24"/>
          <w:highlight w:val="none"/>
          <w:lang w:eastAsia="zh-CN"/>
        </w:rPr>
        <w:t xml:space="preserve">；</w:t>
      </w:r>
      <w:r/>
    </w:p>
    <w:p>
      <w:pPr>
        <w:ind w:right="0" w:firstLine="48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rPr>
        <w:t xml:space="preserve">3.落实政府采购政策需满足的资格要求：</w:t>
      </w:r>
      <w:r>
        <w:rPr>
          <w:rFonts w:hint="eastAsia" w:ascii="仿宋" w:hAnsi="仿宋" w:eastAsia="仿宋" w:cs="仿宋"/>
          <w:color w:val="auto"/>
          <w:sz w:val="24"/>
          <w:szCs w:val="24"/>
          <w:highlight w:val="none"/>
          <w:lang w:val="en-US" w:eastAsia="zh-CN"/>
        </w:rPr>
        <w:t xml:space="preserve">无</w:t>
      </w:r>
      <w:r>
        <w:rPr>
          <w:rFonts w:ascii="仿宋" w:hAnsi="仿宋" w:eastAsia="仿宋" w:cs="仿宋"/>
          <w:color w:val="auto"/>
          <w:sz w:val="24"/>
          <w:szCs w:val="24"/>
          <w:highlight w:val="none"/>
          <w:lang w:val="en-US" w:eastAsia="zh-CN"/>
        </w:rPr>
        <w:t xml:space="preserve">。</w:t>
      </w:r>
      <w:r/>
    </w:p>
    <w:p>
      <w:pPr>
        <w:ind w:right="0" w:firstLine="56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rPr>
        <w:t xml:space="preserve">（二）本项目的特定资格要求</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val="en-US" w:eastAsia="zh-CN"/>
        </w:rPr>
        <w:t xml:space="preserve">无。</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三、获取招标文件</w:t>
      </w:r>
      <w:r/>
    </w:p>
    <w:p>
      <w:pPr>
        <w:ind w:right="0" w:firstLine="54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1.时间：</w:t>
      </w:r>
      <w:r>
        <w:rPr>
          <w:rFonts w:ascii="仿宋" w:hAnsi="仿宋" w:eastAsia="仿宋" w:cs="仿宋"/>
          <w:color w:val="auto"/>
          <w:sz w:val="24"/>
          <w:szCs w:val="24"/>
          <w:highlight w:val="none"/>
          <w:lang w:eastAsia="zh-CN"/>
        </w:rPr>
        <w:t xml:space="preserve">自本公告发布之日起</w:t>
      </w:r>
      <w:r>
        <w:rPr>
          <w:rFonts w:ascii="仿宋" w:hAnsi="仿宋" w:eastAsia="仿宋" w:cs="仿宋"/>
          <w:color w:val="auto"/>
          <w:sz w:val="24"/>
          <w:szCs w:val="24"/>
          <w:highlight w:val="none"/>
          <w:lang w:val="en-US" w:eastAsia="zh-CN"/>
        </w:rPr>
        <w:t xml:space="preserve">5个工作日</w:t>
      </w:r>
      <w:r>
        <w:rPr>
          <w:rFonts w:ascii="仿宋" w:hAnsi="仿宋" w:eastAsia="仿宋" w:cs="仿宋"/>
          <w:color w:val="auto"/>
          <w:sz w:val="24"/>
          <w:szCs w:val="24"/>
          <w:highlight w:val="none"/>
          <w:lang w:eastAsia="zh-CN"/>
        </w:rPr>
        <w:t xml:space="preserve">。</w:t>
      </w:r>
      <w:r/>
    </w:p>
    <w:p>
      <w:pPr>
        <w:ind w:right="0" w:firstLine="54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2.地点：</w:t>
      </w:r>
      <w:r>
        <w:rPr>
          <w:rFonts w:ascii="仿宋" w:hAnsi="仿宋" w:eastAsia="仿宋" w:cs="仿宋"/>
          <w:color w:val="auto"/>
          <w:sz w:val="24"/>
          <w:szCs w:val="24"/>
          <w:highlight w:val="none"/>
        </w:rPr>
        <w:t xml:space="preserve">“江苏政府采购网”</w:t>
      </w:r>
      <w:r/>
    </w:p>
    <w:p>
      <w:pPr>
        <w:ind w:right="0" w:firstLine="54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rPr>
        <w:t xml:space="preserve">.方式：凡有意参与投标的供应商须登录</w:t>
      </w:r>
      <w:r>
        <w:rPr>
          <w:rFonts w:ascii="仿宋" w:hAnsi="仿宋" w:eastAsia="仿宋" w:cs="仿宋"/>
          <w:color w:val="auto"/>
          <w:sz w:val="24"/>
          <w:szCs w:val="24"/>
          <w:highlight w:val="none"/>
          <w:lang w:val="en-US" w:eastAsia="zh-CN"/>
        </w:rPr>
        <w:t xml:space="preserve">江苏</w:t>
      </w:r>
      <w:r>
        <w:rPr>
          <w:rFonts w:ascii="仿宋" w:hAnsi="仿宋" w:eastAsia="仿宋" w:cs="仿宋"/>
          <w:color w:val="auto"/>
          <w:sz w:val="24"/>
          <w:szCs w:val="24"/>
          <w:highlight w:val="none"/>
        </w:rPr>
        <w:t xml:space="preserve">政府采购网首页</w:t>
      </w:r>
      <w:r>
        <w:rPr>
          <w:rFonts w:ascii="仿宋" w:hAnsi="仿宋" w:eastAsia="仿宋" w:cs="仿宋"/>
          <w:color w:val="auto"/>
          <w:sz w:val="24"/>
          <w:szCs w:val="24"/>
          <w:highlight w:val="none"/>
          <w:lang w:val="en-US" w:eastAsia="zh-CN"/>
        </w:rPr>
        <w:t xml:space="preserve">点击“苏采云”</w:t>
      </w:r>
      <w:r>
        <w:rPr>
          <w:rFonts w:ascii="仿宋" w:hAnsi="仿宋" w:eastAsia="仿宋" w:cs="仿宋"/>
          <w:color w:val="auto"/>
          <w:sz w:val="24"/>
          <w:szCs w:val="24"/>
          <w:highlight w:val="none"/>
        </w:rPr>
        <w:t xml:space="preserve">→通过CA锁进行响应确认，并自行</w:t>
      </w:r>
      <w:r>
        <w:rPr>
          <w:rFonts w:ascii="仿宋" w:hAnsi="仿宋" w:eastAsia="仿宋" w:cs="仿宋"/>
          <w:color w:val="auto"/>
          <w:sz w:val="24"/>
          <w:szCs w:val="24"/>
          <w:highlight w:val="none"/>
          <w:lang w:val="en-US" w:eastAsia="zh-CN"/>
        </w:rPr>
        <w:t xml:space="preserve">在招标文件有效获取期内及时</w:t>
      </w:r>
      <w:r>
        <w:rPr>
          <w:rFonts w:ascii="仿宋" w:hAnsi="仿宋" w:eastAsia="仿宋" w:cs="仿宋"/>
          <w:color w:val="auto"/>
          <w:sz w:val="24"/>
          <w:szCs w:val="24"/>
          <w:highlight w:val="none"/>
        </w:rPr>
        <w:t xml:space="preserve">下载</w:t>
      </w:r>
      <w:r>
        <w:rPr>
          <w:rFonts w:ascii="仿宋" w:hAnsi="仿宋" w:eastAsia="仿宋" w:cs="仿宋"/>
          <w:color w:val="auto"/>
          <w:sz w:val="24"/>
          <w:szCs w:val="24"/>
          <w:highlight w:val="none"/>
          <w:lang w:val="en-US" w:eastAsia="zh-CN"/>
        </w:rPr>
        <w:t xml:space="preserve">获取</w:t>
      </w:r>
      <w:r>
        <w:rPr>
          <w:rFonts w:ascii="仿宋" w:hAnsi="仿宋" w:eastAsia="仿宋" w:cs="仿宋"/>
          <w:color w:val="auto"/>
          <w:sz w:val="24"/>
          <w:szCs w:val="24"/>
          <w:highlight w:val="none"/>
        </w:rPr>
        <w:t xml:space="preserve">。</w:t>
      </w:r>
      <w:r/>
    </w:p>
    <w:p>
      <w:pPr>
        <w:ind w:right="0" w:firstLine="54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4.售价：免费</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四、提交投标文件截止时间、开标时间和地点</w:t>
      </w:r>
      <w:r/>
    </w:p>
    <w:p>
      <w:pPr>
        <w:ind w:right="0" w:firstLine="480"/>
        <w:pageBreakBefore w:val="0"/>
        <w:spacing w:line="420" w:lineRule="exact"/>
        <w:widowControl w:val="off"/>
        <w:tabs>
          <w:tab w:val="left" w:pos="2299" w:leader="none"/>
        </w:tabs>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1.2026年</w:t>
      </w:r>
      <w:r>
        <w:rPr>
          <w:rFonts w:hint="eastAsia" w:ascii="仿宋" w:hAnsi="仿宋" w:eastAsia="仿宋" w:cs="仿宋"/>
          <w:color w:val="auto"/>
          <w:sz w:val="24"/>
          <w:szCs w:val="24"/>
          <w:highlight w:val="none"/>
          <w:lang w:val="en-US" w:eastAsia="zh-CN"/>
        </w:rPr>
        <w:t xml:space="preserve">9</w:t>
      </w:r>
      <w:r>
        <w:rPr>
          <w:rFonts w:ascii="仿宋" w:hAnsi="仿宋" w:eastAsia="仿宋" w:cs="仿宋"/>
          <w:color w:val="auto"/>
          <w:sz w:val="24"/>
          <w:szCs w:val="24"/>
          <w:highlight w:val="none"/>
          <w:lang w:val="en-US" w:eastAsia="zh-CN"/>
        </w:rPr>
        <w:t xml:space="preserve">月</w:t>
      </w:r>
      <w:r>
        <w:rPr>
          <w:rFonts w:hint="eastAsia" w:ascii="仿宋" w:hAnsi="仿宋" w:eastAsia="仿宋" w:cs="仿宋"/>
          <w:color w:val="auto"/>
          <w:sz w:val="24"/>
          <w:szCs w:val="24"/>
          <w:highlight w:val="none"/>
          <w:lang w:val="en-US" w:eastAsia="zh-CN"/>
        </w:rPr>
        <w:t xml:space="preserve">24</w:t>
      </w:r>
      <w:r>
        <w:rPr>
          <w:rFonts w:hint="eastAsia" w:ascii="仿宋" w:hAnsi="仿宋" w:eastAsia="仿宋" w:cs="仿宋"/>
          <w:color w:val="auto"/>
          <w:sz w:val="24"/>
          <w:szCs w:val="24"/>
          <w:highlight w:val="none"/>
          <w:lang w:val="en-US" w:eastAsia="zh-CN"/>
        </w:rPr>
        <w:t xml:space="preserve">日9</w:t>
      </w:r>
      <w:r>
        <w:rPr>
          <w:rFonts w:ascii="仿宋" w:hAnsi="仿宋" w:eastAsia="仿宋" w:cs="仿宋"/>
          <w:color w:val="auto"/>
          <w:sz w:val="24"/>
          <w:szCs w:val="24"/>
          <w:highlight w:val="none"/>
          <w:lang w:val="en-US" w:eastAsia="zh-CN"/>
        </w:rPr>
        <w:t xml:space="preserve">点</w:t>
      </w:r>
      <w:r>
        <w:rPr>
          <w:rFonts w:hint="eastAsia" w:ascii="仿宋" w:hAnsi="仿宋" w:eastAsia="仿宋" w:cs="仿宋"/>
          <w:color w:val="auto"/>
          <w:sz w:val="24"/>
          <w:szCs w:val="24"/>
          <w:highlight w:val="none"/>
          <w:lang w:val="en-US" w:eastAsia="zh-CN"/>
        </w:rPr>
        <w:t xml:space="preserve">00</w:t>
      </w:r>
      <w:r>
        <w:rPr>
          <w:rFonts w:ascii="仿宋" w:hAnsi="仿宋" w:eastAsia="仿宋" w:cs="仿宋"/>
          <w:color w:val="auto"/>
          <w:sz w:val="24"/>
          <w:szCs w:val="24"/>
          <w:highlight w:val="none"/>
          <w:lang w:val="en-US" w:eastAsia="zh-CN"/>
        </w:rPr>
        <w:t xml:space="preserve">分（北京时间）。逾时，系统将拒绝接受上传投标文件电子文档。</w:t>
      </w:r>
      <w:r>
        <w:tab/>
      </w:r>
      <w:r/>
    </w:p>
    <w:p>
      <w:pPr>
        <w:ind w:right="0" w:firstLine="480"/>
        <w:pageBreakBefore w:val="0"/>
        <w:spacing w:line="420" w:lineRule="exact"/>
        <w:widowControl w:val="off"/>
        <w:rPr>
          <w:rFonts w:ascii="仿宋" w:hAnsi="仿宋" w:eastAsia="仿宋" w:cs="仿宋"/>
          <w:bCs/>
          <w:color w:val="auto"/>
          <w:sz w:val="24"/>
          <w:szCs w:val="24"/>
          <w:highlight w:val="none"/>
          <w:u w:val="single"/>
        </w:rPr>
      </w:pPr>
      <w:r>
        <w:rPr>
          <w:rFonts w:ascii="仿宋" w:hAnsi="仿宋" w:eastAsia="仿宋" w:cs="仿宋"/>
          <w:color w:val="auto"/>
          <w:sz w:val="24"/>
          <w:szCs w:val="24"/>
          <w:highlight w:val="none"/>
        </w:rPr>
        <w:t xml:space="preserve">2.地点：</w:t>
      </w:r>
      <w:r>
        <w:rPr>
          <w:rFonts w:ascii="仿宋" w:hAnsi="仿宋" w:eastAsia="仿宋" w:cs="仿宋"/>
          <w:color w:val="auto"/>
          <w:sz w:val="24"/>
          <w:szCs w:val="24"/>
          <w:highlight w:val="none"/>
          <w:lang w:val="en-US" w:eastAsia="zh-CN"/>
        </w:rPr>
        <w:t xml:space="preserve">“苏采云”政府采购一体化平台</w:t>
      </w:r>
      <w:r>
        <w:rPr>
          <w:rFonts w:ascii="仿宋" w:hAnsi="仿宋" w:eastAsia="仿宋" w:cs="仿宋"/>
          <w:color w:val="auto"/>
          <w:sz w:val="28"/>
          <w:szCs w:val="28"/>
          <w:highlight w:val="none"/>
        </w:rPr>
        <w:t xml:space="preserve">。</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五、公告期限</w:t>
      </w:r>
      <w:r/>
    </w:p>
    <w:p>
      <w:pPr>
        <w:ind w:right="0" w:firstLine="48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自本公告发布之日起5个工作日。</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lang w:val="en-US" w:eastAsia="zh-CN"/>
        </w:rPr>
        <w:t xml:space="preserve">六、</w:t>
      </w:r>
      <w:r>
        <w:rPr>
          <w:rFonts w:ascii="仿宋" w:hAnsi="仿宋" w:eastAsia="仿宋" w:cs="仿宋"/>
          <w:b/>
          <w:bCs/>
          <w:color w:val="auto"/>
          <w:sz w:val="32"/>
          <w:szCs w:val="32"/>
          <w:highlight w:val="none"/>
        </w:rPr>
        <w:t xml:space="preserve">其他补充事宜</w:t>
      </w:r>
      <w:r/>
    </w:p>
    <w:p>
      <w:pPr>
        <w:pStyle w:val="804"/>
        <w:numPr>
          <w:ilvl w:val="0"/>
          <w:numId w:val="0"/>
        </w:numPr>
        <w:ind w:left="0" w:right="0" w:firstLine="480"/>
        <w:pageBreakBefore w:val="0"/>
        <w:spacing w:line="42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t xml:space="preserve">1.项目开标活动模式：不见面远程开标模式。</w:t>
      </w:r>
      <w:r/>
    </w:p>
    <w:p>
      <w:pPr>
        <w:pStyle w:val="804"/>
        <w:numPr>
          <w:ilvl w:val="0"/>
          <w:numId w:val="0"/>
        </w:numPr>
        <w:ind w:left="0" w:right="0" w:firstLine="480"/>
        <w:pageBreakBefore w:val="0"/>
        <w:spacing w:line="42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t xml:space="preserve">2.投标人（含潜在投标人）对采购方式、招标文件中项目需求、供应商资格条件、评标方法和评标标准、资格审查部分、合同文本等应当由采购人答复的询问、质疑，请向采购人提出，由采购人负责答复。投标人对其他事项的询问、质疑请向代理机构提出，由代理机构负责答复。对在“苏采云”系统操作阶段的询问请向交易系统软件维护人员提出。</w:t>
      </w:r>
      <w:r/>
    </w:p>
    <w:p>
      <w:pPr>
        <w:pStyle w:val="804"/>
        <w:numPr>
          <w:ilvl w:val="0"/>
          <w:numId w:val="0"/>
        </w:numPr>
        <w:ind w:left="0" w:right="0" w:firstLine="480"/>
        <w:pageBreakBefore w:val="0"/>
        <w:spacing w:line="42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pStyle w:val="804"/>
        <w:numPr>
          <w:ilvl w:val="0"/>
          <w:numId w:val="0"/>
        </w:numPr>
        <w:ind w:left="0" w:right="0" w:firstLine="480"/>
        <w:pageBreakBefore w:val="0"/>
        <w:spacing w:line="42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t xml:space="preserve">4.开标当天投标人应及时登录“苏采云</w:t>
      </w:r>
      <w:r>
        <w:rPr>
          <w:rFonts w:ascii="仿宋" w:hAnsi="仿宋" w:eastAsia="仿宋" w:cs="仿宋"/>
          <w:color w:val="auto"/>
          <w:sz w:val="24"/>
          <w:szCs w:val="24"/>
          <w:highlight w:val="none"/>
          <w:lang w:val="en-US" w:eastAsia="zh-CN" w:bidi="ar-SA"/>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lang w:eastAsia="zh-CN"/>
        </w:rPr>
      </w:pPr>
      <w:r>
        <w:rPr>
          <w:rFonts w:ascii="仿宋" w:hAnsi="仿宋" w:eastAsia="仿宋" w:cs="仿宋"/>
          <w:b/>
          <w:bCs/>
          <w:color w:val="auto"/>
          <w:sz w:val="32"/>
          <w:szCs w:val="32"/>
          <w:highlight w:val="none"/>
        </w:rPr>
        <w:t xml:space="preserve">七、</w:t>
      </w:r>
      <w:r>
        <w:rPr>
          <w:rFonts w:ascii="仿宋" w:hAnsi="仿宋" w:eastAsia="仿宋" w:cs="仿宋"/>
          <w:b/>
          <w:bCs/>
          <w:color w:val="auto"/>
          <w:sz w:val="32"/>
          <w:szCs w:val="32"/>
          <w:highlight w:val="none"/>
          <w:lang w:eastAsia="zh-CN"/>
        </w:rPr>
        <w:t xml:space="preserve">对</w:t>
      </w:r>
      <w:r>
        <w:rPr>
          <w:rFonts w:ascii="仿宋" w:hAnsi="仿宋" w:eastAsia="仿宋" w:cs="仿宋"/>
          <w:b/>
          <w:bCs/>
          <w:color w:val="auto"/>
          <w:sz w:val="32"/>
          <w:szCs w:val="32"/>
          <w:highlight w:val="none"/>
        </w:rPr>
        <w:t xml:space="preserve">本次招标</w:t>
      </w:r>
      <w:r>
        <w:rPr>
          <w:rFonts w:ascii="仿宋" w:hAnsi="仿宋" w:eastAsia="仿宋" w:cs="仿宋"/>
          <w:b/>
          <w:bCs/>
          <w:color w:val="auto"/>
          <w:sz w:val="32"/>
          <w:szCs w:val="32"/>
          <w:highlight w:val="none"/>
          <w:lang w:eastAsia="zh-CN"/>
        </w:rPr>
        <w:t xml:space="preserve">提出询问，请按以下方式联系</w:t>
      </w:r>
      <w:r/>
    </w:p>
    <w:p>
      <w:pPr>
        <w:ind w:right="0" w:firstLine="480"/>
        <w:jc w:val="left"/>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1.采购人信息</w:t>
      </w:r>
      <w:r/>
    </w:p>
    <w:p>
      <w:pPr>
        <w:ind w:right="0" w:firstLine="480"/>
        <w:jc w:val="left"/>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名 称：</w:t>
      </w:r>
      <w:r>
        <w:rPr>
          <w:rFonts w:ascii="仿宋" w:hAnsi="仿宋" w:eastAsia="仿宋" w:cs="仿宋"/>
          <w:color w:val="auto"/>
          <w:sz w:val="24"/>
          <w:szCs w:val="24"/>
          <w:highlight w:val="none"/>
          <w:u w:val="single"/>
          <w:lang w:val="en-US" w:eastAsia="zh-CN"/>
        </w:rPr>
        <w:t xml:space="preserve">如东县应急管理局</w:t>
      </w:r>
      <w:r/>
    </w:p>
    <w:p>
      <w:pPr>
        <w:ind w:right="0" w:firstLine="480"/>
        <w:jc w:val="left"/>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地 址：</w:t>
      </w:r>
      <w:r>
        <w:rPr>
          <w:rFonts w:ascii="仿宋" w:hAnsi="仿宋" w:eastAsia="仿宋" w:cs="仿宋"/>
          <w:color w:val="auto"/>
          <w:sz w:val="24"/>
          <w:szCs w:val="24"/>
          <w:highlight w:val="none"/>
          <w:u w:val="single"/>
          <w:lang w:val="en-US" w:eastAsia="zh-CN"/>
        </w:rPr>
        <w:t xml:space="preserve">如东县城中街道泰山路26号</w:t>
      </w:r>
      <w:r/>
    </w:p>
    <w:p>
      <w:pPr>
        <w:ind w:right="0" w:firstLine="480"/>
        <w:jc w:val="left"/>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联系人：</w:t>
      </w:r>
      <w:r>
        <w:rPr>
          <w:rFonts w:ascii="仿宋" w:hAnsi="仿宋" w:eastAsia="仿宋" w:cs="仿宋"/>
          <w:color w:val="auto"/>
          <w:sz w:val="24"/>
          <w:szCs w:val="24"/>
          <w:highlight w:val="none"/>
          <w:u w:val="single"/>
          <w:lang w:val="en-US" w:eastAsia="zh-CN"/>
        </w:rPr>
        <w:t xml:space="preserve">钱进</w:t>
      </w:r>
      <w:r/>
    </w:p>
    <w:p>
      <w:pPr>
        <w:ind w:right="0" w:firstLine="480"/>
        <w:jc w:val="left"/>
        <w:pageBreakBefore w:val="0"/>
        <w:spacing w:line="420" w:lineRule="exact"/>
        <w:widowControl w:val="off"/>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联系方式：</w:t>
      </w:r>
      <w:r>
        <w:rPr>
          <w:rFonts w:ascii="仿宋" w:hAnsi="仿宋" w:eastAsia="仿宋" w:cs="仿宋"/>
          <w:color w:val="auto"/>
          <w:sz w:val="24"/>
          <w:szCs w:val="24"/>
          <w:highlight w:val="none"/>
          <w:u w:val="single"/>
          <w:lang w:val="en-US" w:eastAsia="zh-CN"/>
        </w:rPr>
        <w:t xml:space="preserve">18751373258</w:t>
      </w:r>
      <w:r/>
    </w:p>
    <w:p>
      <w:pPr>
        <w:ind w:right="0" w:firstLine="480"/>
        <w:jc w:val="left"/>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rPr>
          <w:rFonts w:ascii="仿宋" w:hAnsi="仿宋" w:eastAsia="仿宋" w:cs="仿宋"/>
          <w:color w:val="auto"/>
          <w:sz w:val="24"/>
          <w:szCs w:val="24"/>
          <w:highlight w:val="none"/>
          <w:lang w:val="en-US" w:eastAsia="zh-CN"/>
        </w:rPr>
        <w:t xml:space="preserve">采购代理机构</w:t>
      </w:r>
      <w:r>
        <w:rPr>
          <w:rFonts w:ascii="仿宋" w:hAnsi="仿宋" w:eastAsia="仿宋" w:cs="仿宋"/>
          <w:color w:val="auto"/>
          <w:sz w:val="24"/>
          <w:szCs w:val="24"/>
          <w:highlight w:val="none"/>
        </w:rPr>
        <w:t xml:space="preserve">信息</w:t>
      </w:r>
      <w:r/>
    </w:p>
    <w:p>
      <w:pPr>
        <w:ind w:right="0" w:firstLine="48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名称：</w:t>
      </w:r>
      <w:r>
        <w:rPr>
          <w:rFonts w:ascii="仿宋" w:hAnsi="仿宋" w:eastAsia="仿宋" w:cs="仿宋"/>
          <w:color w:val="auto"/>
          <w:sz w:val="24"/>
          <w:szCs w:val="24"/>
          <w:highlight w:val="none"/>
          <w:u w:val="single"/>
          <w:lang w:val="en-US" w:eastAsia="zh-CN"/>
        </w:rPr>
        <w:t xml:space="preserve">大洲设计咨询集团有限公司</w:t>
      </w:r>
      <w:r/>
    </w:p>
    <w:p>
      <w:pPr>
        <w:ind w:right="0" w:firstLine="480"/>
        <w:pageBreakBefore w:val="0"/>
        <w:spacing w:line="420" w:lineRule="exact"/>
        <w:widowControl w:val="off"/>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rPr>
        <w:t xml:space="preserve">地　址：</w:t>
      </w:r>
      <w:r>
        <w:rPr>
          <w:rFonts w:ascii="仿宋" w:hAnsi="仿宋" w:eastAsia="仿宋" w:cs="仿宋"/>
          <w:color w:val="auto"/>
          <w:sz w:val="24"/>
          <w:szCs w:val="24"/>
          <w:highlight w:val="none"/>
          <w:u w:val="single"/>
        </w:rPr>
        <w:t xml:space="preserve">如东县</w:t>
      </w:r>
      <w:r>
        <w:rPr>
          <w:rFonts w:ascii="仿宋" w:hAnsi="仿宋" w:eastAsia="仿宋" w:cs="仿宋"/>
          <w:color w:val="auto"/>
          <w:sz w:val="24"/>
          <w:szCs w:val="24"/>
          <w:highlight w:val="none"/>
          <w:u w:val="single"/>
          <w:lang w:val="en-US" w:eastAsia="zh-CN"/>
        </w:rPr>
        <w:t xml:space="preserve">长江路399号浦发领秀城</w:t>
      </w:r>
      <w:r/>
    </w:p>
    <w:p>
      <w:pPr>
        <w:ind w:right="0" w:firstLine="480"/>
        <w:jc w:val="left"/>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联系方式：</w:t>
      </w:r>
      <w:r>
        <w:rPr>
          <w:rFonts w:ascii="仿宋" w:hAnsi="仿宋" w:eastAsia="仿宋" w:cs="仿宋"/>
          <w:color w:val="auto"/>
          <w:sz w:val="24"/>
          <w:szCs w:val="24"/>
          <w:highlight w:val="none"/>
          <w:u w:val="single"/>
          <w:lang w:val="en-US" w:eastAsia="zh-CN"/>
        </w:rPr>
        <w:t xml:space="preserve">18806270807</w:t>
      </w:r>
      <w:r>
        <w:rPr>
          <w:rFonts w:ascii="仿宋" w:hAnsi="仿宋" w:eastAsia="仿宋" w:cs="仿宋"/>
          <w:color w:val="auto"/>
          <w:sz w:val="24"/>
          <w:szCs w:val="24"/>
          <w:highlight w:val="none"/>
        </w:rPr>
        <w:t xml:space="preserve">　　　　　　　　　　　　</w:t>
      </w:r>
      <w:r/>
    </w:p>
    <w:p>
      <w:pPr>
        <w:ind w:right="0" w:firstLine="480"/>
        <w:jc w:val="left"/>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3.项目联系方式</w:t>
      </w:r>
      <w:r/>
    </w:p>
    <w:p>
      <w:pPr>
        <w:ind w:right="0" w:firstLine="480"/>
        <w:jc w:val="left"/>
        <w:pageBreakBefore w:val="0"/>
        <w:spacing w:line="420" w:lineRule="exact"/>
        <w:widowControl w:val="off"/>
        <w:rPr>
          <w:rFonts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lang w:val="en-US" w:eastAsia="zh-CN"/>
        </w:rPr>
        <w:t xml:space="preserve">项目联系人：</w:t>
      </w:r>
      <w:r>
        <w:rPr>
          <w:rFonts w:ascii="仿宋" w:hAnsi="仿宋" w:eastAsia="仿宋" w:cs="仿宋"/>
          <w:color w:val="auto"/>
          <w:sz w:val="24"/>
          <w:szCs w:val="24"/>
          <w:highlight w:val="none"/>
          <w:u w:val="single"/>
          <w:lang w:val="en-US" w:eastAsia="zh-CN"/>
        </w:rPr>
        <w:t xml:space="preserve">钱进</w:t>
      </w:r>
      <w:r/>
    </w:p>
    <w:p>
      <w:pPr>
        <w:ind w:right="0" w:firstLine="480"/>
        <w:jc w:val="left"/>
        <w:pageBreakBefore w:val="0"/>
        <w:spacing w:line="420" w:lineRule="exact"/>
        <w:widowControl w:val="off"/>
        <w:rPr>
          <w:rFonts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lang w:val="en-US" w:eastAsia="zh-CN"/>
        </w:rPr>
        <w:t xml:space="preserve">电    话：</w:t>
      </w:r>
      <w:r>
        <w:rPr>
          <w:rFonts w:ascii="仿宋" w:hAnsi="仿宋" w:eastAsia="仿宋" w:cs="仿宋"/>
          <w:color w:val="auto"/>
          <w:sz w:val="24"/>
          <w:szCs w:val="24"/>
          <w:highlight w:val="none"/>
          <w:u w:val="single"/>
          <w:lang w:val="en-US" w:eastAsia="zh-CN"/>
        </w:rPr>
        <w:t xml:space="preserve">18751373258</w:t>
      </w:r>
      <w:r/>
    </w:p>
    <w:p>
      <w:pPr>
        <w:ind w:right="0" w:firstLine="480"/>
        <w:jc w:val="left"/>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4.软件维护人员</w:t>
      </w:r>
      <w:r/>
    </w:p>
    <w:p>
      <w:pPr>
        <w:ind w:right="0" w:firstLine="480"/>
        <w:jc w:val="left"/>
        <w:pageBreakBefore w:val="0"/>
        <w:spacing w:line="420" w:lineRule="exact"/>
        <w:widowControl w:val="off"/>
        <w:rPr>
          <w:rFonts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lang w:val="en-US" w:eastAsia="zh-CN"/>
        </w:rPr>
        <w:t xml:space="preserve">联系方式：</w:t>
      </w:r>
      <w:r>
        <w:rPr>
          <w:rFonts w:ascii="仿宋" w:hAnsi="仿宋" w:eastAsia="仿宋" w:cs="仿宋"/>
          <w:color w:val="auto"/>
          <w:sz w:val="24"/>
          <w:szCs w:val="24"/>
          <w:highlight w:val="none"/>
          <w:u w:val="single"/>
          <w:lang w:val="en-US" w:eastAsia="zh-CN"/>
        </w:rPr>
        <w:t xml:space="preserve">0519-86722801、0519-86722806</w:t>
      </w:r>
      <w:r/>
    </w:p>
    <w:p>
      <w:pPr>
        <w:ind w:right="0" w:firstLine="498"/>
        <w:keepLines/>
        <w:keepNext/>
        <w:pageBreakBefore w:val="0"/>
        <w:spacing w:before="145" w:after="145" w:line="420" w:lineRule="exact"/>
        <w:widowControl w:val="off"/>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lang w:val="en-US" w:eastAsia="zh-CN"/>
        </w:rPr>
        <w:t xml:space="preserve">八、</w:t>
      </w:r>
      <w:r>
        <w:rPr>
          <w:rFonts w:ascii="仿宋" w:hAnsi="仿宋" w:eastAsia="仿宋" w:cs="仿宋"/>
          <w:b/>
          <w:bCs/>
          <w:color w:val="auto"/>
          <w:sz w:val="32"/>
          <w:szCs w:val="32"/>
          <w:highlight w:val="none"/>
        </w:rPr>
        <w:t xml:space="preserve">其他</w:t>
      </w:r>
      <w:r/>
    </w:p>
    <w:p>
      <w:pPr>
        <w:ind w:right="0" w:firstLine="480"/>
        <w:jc w:val="left"/>
        <w:pageBreakBefore w:val="0"/>
        <w:spacing w:line="420" w:lineRule="exact"/>
        <w:widowControl w:val="off"/>
        <w:tabs>
          <w:tab w:val="left" w:pos="900" w:leader="none"/>
        </w:tabs>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w:t>
      </w:r>
      <w:r>
        <w:rPr>
          <w:rFonts w:ascii="仿宋" w:hAnsi="仿宋" w:eastAsia="仿宋" w:cs="仿宋"/>
          <w:bCs/>
          <w:color w:val="auto"/>
          <w:sz w:val="24"/>
          <w:szCs w:val="24"/>
          <w:highlight w:val="none"/>
          <w:lang w:eastAsia="zh-CN"/>
        </w:rPr>
        <w:t xml:space="preserve">详见《</w:t>
      </w:r>
      <w:r>
        <w:rPr>
          <w:rFonts w:ascii="仿宋" w:hAnsi="仿宋" w:eastAsia="仿宋" w:cs="仿宋"/>
          <w:bCs/>
          <w:color w:val="auto"/>
          <w:sz w:val="24"/>
          <w:szCs w:val="24"/>
          <w:highlight w:val="none"/>
          <w:lang w:val="en-US" w:eastAsia="zh-CN"/>
        </w:rPr>
        <w:t xml:space="preserve">江苏省政府采购管理交易系统(苏采云)供应商操作指南</w:t>
      </w:r>
      <w:r>
        <w:rPr>
          <w:rFonts w:ascii="仿宋" w:hAnsi="仿宋" w:eastAsia="仿宋" w:cs="仿宋"/>
          <w:bCs/>
          <w:color w:val="auto"/>
          <w:sz w:val="24"/>
          <w:szCs w:val="24"/>
          <w:highlight w:val="none"/>
          <w:lang w:eastAsia="zh-CN"/>
        </w:rPr>
        <w:t xml:space="preserve">》</w:t>
      </w:r>
      <w:r>
        <w:rPr>
          <w:rFonts w:ascii="仿宋" w:hAnsi="仿宋" w:eastAsia="仿宋" w:cs="仿宋"/>
          <w:bCs/>
          <w:color w:val="auto"/>
          <w:sz w:val="24"/>
          <w:szCs w:val="24"/>
          <w:highlight w:val="none"/>
        </w:rPr>
        <w:t xml:space="preserve">（以下简称《操作</w:t>
      </w:r>
      <w:r>
        <w:rPr>
          <w:rFonts w:ascii="仿宋" w:hAnsi="仿宋" w:eastAsia="仿宋" w:cs="仿宋"/>
          <w:bCs/>
          <w:color w:val="auto"/>
          <w:sz w:val="24"/>
          <w:szCs w:val="24"/>
          <w:highlight w:val="none"/>
          <w:lang w:eastAsia="zh-CN"/>
        </w:rPr>
        <w:t xml:space="preserve">指南</w:t>
      </w:r>
      <w:r>
        <w:rPr>
          <w:rFonts w:ascii="仿宋" w:hAnsi="仿宋" w:eastAsia="仿宋" w:cs="仿宋"/>
          <w:bCs/>
          <w:color w:val="auto"/>
          <w:sz w:val="24"/>
          <w:szCs w:val="24"/>
          <w:highlight w:val="none"/>
        </w:rPr>
        <w:t xml:space="preserve">》）</w:t>
      </w:r>
      <w:r>
        <w:rPr>
          <w:rFonts w:ascii="仿宋" w:hAnsi="仿宋" w:eastAsia="仿宋" w:cs="仿宋"/>
          <w:bCs/>
          <w:color w:val="auto"/>
          <w:sz w:val="24"/>
          <w:szCs w:val="24"/>
          <w:highlight w:val="none"/>
          <w:lang w:eastAsia="zh-CN"/>
        </w:rPr>
        <w:t xml:space="preserve">，</w:t>
      </w:r>
      <w:r>
        <w:rPr>
          <w:rFonts w:ascii="仿宋" w:hAnsi="仿宋" w:eastAsia="仿宋" w:cs="仿宋"/>
          <w:bCs/>
          <w:color w:val="auto"/>
          <w:sz w:val="24"/>
          <w:szCs w:val="24"/>
          <w:highlight w:val="none"/>
        </w:rPr>
        <w:t xml:space="preserve">《操作</w:t>
      </w:r>
      <w:r>
        <w:rPr>
          <w:rFonts w:ascii="仿宋" w:hAnsi="仿宋" w:eastAsia="仿宋" w:cs="仿宋"/>
          <w:bCs/>
          <w:color w:val="auto"/>
          <w:sz w:val="24"/>
          <w:szCs w:val="24"/>
          <w:highlight w:val="none"/>
          <w:lang w:eastAsia="zh-CN"/>
        </w:rPr>
        <w:t xml:space="preserve">指南</w:t>
      </w:r>
      <w:r>
        <w:rPr>
          <w:rFonts w:ascii="仿宋" w:hAnsi="仿宋" w:eastAsia="仿宋" w:cs="仿宋"/>
          <w:bCs/>
          <w:color w:val="auto"/>
          <w:sz w:val="24"/>
          <w:szCs w:val="24"/>
          <w:highlight w:val="none"/>
        </w:rPr>
        <w:t xml:space="preserve">》链接：http://www.ccgp-jiangsu.gov.cn/jiangsu/zlxz/ee/ee3a4bc5a3454aa2b0d9312230633ce9.html。</w:t>
      </w:r>
      <w:r/>
    </w:p>
    <w:p>
      <w:pPr>
        <w:ind w:right="0" w:firstLine="480"/>
        <w:pageBreakBefore w:val="0"/>
        <w:spacing w:line="420" w:lineRule="exact"/>
        <w:widowControl w:val="off"/>
        <w:tabs>
          <w:tab w:val="left" w:pos="900" w:leader="none"/>
        </w:tabs>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领取CA和办理电子签章请至南通市政务服务中心裙楼四楼（南通市公共资源交</w:t>
      </w:r>
      <w:r>
        <w:rPr>
          <w:rFonts w:ascii="仿宋" w:hAnsi="仿宋" w:eastAsia="仿宋" w:cs="仿宋"/>
          <w:bCs/>
          <w:color w:val="auto"/>
          <w:sz w:val="24"/>
          <w:szCs w:val="24"/>
          <w:highlight w:val="none"/>
          <w:lang w:eastAsia="zh-CN"/>
        </w:rPr>
        <w:t xml:space="preserve">易</w:t>
      </w:r>
      <w:r>
        <w:rPr>
          <w:rFonts w:ascii="仿宋" w:hAnsi="仿宋" w:eastAsia="仿宋" w:cs="仿宋"/>
          <w:bCs/>
          <w:color w:val="auto"/>
          <w:sz w:val="24"/>
          <w:szCs w:val="24"/>
          <w:highlight w:val="none"/>
        </w:rPr>
        <w:t xml:space="preserve">中心）CA办理窗口办理，详见《江苏省政府采购数字证书(供应商)CA及电子签章办理指南》），请及时进行注册并按要求制作、上传电子投标文件。</w:t>
      </w:r>
      <w:r/>
    </w:p>
    <w:p>
      <w:pPr>
        <w:ind w:right="0" w:firstLine="480"/>
        <w:pageBreakBefore w:val="0"/>
        <w:spacing w:line="420" w:lineRule="exact"/>
        <w:widowControl w:val="off"/>
        <w:tabs>
          <w:tab w:val="left" w:pos="90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rPr>
        <w:t xml:space="preserve">.</w:t>
      </w:r>
      <w:r>
        <w:rPr>
          <w:rFonts w:ascii="仿宋" w:hAnsi="仿宋" w:eastAsia="仿宋" w:cs="仿宋"/>
          <w:bCs/>
          <w:color w:val="auto"/>
          <w:sz w:val="24"/>
          <w:szCs w:val="24"/>
          <w:highlight w:val="none"/>
        </w:rPr>
        <w:t xml:space="preserve">有关本次招标的事项若存在变动或修改，敬请及时关注</w:t>
      </w:r>
      <w:r>
        <w:rPr>
          <w:rFonts w:ascii="仿宋" w:hAnsi="仿宋" w:eastAsia="仿宋" w:cs="仿宋"/>
          <w:bCs/>
          <w:color w:val="auto"/>
          <w:sz w:val="24"/>
          <w:szCs w:val="24"/>
          <w:highlight w:val="none"/>
          <w:lang w:eastAsia="zh-CN"/>
        </w:rPr>
        <w:t xml:space="preserve">如东县公共资源交易中心</w:t>
      </w:r>
      <w:r>
        <w:rPr>
          <w:rFonts w:ascii="仿宋" w:hAnsi="仿宋" w:eastAsia="仿宋" w:cs="仿宋"/>
          <w:bCs/>
          <w:color w:val="auto"/>
          <w:sz w:val="24"/>
          <w:szCs w:val="24"/>
          <w:highlight w:val="none"/>
        </w:rPr>
        <w:t xml:space="preserve">在“江苏政府采购网”发布的更正公告。</w:t>
      </w:r>
      <w:r/>
    </w:p>
    <w:p>
      <w:pPr>
        <w:ind w:right="0" w:firstLine="480"/>
        <w:pageBreakBefore w:val="0"/>
        <w:spacing w:line="420" w:lineRule="exact"/>
        <w:widowControl w:val="off"/>
        <w:tabs>
          <w:tab w:val="left" w:pos="900" w:leader="none"/>
        </w:tabs>
        <w:rPr>
          <w:rFonts w:ascii="仿宋" w:hAnsi="仿宋" w:eastAsia="仿宋" w:cs="仿宋"/>
          <w:bCs/>
          <w:color w:val="auto"/>
          <w:sz w:val="24"/>
          <w:szCs w:val="24"/>
          <w:highlight w:val="none"/>
        </w:rPr>
      </w:pPr>
      <w:r>
        <w:rPr>
          <w:rFonts w:ascii="仿宋" w:hAnsi="仿宋" w:eastAsia="仿宋" w:cs="仿宋"/>
          <w:bCs/>
          <w:color w:val="auto"/>
          <w:sz w:val="24"/>
          <w:szCs w:val="24"/>
          <w:highlight w:val="none"/>
          <w:lang w:val="en-US" w:eastAsia="zh-CN"/>
        </w:rPr>
        <w:t xml:space="preserve">3</w:t>
      </w:r>
      <w:r>
        <w:rPr>
          <w:rFonts w:ascii="仿宋" w:hAnsi="仿宋" w:eastAsia="仿宋" w:cs="仿宋"/>
          <w:bCs/>
          <w:color w:val="auto"/>
          <w:sz w:val="24"/>
          <w:szCs w:val="24"/>
          <w:highlight w:val="none"/>
        </w:rPr>
        <w:t xml:space="preserve">.本次招标不收取投标保证金。</w:t>
      </w:r>
      <w:r>
        <w:rPr>
          <w:color w:val="auto"/>
          <w:highlight w:val="none"/>
        </w:rPr>
        <w:br w:type="page" w:clear="all"/>
      </w:r>
      <w:r/>
    </w:p>
    <w:p>
      <w:pPr>
        <w:numPr>
          <w:ilvl w:val="0"/>
          <w:numId w:val="0"/>
        </w:numPr>
        <w:ind w:right="840"/>
        <w:jc w:val="center"/>
        <w:rPr>
          <w:rFonts w:ascii="仿宋" w:hAnsi="仿宋" w:eastAsia="仿宋" w:cs="仿宋"/>
          <w:color w:val="auto"/>
          <w:sz w:val="44"/>
          <w:szCs w:val="44"/>
          <w:highlight w:val="none"/>
        </w:rPr>
        <w:outlineLvl w:val="0"/>
      </w:pPr>
      <w:r/>
      <w:bookmarkStart w:id="2" w:name="__RefHeading___Toc8900"/>
      <w:r/>
      <w:bookmarkEnd w:id="2"/>
      <w:r>
        <w:rPr>
          <w:rFonts w:ascii="仿宋" w:hAnsi="仿宋" w:eastAsia="仿宋" w:cs="仿宋"/>
          <w:b/>
          <w:bCs/>
          <w:color w:val="auto"/>
          <w:sz w:val="44"/>
          <w:szCs w:val="44"/>
          <w:highlight w:val="none"/>
        </w:rPr>
        <w:t xml:space="preserve">第二章  投标人须知</w:t>
      </w:r>
      <w:r/>
    </w:p>
    <w:p>
      <w:pPr>
        <w:ind w:right="0" w:firstLine="498"/>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一、总则</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1、招标方式</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1.1 本次招标采取公开招标方式，本招标文件仅适用于招标公告中所述项目。</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2、合格的投标人</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2.1满足招标公告中供应商的资格要求的规定。</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2.2 满足本文件实质性要求的规定。</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3、适用法律和标准</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3.1 本次招标及由此产生的合同受中华人民共和国有关的法律法规制约和保护。</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3.2 在本项目政府采购活动过程中，如果所执行的标准有更新的，按照最新标准执行</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4、投标费用</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4.1 投标人应自行承担所有与参加投标有关的费用，无论投标过程中的做法和结果如何，</w:t>
      </w:r>
      <w:r>
        <w:rPr>
          <w:rFonts w:ascii="仿宋" w:hAnsi="仿宋" w:eastAsia="仿宋" w:cs="仿宋"/>
          <w:bCs/>
          <w:color w:val="auto"/>
          <w:sz w:val="24"/>
          <w:szCs w:val="21"/>
          <w:highlight w:val="none"/>
          <w:lang w:val="en-US" w:eastAsia="zh-CN"/>
        </w:rPr>
        <w:t xml:space="preserve">采购人</w:t>
      </w:r>
      <w:r>
        <w:rPr>
          <w:rFonts w:hint="eastAsia" w:ascii="仿宋" w:hAnsi="仿宋" w:eastAsia="仿宋" w:cs="仿宋"/>
          <w:bCs/>
          <w:color w:val="auto"/>
          <w:sz w:val="24"/>
          <w:szCs w:val="21"/>
          <w:highlight w:val="none"/>
          <w:lang w:val="en-US" w:eastAsia="zh-CN"/>
        </w:rPr>
        <w:t xml:space="preserve">和</w:t>
      </w:r>
      <w:r>
        <w:rPr>
          <w:rFonts w:ascii="仿宋" w:hAnsi="仿宋" w:eastAsia="仿宋" w:cs="仿宋"/>
          <w:bCs/>
          <w:color w:val="auto"/>
          <w:sz w:val="24"/>
          <w:szCs w:val="21"/>
          <w:highlight w:val="none"/>
          <w:lang w:val="en-US" w:eastAsia="zh-CN"/>
        </w:rPr>
        <w:t xml:space="preserve">招标代理机构</w:t>
      </w:r>
      <w:r>
        <w:rPr>
          <w:rFonts w:ascii="仿宋" w:hAnsi="仿宋" w:eastAsia="仿宋" w:cs="仿宋"/>
          <w:bCs/>
          <w:color w:val="auto"/>
          <w:sz w:val="24"/>
          <w:szCs w:val="21"/>
          <w:highlight w:val="none"/>
        </w:rPr>
        <w:t xml:space="preserve">在任何情况下均无义务和责任承担这些费用。</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lang w:val="en-US" w:eastAsia="zh-CN"/>
        </w:rPr>
        <w:t xml:space="preserve">4.2</w:t>
      </w:r>
      <w:r>
        <w:rPr>
          <w:rFonts w:ascii="仿宋" w:hAnsi="仿宋" w:eastAsia="仿宋" w:cs="仿宋"/>
          <w:bCs/>
          <w:color w:val="auto"/>
          <w:sz w:val="24"/>
          <w:szCs w:val="21"/>
          <w:highlight w:val="none"/>
        </w:rPr>
        <w:t xml:space="preserve">本次</w:t>
      </w:r>
      <w:r>
        <w:rPr>
          <w:rFonts w:ascii="仿宋" w:hAnsi="仿宋" w:eastAsia="仿宋" w:cs="仿宋"/>
          <w:bCs/>
          <w:color w:val="auto"/>
          <w:sz w:val="24"/>
          <w:szCs w:val="21"/>
          <w:highlight w:val="none"/>
          <w:lang w:val="en-US" w:eastAsia="zh-CN"/>
        </w:rPr>
        <w:t xml:space="preserve">招标代理机构</w:t>
      </w:r>
      <w:r>
        <w:rPr>
          <w:rFonts w:ascii="仿宋" w:hAnsi="仿宋" w:eastAsia="仿宋" w:cs="仿宋"/>
          <w:bCs/>
          <w:color w:val="auto"/>
          <w:sz w:val="24"/>
          <w:szCs w:val="21"/>
          <w:highlight w:val="none"/>
        </w:rPr>
        <w:t xml:space="preserve">和采购人不收取标书工本费。</w:t>
      </w:r>
      <w:r/>
    </w:p>
    <w:p>
      <w:pPr>
        <w:ind w:right="0" w:firstLine="480"/>
        <w:spacing w:line="400" w:lineRule="exact"/>
        <w:rPr>
          <w:rFonts w:ascii="仿宋" w:hAnsi="仿宋" w:eastAsia="仿宋" w:cs="仿宋"/>
          <w:bCs/>
          <w:color w:val="auto"/>
          <w:sz w:val="24"/>
          <w:szCs w:val="21"/>
          <w:highlight w:val="none"/>
          <w:lang w:val="en-US" w:eastAsia="zh-CN"/>
        </w:rPr>
      </w:pPr>
      <w:r>
        <w:rPr>
          <w:rFonts w:ascii="仿宋" w:hAnsi="仿宋" w:eastAsia="仿宋" w:cs="仿宋"/>
          <w:b/>
          <w:bCs w:val="0"/>
          <w:color w:val="auto"/>
          <w:sz w:val="24"/>
          <w:szCs w:val="21"/>
          <w:highlight w:val="none"/>
          <w:lang w:val="en-US" w:eastAsia="zh-CN"/>
        </w:rPr>
        <w:t xml:space="preserve">4.3</w:t>
      </w:r>
      <w:r>
        <w:rPr>
          <w:rFonts w:hint="eastAsia" w:ascii="仿宋" w:hAnsi="仿宋" w:eastAsia="仿宋" w:cs="仿宋"/>
          <w:b/>
          <w:bCs w:val="0"/>
          <w:color w:val="auto"/>
          <w:sz w:val="24"/>
          <w:szCs w:val="21"/>
          <w:highlight w:val="none"/>
          <w:lang w:val="en-US" w:eastAsia="zh-CN"/>
        </w:rPr>
        <w:t xml:space="preserve">本项目采购代理费由中标人支付，采购代理费金额根据江苏省招标投标协会【苏招协（2022）002号】收费标准*50%计取，</w:t>
      </w:r>
      <w:r>
        <w:rPr>
          <w:rFonts w:ascii="仿宋" w:hAnsi="仿宋" w:eastAsia="仿宋" w:cs="仿宋"/>
          <w:b/>
          <w:bCs w:val="0"/>
          <w:color w:val="auto"/>
          <w:sz w:val="24"/>
          <w:szCs w:val="21"/>
          <w:highlight w:val="none"/>
          <w:lang w:val="en-US" w:eastAsia="zh-CN"/>
        </w:rPr>
        <w:t xml:space="preserve">请各投标供应商将此费用一并考虑在投标报价中。</w:t>
      </w:r>
      <w:r/>
    </w:p>
    <w:p>
      <w:pPr>
        <w:ind w:right="0" w:firstLine="45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30"/>
          <w:szCs w:val="28"/>
          <w:highlight w:val="none"/>
        </w:rPr>
        <w:t xml:space="preserve">5、</w:t>
      </w:r>
      <w:r>
        <w:rPr>
          <w:rFonts w:ascii="仿宋" w:hAnsi="仿宋" w:eastAsia="仿宋" w:cs="仿宋"/>
          <w:b/>
          <w:bCs/>
          <w:color w:val="auto"/>
          <w:sz w:val="28"/>
          <w:szCs w:val="28"/>
          <w:highlight w:val="none"/>
        </w:rPr>
        <w:t xml:space="preserve">招标文件的约束力</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4"/>
          <w:highlight w:val="none"/>
        </w:rPr>
        <w:t xml:space="preserve">5.1</w:t>
      </w:r>
      <w:r>
        <w:rPr>
          <w:rFonts w:ascii="仿宋" w:hAnsi="仿宋" w:eastAsia="仿宋" w:cs="仿宋"/>
          <w:color w:val="auto"/>
          <w:sz w:val="24"/>
          <w:szCs w:val="24"/>
          <w:highlight w:val="none"/>
        </w:rPr>
        <w:t xml:space="preserve"> 投标人一旦参加本项目采购活动，即被认为接受了本招标文件的规定和约束。</w:t>
      </w:r>
      <w:r/>
    </w:p>
    <w:p>
      <w:pPr>
        <w:ind w:right="0" w:firstLine="321"/>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二、招标文件</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6、招标文件构成</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6.1</w:t>
      </w:r>
      <w:r>
        <w:rPr>
          <w:rFonts w:ascii="仿宋" w:hAnsi="仿宋" w:eastAsia="仿宋" w:cs="仿宋"/>
          <w:color w:val="auto"/>
          <w:sz w:val="24"/>
          <w:szCs w:val="21"/>
          <w:highlight w:val="none"/>
        </w:rPr>
        <w:t xml:space="preserve"> 招标文件由以下部分组成：</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（1）投标邀请</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（2）投标人须知</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（3）合同文本</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（4）采购需求</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（5）评标方法与评标标准</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（6）投标文件格式</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请仔细检查招标文件是否齐全，如有缺漏请立即与</w:t>
      </w:r>
      <w:r>
        <w:rPr>
          <w:rFonts w:ascii="仿宋" w:hAnsi="仿宋" w:eastAsia="仿宋" w:cs="仿宋"/>
          <w:color w:val="auto"/>
          <w:sz w:val="24"/>
          <w:szCs w:val="21"/>
          <w:highlight w:val="none"/>
          <w:lang w:val="en-US" w:eastAsia="zh-CN"/>
        </w:rPr>
        <w:t xml:space="preserve">代理机构</w:t>
      </w:r>
      <w:r>
        <w:rPr>
          <w:rFonts w:ascii="仿宋" w:hAnsi="仿宋" w:eastAsia="仿宋" w:cs="仿宋"/>
          <w:color w:val="auto"/>
          <w:sz w:val="24"/>
          <w:szCs w:val="21"/>
          <w:highlight w:val="none"/>
        </w:rPr>
        <w:t xml:space="preserve">联系解决。</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6.2</w:t>
      </w:r>
      <w:r>
        <w:rPr>
          <w:rFonts w:ascii="仿宋" w:hAnsi="仿宋" w:eastAsia="仿宋" w:cs="仿宋"/>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right="0" w:firstLine="56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7、招标文件的澄清</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7.1</w:t>
      </w:r>
      <w:r>
        <w:rPr>
          <w:rFonts w:ascii="仿宋" w:hAnsi="仿宋" w:eastAsia="仿宋" w:cs="仿宋"/>
          <w:color w:val="auto"/>
          <w:sz w:val="24"/>
          <w:szCs w:val="21"/>
          <w:highlight w:val="none"/>
        </w:rPr>
        <w:t xml:space="preserve"> 任何要求对招标文件进行澄清的投标人，应在投标截止期</w:t>
      </w:r>
      <w:r>
        <w:rPr>
          <w:rFonts w:ascii="仿宋" w:hAnsi="仿宋" w:eastAsia="仿宋" w:cs="仿宋"/>
          <w:b/>
          <w:color w:val="auto"/>
          <w:sz w:val="24"/>
          <w:szCs w:val="24"/>
          <w:highlight w:val="none"/>
        </w:rPr>
        <w:t xml:space="preserve">十日</w:t>
      </w:r>
      <w:r>
        <w:rPr>
          <w:rFonts w:ascii="仿宋" w:hAnsi="仿宋" w:eastAsia="仿宋" w:cs="仿宋"/>
          <w:color w:val="auto"/>
          <w:sz w:val="24"/>
          <w:szCs w:val="24"/>
          <w:highlight w:val="none"/>
        </w:rPr>
        <w:t xml:space="preserve">前</w:t>
      </w:r>
      <w:r>
        <w:rPr>
          <w:rFonts w:ascii="仿宋" w:hAnsi="仿宋" w:eastAsia="仿宋" w:cs="仿宋"/>
          <w:color w:val="auto"/>
          <w:sz w:val="24"/>
          <w:szCs w:val="21"/>
          <w:highlight w:val="none"/>
        </w:rPr>
        <w:t xml:space="preserve">按招标公告中的通讯地址，以书面形式通知</w:t>
      </w:r>
      <w:r>
        <w:rPr>
          <w:rFonts w:ascii="仿宋" w:hAnsi="仿宋" w:eastAsia="仿宋" w:cs="仿宋"/>
          <w:color w:val="auto"/>
          <w:sz w:val="24"/>
          <w:szCs w:val="21"/>
          <w:highlight w:val="none"/>
          <w:lang w:eastAsia="zh-CN"/>
        </w:rPr>
        <w:t xml:space="preserve">采购人</w:t>
      </w:r>
      <w:r>
        <w:rPr>
          <w:rFonts w:ascii="仿宋" w:hAnsi="仿宋" w:eastAsia="仿宋" w:cs="仿宋"/>
          <w:color w:val="auto"/>
          <w:sz w:val="24"/>
          <w:szCs w:val="21"/>
          <w:highlight w:val="none"/>
        </w:rPr>
        <w:t xml:space="preserve">。采购人有权对发出的招标文件进行必要的澄清或修改。</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7.2采购人视情组织答疑会</w:t>
      </w:r>
      <w:r>
        <w:rPr>
          <w:rFonts w:hint="eastAsia" w:ascii="仿宋" w:hAnsi="仿宋" w:eastAsia="仿宋" w:cs="仿宋"/>
          <w:color w:val="auto"/>
          <w:sz w:val="24"/>
          <w:szCs w:val="21"/>
          <w:highlight w:val="none"/>
          <w:lang w:val="en-US" w:eastAsia="zh-CN"/>
        </w:rPr>
        <w:t xml:space="preserve">。</w:t>
      </w:r>
      <w:r/>
    </w:p>
    <w:p>
      <w:pPr>
        <w:ind w:right="0" w:firstLine="56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8、招标文件的修改</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8.1</w:t>
      </w:r>
      <w:r>
        <w:rPr>
          <w:rFonts w:ascii="仿宋" w:hAnsi="仿宋" w:eastAsia="仿宋" w:cs="仿宋"/>
          <w:color w:val="auto"/>
          <w:sz w:val="24"/>
          <w:szCs w:val="21"/>
          <w:highlight w:val="none"/>
        </w:rPr>
        <w:t xml:space="preserve"> 在投标截止时间前，</w:t>
      </w:r>
      <w:r>
        <w:rPr>
          <w:rFonts w:ascii="仿宋" w:hAnsi="仿宋" w:eastAsia="仿宋" w:cs="仿宋"/>
          <w:color w:val="auto"/>
          <w:sz w:val="24"/>
          <w:szCs w:val="21"/>
          <w:highlight w:val="none"/>
          <w:lang w:val="en-US" w:eastAsia="zh-CN"/>
        </w:rPr>
        <w:t xml:space="preserve">采购人</w:t>
      </w:r>
      <w:r>
        <w:rPr>
          <w:rFonts w:ascii="仿宋" w:hAnsi="仿宋" w:eastAsia="仿宋" w:cs="仿宋"/>
          <w:color w:val="auto"/>
          <w:sz w:val="24"/>
          <w:szCs w:val="21"/>
          <w:highlight w:val="none"/>
        </w:rPr>
        <w:t xml:space="preserve">可以对招标文件进行修改。</w:t>
      </w:r>
      <w:r/>
    </w:p>
    <w:p>
      <w:pPr>
        <w:ind w:right="0" w:firstLine="480"/>
        <w:spacing w:line="400" w:lineRule="exact"/>
        <w:rPr>
          <w:rFonts w:ascii="仿宋" w:hAnsi="仿宋" w:eastAsia="仿宋" w:cs="仿宋"/>
          <w:color w:val="auto"/>
          <w:sz w:val="28"/>
          <w:szCs w:val="21"/>
          <w:highlight w:val="none"/>
        </w:rPr>
      </w:pPr>
      <w:r>
        <w:rPr>
          <w:rFonts w:ascii="仿宋" w:hAnsi="仿宋" w:eastAsia="仿宋" w:cs="仿宋"/>
          <w:bCs/>
          <w:color w:val="auto"/>
          <w:sz w:val="24"/>
          <w:szCs w:val="21"/>
          <w:highlight w:val="none"/>
        </w:rPr>
        <w:t xml:space="preserve">8.2 </w:t>
      </w:r>
      <w:r>
        <w:rPr>
          <w:rFonts w:ascii="仿宋" w:hAnsi="仿宋" w:eastAsia="仿宋" w:cs="仿宋"/>
          <w:color w:val="auto"/>
          <w:sz w:val="24"/>
          <w:szCs w:val="21"/>
          <w:highlight w:val="none"/>
          <w:lang w:val="en-US" w:eastAsia="zh-CN"/>
        </w:rPr>
        <w:t xml:space="preserve">采购人</w:t>
      </w:r>
      <w:r>
        <w:rPr>
          <w:rFonts w:ascii="仿宋" w:hAnsi="仿宋" w:eastAsia="仿宋" w:cs="仿宋"/>
          <w:color w:val="auto"/>
          <w:sz w:val="24"/>
          <w:szCs w:val="24"/>
          <w:highlight w:val="none"/>
        </w:rPr>
        <w:t xml:space="preserve">有权按照法定的要求</w:t>
      </w:r>
      <w:r>
        <w:rPr>
          <w:rFonts w:ascii="仿宋" w:hAnsi="仿宋" w:eastAsia="仿宋" w:cs="仿宋"/>
          <w:color w:val="auto"/>
          <w:sz w:val="24"/>
          <w:szCs w:val="21"/>
          <w:highlight w:val="none"/>
        </w:rPr>
        <w:t xml:space="preserve">推迟投标截止日期和开标日期。</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8.3 </w:t>
      </w:r>
      <w:r>
        <w:rPr>
          <w:rFonts w:ascii="仿宋" w:hAnsi="仿宋" w:eastAsia="仿宋" w:cs="仿宋"/>
          <w:color w:val="auto"/>
          <w:sz w:val="24"/>
          <w:szCs w:val="21"/>
          <w:highlight w:val="none"/>
        </w:rPr>
        <w:t xml:space="preserve">招标文件的修改将在江苏政府采购网公布，</w:t>
      </w:r>
      <w:r>
        <w:rPr>
          <w:rFonts w:ascii="仿宋" w:hAnsi="仿宋" w:eastAsia="仿宋" w:cs="仿宋"/>
          <w:color w:val="auto"/>
          <w:sz w:val="24"/>
          <w:szCs w:val="24"/>
          <w:highlight w:val="none"/>
        </w:rPr>
        <w:t xml:space="preserve">补充文件将作为招标文件的组成部分，</w:t>
      </w:r>
      <w:r>
        <w:rPr>
          <w:rFonts w:ascii="仿宋" w:hAnsi="仿宋" w:eastAsia="仿宋" w:cs="仿宋"/>
          <w:color w:val="auto"/>
          <w:sz w:val="24"/>
          <w:szCs w:val="21"/>
          <w:highlight w:val="none"/>
        </w:rPr>
        <w:t xml:space="preserve">并对投标人具有约束力。</w:t>
      </w:r>
      <w:r/>
    </w:p>
    <w:p>
      <w:pPr>
        <w:ind w:right="0" w:firstLine="482"/>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三、投标文件的编制</w:t>
      </w:r>
      <w:r/>
    </w:p>
    <w:p>
      <w:pPr>
        <w:ind w:right="0" w:firstLine="56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9、投标文件的语言及度量衡单位</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9.1</w:t>
      </w:r>
      <w:r>
        <w:rPr>
          <w:rFonts w:ascii="仿宋" w:hAnsi="仿宋" w:eastAsia="仿宋" w:cs="仿宋"/>
          <w:color w:val="auto"/>
          <w:sz w:val="24"/>
          <w:szCs w:val="21"/>
          <w:highlight w:val="none"/>
        </w:rPr>
        <w:t xml:space="preserve"> 投标人提交的投标文件以及投标人与</w:t>
      </w:r>
      <w:r>
        <w:rPr>
          <w:rFonts w:ascii="仿宋" w:hAnsi="仿宋" w:eastAsia="仿宋" w:cs="仿宋"/>
          <w:color w:val="auto"/>
          <w:sz w:val="24"/>
          <w:szCs w:val="21"/>
          <w:highlight w:val="none"/>
          <w:lang w:val="en-US" w:eastAsia="zh-CN"/>
        </w:rPr>
        <w:t xml:space="preserve">代理机构</w:t>
      </w:r>
      <w:r>
        <w:rPr>
          <w:rFonts w:ascii="仿宋" w:hAnsi="仿宋" w:eastAsia="仿宋" w:cs="仿宋"/>
          <w:color w:val="auto"/>
          <w:sz w:val="24"/>
          <w:szCs w:val="21"/>
          <w:highlight w:val="none"/>
          <w:lang w:eastAsia="zh-CN"/>
        </w:rPr>
        <w:t xml:space="preserve">及采购人</w:t>
      </w:r>
      <w:r>
        <w:rPr>
          <w:rFonts w:ascii="仿宋" w:hAnsi="仿宋" w:eastAsia="仿宋" w:cs="仿宋"/>
          <w:color w:val="auto"/>
          <w:sz w:val="24"/>
          <w:szCs w:val="21"/>
          <w:highlight w:val="none"/>
        </w:rPr>
        <w:t xml:space="preserve">就有关投标的所有来往通知、函件和文件均应使用</w:t>
      </w:r>
      <w:r>
        <w:rPr>
          <w:rFonts w:ascii="仿宋" w:hAnsi="仿宋" w:eastAsia="仿宋" w:cs="仿宋"/>
          <w:b/>
          <w:bCs/>
          <w:color w:val="auto"/>
          <w:sz w:val="24"/>
          <w:szCs w:val="21"/>
          <w:highlight w:val="none"/>
        </w:rPr>
        <w:t xml:space="preserve">简体中文</w:t>
      </w:r>
      <w:r>
        <w:rPr>
          <w:rFonts w:ascii="仿宋" w:hAnsi="仿宋" w:eastAsia="仿宋" w:cs="仿宋"/>
          <w:color w:val="auto"/>
          <w:sz w:val="24"/>
          <w:szCs w:val="21"/>
          <w:highlight w:val="none"/>
        </w:rPr>
        <w:t xml:space="preserve">。</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9.2</w:t>
      </w:r>
      <w:r>
        <w:rPr>
          <w:rFonts w:ascii="仿宋" w:hAnsi="仿宋" w:eastAsia="仿宋" w:cs="仿宋"/>
          <w:color w:val="auto"/>
          <w:sz w:val="24"/>
          <w:szCs w:val="21"/>
          <w:highlight w:val="none"/>
        </w:rPr>
        <w:t xml:space="preserve"> 除技术性能另有规定外，投标文件所使用的度量衡单位，均须采用国家法定计量单位。</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10、投标文件构成</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10.1 投标人编写的投标文件应包括资格证明文件、实质性要求响应及偏离表、投标分项报价表、技术要求响应及偏离表、商务要求响应及偏离表、其他证明文件、投标函、开标一览表等部分。</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按“第</w:t>
      </w:r>
      <w:r>
        <w:rPr>
          <w:rFonts w:ascii="仿宋" w:hAnsi="仿宋" w:eastAsia="仿宋" w:cs="仿宋"/>
          <w:color w:val="auto"/>
          <w:sz w:val="24"/>
          <w:szCs w:val="21"/>
          <w:highlight w:val="none"/>
          <w:lang w:val="en-US" w:eastAsia="zh-CN"/>
        </w:rPr>
        <w:t xml:space="preserve">六章</w:t>
      </w:r>
      <w:r>
        <w:rPr>
          <w:rFonts w:ascii="仿宋" w:hAnsi="仿宋" w:eastAsia="仿宋" w:cs="仿宋"/>
          <w:color w:val="auto"/>
          <w:sz w:val="24"/>
          <w:szCs w:val="21"/>
          <w:highlight w:val="none"/>
        </w:rPr>
        <w:t xml:space="preserve">  </w:t>
      </w:r>
      <w:r>
        <w:rPr>
          <w:rFonts w:ascii="仿宋" w:hAnsi="仿宋" w:eastAsia="仿宋" w:cs="仿宋"/>
          <w:color w:val="auto"/>
          <w:sz w:val="24"/>
          <w:szCs w:val="21"/>
          <w:highlight w:val="none"/>
          <w:lang w:eastAsia="zh-CN"/>
        </w:rPr>
        <w:t xml:space="preserve">投标</w:t>
      </w:r>
      <w:r>
        <w:rPr>
          <w:rFonts w:ascii="仿宋" w:hAnsi="仿宋" w:eastAsia="仿宋" w:cs="仿宋"/>
          <w:color w:val="auto"/>
          <w:sz w:val="24"/>
          <w:szCs w:val="21"/>
          <w:highlight w:val="none"/>
        </w:rPr>
        <w:t xml:space="preserve">文件</w:t>
      </w:r>
      <w:r>
        <w:rPr>
          <w:rFonts w:ascii="仿宋" w:hAnsi="仿宋" w:eastAsia="仿宋" w:cs="仿宋"/>
          <w:color w:val="auto"/>
          <w:sz w:val="24"/>
          <w:szCs w:val="21"/>
          <w:highlight w:val="none"/>
          <w:lang w:eastAsia="zh-CN"/>
        </w:rPr>
        <w:t xml:space="preserve">格式</w:t>
      </w:r>
      <w:r>
        <w:rPr>
          <w:rFonts w:ascii="仿宋" w:hAnsi="仿宋" w:eastAsia="仿宋" w:cs="仿宋"/>
          <w:color w:val="auto"/>
          <w:sz w:val="24"/>
          <w:szCs w:val="21"/>
          <w:highlight w:val="none"/>
        </w:rPr>
        <w:t xml:space="preserve">”要求编写</w:t>
      </w:r>
      <w:r>
        <w:rPr>
          <w:rFonts w:ascii="仿宋" w:hAnsi="仿宋" w:eastAsia="仿宋" w:cs="仿宋"/>
          <w:color w:val="auto"/>
          <w:sz w:val="24"/>
          <w:szCs w:val="21"/>
          <w:highlight w:val="none"/>
          <w:lang w:eastAsia="zh-CN"/>
        </w:rPr>
        <w:t xml:space="preserve">投标</w:t>
      </w:r>
      <w:r>
        <w:rPr>
          <w:rFonts w:ascii="仿宋" w:hAnsi="仿宋" w:eastAsia="仿宋" w:cs="仿宋"/>
          <w:color w:val="auto"/>
          <w:sz w:val="24"/>
          <w:szCs w:val="21"/>
          <w:highlight w:val="none"/>
        </w:rPr>
        <w:t xml:space="preserve">文件。</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10.2 如标书制作工具中格式和内容与“江苏政府采购网”发布的招标文件不一致，请以“江苏政府采购网”发布的招标文件为准。</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11、证明投标人及投标标的符合招标文件规定的文件</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11.1 投标人应按照招标文件要求提交证明文件，证明其及投标标的符合招标文件规定。</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11.2招标文件对证明文件无明确形式要求的，证明文件可以以文字资料、图纸和数据等形式提交。</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12、投标分项报价表</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12.1 投标人按照招标文件规定格式填报投标分项报价表。</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12.2投标货币。投标文件中的单价和总价无特殊规定的采用人民币报价，以元为单位标注。招标文件中另有规定的按规定执行。</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13、技术要求响应及偏离表、商务要求响应及偏离表</w:t>
      </w:r>
      <w:r/>
    </w:p>
    <w:p>
      <w:pPr>
        <w:ind w:right="0" w:firstLine="480"/>
        <w:spacing w:line="500" w:lineRule="exact"/>
        <w:rPr>
          <w:rFonts w:ascii="仿宋" w:hAnsi="仿宋" w:eastAsia="仿宋" w:cs="仿宋"/>
          <w:color w:val="auto"/>
          <w:sz w:val="24"/>
          <w:szCs w:val="21"/>
          <w:highlight w:val="none"/>
          <w:lang w:val="zh-CN"/>
        </w:rPr>
      </w:pPr>
      <w:r>
        <w:rPr>
          <w:rFonts w:ascii="仿宋" w:hAnsi="仿宋" w:eastAsia="仿宋" w:cs="仿宋"/>
          <w:color w:val="auto"/>
          <w:sz w:val="24"/>
          <w:szCs w:val="21"/>
          <w:highlight w:val="none"/>
          <w:lang w:val="zh-CN"/>
        </w:rPr>
        <w:t xml:space="preserve">13.1</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lang w:val="zh-CN"/>
        </w:rPr>
        <w:t xml:space="preserve">需对招标文件中的技术要求与商务要求作出响应，</w:t>
      </w:r>
      <w:r>
        <w:rPr>
          <w:rFonts w:ascii="仿宋" w:hAnsi="仿宋" w:eastAsia="仿宋" w:cs="仿宋"/>
          <w:color w:val="auto"/>
          <w:sz w:val="24"/>
          <w:szCs w:val="21"/>
          <w:highlight w:val="none"/>
        </w:rPr>
        <w:t xml:space="preserve">如有偏离的</w:t>
      </w:r>
      <w:r>
        <w:rPr>
          <w:rFonts w:ascii="仿宋" w:hAnsi="仿宋" w:eastAsia="仿宋" w:cs="仿宋"/>
          <w:color w:val="auto"/>
          <w:sz w:val="24"/>
          <w:szCs w:val="21"/>
          <w:highlight w:val="none"/>
          <w:lang w:eastAsia="zh-CN"/>
        </w:rPr>
        <w:t xml:space="preserve">，</w:t>
      </w:r>
      <w:r>
        <w:rPr>
          <w:rFonts w:ascii="仿宋" w:hAnsi="仿宋" w:eastAsia="仿宋" w:cs="仿宋"/>
          <w:color w:val="auto"/>
          <w:sz w:val="24"/>
          <w:szCs w:val="21"/>
          <w:highlight w:val="none"/>
        </w:rPr>
        <w:t xml:space="preserve">应逐条填列在偏离表中</w:t>
      </w:r>
      <w:r>
        <w:rPr>
          <w:rFonts w:ascii="仿宋" w:hAnsi="仿宋" w:eastAsia="仿宋" w:cs="仿宋"/>
          <w:color w:val="auto"/>
          <w:sz w:val="24"/>
          <w:szCs w:val="21"/>
          <w:highlight w:val="none"/>
          <w:lang w:eastAsia="zh-CN"/>
        </w:rPr>
        <w:t xml:space="preserve">，</w:t>
      </w:r>
      <w:r>
        <w:rPr>
          <w:rFonts w:ascii="仿宋" w:hAnsi="仿宋" w:eastAsia="仿宋" w:cs="仿宋"/>
          <w:b/>
          <w:bCs/>
          <w:color w:val="auto"/>
          <w:sz w:val="24"/>
          <w:szCs w:val="21"/>
          <w:highlight w:val="none"/>
          <w:lang w:eastAsia="zh-CN"/>
        </w:rPr>
        <w:t xml:space="preserve">并说明偏离情况</w:t>
      </w:r>
      <w:r>
        <w:rPr>
          <w:rFonts w:ascii="仿宋" w:hAnsi="仿宋" w:eastAsia="仿宋" w:cs="仿宋"/>
          <w:color w:val="auto"/>
          <w:sz w:val="24"/>
          <w:szCs w:val="21"/>
          <w:highlight w:val="none"/>
          <w:lang w:eastAsia="zh-CN"/>
        </w:rPr>
        <w:t xml:space="preserve">。</w:t>
      </w:r>
      <w:r/>
    </w:p>
    <w:p>
      <w:pPr>
        <w:ind w:right="0" w:firstLine="480"/>
        <w:spacing w:line="400" w:lineRule="exact"/>
        <w:rPr>
          <w:rFonts w:ascii="仿宋" w:hAnsi="仿宋" w:eastAsia="仿宋" w:cs="仿宋"/>
          <w:color w:val="auto"/>
          <w:sz w:val="24"/>
          <w:szCs w:val="21"/>
          <w:highlight w:val="none"/>
          <w:lang w:val="zh-CN"/>
        </w:rPr>
      </w:pPr>
      <w:r>
        <w:rPr>
          <w:rFonts w:ascii="仿宋" w:hAnsi="仿宋" w:eastAsia="仿宋" w:cs="仿宋"/>
          <w:color w:val="auto"/>
          <w:sz w:val="24"/>
          <w:szCs w:val="21"/>
          <w:highlight w:val="none"/>
          <w:lang w:val="zh-CN"/>
        </w:rPr>
        <w:t xml:space="preserve">13.2 投标人需按照招标文件要求，在投标文件中提供与技术要求和商务要求相关的证明材料。</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14、服务承诺、培训计划、人员安排及其他</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4"/>
          <w:highlight w:val="none"/>
        </w:rPr>
        <w:t xml:space="preserve">14.1 </w:t>
      </w:r>
      <w:r>
        <w:rPr>
          <w:rFonts w:ascii="仿宋" w:hAnsi="仿宋" w:eastAsia="仿宋" w:cs="仿宋"/>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14.2 投标人需根据招标文件要求提供培训计划。</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14.3 投标人需根据招标文件要求提供</w:t>
      </w:r>
      <w:r>
        <w:rPr>
          <w:rFonts w:ascii="仿宋" w:hAnsi="仿宋" w:eastAsia="仿宋" w:cs="仿宋"/>
          <w:color w:val="auto"/>
          <w:sz w:val="24"/>
          <w:szCs w:val="21"/>
          <w:highlight w:val="none"/>
          <w:lang w:val="zh-CN"/>
        </w:rPr>
        <w:t xml:space="preserve">所投标的的主要组成部分、功能设计、实现思路及关键技术等。</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15、投标函和开标一览表</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bCs/>
          <w:color w:val="auto"/>
          <w:sz w:val="24"/>
          <w:szCs w:val="21"/>
          <w:highlight w:val="none"/>
        </w:rPr>
        <w:t xml:space="preserve">15.1</w:t>
      </w:r>
      <w:r>
        <w:rPr>
          <w:rFonts w:ascii="仿宋" w:hAnsi="仿宋" w:eastAsia="仿宋" w:cs="仿宋"/>
          <w:color w:val="auto"/>
          <w:sz w:val="24"/>
          <w:szCs w:val="21"/>
          <w:highlight w:val="none"/>
        </w:rPr>
        <w:t xml:space="preserve"> 投标人应按照招标文件中提供的格式完整、正确填写投标函、开标一览表。</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16、投标有效期</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16.1投标有效期为</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规定的开标之日后</w:t>
      </w:r>
      <w:r>
        <w:rPr>
          <w:rFonts w:ascii="仿宋" w:hAnsi="仿宋" w:eastAsia="仿宋" w:cs="仿宋"/>
          <w:b/>
          <w:color w:val="auto"/>
          <w:sz w:val="24"/>
          <w:szCs w:val="21"/>
          <w:highlight w:val="none"/>
          <w:u w:val="single"/>
        </w:rPr>
        <w:t xml:space="preserve">六十（60）天</w:t>
      </w:r>
      <w:r>
        <w:rPr>
          <w:rFonts w:ascii="仿宋" w:hAnsi="仿宋" w:eastAsia="仿宋" w:cs="仿宋"/>
          <w:bCs/>
          <w:color w:val="auto"/>
          <w:sz w:val="24"/>
          <w:szCs w:val="21"/>
          <w:highlight w:val="none"/>
        </w:rPr>
        <w:t xml:space="preserve">。投标有效期比规定短的将被视为未实质性响应招标文件而予以拒绝。</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17、投标有效期的延长</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17.1在特殊情况下，</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于原投标有效期满之前，可向投标人提出延长投标有效期的要求。这种要求与答复均应采用书面形式。投标人可以拒绝</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的这一要求而放弃投标，同意延长投标有效期的投标人既不能要求也不允许修改其投标文件。</w:t>
      </w:r>
      <w:r>
        <w:rPr>
          <w:rFonts w:ascii="仿宋" w:hAnsi="仿宋" w:eastAsia="仿宋" w:cs="仿宋"/>
          <w:color w:val="auto"/>
          <w:sz w:val="24"/>
          <w:szCs w:val="24"/>
          <w:highlight w:val="none"/>
        </w:rPr>
        <w:t xml:space="preserve">受投标有效期约束的所有权利与义务均延长至新的有效期</w:t>
      </w:r>
      <w:r>
        <w:rPr>
          <w:rFonts w:ascii="仿宋" w:hAnsi="仿宋" w:eastAsia="仿宋" w:cs="仿宋"/>
          <w:bCs/>
          <w:color w:val="auto"/>
          <w:sz w:val="24"/>
          <w:szCs w:val="21"/>
          <w:highlight w:val="none"/>
        </w:rPr>
        <w:t xml:space="preserve">。</w:t>
      </w:r>
      <w:r/>
    </w:p>
    <w:p>
      <w:pPr>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四、投标文件的递交</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18、电子投标文件的递交</w:t>
      </w:r>
      <w:r/>
    </w:p>
    <w:p>
      <w:pPr>
        <w:ind w:left="525"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18.1投标人应当按照《操作</w:t>
      </w:r>
      <w:r>
        <w:rPr>
          <w:rFonts w:ascii="仿宋" w:hAnsi="仿宋" w:eastAsia="仿宋" w:cs="仿宋"/>
          <w:bCs/>
          <w:color w:val="auto"/>
          <w:sz w:val="24"/>
          <w:szCs w:val="21"/>
          <w:highlight w:val="none"/>
          <w:lang w:eastAsia="zh-CN"/>
        </w:rPr>
        <w:t xml:space="preserve">指南</w:t>
      </w:r>
      <w:r>
        <w:rPr>
          <w:rFonts w:ascii="仿宋" w:hAnsi="仿宋" w:eastAsia="仿宋" w:cs="仿宋"/>
          <w:bCs/>
          <w:color w:val="auto"/>
          <w:sz w:val="24"/>
          <w:szCs w:val="21"/>
          <w:highlight w:val="none"/>
        </w:rPr>
        <w:t xml:space="preserve">》规定，在投标截止时间前制作并上传电子投标</w:t>
      </w:r>
      <w:r/>
    </w:p>
    <w:p>
      <w:pPr>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文件。</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19、投标截止日期</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19.1</w:t>
      </w:r>
      <w:r>
        <w:rPr>
          <w:rFonts w:ascii="仿宋" w:hAnsi="仿宋" w:eastAsia="仿宋" w:cs="仿宋"/>
          <w:bCs/>
          <w:color w:val="auto"/>
          <w:sz w:val="24"/>
          <w:szCs w:val="21"/>
          <w:highlight w:val="none"/>
        </w:rPr>
        <w:t xml:space="preserve"> 投标人上传电子投标文件的时间不得迟于招标公告中规定的投标截止时间。</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19.2</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可以按照规定，通过修改招标文件酌情延长投标截止日期，在此情况下，投标人的所有权利和义务以及投标人受制的截止日期均应以延长后新的截止日期为准。</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20、投标文件的拒收</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20.1 </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拒绝接收在其规定的投标截止时间后上传的任何投标文件。</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21、投标文件的撤回和修改</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21.1 投标文件的撤回</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21.1.1 电子投标文件的撤回</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投标人可在投标截止时间前，撤回其电子投标文件，具体操作方法见《操作</w:t>
      </w:r>
      <w:r>
        <w:rPr>
          <w:rFonts w:ascii="仿宋" w:hAnsi="仿宋" w:eastAsia="仿宋" w:cs="仿宋"/>
          <w:color w:val="auto"/>
          <w:sz w:val="24"/>
          <w:szCs w:val="21"/>
          <w:highlight w:val="none"/>
          <w:lang w:eastAsia="zh-CN"/>
        </w:rPr>
        <w:t xml:space="preserve">指南</w:t>
      </w:r>
      <w:r>
        <w:rPr>
          <w:rFonts w:ascii="仿宋" w:hAnsi="仿宋" w:eastAsia="仿宋" w:cs="仿宋"/>
          <w:color w:val="auto"/>
          <w:sz w:val="24"/>
          <w:szCs w:val="21"/>
          <w:highlight w:val="none"/>
        </w:rPr>
        <w:t xml:space="preserve">》。</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21.1.2 投标人撤回电子投标文件，则认为其不再参与本项目投标活动。</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21.2 投标文件的修改</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21.2.1投标人可在投标截止时间前，对其电子投标文件进行修改，具体操作方法见《操作</w:t>
      </w:r>
      <w:r>
        <w:rPr>
          <w:rFonts w:ascii="仿宋" w:hAnsi="仿宋" w:eastAsia="仿宋" w:cs="仿宋"/>
          <w:color w:val="auto"/>
          <w:sz w:val="24"/>
          <w:szCs w:val="21"/>
          <w:highlight w:val="none"/>
          <w:lang w:eastAsia="zh-CN"/>
        </w:rPr>
        <w:t xml:space="preserve">指南</w:t>
      </w:r>
      <w:r>
        <w:rPr>
          <w:rFonts w:ascii="仿宋" w:hAnsi="仿宋" w:eastAsia="仿宋" w:cs="仿宋"/>
          <w:color w:val="auto"/>
          <w:sz w:val="24"/>
          <w:szCs w:val="21"/>
          <w:highlight w:val="none"/>
        </w:rPr>
        <w:t xml:space="preserve">》。</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21.2.2</w:t>
      </w:r>
      <w:r>
        <w:rPr>
          <w:rFonts w:ascii="仿宋" w:hAnsi="仿宋" w:eastAsia="仿宋" w:cs="仿宋"/>
          <w:bCs/>
          <w:color w:val="auto"/>
          <w:sz w:val="24"/>
          <w:szCs w:val="21"/>
          <w:highlight w:val="none"/>
        </w:rPr>
        <w:t xml:space="preserve"> 在投标截止时间之后，投标人不得对其电子投标文件作任何修改。</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21.3</w:t>
      </w:r>
      <w:r>
        <w:rPr>
          <w:rFonts w:ascii="仿宋" w:hAnsi="仿宋" w:eastAsia="仿宋" w:cs="仿宋"/>
          <w:bCs/>
          <w:color w:val="auto"/>
          <w:sz w:val="24"/>
          <w:szCs w:val="21"/>
          <w:highlight w:val="none"/>
        </w:rPr>
        <w:t xml:space="preserve"> 在投标截止时间至招标文件中规定的投标有效期满之间的这段时间内，投标人不得撤回其投标。</w:t>
      </w:r>
      <w:r/>
    </w:p>
    <w:p>
      <w:pPr>
        <w:ind w:right="0" w:firstLine="482"/>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五、开标与评标</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22、开标</w:t>
      </w:r>
      <w:r/>
    </w:p>
    <w:p>
      <w:pPr>
        <w:ind w:right="0" w:firstLine="480"/>
        <w:spacing w:line="400" w:lineRule="exact"/>
        <w:rPr>
          <w:rFonts w:ascii="仿宋" w:hAnsi="仿宋" w:eastAsia="仿宋" w:cs="仿宋"/>
          <w:color w:val="auto"/>
          <w:szCs w:val="21"/>
          <w:highlight w:val="none"/>
        </w:rPr>
      </w:pPr>
      <w:r>
        <w:rPr>
          <w:rFonts w:ascii="仿宋" w:hAnsi="仿宋" w:eastAsia="仿宋" w:cs="仿宋"/>
          <w:color w:val="auto"/>
          <w:sz w:val="24"/>
          <w:szCs w:val="21"/>
          <w:highlight w:val="none"/>
        </w:rPr>
        <w:t xml:space="preserve">22.1</w:t>
      </w:r>
      <w:r>
        <w:rPr>
          <w:rFonts w:ascii="仿宋" w:hAnsi="仿宋" w:eastAsia="仿宋" w:cs="仿宋"/>
          <w:bCs/>
          <w:color w:val="auto"/>
          <w:sz w:val="24"/>
          <w:szCs w:val="21"/>
          <w:highlight w:val="none"/>
        </w:rPr>
        <w:t xml:space="preserve"> </w:t>
      </w:r>
      <w:r>
        <w:rPr>
          <w:rFonts w:ascii="仿宋" w:hAnsi="仿宋" w:eastAsia="仿宋" w:cs="仿宋"/>
          <w:bCs/>
          <w:color w:val="auto"/>
          <w:sz w:val="24"/>
          <w:szCs w:val="21"/>
          <w:highlight w:val="none"/>
          <w:lang w:val="en-US" w:eastAsia="zh-CN"/>
        </w:rPr>
        <w:t xml:space="preserve">代理机构</w:t>
      </w:r>
      <w:r>
        <w:rPr>
          <w:rFonts w:ascii="仿宋" w:hAnsi="仿宋" w:eastAsia="仿宋" w:cs="仿宋"/>
          <w:bCs/>
          <w:color w:val="auto"/>
          <w:sz w:val="24"/>
          <w:szCs w:val="21"/>
          <w:highlight w:val="none"/>
        </w:rPr>
        <w:t xml:space="preserve">将在招标公告中规定的时间和地点组织公开开标</w:t>
      </w:r>
      <w:r>
        <w:rPr>
          <w:rFonts w:ascii="仿宋" w:hAnsi="仿宋" w:eastAsia="仿宋" w:cs="仿宋"/>
          <w:color w:val="auto"/>
          <w:sz w:val="24"/>
          <w:szCs w:val="24"/>
          <w:highlight w:val="none"/>
        </w:rPr>
        <w:t xml:space="preserve">。投标人应当按照《操作</w:t>
      </w:r>
      <w:r>
        <w:rPr>
          <w:rFonts w:ascii="仿宋" w:hAnsi="仿宋" w:eastAsia="仿宋" w:cs="仿宋"/>
          <w:color w:val="auto"/>
          <w:sz w:val="24"/>
          <w:szCs w:val="24"/>
          <w:highlight w:val="none"/>
          <w:lang w:eastAsia="zh-CN"/>
        </w:rPr>
        <w:t xml:space="preserve">指南</w:t>
      </w:r>
      <w:r>
        <w:rPr>
          <w:rFonts w:ascii="仿宋" w:hAnsi="仿宋" w:eastAsia="仿宋" w:cs="仿宋"/>
          <w:color w:val="auto"/>
          <w:sz w:val="24"/>
          <w:szCs w:val="24"/>
          <w:highlight w:val="none"/>
        </w:rPr>
        <w:t xml:space="preserve">》规定，参加开标活动和在苏采云系统规定的时间内对投标文件进行解密。</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4"/>
          <w:highlight w:val="none"/>
        </w:rPr>
        <w:t xml:space="preserve">22.2</w:t>
      </w:r>
      <w:r>
        <w:rPr>
          <w:rFonts w:ascii="仿宋" w:hAnsi="仿宋" w:eastAsia="仿宋" w:cs="仿宋"/>
          <w:color w:val="auto"/>
          <w:sz w:val="24"/>
          <w:szCs w:val="24"/>
          <w:highlight w:val="none"/>
        </w:rPr>
        <w:t xml:space="preserve">开标仪式由</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组织。苏采云系统将自动对项目进行开标，并宣布各投标人名称和投标价格。</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1"/>
          <w:highlight w:val="none"/>
        </w:rPr>
        <w:t xml:space="preserve">22.3投标人在开标过程中涉及到的投标文件解密、开标结果确认等工作，应按照《操作</w:t>
      </w:r>
      <w:r>
        <w:rPr>
          <w:rFonts w:ascii="仿宋" w:hAnsi="仿宋" w:eastAsia="仿宋" w:cs="仿宋"/>
          <w:bCs/>
          <w:color w:val="auto"/>
          <w:sz w:val="24"/>
          <w:szCs w:val="21"/>
          <w:highlight w:val="none"/>
          <w:lang w:eastAsia="zh-CN"/>
        </w:rPr>
        <w:t xml:space="preserve">指南</w:t>
      </w:r>
      <w:r>
        <w:rPr>
          <w:rFonts w:ascii="仿宋" w:hAnsi="仿宋" w:eastAsia="仿宋" w:cs="仿宋"/>
          <w:bCs/>
          <w:color w:val="auto"/>
          <w:sz w:val="24"/>
          <w:szCs w:val="21"/>
          <w:highlight w:val="none"/>
        </w:rPr>
        <w:t xml:space="preserve">》规定执行。</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22.4投标人如果对开标过程和开标记录有疑义，应当根据《操作</w:t>
      </w:r>
      <w:r>
        <w:rPr>
          <w:rFonts w:ascii="仿宋" w:hAnsi="仿宋" w:eastAsia="仿宋" w:cs="仿宋"/>
          <w:color w:val="auto"/>
          <w:sz w:val="24"/>
          <w:szCs w:val="24"/>
          <w:highlight w:val="none"/>
          <w:lang w:eastAsia="zh-CN"/>
        </w:rPr>
        <w:t xml:space="preserve">指南</w:t>
      </w:r>
      <w:r>
        <w:rPr>
          <w:rFonts w:ascii="仿宋" w:hAnsi="仿宋" w:eastAsia="仿宋" w:cs="仿宋"/>
          <w:color w:val="auto"/>
          <w:sz w:val="24"/>
          <w:szCs w:val="24"/>
          <w:highlight w:val="none"/>
        </w:rPr>
        <w:t xml:space="preserve">》规定提出，如苏采云系统中《开标记录表》宣布后5分钟内未提出的，视同认可开标结果。</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23、评标委员会</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23.1 开标后，</w:t>
      </w:r>
      <w:r>
        <w:rPr>
          <w:rFonts w:ascii="仿宋" w:hAnsi="仿宋" w:eastAsia="仿宋" w:cs="仿宋"/>
          <w:bCs/>
          <w:color w:val="auto"/>
          <w:sz w:val="24"/>
          <w:szCs w:val="21"/>
          <w:highlight w:val="none"/>
          <w:lang w:val="en-US" w:eastAsia="zh-CN"/>
        </w:rPr>
        <w:t xml:space="preserve">采购人</w:t>
      </w:r>
      <w:r>
        <w:rPr>
          <w:rFonts w:ascii="仿宋" w:hAnsi="仿宋" w:eastAsia="仿宋" w:cs="仿宋"/>
          <w:bCs/>
          <w:color w:val="auto"/>
          <w:sz w:val="24"/>
          <w:szCs w:val="21"/>
          <w:highlight w:val="none"/>
        </w:rPr>
        <w:t xml:space="preserve">将立即组织评标委员会（以下简称评委会）进行评标。</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23.2 评委会由采购人代表和有关技术、经济等方面的专家组成，且人员构成符合政府采购有关规定。</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1"/>
          <w:highlight w:val="none"/>
        </w:rPr>
        <w:t xml:space="preserve">23.3评委会独立工作，负责评审</w:t>
      </w:r>
      <w:r>
        <w:rPr>
          <w:rFonts w:ascii="仿宋" w:hAnsi="仿宋" w:eastAsia="仿宋" w:cs="仿宋"/>
          <w:color w:val="auto"/>
          <w:sz w:val="24"/>
          <w:szCs w:val="24"/>
          <w:highlight w:val="none"/>
        </w:rPr>
        <w:t xml:space="preserve">所有投标文件并确定中标侯选人。</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24</w:t>
      </w:r>
      <w:r>
        <w:rPr>
          <w:rFonts w:ascii="仿宋" w:hAnsi="仿宋" w:eastAsia="仿宋" w:cs="仿宋"/>
          <w:b/>
          <w:bCs/>
          <w:color w:val="auto"/>
          <w:sz w:val="28"/>
          <w:szCs w:val="28"/>
          <w:highlight w:val="none"/>
          <w:lang w:eastAsia="zh-CN"/>
        </w:rPr>
        <w:t xml:space="preserve">、</w:t>
      </w:r>
      <w:r>
        <w:rPr>
          <w:rFonts w:ascii="仿宋" w:hAnsi="仿宋" w:eastAsia="仿宋" w:cs="仿宋"/>
          <w:b/>
          <w:bCs/>
          <w:color w:val="auto"/>
          <w:sz w:val="28"/>
          <w:szCs w:val="28"/>
          <w:highlight w:val="none"/>
        </w:rPr>
        <w:t xml:space="preserve">评标过程的保密与公正</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24.1公开开标后，直至向中标的投标人授予合同时止，凡是与审查、澄清、评价和比较投标的有关资料以及授标建议等，采购人、评委、</w:t>
      </w:r>
      <w:r>
        <w:rPr>
          <w:rFonts w:ascii="仿宋" w:hAnsi="仿宋" w:eastAsia="仿宋" w:cs="仿宋"/>
          <w:bCs/>
          <w:color w:val="auto"/>
          <w:sz w:val="24"/>
          <w:szCs w:val="21"/>
          <w:highlight w:val="none"/>
          <w:lang w:val="en-US" w:eastAsia="zh-CN"/>
        </w:rPr>
        <w:t xml:space="preserve">代理机构</w:t>
      </w:r>
      <w:r>
        <w:rPr>
          <w:rFonts w:ascii="仿宋" w:hAnsi="仿宋" w:eastAsia="仿宋" w:cs="仿宋"/>
          <w:bCs/>
          <w:color w:val="auto"/>
          <w:sz w:val="24"/>
          <w:szCs w:val="21"/>
          <w:highlight w:val="none"/>
        </w:rPr>
        <w:t xml:space="preserve">均不得向投标人或与评标无关的其他人员透露。</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1"/>
          <w:highlight w:val="none"/>
        </w:rPr>
        <w:t xml:space="preserve">24.2</w:t>
      </w:r>
      <w:r>
        <w:rPr>
          <w:rFonts w:ascii="仿宋" w:hAnsi="仿宋" w:eastAsia="仿宋" w:cs="仿宋"/>
          <w:color w:val="auto"/>
          <w:sz w:val="24"/>
          <w:szCs w:val="24"/>
          <w:highlight w:val="none"/>
        </w:rPr>
        <w:t xml:space="preserve">在评标过程中，投标人不得以任何行为影响评标过程，否则其投标文件将被作为无效投标文件。</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24</w:t>
      </w:r>
      <w:r>
        <w:rPr>
          <w:rFonts w:ascii="仿宋" w:hAnsi="仿宋" w:eastAsia="仿宋" w:cs="仿宋"/>
          <w:color w:val="auto"/>
          <w:sz w:val="24"/>
          <w:szCs w:val="24"/>
          <w:highlight w:val="none"/>
        </w:rPr>
        <w:t xml:space="preserve">.3在评标期间，</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将设专门人员与投标人联系。</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24.</w:t>
      </w:r>
      <w:r>
        <w:rPr>
          <w:rFonts w:ascii="仿宋" w:hAnsi="仿宋" w:eastAsia="仿宋" w:cs="仿宋"/>
          <w:color w:val="auto"/>
          <w:sz w:val="24"/>
          <w:szCs w:val="24"/>
          <w:highlight w:val="none"/>
          <w:lang w:val="en-US" w:eastAsia="zh-CN"/>
        </w:rPr>
        <w:t xml:space="preserve">4代理机构</w:t>
      </w:r>
      <w:r>
        <w:rPr>
          <w:rFonts w:ascii="仿宋" w:hAnsi="仿宋" w:eastAsia="仿宋" w:cs="仿宋"/>
          <w:color w:val="auto"/>
          <w:sz w:val="24"/>
          <w:szCs w:val="24"/>
          <w:highlight w:val="none"/>
        </w:rPr>
        <w:t xml:space="preserve">和评标委员会不向未中标的投标人解释未中标原因，也不公布评标过程中的相关细节。</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24.</w:t>
      </w:r>
      <w:r>
        <w:rPr>
          <w:rFonts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rPr>
        <w:t xml:space="preserve"> 采用综合评分法的项目，未中标的投标人可于中标结果公告期限届满之日起通过苏采云系统查看自己的评审得分及排序情况。</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25</w:t>
      </w:r>
      <w:r>
        <w:rPr>
          <w:rFonts w:ascii="仿宋" w:hAnsi="仿宋" w:eastAsia="仿宋" w:cs="仿宋"/>
          <w:b/>
          <w:bCs/>
          <w:color w:val="auto"/>
          <w:sz w:val="28"/>
          <w:szCs w:val="28"/>
          <w:highlight w:val="none"/>
          <w:lang w:eastAsia="zh-CN"/>
        </w:rPr>
        <w:t xml:space="preserve">、</w:t>
      </w:r>
      <w:r>
        <w:rPr>
          <w:rFonts w:ascii="仿宋" w:hAnsi="仿宋" w:eastAsia="仿宋" w:cs="仿宋"/>
          <w:b/>
          <w:bCs/>
          <w:color w:val="auto"/>
          <w:sz w:val="28"/>
          <w:szCs w:val="28"/>
          <w:highlight w:val="none"/>
        </w:rPr>
        <w:t xml:space="preserve">投标文件的澄清</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投标人的澄清、说明或者补正不得超出投标文件的范围或者改变投标文件的实质性内容。</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评标委员会并非对每个投标人都做澄清要求。</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25.2需要</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进行澄清、说明和补正的，评委会将通过苏采云系统向</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w:t>
      </w:r>
      <w:r>
        <w:rPr>
          <w:rFonts w:ascii="仿宋" w:hAnsi="仿宋" w:eastAsia="仿宋" w:cs="仿宋"/>
          <w:color w:val="auto"/>
          <w:sz w:val="24"/>
          <w:szCs w:val="24"/>
          <w:highlight w:val="none"/>
          <w:lang w:eastAsia="zh-CN"/>
        </w:rPr>
        <w:t xml:space="preserve">指南</w:t>
      </w:r>
      <w:r>
        <w:rPr>
          <w:rFonts w:ascii="仿宋" w:hAnsi="仿宋" w:eastAsia="仿宋" w:cs="仿宋"/>
          <w:color w:val="auto"/>
          <w:sz w:val="24"/>
          <w:szCs w:val="24"/>
          <w:highlight w:val="none"/>
        </w:rPr>
        <w:t xml:space="preserve">》。</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25.3 接到评委会澄清、说明和补正要求的投标人如未按规定做出澄清、说明和补正，其风险由投标人自行承担。</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26、对投标文件的初审</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26.1</w:t>
      </w:r>
      <w:r>
        <w:rPr>
          <w:rFonts w:ascii="仿宋" w:hAnsi="仿宋" w:eastAsia="仿宋" w:cs="仿宋"/>
          <w:bCs/>
          <w:color w:val="auto"/>
          <w:sz w:val="24"/>
          <w:szCs w:val="21"/>
          <w:highlight w:val="none"/>
        </w:rPr>
        <w:t xml:space="preserve">投标文件初审分为资格审查和符合性审查。</w:t>
      </w:r>
      <w:r/>
    </w:p>
    <w:p>
      <w:pPr>
        <w:ind w:right="0" w:firstLine="480"/>
        <w:jc w:val="left"/>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26.1.1资格审查：依据法律法规和招标文件的规定，由采购人对投标文件中的资格证明文件进行审查。资格审查的结论，采购人以书面形式向评委会进行反馈。</w:t>
      </w:r>
      <w:r/>
    </w:p>
    <w:p>
      <w:pPr>
        <w:ind w:right="0" w:firstLine="480"/>
        <w:jc w:val="left"/>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ascii="仿宋" w:hAnsi="仿宋" w:eastAsia="仿宋" w:cs="仿宋"/>
          <w:bCs/>
          <w:color w:val="auto"/>
          <w:sz w:val="24"/>
          <w:szCs w:val="21"/>
          <w:highlight w:val="none"/>
          <w:lang w:eastAsia="zh-CN"/>
        </w:rPr>
        <w:t xml:space="preserve">信</w:t>
      </w:r>
      <w:r>
        <w:rPr>
          <w:rFonts w:ascii="仿宋" w:hAnsi="仿宋" w:eastAsia="仿宋" w:cs="仿宋"/>
          <w:bCs/>
          <w:color w:val="auto"/>
          <w:sz w:val="24"/>
          <w:szCs w:val="21"/>
          <w:highlight w:val="none"/>
        </w:rPr>
        <w:t xml:space="preserve">用记录。</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26.1.2符合性审查：依据招标文件的规定，由评委会从投标文件的有效性、完整性和对招标文件的响应程度进行审查，以确定是否对招标文件的实质性要求作出响应。</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26.1.3未通过资格审查或符合性审查的投标人，</w:t>
      </w:r>
      <w:r>
        <w:rPr>
          <w:rFonts w:ascii="仿宋" w:hAnsi="仿宋" w:eastAsia="仿宋" w:cs="仿宋"/>
          <w:bCs/>
          <w:color w:val="auto"/>
          <w:sz w:val="24"/>
          <w:szCs w:val="21"/>
          <w:highlight w:val="none"/>
          <w:lang w:val="en-US" w:eastAsia="zh-CN"/>
        </w:rPr>
        <w:t xml:space="preserve">代理机构</w:t>
      </w:r>
      <w:r>
        <w:rPr>
          <w:rFonts w:ascii="仿宋" w:hAnsi="仿宋" w:eastAsia="仿宋" w:cs="仿宋"/>
          <w:bCs/>
          <w:color w:val="auto"/>
          <w:sz w:val="24"/>
          <w:szCs w:val="21"/>
          <w:highlight w:val="none"/>
        </w:rPr>
        <w:t xml:space="preserve">将在</w:t>
      </w:r>
      <w:r>
        <w:rPr>
          <w:rFonts w:ascii="仿宋" w:hAnsi="仿宋" w:eastAsia="仿宋" w:cs="仿宋"/>
          <w:color w:val="auto"/>
          <w:sz w:val="24"/>
          <w:szCs w:val="24"/>
          <w:highlight w:val="none"/>
        </w:rPr>
        <w:t xml:space="preserve">苏采云系统</w:t>
      </w:r>
      <w:r>
        <w:rPr>
          <w:rFonts w:ascii="仿宋" w:hAnsi="仿宋" w:eastAsia="仿宋" w:cs="仿宋"/>
          <w:bCs/>
          <w:color w:val="auto"/>
          <w:sz w:val="24"/>
          <w:szCs w:val="21"/>
          <w:highlight w:val="none"/>
        </w:rPr>
        <w:t xml:space="preserve">中告知未通过资格审查或符合性审查的原因，评审结束后，</w:t>
      </w:r>
      <w:r>
        <w:rPr>
          <w:rFonts w:ascii="仿宋" w:hAnsi="仿宋" w:eastAsia="仿宋" w:cs="仿宋"/>
          <w:bCs/>
          <w:color w:val="auto"/>
          <w:sz w:val="24"/>
          <w:szCs w:val="21"/>
          <w:highlight w:val="none"/>
          <w:lang w:val="en-US" w:eastAsia="zh-CN"/>
        </w:rPr>
        <w:t xml:space="preserve">代理机构</w:t>
      </w:r>
      <w:r>
        <w:rPr>
          <w:rFonts w:ascii="仿宋" w:hAnsi="仿宋" w:eastAsia="仿宋" w:cs="仿宋"/>
          <w:bCs/>
          <w:color w:val="auto"/>
          <w:sz w:val="24"/>
          <w:szCs w:val="21"/>
          <w:highlight w:val="none"/>
        </w:rPr>
        <w:t xml:space="preserve">将不再告知未通过资格审查或符合性审查的原因。</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1"/>
          <w:highlight w:val="none"/>
        </w:rPr>
        <w:t xml:space="preserve">26.2</w:t>
      </w:r>
      <w:r>
        <w:rPr>
          <w:rFonts w:ascii="仿宋" w:hAnsi="仿宋" w:eastAsia="仿宋" w:cs="仿宋"/>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4"/>
          <w:highlight w:val="none"/>
        </w:rPr>
        <w:t xml:space="preserve">所谓重大偏离或保留是指与招标文件规定的实质性要求存在负偏离，或者在实质上与招标文件不一致，而且限制了合同中买方和</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ascii="仿宋" w:hAnsi="仿宋" w:eastAsia="仿宋" w:cs="仿宋"/>
          <w:bCs/>
          <w:color w:val="auto"/>
          <w:sz w:val="24"/>
          <w:szCs w:val="21"/>
          <w:highlight w:val="none"/>
        </w:rPr>
        <w:t xml:space="preserve">评委决定投标文件的响应性只根据投标文件本身的内容，而不寻求外部的证据。</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26.3</w:t>
      </w:r>
      <w:r>
        <w:rPr>
          <w:rFonts w:ascii="仿宋" w:hAnsi="仿宋" w:eastAsia="仿宋" w:cs="仿宋"/>
          <w:bCs/>
          <w:color w:val="auto"/>
          <w:sz w:val="24"/>
          <w:szCs w:val="21"/>
          <w:highlight w:val="none"/>
        </w:rPr>
        <w:t xml:space="preserve">如果投标文件实质上没有响应招标文件的要求，评委会将</w:t>
      </w:r>
      <w:r>
        <w:rPr>
          <w:rFonts w:ascii="仿宋" w:hAnsi="仿宋" w:eastAsia="仿宋" w:cs="仿宋"/>
          <w:bCs/>
          <w:color w:val="auto"/>
          <w:sz w:val="24"/>
          <w:szCs w:val="21"/>
          <w:highlight w:val="none"/>
          <w:lang w:eastAsia="zh-CN"/>
        </w:rPr>
        <w:t xml:space="preserve">按无效响应处理</w:t>
      </w:r>
      <w:r>
        <w:rPr>
          <w:rFonts w:ascii="仿宋" w:hAnsi="仿宋" w:eastAsia="仿宋" w:cs="仿宋"/>
          <w:bCs/>
          <w:color w:val="auto"/>
          <w:sz w:val="24"/>
          <w:szCs w:val="21"/>
          <w:highlight w:val="none"/>
        </w:rPr>
        <w:t xml:space="preserve">，投标人不得通过修改或撤销不合要求的偏离或保留而使其成为实质性响应的投标。</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color w:val="auto"/>
          <w:sz w:val="24"/>
          <w:szCs w:val="21"/>
          <w:highlight w:val="none"/>
        </w:rPr>
        <w:t xml:space="preserve">26.4</w:t>
      </w:r>
      <w:r>
        <w:rPr>
          <w:rFonts w:ascii="仿宋" w:hAnsi="仿宋" w:eastAsia="仿宋" w:cs="仿宋"/>
          <w:bCs/>
          <w:color w:val="auto"/>
          <w:sz w:val="24"/>
          <w:szCs w:val="21"/>
          <w:highlight w:val="none"/>
        </w:rPr>
        <w:t xml:space="preserve">评委会将对确定为实质性响应的投标进行进一步审核，看其是否有计算上或累加上的算术错误，修正错误的原则如下：</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（1）投标文件中开标一览表内容与投标文件中相应内容不一致的，以开标一览表为准。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（2）大写金额和小写金额不一致的，以大写金额为准。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（3）单价金额小数点或者百分比有明显错位的，以开标一览表的总价为准，并修改单价。</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（4）总价金额与按单价汇总金额不一致的，以单价金额计算结果为准。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同时出现两种以上错误的，按照前款规定的顺序修正。</w:t>
      </w:r>
      <w:r/>
    </w:p>
    <w:p>
      <w:pPr>
        <w:ind w:right="0" w:firstLine="480"/>
        <w:spacing w:line="400" w:lineRule="exact"/>
        <w:rPr>
          <w:rFonts w:ascii="仿宋" w:hAnsi="仿宋" w:eastAsia="仿宋" w:cs="仿宋"/>
          <w:color w:val="auto"/>
          <w:highlight w:val="none"/>
        </w:rPr>
      </w:pPr>
      <w:r>
        <w:rPr>
          <w:rFonts w:ascii="仿宋" w:hAnsi="仿宋" w:eastAsia="仿宋" w:cs="仿宋"/>
          <w:color w:val="auto"/>
          <w:sz w:val="24"/>
          <w:szCs w:val="21"/>
          <w:highlight w:val="none"/>
        </w:rPr>
        <w:t xml:space="preserve">26.5</w:t>
      </w:r>
      <w:r>
        <w:rPr>
          <w:rFonts w:ascii="仿宋" w:hAnsi="仿宋" w:eastAsia="仿宋" w:cs="仿宋"/>
          <w:bCs/>
          <w:color w:val="auto"/>
          <w:sz w:val="24"/>
          <w:szCs w:val="21"/>
          <w:highlight w:val="none"/>
        </w:rPr>
        <w:t xml:space="preserve">评委会将按上述修正错误的方法调整投标文件中的投标报价，并通过</w:t>
      </w:r>
      <w:r>
        <w:rPr>
          <w:rFonts w:ascii="仿宋" w:hAnsi="仿宋" w:eastAsia="仿宋" w:cs="仿宋"/>
          <w:color w:val="auto"/>
          <w:sz w:val="24"/>
          <w:szCs w:val="24"/>
          <w:highlight w:val="none"/>
        </w:rPr>
        <w:t xml:space="preserve">苏采云系统</w:t>
      </w:r>
      <w:r>
        <w:rPr>
          <w:rFonts w:ascii="仿宋" w:hAnsi="仿宋" w:eastAsia="仿宋" w:cs="仿宋"/>
          <w:bCs/>
          <w:color w:val="auto"/>
          <w:sz w:val="24"/>
          <w:szCs w:val="21"/>
          <w:highlight w:val="none"/>
        </w:rPr>
        <w:t xml:space="preserve">告知投标人，调整后的价格应对投标人具有约束力。如果投标人不接受修正后的价格，则其投标将被拒绝。</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26.6</w:t>
      </w:r>
      <w:r>
        <w:rPr>
          <w:rFonts w:ascii="仿宋" w:hAnsi="仿宋" w:eastAsia="仿宋" w:cs="仿宋"/>
          <w:color w:val="auto"/>
          <w:sz w:val="24"/>
          <w:szCs w:val="21"/>
          <w:highlight w:val="none"/>
        </w:rPr>
        <w:t xml:space="preserve">评委会将允许修正投标文件中不构成重大偏离的、微小的、非正规的、不一致的或不规则的地方，但这些修改不能影响任何投标人相应的名次排列。</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26.</w:t>
      </w:r>
      <w:r>
        <w:rPr>
          <w:rFonts w:ascii="仿宋" w:hAnsi="仿宋" w:eastAsia="仿宋" w:cs="仿宋"/>
          <w:color w:val="auto"/>
          <w:sz w:val="24"/>
          <w:szCs w:val="21"/>
          <w:highlight w:val="none"/>
          <w:lang w:val="en-US" w:eastAsia="zh-CN"/>
        </w:rPr>
        <w:t xml:space="preserve">7</w:t>
      </w:r>
      <w:r>
        <w:rPr>
          <w:rFonts w:ascii="仿宋" w:hAnsi="仿宋" w:eastAsia="仿宋" w:cs="仿宋"/>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right="0" w:firstLine="42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非单一产品采购项目，招标文件中将载明其中的核心产品。多家投标人提供的核心产品品牌相同的，按前两款规定处理。</w:t>
      </w:r>
      <w:r/>
    </w:p>
    <w:p>
      <w:pPr>
        <w:ind w:right="0" w:firstLine="420"/>
        <w:spacing w:line="4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26.</w:t>
      </w:r>
      <w:r>
        <w:rPr>
          <w:rFonts w:ascii="仿宋" w:hAnsi="仿宋" w:eastAsia="仿宋" w:cs="仿宋"/>
          <w:color w:val="auto"/>
          <w:sz w:val="24"/>
          <w:szCs w:val="21"/>
          <w:highlight w:val="none"/>
          <w:lang w:val="en-US" w:eastAsia="zh-CN"/>
        </w:rPr>
        <w:t xml:space="preserve">8</w:t>
      </w:r>
      <w:r>
        <w:rPr>
          <w:rFonts w:ascii="仿宋" w:hAnsi="仿宋" w:eastAsia="仿宋" w:cs="仿宋"/>
          <w:color w:val="auto"/>
          <w:sz w:val="24"/>
          <w:szCs w:val="21"/>
          <w:highlight w:val="none"/>
        </w:rPr>
        <w:t xml:space="preserve">投标人在开、评标全过程中应保持通讯畅通，及时登录苏采云系统查阅、答复相关信息，并安排专人与</w:t>
      </w:r>
      <w:r>
        <w:rPr>
          <w:rFonts w:ascii="仿宋" w:hAnsi="仿宋" w:eastAsia="仿宋" w:cs="仿宋"/>
          <w:color w:val="auto"/>
          <w:sz w:val="24"/>
          <w:szCs w:val="21"/>
          <w:highlight w:val="none"/>
          <w:lang w:val="en-US" w:eastAsia="zh-CN"/>
        </w:rPr>
        <w:t xml:space="preserve">代理机构</w:t>
      </w:r>
      <w:r>
        <w:rPr>
          <w:rFonts w:ascii="仿宋" w:hAnsi="仿宋" w:eastAsia="仿宋" w:cs="仿宋"/>
          <w:color w:val="auto"/>
          <w:sz w:val="24"/>
          <w:szCs w:val="21"/>
          <w:highlight w:val="none"/>
        </w:rPr>
        <w:t xml:space="preserve">及评标委员会联系。</w:t>
      </w:r>
      <w:r/>
    </w:p>
    <w:p>
      <w:pPr>
        <w:ind w:right="0" w:firstLine="420"/>
        <w:spacing w:line="400" w:lineRule="exact"/>
        <w:rPr>
          <w:rFonts w:ascii="仿宋" w:hAnsi="仿宋" w:eastAsia="仿宋" w:cs="仿宋"/>
          <w:b/>
          <w:bCs/>
          <w:color w:val="auto"/>
          <w:sz w:val="24"/>
          <w:szCs w:val="21"/>
          <w:highlight w:val="none"/>
        </w:rPr>
      </w:pPr>
      <w:r>
        <w:rPr>
          <w:rFonts w:ascii="仿宋" w:hAnsi="仿宋" w:eastAsia="仿宋" w:cs="仿宋"/>
          <w:b/>
          <w:bCs/>
          <w:color w:val="auto"/>
          <w:sz w:val="24"/>
          <w:szCs w:val="21"/>
          <w:highlight w:val="none"/>
          <w:lang w:val="en-US" w:eastAsia="zh-CN"/>
        </w:rPr>
        <w:t xml:space="preserve">26.9</w:t>
      </w:r>
      <w:r>
        <w:rPr>
          <w:rFonts w:ascii="仿宋" w:hAnsi="仿宋" w:eastAsia="仿宋" w:cs="仿宋"/>
          <w:b/>
          <w:bCs/>
          <w:color w:val="auto"/>
          <w:sz w:val="24"/>
          <w:szCs w:val="21"/>
          <w:highlight w:val="none"/>
        </w:rPr>
        <w:t xml:space="preserve">.异常低价审查</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26.</w:t>
      </w:r>
      <w:r>
        <w:rPr>
          <w:rFonts w:hint="eastAsia" w:ascii="仿宋" w:hAnsi="仿宋" w:eastAsia="仿宋" w:cs="仿宋"/>
          <w:b w:val="0"/>
          <w:bCs w:val="0"/>
          <w:color w:val="auto"/>
          <w:sz w:val="24"/>
          <w:szCs w:val="21"/>
          <w:highlight w:val="none"/>
          <w:lang w:val="en-US" w:eastAsia="zh-CN"/>
        </w:rPr>
        <w:t xml:space="preserve">9</w:t>
      </w:r>
      <w:r>
        <w:rPr>
          <w:rFonts w:ascii="仿宋" w:hAnsi="仿宋" w:eastAsia="仿宋" w:cs="仿宋"/>
          <w:b w:val="0"/>
          <w:bCs w:val="0"/>
          <w:color w:val="auto"/>
          <w:sz w:val="24"/>
          <w:szCs w:val="21"/>
          <w:highlight w:val="none"/>
          <w:lang w:val="en-US" w:eastAsia="zh-CN"/>
        </w:rPr>
        <w:t xml:space="preserve">.1评标过程中出现下列情形之一的，评标小组应当启动异常低价投标审查程序：</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（3）投标（响应）报价低于采购项目最高限价45%的，即投标（响应）报价&lt;采购项目最高限价×45%；</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（4）评标小组基于专业判断，认为供应商报价过低，有可能影响产品质量或者不能诚信履约的其他情形。</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26.9.2 </w:t>
      </w:r>
      <w:r>
        <w:rPr>
          <w:rFonts w:hint="eastAsia" w:ascii="仿宋" w:hAnsi="仿宋" w:eastAsia="仿宋" w:cs="仿宋"/>
          <w:b w:val="0"/>
          <w:bCs w:val="0"/>
          <w:color w:val="auto"/>
          <w:sz w:val="24"/>
          <w:szCs w:val="21"/>
          <w:highlight w:val="none"/>
          <w:lang w:val="en-US" w:eastAsia="zh-CN"/>
        </w:rPr>
        <w:t xml:space="preserve">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仿宋" w:hAnsi="仿宋" w:eastAsia="仿宋" w:cs="仿宋"/>
          <w:b w:val="0"/>
          <w:bCs w:val="0"/>
          <w:color w:val="auto"/>
          <w:sz w:val="24"/>
          <w:szCs w:val="21"/>
          <w:highlight w:val="none"/>
        </w:rPr>
        <w:t xml:space="preserve">。</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ind w:right="0" w:firstLine="420"/>
        <w:spacing w:line="400" w:lineRule="exact"/>
        <w:rPr>
          <w:rFonts w:ascii="仿宋" w:hAnsi="仿宋" w:eastAsia="仿宋" w:cs="仿宋"/>
          <w:b w:val="0"/>
          <w:bCs w:val="0"/>
          <w:color w:val="auto"/>
          <w:sz w:val="24"/>
          <w:szCs w:val="21"/>
          <w:highlight w:val="none"/>
          <w:lang w:val="en-US" w:eastAsia="zh-CN"/>
        </w:rPr>
      </w:pPr>
      <w:r>
        <w:rPr>
          <w:rFonts w:ascii="仿宋" w:hAnsi="仿宋" w:eastAsia="仿宋" w:cs="仿宋"/>
          <w:b w:val="0"/>
          <w:bCs w:val="0"/>
          <w:color w:val="auto"/>
          <w:sz w:val="24"/>
          <w:szCs w:val="21"/>
          <w:highlight w:val="none"/>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p>
    <w:p>
      <w:pPr>
        <w:ind w:right="0" w:firstLine="420"/>
        <w:spacing w:line="400" w:lineRule="exact"/>
        <w:rPr>
          <w:rFonts w:ascii="仿宋" w:hAnsi="仿宋" w:eastAsia="仿宋" w:cs="仿宋"/>
          <w:b w:val="0"/>
          <w:bCs w:val="0"/>
          <w:color w:val="auto"/>
          <w:sz w:val="24"/>
          <w:szCs w:val="21"/>
          <w:highlight w:val="none"/>
        </w:rPr>
      </w:pPr>
      <w:r>
        <w:rPr>
          <w:rFonts w:ascii="仿宋" w:hAnsi="仿宋" w:eastAsia="仿宋" w:cs="仿宋"/>
          <w:b w:val="0"/>
          <w:bCs w:val="0"/>
          <w:color w:val="auto"/>
          <w:sz w:val="24"/>
          <w:szCs w:val="21"/>
          <w:highlight w:val="none"/>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27、无效投标条款和废标条款</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27.1无效投标条款</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 投标人在</w:t>
      </w:r>
      <w:r>
        <w:rPr>
          <w:rFonts w:ascii="仿宋" w:hAnsi="仿宋" w:eastAsia="仿宋" w:cs="仿宋"/>
          <w:bCs/>
          <w:color w:val="auto"/>
          <w:sz w:val="24"/>
          <w:szCs w:val="21"/>
          <w:highlight w:val="none"/>
          <w:lang w:eastAsia="zh-CN"/>
        </w:rPr>
        <w:t xml:space="preserve">“</w:t>
      </w:r>
      <w:r>
        <w:rPr>
          <w:rFonts w:ascii="仿宋" w:hAnsi="仿宋" w:eastAsia="仿宋" w:cs="仿宋"/>
          <w:color w:val="auto"/>
          <w:sz w:val="24"/>
          <w:szCs w:val="24"/>
          <w:highlight w:val="none"/>
        </w:rPr>
        <w:t xml:space="preserve">苏采云系统</w:t>
      </w:r>
      <w:r>
        <w:rPr>
          <w:rFonts w:ascii="仿宋" w:hAnsi="仿宋" w:eastAsia="仿宋" w:cs="仿宋"/>
          <w:bCs/>
          <w:color w:val="auto"/>
          <w:sz w:val="24"/>
          <w:szCs w:val="21"/>
          <w:highlight w:val="none"/>
          <w:lang w:eastAsia="zh-CN"/>
        </w:rPr>
        <w:t xml:space="preserve">”</w:t>
      </w:r>
      <w:r>
        <w:rPr>
          <w:rFonts w:ascii="仿宋" w:hAnsi="仿宋" w:eastAsia="仿宋" w:cs="仿宋"/>
          <w:bCs/>
          <w:color w:val="auto"/>
          <w:sz w:val="24"/>
          <w:szCs w:val="21"/>
          <w:highlight w:val="none"/>
        </w:rPr>
        <w:t xml:space="preserve">规定的时间内未成功解密电子投标文件的。</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27.1.2 投标人未按照招标文件要求上传电子投标文件的。</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27.1.3 投标</w:t>
      </w:r>
      <w:r>
        <w:rPr>
          <w:rFonts w:ascii="仿宋" w:hAnsi="仿宋" w:eastAsia="仿宋" w:cs="仿宋"/>
          <w:color w:val="auto"/>
          <w:sz w:val="24"/>
          <w:szCs w:val="24"/>
          <w:highlight w:val="none"/>
        </w:rPr>
        <w:t xml:space="preserve">人同一分包提交两</w:t>
      </w:r>
      <w:r>
        <w:rPr>
          <w:rFonts w:ascii="仿宋" w:hAnsi="仿宋" w:eastAsia="仿宋" w:cs="仿宋"/>
          <w:bCs/>
          <w:color w:val="auto"/>
          <w:sz w:val="24"/>
          <w:szCs w:val="21"/>
          <w:highlight w:val="none"/>
        </w:rPr>
        <w:t xml:space="preserve">个（含两个）以上不同的投标报价的。</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27.1.4投标人不具备招标文件中规定资格要求的。</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27.1.5投标人的报价超过了采购预算或最高限价的。</w:t>
      </w:r>
      <w:r/>
    </w:p>
    <w:p>
      <w:pPr>
        <w:ind w:right="0" w:firstLine="480"/>
        <w:spacing w:line="400" w:lineRule="exact"/>
        <w:rPr>
          <w:rFonts w:ascii="仿宋" w:hAnsi="仿宋" w:eastAsia="仿宋" w:cs="仿宋"/>
          <w:bCs/>
          <w:i/>
          <w:color w:val="auto"/>
          <w:sz w:val="24"/>
          <w:szCs w:val="21"/>
          <w:highlight w:val="none"/>
          <w:u w:val="single"/>
        </w:rPr>
      </w:pPr>
      <w:r>
        <w:rPr>
          <w:rFonts w:ascii="仿宋" w:hAnsi="仿宋" w:eastAsia="仿宋" w:cs="仿宋"/>
          <w:bCs/>
          <w:color w:val="auto"/>
          <w:sz w:val="24"/>
          <w:szCs w:val="21"/>
          <w:highlight w:val="none"/>
        </w:rPr>
        <w:t xml:space="preserve">27.1.6未通过符合性审查的。</w:t>
      </w:r>
      <w:r/>
    </w:p>
    <w:p>
      <w:pPr>
        <w:ind w:right="0" w:firstLine="360"/>
        <w:spacing w:line="400" w:lineRule="exact"/>
        <w:rPr>
          <w:rFonts w:ascii="仿宋" w:hAnsi="仿宋" w:eastAsia="仿宋" w:cs="仿宋"/>
          <w:bCs/>
          <w:i/>
          <w:color w:val="auto"/>
          <w:sz w:val="24"/>
          <w:szCs w:val="21"/>
          <w:highlight w:val="none"/>
          <w:u w:val="single"/>
        </w:rPr>
      </w:pPr>
      <w:r>
        <w:rPr>
          <w:rFonts w:ascii="仿宋" w:hAnsi="仿宋" w:eastAsia="仿宋" w:cs="仿宋"/>
          <w:bCs/>
          <w:color w:val="auto"/>
          <w:sz w:val="24"/>
          <w:szCs w:val="21"/>
          <w:highlight w:val="none"/>
        </w:rPr>
        <w:t xml:space="preserve"> 27.1.7不符合招标文件中规定的实质性要求的（</w:t>
      </w:r>
      <w:r>
        <w:rPr>
          <w:rFonts w:ascii="仿宋" w:hAnsi="仿宋" w:eastAsia="仿宋" w:cs="仿宋"/>
          <w:bCs/>
          <w:i/>
          <w:color w:val="auto"/>
          <w:sz w:val="24"/>
          <w:szCs w:val="21"/>
          <w:highlight w:val="none"/>
          <w:u w:val="single"/>
        </w:rPr>
        <w:t xml:space="preserve">本招标文件中斜体且有下划线部分为实质性要求）。</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27.1.9  投标文件含有采购人不能接受的附加条件的。</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27.1.10评标委员会认为投标人的报价明显低于其他通过符合性审查投标人的报价，有可能影响产品质量或者不能诚信履约的，将通过</w:t>
      </w:r>
      <w:r>
        <w:rPr>
          <w:rFonts w:ascii="仿宋" w:hAnsi="仿宋" w:eastAsia="仿宋" w:cs="仿宋"/>
          <w:color w:val="auto"/>
          <w:sz w:val="24"/>
          <w:szCs w:val="24"/>
          <w:highlight w:val="none"/>
        </w:rPr>
        <w:t xml:space="preserve">苏采云系统</w:t>
      </w:r>
      <w:r>
        <w:rPr>
          <w:rFonts w:ascii="仿宋" w:hAnsi="仿宋" w:eastAsia="仿宋" w:cs="仿宋"/>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27.1.12 投标文件未按照招标文件要求加盖CA电子公章的。</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w:t>
      </w:r>
      <w:r>
        <w:rPr>
          <w:rFonts w:ascii="仿宋" w:hAnsi="仿宋" w:eastAsia="仿宋" w:cs="仿宋"/>
          <w:bCs/>
          <w:color w:val="auto"/>
          <w:sz w:val="24"/>
          <w:szCs w:val="21"/>
          <w:highlight w:val="none"/>
          <w:lang w:val="en-US" w:eastAsia="zh-CN"/>
        </w:rPr>
        <w:t xml:space="preserve">7</w:t>
      </w:r>
      <w:r>
        <w:rPr>
          <w:rFonts w:ascii="仿宋" w:hAnsi="仿宋" w:eastAsia="仿宋" w:cs="仿宋"/>
          <w:bCs/>
          <w:color w:val="auto"/>
          <w:sz w:val="24"/>
          <w:szCs w:val="21"/>
          <w:highlight w:val="none"/>
        </w:rPr>
        <w:t xml:space="preserve">.1.13 投标人所投标产品不符合招标文件中所列国家强制性标准的。</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lang w:val="en-US" w:eastAsia="zh-CN"/>
        </w:rPr>
        <w:t xml:space="preserve">27.1.14</w:t>
      </w:r>
      <w:r>
        <w:rPr>
          <w:rFonts w:ascii="仿宋" w:hAnsi="仿宋" w:eastAsia="仿宋" w:cs="仿宋"/>
          <w:bCs/>
          <w:color w:val="auto"/>
          <w:sz w:val="24"/>
          <w:szCs w:val="21"/>
          <w:highlight w:val="none"/>
        </w:rPr>
        <w:t xml:space="preserve">不同供应商的响应文件经系统查询Mac地址</w:t>
      </w:r>
      <w:r>
        <w:rPr>
          <w:rFonts w:ascii="仿宋" w:hAnsi="仿宋" w:eastAsia="仿宋" w:cs="仿宋"/>
          <w:bCs/>
          <w:color w:val="auto"/>
          <w:sz w:val="24"/>
          <w:szCs w:val="21"/>
          <w:highlight w:val="none"/>
          <w:lang w:val="en-US" w:eastAsia="zh-CN"/>
        </w:rPr>
        <w:t xml:space="preserve">或</w:t>
      </w:r>
      <w:r>
        <w:rPr>
          <w:rFonts w:ascii="仿宋" w:hAnsi="仿宋" w:eastAsia="仿宋" w:cs="仿宋"/>
          <w:bCs/>
          <w:color w:val="auto"/>
          <w:sz w:val="24"/>
          <w:szCs w:val="21"/>
          <w:highlight w:val="none"/>
        </w:rPr>
        <w:t xml:space="preserve">标书制作工具客户端标识码一致的（并移送政府采购监管部门进行处理）。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27.1.1</w:t>
      </w:r>
      <w:r>
        <w:rPr>
          <w:rFonts w:ascii="仿宋" w:hAnsi="仿宋" w:eastAsia="仿宋" w:cs="仿宋"/>
          <w:bCs/>
          <w:color w:val="auto"/>
          <w:sz w:val="24"/>
          <w:szCs w:val="21"/>
          <w:highlight w:val="none"/>
          <w:lang w:val="en-US" w:eastAsia="zh-CN"/>
        </w:rPr>
        <w:t xml:space="preserve">5</w:t>
      </w:r>
      <w:r>
        <w:rPr>
          <w:rFonts w:ascii="仿宋" w:hAnsi="仿宋" w:eastAsia="仿宋" w:cs="仿宋"/>
          <w:bCs/>
          <w:color w:val="auto"/>
          <w:sz w:val="24"/>
          <w:szCs w:val="21"/>
          <w:highlight w:val="none"/>
        </w:rPr>
        <w:t xml:space="preserve">其他法律、法规及本招标文件规定的属无效投标的情形。</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27.2废标条款</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27.2.1符合专业条件的</w:t>
      </w:r>
      <w:r>
        <w:rPr>
          <w:rFonts w:ascii="仿宋" w:hAnsi="仿宋" w:eastAsia="仿宋" w:cs="仿宋"/>
          <w:bCs/>
          <w:color w:val="auto"/>
          <w:sz w:val="24"/>
          <w:szCs w:val="21"/>
          <w:highlight w:val="none"/>
          <w:lang w:eastAsia="zh-CN"/>
        </w:rPr>
        <w:t xml:space="preserve">投标人</w:t>
      </w:r>
      <w:r>
        <w:rPr>
          <w:rFonts w:ascii="仿宋" w:hAnsi="仿宋" w:eastAsia="仿宋" w:cs="仿宋"/>
          <w:bCs/>
          <w:color w:val="auto"/>
          <w:sz w:val="24"/>
          <w:szCs w:val="21"/>
          <w:highlight w:val="none"/>
        </w:rPr>
        <w:t xml:space="preserve">或者对招标文件作实质响应的</w:t>
      </w:r>
      <w:r>
        <w:rPr>
          <w:rFonts w:ascii="仿宋" w:hAnsi="仿宋" w:eastAsia="仿宋" w:cs="仿宋"/>
          <w:bCs/>
          <w:color w:val="auto"/>
          <w:sz w:val="24"/>
          <w:szCs w:val="21"/>
          <w:highlight w:val="none"/>
          <w:lang w:eastAsia="zh-CN"/>
        </w:rPr>
        <w:t xml:space="preserve">投标人</w:t>
      </w:r>
      <w:r>
        <w:rPr>
          <w:rFonts w:ascii="仿宋" w:hAnsi="仿宋" w:eastAsia="仿宋" w:cs="仿宋"/>
          <w:bCs/>
          <w:color w:val="auto"/>
          <w:sz w:val="24"/>
          <w:szCs w:val="21"/>
          <w:highlight w:val="none"/>
        </w:rPr>
        <w:t xml:space="preserve">不足三家的。27.2.2出现影响采购公正的违法、违规行为的。</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27.2.3因重大变故，采购任务取消的。</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27.2.4评标委员会认定招标文件存在歧义、重大缺陷导致评审工作无法进行。</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27.2.5 因</w:t>
      </w:r>
      <w:r>
        <w:rPr>
          <w:rFonts w:ascii="仿宋" w:hAnsi="仿宋" w:eastAsia="仿宋" w:cs="仿宋"/>
          <w:color w:val="auto"/>
          <w:sz w:val="24"/>
          <w:szCs w:val="24"/>
          <w:highlight w:val="none"/>
        </w:rPr>
        <w:t xml:space="preserve">苏采云</w:t>
      </w:r>
      <w:r>
        <w:rPr>
          <w:rFonts w:ascii="仿宋" w:hAnsi="仿宋" w:eastAsia="仿宋" w:cs="仿宋"/>
          <w:bCs/>
          <w:color w:val="auto"/>
          <w:sz w:val="24"/>
          <w:szCs w:val="21"/>
          <w:highlight w:val="none"/>
        </w:rPr>
        <w:t xml:space="preserve">系统故障原因造成开标不成功的。</w:t>
      </w:r>
      <w:r/>
    </w:p>
    <w:p>
      <w:pPr>
        <w:ind w:left="479" w:right="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27.3 投标截止时间结束后参加投标的供应商不足三家的处理：</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27.3.1如出现投标截止时间结束后参加投标的供应商或者在评标期间对招标文件做出实质响应的供应商不足三家情况，按政府采购相关规定执行。</w:t>
      </w:r>
      <w:r/>
    </w:p>
    <w:p>
      <w:pPr>
        <w:ind w:right="0" w:firstLine="482"/>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六、定标</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28、确定中标单位</w:t>
      </w:r>
      <w:r/>
    </w:p>
    <w:p>
      <w:pPr>
        <w:ind w:right="0" w:firstLine="480"/>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28.1中标候选人的选取原则和数量见招标文件第五章规定。</w:t>
      </w:r>
      <w:r/>
    </w:p>
    <w:p>
      <w:pPr>
        <w:ind w:right="0" w:firstLine="480"/>
        <w:spacing w:line="4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28.2</w:t>
      </w:r>
      <w:r>
        <w:rPr>
          <w:rFonts w:ascii="仿宋" w:hAnsi="仿宋" w:eastAsia="仿宋" w:cs="仿宋"/>
          <w:bCs/>
          <w:color w:val="auto"/>
          <w:sz w:val="24"/>
          <w:szCs w:val="21"/>
          <w:highlight w:val="none"/>
        </w:rPr>
        <w:t xml:space="preserve">采购人在评标报告确定的中标候选人名单中按顺序确定中标人。</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bCs/>
          <w:color w:val="auto"/>
          <w:sz w:val="24"/>
          <w:szCs w:val="24"/>
          <w:highlight w:val="none"/>
        </w:rPr>
        <w:t xml:space="preserve">28.3</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将在“江苏政府采购网”发布中标公告，公告期限为1个工作日。</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28.4若有充分证据证明，中标人出现下列情况之一的，一经查实，将被取消中标资格：</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28.4.1提供虚假材料谋取中标的。</w:t>
      </w:r>
      <w:r/>
    </w:p>
    <w:p>
      <w:pPr>
        <w:ind w:right="0" w:firstLine="480"/>
        <w:spacing w:line="400" w:lineRule="exact"/>
        <w:rPr>
          <w:rFonts w:ascii="仿宋" w:hAnsi="仿宋" w:eastAsia="仿宋" w:cs="仿宋"/>
          <w:color w:val="auto"/>
          <w:highlight w:val="none"/>
        </w:rPr>
      </w:pPr>
      <w:r>
        <w:rPr>
          <w:rFonts w:ascii="仿宋" w:hAnsi="仿宋" w:eastAsia="仿宋" w:cs="仿宋"/>
          <w:color w:val="auto"/>
          <w:sz w:val="24"/>
          <w:szCs w:val="24"/>
          <w:highlight w:val="none"/>
        </w:rPr>
        <w:t xml:space="preserve">28.4.2向采购人、</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行贿或者提供其他不正当利益的。</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28.4.3</w:t>
      </w:r>
      <w:r>
        <w:rPr>
          <w:rFonts w:ascii="仿宋" w:hAnsi="仿宋" w:eastAsia="仿宋" w:cs="仿宋"/>
          <w:color w:val="auto"/>
          <w:sz w:val="24"/>
          <w:szCs w:val="24"/>
          <w:highlight w:val="none"/>
        </w:rPr>
        <w:t xml:space="preserve">属于本文件规定的无效条件，但在评标过程中又未被评委会发现的。</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28.4.</w:t>
      </w:r>
      <w:r>
        <w:rPr>
          <w:rFonts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rPr>
        <w:t xml:space="preserve">与采购人或者其他供应商恶意串通的。</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28.4.</w:t>
      </w:r>
      <w:r>
        <w:rPr>
          <w:rFonts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rPr>
        <w:t xml:space="preserve">采取不正当手段诋毁、排挤其他供应商的。</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w:t>
      </w:r>
      <w:r>
        <w:rPr>
          <w:rFonts w:ascii="仿宋" w:hAnsi="仿宋" w:eastAsia="仿宋" w:cs="仿宋"/>
          <w:color w:val="auto"/>
          <w:sz w:val="24"/>
          <w:szCs w:val="24"/>
          <w:highlight w:val="none"/>
        </w:rPr>
        <w:t xml:space="preserve">有下列情形之一的，视为投标人串通投标，投标无效：</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28.5.1不同投标人的投标文件由同一单位或者个人编制。</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28.5.2不同投标人委托同一单位或者个人办理投标事宜。</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28.5.3 不同投标人的投标文件载明的项目管理成员或者联系人员为同一人。</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28.5.4不同投标人的投标文件异常一致或者投标报价呈规律性差异。</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29、质疑处理</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提出质疑。上述应知其权益受到损害之日，是指：</w:t>
      </w:r>
      <w:r/>
    </w:p>
    <w:p>
      <w:pPr>
        <w:ind w:right="0" w:firstLine="480"/>
        <w:spacing w:line="400" w:lineRule="exact"/>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29.2.1</w:t>
      </w:r>
      <w:r>
        <w:rPr>
          <w:rFonts w:ascii="仿宋" w:hAnsi="仿宋" w:eastAsia="仿宋" w:cs="仿宋"/>
          <w:color w:val="auto"/>
          <w:sz w:val="24"/>
          <w:szCs w:val="24"/>
          <w:highlight w:val="none"/>
        </w:rPr>
        <w:t xml:space="preserve">对可以质疑的采购文件提出质疑的，为收到采购文件之日或者采购文件公告期</w:t>
      </w:r>
      <w:r>
        <w:rPr>
          <w:rFonts w:ascii="仿宋" w:hAnsi="仿宋" w:eastAsia="仿宋" w:cs="仿宋"/>
          <w:color w:val="auto"/>
          <w:sz w:val="24"/>
          <w:szCs w:val="24"/>
          <w:highlight w:val="none"/>
        </w:rPr>
        <w:t xml:space="preserve">限届满之日；</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29.2.2对采购过程提出质疑的，为各采购程序环节结束之日；</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29.2.3对中标或者成交结果提出质疑的，为中标或者成交结果公告期限届满之日。</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将只对供应商第一次质疑作出答复。</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29.3质疑函必须按照本招标文件中《质疑函范本》</w:t>
      </w:r>
      <w:r>
        <w:rPr>
          <w:rFonts w:ascii="仿宋" w:hAnsi="仿宋" w:eastAsia="仿宋" w:cs="仿宋"/>
          <w:color w:val="auto"/>
          <w:sz w:val="24"/>
          <w:szCs w:val="24"/>
          <w:highlight w:val="none"/>
          <w:lang w:eastAsia="zh-CN"/>
        </w:rPr>
        <w:t xml:space="preserve">（附件</w:t>
      </w:r>
      <w:r>
        <w:rPr>
          <w:rFonts w:ascii="仿宋" w:hAnsi="仿宋" w:eastAsia="仿宋" w:cs="仿宋"/>
          <w:color w:val="auto"/>
          <w:sz w:val="24"/>
          <w:szCs w:val="24"/>
          <w:highlight w:val="none"/>
          <w:lang w:val="en-US" w:eastAsia="zh-CN"/>
        </w:rPr>
        <w:t xml:space="preserve">13</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要求的格式和内容进行填写。供应商如组成联合体参加投标，则《质疑函范本》中要求签字、盖章、加盖公章之处，联合体各方均须按要求签字、盖章、加盖公章。</w:t>
      </w:r>
      <w:r/>
    </w:p>
    <w:p>
      <w:pPr>
        <w:ind w:right="0" w:firstLine="480"/>
        <w:spacing w:line="400" w:lineRule="exact"/>
        <w:rPr>
          <w:rFonts w:ascii="仿宋" w:hAnsi="仿宋" w:eastAsia="仿宋" w:cs="仿宋"/>
          <w:b/>
          <w:color w:val="auto"/>
          <w:sz w:val="24"/>
          <w:szCs w:val="24"/>
          <w:highlight w:val="none"/>
        </w:rPr>
      </w:pPr>
      <w:r>
        <w:rPr>
          <w:rFonts w:ascii="仿宋" w:hAnsi="仿宋" w:eastAsia="仿宋" w:cs="仿宋"/>
          <w:color w:val="auto"/>
          <w:sz w:val="24"/>
          <w:szCs w:val="24"/>
          <w:highlight w:val="none"/>
        </w:rPr>
        <w:t xml:space="preserve">29.4</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（含潜在</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）对采购方式、招标文件中采购需求、供应商资格条件、评标方法和评标标准、合同文本及资格审查结果的询问、质疑请向采购人提出，由采购人负责答复。</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对其他事项的询问、质疑请向</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提出，由</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负责答复。</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采购人及</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只接收以纸质原件形式送达的质疑,建议</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尽量通过邮寄方式提交质疑（采购人和</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不接受无快递运单号的快递）。</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采购人质疑接收人及联系方式</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见</w:t>
      </w:r>
      <w:r>
        <w:rPr>
          <w:rFonts w:ascii="仿宋" w:hAnsi="仿宋" w:eastAsia="仿宋" w:cs="仿宋"/>
          <w:color w:val="auto"/>
          <w:sz w:val="24"/>
          <w:szCs w:val="24"/>
          <w:highlight w:val="none"/>
          <w:lang w:eastAsia="zh-CN"/>
        </w:rPr>
        <w:t xml:space="preserve">本</w:t>
      </w:r>
      <w:r>
        <w:rPr>
          <w:rFonts w:ascii="仿宋" w:hAnsi="仿宋" w:eastAsia="仿宋" w:cs="仿宋"/>
          <w:color w:val="auto"/>
          <w:sz w:val="24"/>
          <w:szCs w:val="24"/>
          <w:highlight w:val="none"/>
        </w:rPr>
        <w:t xml:space="preserve">招标文件第一章。</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质疑受理部门及联系方式</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见</w:t>
      </w:r>
      <w:r>
        <w:rPr>
          <w:rFonts w:ascii="仿宋" w:hAnsi="仿宋" w:eastAsia="仿宋" w:cs="仿宋"/>
          <w:color w:val="auto"/>
          <w:sz w:val="24"/>
          <w:szCs w:val="24"/>
          <w:highlight w:val="none"/>
          <w:lang w:val="en-US" w:eastAsia="zh-CN"/>
        </w:rPr>
        <w:t xml:space="preserve">本</w:t>
      </w:r>
      <w:r>
        <w:rPr>
          <w:rFonts w:ascii="仿宋" w:hAnsi="仿宋" w:eastAsia="仿宋" w:cs="仿宋"/>
          <w:color w:val="auto"/>
          <w:sz w:val="24"/>
          <w:szCs w:val="24"/>
          <w:highlight w:val="none"/>
        </w:rPr>
        <w:t xml:space="preserve">招标文件第一</w:t>
      </w:r>
      <w:r>
        <w:rPr>
          <w:rFonts w:ascii="仿宋" w:hAnsi="仿宋" w:eastAsia="仿宋" w:cs="仿宋"/>
          <w:color w:val="auto"/>
          <w:sz w:val="24"/>
          <w:szCs w:val="24"/>
          <w:highlight w:val="none"/>
          <w:lang w:eastAsia="zh-CN"/>
        </w:rPr>
        <w:t xml:space="preserve">章</w:t>
      </w:r>
      <w:r>
        <w:rPr>
          <w:rFonts w:ascii="仿宋" w:hAnsi="仿宋" w:eastAsia="仿宋" w:cs="仿宋"/>
          <w:color w:val="auto"/>
          <w:sz w:val="24"/>
          <w:szCs w:val="24"/>
          <w:highlight w:val="none"/>
        </w:rPr>
        <w:t xml:space="preserve">。</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 以下情形的质疑不予受理</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29.5.1内容不符合《政府采购质疑和投诉办法》第十二条规定的质疑。</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29.5.2超出政府采购法定期限的质疑。</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29.5.3以传真、电子邮件等方式递交的非原件形式的质疑。</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29.5.4未参加投标活动的供应商或在投标活动中自身权益未受到损害的供应商所提出的质疑。</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29.5.5供应商组成联合体参加投标，联合体中任何一方或多方未按要求签字、盖章、加盖公章的质疑。</w:t>
      </w:r>
      <w:r/>
    </w:p>
    <w:p>
      <w:pPr>
        <w:ind w:right="0" w:firstLine="468"/>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29.6供应商提出书面质疑必须有理、有据，不得捏造事实、提供虚假材料进行恶意质疑。否则，一经查实，</w:t>
      </w:r>
      <w:r>
        <w:rPr>
          <w:rFonts w:ascii="仿宋" w:hAnsi="仿宋" w:eastAsia="仿宋" w:cs="仿宋"/>
          <w:color w:val="auto"/>
          <w:sz w:val="24"/>
          <w:szCs w:val="24"/>
          <w:highlight w:val="none"/>
          <w:lang w:eastAsia="zh-CN"/>
        </w:rPr>
        <w:t xml:space="preserve">采购人及</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有权依据政府采购的有关规定，报请政府采购监管部门对该供应商进行相应的行政处罚和记录该供应商的失信信息。</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30、中标通知书</w:t>
      </w:r>
      <w:r/>
    </w:p>
    <w:p>
      <w:pPr>
        <w:ind w:right="0" w:firstLine="60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30.l中标结果确定后，</w:t>
      </w:r>
      <w:r>
        <w:rPr>
          <w:rFonts w:ascii="仿宋" w:hAnsi="仿宋" w:eastAsia="仿宋" w:cs="仿宋"/>
          <w:color w:val="auto"/>
          <w:sz w:val="24"/>
          <w:szCs w:val="24"/>
          <w:highlight w:val="none"/>
          <w:lang w:val="en-US" w:eastAsia="zh-CN"/>
        </w:rPr>
        <w:t xml:space="preserve">代理机构</w:t>
      </w:r>
      <w:r>
        <w:rPr>
          <w:rFonts w:ascii="仿宋" w:hAnsi="仿宋" w:eastAsia="仿宋" w:cs="仿宋"/>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right="0" w:firstLine="60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30.2中标通知书将是合同的一个组成部分。对</w:t>
      </w:r>
      <w:r>
        <w:rPr>
          <w:rFonts w:ascii="仿宋" w:hAnsi="仿宋" w:eastAsia="仿宋" w:cs="仿宋"/>
          <w:color w:val="auto"/>
          <w:sz w:val="24"/>
          <w:szCs w:val="24"/>
          <w:highlight w:val="none"/>
          <w:lang w:eastAsia="zh-CN"/>
        </w:rPr>
        <w:t xml:space="preserve">采购人</w:t>
      </w:r>
      <w:r>
        <w:rPr>
          <w:rFonts w:ascii="仿宋" w:hAnsi="仿宋" w:eastAsia="仿宋" w:cs="仿宋"/>
          <w:color w:val="auto"/>
          <w:sz w:val="24"/>
          <w:szCs w:val="24"/>
          <w:highlight w:val="none"/>
        </w:rPr>
        <w:t xml:space="preserve">和中标</w:t>
      </w:r>
      <w:r>
        <w:rPr>
          <w:rFonts w:ascii="仿宋" w:hAnsi="仿宋" w:eastAsia="仿宋" w:cs="仿宋"/>
          <w:color w:val="auto"/>
          <w:sz w:val="24"/>
          <w:szCs w:val="24"/>
          <w:highlight w:val="none"/>
          <w:lang w:eastAsia="zh-CN"/>
        </w:rPr>
        <w:t xml:space="preserve">人</w:t>
      </w:r>
      <w:r>
        <w:rPr>
          <w:rFonts w:ascii="仿宋" w:hAnsi="仿宋" w:eastAsia="仿宋" w:cs="仿宋"/>
          <w:color w:val="auto"/>
          <w:sz w:val="24"/>
          <w:szCs w:val="24"/>
          <w:highlight w:val="none"/>
        </w:rPr>
        <w:t xml:space="preserve">均具有法律效力。中标通知书发出后，</w:t>
      </w:r>
      <w:r>
        <w:rPr>
          <w:rFonts w:ascii="仿宋" w:hAnsi="仿宋" w:eastAsia="仿宋" w:cs="仿宋"/>
          <w:color w:val="auto"/>
          <w:sz w:val="24"/>
          <w:szCs w:val="24"/>
          <w:highlight w:val="none"/>
          <w:lang w:eastAsia="zh-CN"/>
        </w:rPr>
        <w:t xml:space="preserve">采购人</w:t>
      </w:r>
      <w:r>
        <w:rPr>
          <w:rFonts w:ascii="仿宋" w:hAnsi="仿宋" w:eastAsia="仿宋" w:cs="仿宋"/>
          <w:color w:val="auto"/>
          <w:sz w:val="24"/>
          <w:szCs w:val="24"/>
          <w:highlight w:val="none"/>
        </w:rPr>
        <w:t xml:space="preserve">改变中标结果的，或者中标</w:t>
      </w:r>
      <w:r>
        <w:rPr>
          <w:rFonts w:ascii="仿宋" w:hAnsi="仿宋" w:eastAsia="仿宋" w:cs="仿宋"/>
          <w:color w:val="auto"/>
          <w:sz w:val="24"/>
          <w:szCs w:val="24"/>
          <w:highlight w:val="none"/>
          <w:lang w:eastAsia="zh-CN"/>
        </w:rPr>
        <w:t xml:space="preserve">人</w:t>
      </w:r>
      <w:r>
        <w:rPr>
          <w:rFonts w:ascii="仿宋" w:hAnsi="仿宋" w:eastAsia="仿宋" w:cs="仿宋"/>
          <w:color w:val="auto"/>
          <w:sz w:val="24"/>
          <w:szCs w:val="24"/>
          <w:highlight w:val="none"/>
        </w:rPr>
        <w:t xml:space="preserve">放弃中标项目的，应当依法承担法律责任。</w:t>
      </w:r>
      <w:r/>
    </w:p>
    <w:p>
      <w:pPr>
        <w:keepLines/>
        <w:keepNext/>
        <w:spacing w:before="145" w:after="145" w:line="4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七、授予合同</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31、签订合同</w:t>
      </w:r>
      <w:r/>
    </w:p>
    <w:p>
      <w:pPr>
        <w:ind w:right="0" w:firstLine="600"/>
        <w:spacing w:line="480" w:lineRule="exact"/>
        <w:rPr>
          <w:rFonts w:ascii="仿宋" w:hAnsi="仿宋" w:eastAsia="仿宋" w:cs="仿宋"/>
          <w:b/>
          <w:bCs/>
          <w:color w:val="auto"/>
          <w:sz w:val="24"/>
          <w:szCs w:val="24"/>
          <w:highlight w:val="none"/>
        </w:rPr>
      </w:pPr>
      <w:r>
        <w:rPr>
          <w:rFonts w:ascii="仿宋" w:hAnsi="仿宋" w:eastAsia="仿宋" w:cs="仿宋"/>
          <w:bCs/>
          <w:color w:val="auto"/>
          <w:sz w:val="24"/>
          <w:szCs w:val="24"/>
          <w:highlight w:val="none"/>
        </w:rPr>
        <w:t xml:space="preserve">31</w:t>
      </w:r>
      <w:r>
        <w:rPr>
          <w:rFonts w:ascii="仿宋" w:hAnsi="仿宋" w:eastAsia="仿宋" w:cs="仿宋"/>
          <w:color w:val="auto"/>
          <w:sz w:val="24"/>
          <w:szCs w:val="24"/>
          <w:highlight w:val="none"/>
        </w:rPr>
        <w:t xml:space="preserve">.l中标人应当在中标通知书发出之日起三十日内，按照招标文件确定的事项与</w:t>
      </w:r>
      <w:r>
        <w:rPr>
          <w:rFonts w:ascii="仿宋" w:hAnsi="仿宋" w:eastAsia="仿宋" w:cs="仿宋"/>
          <w:color w:val="auto"/>
          <w:sz w:val="24"/>
          <w:szCs w:val="24"/>
          <w:highlight w:val="none"/>
          <w:lang w:eastAsia="zh-CN"/>
        </w:rPr>
        <w:t xml:space="preserve">采购人</w:t>
      </w:r>
      <w:r>
        <w:rPr>
          <w:rFonts w:ascii="仿宋" w:hAnsi="仿宋" w:eastAsia="仿宋" w:cs="仿宋"/>
          <w:color w:val="auto"/>
          <w:sz w:val="24"/>
          <w:szCs w:val="24"/>
          <w:highlight w:val="none"/>
        </w:rPr>
        <w:t xml:space="preserve">签订政府采购合同。</w:t>
      </w:r>
      <w:r>
        <w:rPr>
          <w:rFonts w:ascii="仿宋" w:hAnsi="仿宋" w:eastAsia="仿宋" w:cs="仿宋"/>
          <w:b/>
          <w:bCs/>
          <w:color w:val="auto"/>
          <w:sz w:val="24"/>
          <w:szCs w:val="24"/>
          <w:highlight w:val="none"/>
          <w:lang w:eastAsia="zh-CN"/>
        </w:rPr>
        <w:t xml:space="preserve">中标</w:t>
      </w:r>
      <w:r>
        <w:rPr>
          <w:rFonts w:ascii="仿宋" w:hAnsi="仿宋" w:eastAsia="仿宋" w:cs="仿宋"/>
          <w:b/>
          <w:bCs/>
          <w:color w:val="auto"/>
          <w:sz w:val="24"/>
          <w:szCs w:val="24"/>
          <w:highlight w:val="none"/>
          <w:lang w:val="zh-CN"/>
        </w:rPr>
        <w:t xml:space="preserve">人应在中标结果公告之日起五个工作日内向</w:t>
      </w:r>
      <w:r>
        <w:rPr>
          <w:rFonts w:ascii="仿宋" w:hAnsi="仿宋" w:eastAsia="仿宋" w:cs="仿宋"/>
          <w:b/>
          <w:bCs/>
          <w:color w:val="auto"/>
          <w:sz w:val="24"/>
          <w:szCs w:val="24"/>
          <w:highlight w:val="none"/>
          <w:lang w:val="en-US" w:eastAsia="zh-CN"/>
        </w:rPr>
        <w:t xml:space="preserve">代理机构</w:t>
      </w:r>
      <w:r>
        <w:rPr>
          <w:rFonts w:ascii="仿宋" w:hAnsi="仿宋" w:eastAsia="仿宋" w:cs="仿宋"/>
          <w:b/>
          <w:bCs/>
          <w:color w:val="auto"/>
          <w:sz w:val="24"/>
          <w:szCs w:val="24"/>
          <w:highlight w:val="none"/>
        </w:rPr>
        <w:t xml:space="preserve">和采购</w:t>
      </w:r>
      <w:r>
        <w:rPr>
          <w:rFonts w:ascii="仿宋" w:hAnsi="仿宋" w:eastAsia="仿宋" w:cs="仿宋"/>
          <w:b/>
          <w:bCs/>
          <w:color w:val="auto"/>
          <w:sz w:val="24"/>
          <w:szCs w:val="24"/>
          <w:highlight w:val="none"/>
          <w:lang w:eastAsia="zh-CN"/>
        </w:rPr>
        <w:t xml:space="preserve">人</w:t>
      </w:r>
      <w:r>
        <w:rPr>
          <w:rFonts w:ascii="仿宋" w:hAnsi="仿宋" w:eastAsia="仿宋" w:cs="仿宋"/>
          <w:b/>
          <w:bCs/>
          <w:color w:val="auto"/>
          <w:sz w:val="24"/>
          <w:szCs w:val="24"/>
          <w:highlight w:val="none"/>
        </w:rPr>
        <w:t xml:space="preserve">各提供一份纸质版</w:t>
      </w:r>
      <w:r>
        <w:rPr>
          <w:rFonts w:ascii="仿宋" w:hAnsi="仿宋" w:eastAsia="仿宋" w:cs="仿宋"/>
          <w:b/>
          <w:bCs/>
          <w:color w:val="auto"/>
          <w:sz w:val="24"/>
          <w:szCs w:val="24"/>
          <w:highlight w:val="none"/>
          <w:lang w:eastAsia="zh-CN"/>
        </w:rPr>
        <w:t xml:space="preserve">投标</w:t>
      </w:r>
      <w:r>
        <w:rPr>
          <w:rFonts w:ascii="仿宋" w:hAnsi="仿宋" w:eastAsia="仿宋" w:cs="仿宋"/>
          <w:b/>
          <w:bCs/>
          <w:color w:val="auto"/>
          <w:sz w:val="24"/>
          <w:szCs w:val="24"/>
          <w:highlight w:val="none"/>
        </w:rPr>
        <w:t xml:space="preserve">文件</w:t>
      </w:r>
      <w:r>
        <w:rPr>
          <w:rFonts w:ascii="仿宋" w:hAnsi="仿宋" w:eastAsia="仿宋" w:cs="仿宋"/>
          <w:b/>
          <w:bCs/>
          <w:color w:val="auto"/>
          <w:sz w:val="24"/>
          <w:szCs w:val="24"/>
          <w:highlight w:val="none"/>
          <w:lang w:val="zh-CN"/>
        </w:rPr>
        <w:t xml:space="preserve">（须与上传电子档内容一致）</w:t>
      </w:r>
      <w:r>
        <w:rPr>
          <w:rFonts w:ascii="仿宋" w:hAnsi="仿宋" w:eastAsia="仿宋" w:cs="仿宋"/>
          <w:b/>
          <w:bCs/>
          <w:color w:val="auto"/>
          <w:sz w:val="24"/>
          <w:szCs w:val="24"/>
          <w:highlight w:val="none"/>
        </w:rPr>
        <w:t xml:space="preserve">。</w:t>
      </w:r>
      <w:r/>
    </w:p>
    <w:p>
      <w:pPr>
        <w:ind w:right="0" w:firstLine="60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31.2招标文件、中标人的投标文件及招标过程中有关澄清、承诺文件均应作为合同附件。</w:t>
      </w:r>
      <w:r/>
    </w:p>
    <w:p>
      <w:pPr>
        <w:ind w:right="0" w:firstLine="60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32、货物</w:t>
      </w:r>
      <w:r>
        <w:rPr>
          <w:rFonts w:ascii="仿宋" w:hAnsi="仿宋" w:eastAsia="仿宋" w:cs="仿宋"/>
          <w:b/>
          <w:bCs/>
          <w:color w:val="auto"/>
          <w:sz w:val="28"/>
          <w:szCs w:val="28"/>
          <w:highlight w:val="none"/>
          <w:lang w:eastAsia="zh-CN"/>
        </w:rPr>
        <w:t xml:space="preserve">（包含与货物相关的服务）</w:t>
      </w:r>
      <w:r>
        <w:rPr>
          <w:rFonts w:ascii="仿宋" w:hAnsi="仿宋" w:eastAsia="仿宋" w:cs="仿宋"/>
          <w:b/>
          <w:bCs/>
          <w:color w:val="auto"/>
          <w:sz w:val="28"/>
          <w:szCs w:val="28"/>
          <w:highlight w:val="none"/>
        </w:rPr>
        <w:t xml:space="preserve">的追加、减少和添购。</w:t>
      </w:r>
      <w:r/>
    </w:p>
    <w:p>
      <w:pPr>
        <w:ind w:right="0" w:firstLine="480"/>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rPr>
        <w:t xml:space="preserve">2.1政府采购合同履行中，采购人需追加与合同标的相同的货物</w:t>
      </w:r>
      <w:r>
        <w:rPr>
          <w:rFonts w:ascii="仿宋" w:hAnsi="仿宋" w:eastAsia="仿宋" w:cs="仿宋"/>
          <w:color w:val="auto"/>
          <w:sz w:val="24"/>
          <w:szCs w:val="24"/>
          <w:highlight w:val="none"/>
          <w:lang w:eastAsia="zh-CN"/>
        </w:rPr>
        <w:t xml:space="preserve">（包含与货物相关的服务）</w:t>
      </w:r>
      <w:r>
        <w:rPr>
          <w:rFonts w:ascii="仿宋" w:hAnsi="仿宋" w:eastAsia="仿宋" w:cs="仿宋"/>
          <w:color w:val="auto"/>
          <w:sz w:val="24"/>
          <w:szCs w:val="24"/>
          <w:highlight w:val="none"/>
        </w:rPr>
        <w:t xml:space="preserve">的，在不改变合同其他条款的前提下，可以与中标人协商签订补充合同，但所有补充合同的采购金额不超过原合同金额10%。</w:t>
      </w:r>
      <w:r/>
    </w:p>
    <w:p>
      <w:pPr>
        <w:ind w:right="0" w:firstLine="480"/>
        <w:spacing w:line="500" w:lineRule="exact"/>
        <w:rPr>
          <w:rFonts w:ascii="仿宋" w:hAnsi="仿宋" w:eastAsia="仿宋" w:cs="仿宋"/>
          <w:b/>
          <w:color w:val="auto"/>
          <w:sz w:val="24"/>
          <w:szCs w:val="24"/>
          <w:highlight w:val="none"/>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p>
    <w:p>
      <w:pPr>
        <w:ind w:right="0" w:firstLine="422"/>
        <w:keepLines/>
        <w:keepNext/>
        <w:spacing w:line="40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33、政府采购履约资金扶持政策</w:t>
      </w:r>
      <w:r/>
    </w:p>
    <w:p>
      <w:pPr>
        <w:ind w:right="0" w:firstLine="555"/>
        <w:jc w:val="left"/>
        <w:spacing w:line="4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lang w:val="en-US" w:eastAsia="zh-CN"/>
        </w:rPr>
        <w:t xml:space="preserve">33.1</w:t>
      </w:r>
      <w:r>
        <w:rPr>
          <w:rFonts w:ascii="仿宋" w:hAnsi="仿宋" w:eastAsia="仿宋" w:cs="仿宋"/>
          <w:bCs/>
          <w:color w:val="auto"/>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p>
    <w:p>
      <w:pPr>
        <w:ind w:right="0" w:firstLine="555"/>
        <w:jc w:val="left"/>
        <w:spacing w:line="4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lang w:val="en-US" w:eastAsia="zh-CN"/>
        </w:rPr>
        <w:t xml:space="preserve">33.2</w:t>
      </w:r>
      <w:r>
        <w:rPr>
          <w:rFonts w:ascii="仿宋" w:hAnsi="仿宋" w:eastAsia="仿宋" w:cs="仿宋"/>
          <w:bCs/>
          <w:color w:val="auto"/>
          <w:sz w:val="24"/>
          <w:szCs w:val="24"/>
          <w:highlight w:val="none"/>
          <w:lang w:eastAsia="zh-CN"/>
        </w:rPr>
        <w:t xml:space="preserve">履约保证金</w:t>
      </w:r>
      <w:r>
        <w:rPr>
          <w:rFonts w:ascii="仿宋" w:hAnsi="仿宋" w:eastAsia="仿宋" w:cs="仿宋"/>
          <w:bCs/>
          <w:color w:val="auto"/>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right="0" w:firstLine="420"/>
        <w:jc w:val="left"/>
        <w:spacing w:line="4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5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jc w:val="left"/>
        <w:keepNext/>
        <w:rPr>
          <w:rFonts w:ascii="仿宋" w:hAnsi="仿宋" w:eastAsia="仿宋" w:cs="仿宋"/>
          <w:bCs/>
          <w:color w:val="auto"/>
          <w:sz w:val="44"/>
          <w:szCs w:val="28"/>
          <w:highlight w:val="none"/>
        </w:rPr>
      </w:pPr>
      <w:r>
        <w:rPr>
          <w:rFonts w:ascii="仿宋" w:hAnsi="仿宋" w:eastAsia="仿宋" w:cs="仿宋"/>
          <w:bCs/>
          <w:color w:val="auto"/>
          <w:sz w:val="44"/>
          <w:szCs w:val="28"/>
          <w:highlight w:val="none"/>
        </w:rPr>
      </w:r>
      <w:r/>
    </w:p>
    <w:p>
      <w:pPr>
        <w:ind w:right="0" w:firstLine="2640"/>
        <w:jc w:val="left"/>
        <w:keepNext/>
        <w:rPr>
          <w:rFonts w:ascii="仿宋" w:hAnsi="仿宋" w:eastAsia="仿宋" w:cs="仿宋"/>
          <w:bCs/>
          <w:color w:val="auto"/>
          <w:sz w:val="44"/>
          <w:szCs w:val="28"/>
          <w:highlight w:val="none"/>
        </w:rPr>
      </w:pPr>
      <w:r>
        <w:rPr>
          <w:color w:val="auto"/>
          <w:highlight w:val="none"/>
        </w:rPr>
        <w:br w:type="page" w:clear="all"/>
      </w:r>
      <w:r/>
    </w:p>
    <w:p>
      <w:pPr>
        <w:numPr>
          <w:ilvl w:val="0"/>
          <w:numId w:val="0"/>
        </w:numPr>
        <w:ind w:right="0" w:firstLine="2640"/>
        <w:jc w:val="left"/>
        <w:keepNext/>
        <w:rPr>
          <w:rFonts w:ascii="仿宋" w:hAnsi="仿宋" w:eastAsia="仿宋" w:cs="仿宋"/>
          <w:b/>
          <w:bCs w:val="0"/>
          <w:color w:val="auto"/>
          <w:sz w:val="44"/>
          <w:szCs w:val="28"/>
          <w:highlight w:val="none"/>
        </w:rPr>
        <w:outlineLvl w:val="0"/>
      </w:pPr>
      <w:r/>
      <w:bookmarkStart w:id="3" w:name="__RefHeading___Toc15715"/>
      <w:r/>
      <w:bookmarkEnd w:id="3"/>
      <w:r>
        <w:rPr>
          <w:rFonts w:ascii="仿宋" w:hAnsi="仿宋" w:eastAsia="仿宋" w:cs="仿宋"/>
          <w:b/>
          <w:bCs w:val="0"/>
          <w:color w:val="auto"/>
          <w:sz w:val="44"/>
          <w:szCs w:val="28"/>
          <w:highlight w:val="none"/>
        </w:rPr>
        <w:t xml:space="preserve">第三章  合同文本</w:t>
      </w:r>
      <w:r/>
    </w:p>
    <w:p>
      <w:pPr>
        <w:ind w:right="0" w:firstLine="480"/>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以下为中标后签定本项目合同的通用条款，中标人不得提出实质性的修改。</w:t>
      </w:r>
      <w:r/>
    </w:p>
    <w:p>
      <w:pPr>
        <w:pStyle w:val="805"/>
        <w:ind w:left="0" w:firstLine="0"/>
        <w:rPr>
          <w:rFonts w:ascii="仿宋" w:hAnsi="仿宋" w:eastAsia="仿宋" w:cs="仿宋"/>
          <w:b/>
          <w:color w:val="auto"/>
          <w:sz w:val="30"/>
          <w:szCs w:val="21"/>
          <w:highlight w:val="none"/>
        </w:rPr>
      </w:pPr>
      <w:r>
        <w:rPr>
          <w:rFonts w:ascii="仿宋" w:hAnsi="仿宋" w:eastAsia="仿宋" w:cs="仿宋"/>
          <w:b/>
          <w:color w:val="auto"/>
          <w:sz w:val="30"/>
          <w:szCs w:val="21"/>
          <w:highlight w:val="none"/>
        </w:rPr>
      </w:r>
      <w:r/>
    </w:p>
    <w:p>
      <w:pPr>
        <w:jc w:val="center"/>
        <w:spacing w:before="145" w:after="145"/>
        <w:rPr>
          <w:rFonts w:ascii="仿宋" w:hAnsi="仿宋" w:eastAsia="仿宋" w:cs="仿宋"/>
          <w:b/>
          <w:bCs/>
          <w:color w:val="auto"/>
          <w:sz w:val="30"/>
          <w:szCs w:val="20"/>
          <w:highlight w:val="none"/>
        </w:rPr>
      </w:pPr>
      <w:r>
        <w:rPr>
          <w:rFonts w:ascii="仿宋" w:hAnsi="仿宋" w:eastAsia="仿宋" w:cs="仿宋"/>
          <w:b/>
          <w:color w:val="auto"/>
          <w:sz w:val="30"/>
          <w:szCs w:val="21"/>
          <w:highlight w:val="none"/>
        </w:rPr>
        <w:t xml:space="preserve">江苏省政府采购合同（货物）（合同编号）</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u w:val="single"/>
          <w:lang w:eastAsia="zh-CN"/>
        </w:rPr>
        <w:t xml:space="preserve">如东县应急管理局危化品事故处置模块车采购项目</w:t>
      </w:r>
      <w:r>
        <w:rPr>
          <w:rFonts w:ascii="仿宋" w:hAnsi="仿宋" w:eastAsia="仿宋" w:cs="仿宋"/>
          <w:color w:val="auto"/>
          <w:sz w:val="24"/>
          <w:szCs w:val="24"/>
          <w:highlight w:val="none"/>
        </w:rPr>
        <w:t xml:space="preserve">                   </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            </w:t>
      </w:r>
      <w:r/>
    </w:p>
    <w:p>
      <w:pPr>
        <w:spacing w:before="120" w:after="120"/>
        <w:rPr>
          <w:rFonts w:hint="default"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rPr>
        <w:t xml:space="preserve">甲方：（买方）</w:t>
      </w:r>
      <w:r>
        <w:rPr>
          <w:rFonts w:hint="eastAsia" w:ascii="仿宋" w:hAnsi="仿宋" w:eastAsia="仿宋" w:cs="仿宋"/>
          <w:color w:val="auto"/>
          <w:sz w:val="24"/>
          <w:szCs w:val="24"/>
          <w:highlight w:val="none"/>
          <w:u w:val="single"/>
          <w:lang w:val="en-US" w:eastAsia="zh-CN"/>
        </w:rPr>
        <w:t xml:space="preserve">           </w:t>
      </w:r>
      <w:r/>
    </w:p>
    <w:p>
      <w:pPr>
        <w:spacing w:before="120" w:after="120"/>
        <w:rPr>
          <w:rFonts w:hint="default"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rPr>
        <w:t xml:space="preserve">乙方：（卖方）</w:t>
      </w:r>
      <w:r>
        <w:rPr>
          <w:rFonts w:hint="eastAsia" w:ascii="仿宋" w:hAnsi="仿宋" w:eastAsia="仿宋" w:cs="仿宋"/>
          <w:color w:val="auto"/>
          <w:sz w:val="24"/>
          <w:szCs w:val="24"/>
          <w:highlight w:val="none"/>
          <w:u w:val="single"/>
          <w:lang w:val="en-US" w:eastAsia="zh-CN"/>
        </w:rPr>
        <w:t xml:space="preserve">           </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w:t>
      </w:r>
      <w:r/>
    </w:p>
    <w:p>
      <w:pPr>
        <w:spacing w:before="120" w:after="120"/>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一、合同内容</w:t>
      </w:r>
      <w:r/>
    </w:p>
    <w:p>
      <w:pPr>
        <w:spacing w:before="120" w:after="120"/>
        <w:rPr>
          <w:rFonts w:hint="eastAsia"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rPr>
        <w:t xml:space="preserve">1.1 标的名称：</w:t>
      </w:r>
      <w:r>
        <w:rPr>
          <w:rFonts w:hint="eastAsia" w:ascii="仿宋" w:hAnsi="仿宋" w:eastAsia="仿宋" w:cs="仿宋"/>
          <w:color w:val="auto"/>
          <w:sz w:val="24"/>
          <w:szCs w:val="24"/>
          <w:highlight w:val="none"/>
          <w:u w:val="single"/>
          <w:lang w:eastAsia="zh-CN"/>
        </w:rPr>
        <w:t xml:space="preserve">如东县应急管理局危化品事故处置模块车采购项目</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 标的质量：</w:t>
      </w:r>
      <w:r>
        <w:rPr>
          <w:rFonts w:ascii="仿宋" w:hAnsi="仿宋" w:eastAsia="仿宋" w:cs="仿宋"/>
          <w:color w:val="auto"/>
          <w:sz w:val="24"/>
          <w:szCs w:val="24"/>
          <w:highlight w:val="none"/>
          <w:u w:val="single"/>
          <w:lang w:val="en-US" w:eastAsia="zh-CN"/>
        </w:rPr>
        <w:t xml:space="preserve">达到招标文件的要求</w:t>
      </w:r>
      <w:r/>
    </w:p>
    <w:p>
      <w:pPr>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 标的数量（规模）：</w:t>
      </w:r>
      <w:r>
        <w:rPr>
          <w:rFonts w:ascii="仿宋" w:hAnsi="仿宋" w:eastAsia="仿宋" w:cs="仿宋"/>
          <w:color w:val="auto"/>
          <w:sz w:val="24"/>
          <w:szCs w:val="24"/>
          <w:highlight w:val="none"/>
          <w:u w:val="single"/>
          <w:lang w:val="en-US" w:eastAsia="zh-CN"/>
        </w:rPr>
        <w:t xml:space="preserve">详见招标文件的采购需求清单</w:t>
      </w:r>
      <w:r/>
    </w:p>
    <w:p>
      <w:pPr>
        <w:spacing w:before="120" w:after="120"/>
        <w:rPr>
          <w:rFonts w:hint="default" w:ascii="仿宋" w:hAnsi="仿宋" w:eastAsia="仿宋" w:cs="仿宋"/>
          <w:color w:val="auto"/>
          <w:sz w:val="24"/>
          <w:szCs w:val="24"/>
          <w:highlight w:val="none"/>
          <w:u w:val="single"/>
          <w:lang w:val="en-US" w:eastAsia="zh-CN"/>
        </w:rPr>
      </w:pPr>
      <w:r>
        <w:rPr>
          <w:rFonts w:ascii="仿宋" w:hAnsi="仿宋" w:eastAsia="仿宋" w:cs="仿宋"/>
          <w:color w:val="auto"/>
          <w:sz w:val="24"/>
          <w:szCs w:val="24"/>
          <w:highlight w:val="none"/>
        </w:rPr>
        <w:t xml:space="preserve">1.4 履行时间（期限）：</w:t>
      </w:r>
      <w:r>
        <w:rPr>
          <w:rFonts w:hint="eastAsia" w:ascii="仿宋" w:hAnsi="仿宋" w:eastAsia="仿宋" w:cs="仿宋"/>
          <w:color w:val="auto"/>
          <w:sz w:val="24"/>
          <w:szCs w:val="24"/>
          <w:highlight w:val="none"/>
          <w:u w:val="single"/>
          <w:lang w:val="en-US" w:eastAsia="zh-CN"/>
        </w:rPr>
        <w:t xml:space="preserve">                  </w:t>
      </w:r>
      <w:r/>
    </w:p>
    <w:p>
      <w:pPr>
        <w:spacing w:before="120" w:after="120"/>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rPr>
        <w:t xml:space="preserve">1.5 履行地点：</w:t>
      </w:r>
      <w:r>
        <w:rPr>
          <w:rFonts w:ascii="仿宋" w:hAnsi="仿宋" w:eastAsia="仿宋" w:cs="仿宋"/>
          <w:color w:val="auto"/>
          <w:sz w:val="24"/>
          <w:szCs w:val="24"/>
          <w:highlight w:val="none"/>
          <w:u w:val="single"/>
          <w:lang w:val="en-US" w:eastAsia="zh-CN"/>
        </w:rPr>
        <w:t xml:space="preserve">采购人指定地点</w:t>
      </w:r>
      <w:r/>
    </w:p>
    <w:p>
      <w:pPr>
        <w:spacing w:before="120" w:after="120"/>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rPr>
        <w:t xml:space="preserve">1.6 履行方式：</w:t>
      </w:r>
      <w:r>
        <w:rPr>
          <w:rFonts w:ascii="仿宋" w:hAnsi="仿宋" w:eastAsia="仿宋" w:cs="仿宋"/>
          <w:color w:val="auto"/>
          <w:sz w:val="24"/>
          <w:szCs w:val="24"/>
          <w:highlight w:val="none"/>
          <w:u w:val="single"/>
          <w:lang w:val="en-US" w:eastAsia="zh-CN"/>
        </w:rPr>
        <w:t xml:space="preserve">按招标文件执行</w:t>
      </w:r>
      <w:r/>
    </w:p>
    <w:p>
      <w:pPr>
        <w:spacing w:before="120" w:after="120"/>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rPr>
        <w:t xml:space="preserve">1.7 包装方式：</w:t>
      </w:r>
      <w:r>
        <w:rPr>
          <w:rFonts w:ascii="仿宋" w:hAnsi="仿宋" w:eastAsia="仿宋" w:cs="仿宋"/>
          <w:color w:val="auto"/>
          <w:sz w:val="24"/>
          <w:szCs w:val="24"/>
          <w:highlight w:val="none"/>
          <w:u w:val="single"/>
          <w:lang w:val="en-US" w:eastAsia="zh-CN"/>
        </w:rPr>
        <w:t xml:space="preserve">按招标文件执行</w:t>
      </w:r>
      <w:r/>
    </w:p>
    <w:p>
      <w:pPr>
        <w:spacing w:before="120" w:after="120"/>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二、合同金额</w:t>
      </w:r>
      <w:r/>
    </w:p>
    <w:p>
      <w:pPr>
        <w:ind w:left="410" w:right="0" w:hanging="410"/>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2.1 本合同金额为（大写）：</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none"/>
          <w:lang w:val="en-US" w:eastAsia="zh-CN"/>
        </w:rPr>
        <w:t xml:space="preserve">元</w:t>
      </w:r>
      <w:r>
        <w:rPr>
          <w:rFonts w:ascii="仿宋" w:hAnsi="仿宋" w:eastAsia="仿宋" w:cs="仿宋"/>
          <w:color w:val="auto"/>
          <w:sz w:val="24"/>
          <w:szCs w:val="24"/>
          <w:highlight w:val="non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元）人民币或其他币种。</w:t>
      </w:r>
      <w:r/>
    </w:p>
    <w:p>
      <w:pPr>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三、技术资料</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3.1乙方应按招标文件规定的时间向甲方提供使用货物(包含与货物相关的服务)的有关技术资料。</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四、知识产权</w:t>
      </w:r>
      <w:r/>
    </w:p>
    <w:p>
      <w:pPr>
        <w:ind w:right="0"/>
        <w:keepLines w:val="0"/>
        <w:keepNext w:val="0"/>
        <w:pageBreakBefore w:val="0"/>
        <w:spacing w:line="0" w:lineRule="atLeast"/>
        <w:widowControl w:val="off"/>
        <w:rPr>
          <w:rFonts w:ascii="仿宋" w:hAnsi="仿宋" w:eastAsia="仿宋" w:cs="仿宋"/>
          <w:b/>
          <w:color w:val="auto"/>
          <w:sz w:val="24"/>
          <w:szCs w:val="24"/>
          <w:highlight w:val="none"/>
        </w:rPr>
      </w:pPr>
      <w:r>
        <w:rPr>
          <w:rFonts w:ascii="仿宋" w:hAnsi="仿宋" w:eastAsia="仿宋" w:cs="仿宋"/>
          <w:color w:val="auto"/>
          <w:sz w:val="24"/>
          <w:szCs w:val="24"/>
          <w:highlight w:val="none"/>
        </w:rPr>
        <w:t xml:space="preserve">4.1乙</w:t>
      </w:r>
      <w:r>
        <w:rPr>
          <w:rFonts w:ascii="仿宋" w:hAnsi="仿宋" w:eastAsia="仿宋" w:cs="仿宋"/>
          <w:color w:val="auto"/>
          <w:sz w:val="24"/>
          <w:szCs w:val="21"/>
          <w:highlight w:val="none"/>
        </w:rPr>
        <w:t xml:space="preserve">方应保证甲方在使用、接受本合同货物</w:t>
      </w:r>
      <w:r>
        <w:rPr>
          <w:rFonts w:ascii="仿宋" w:hAnsi="仿宋" w:eastAsia="仿宋" w:cs="仿宋"/>
          <w:color w:val="auto"/>
          <w:sz w:val="24"/>
          <w:szCs w:val="24"/>
          <w:highlight w:val="none"/>
        </w:rPr>
        <w:t xml:space="preserve">（包含与货物相关的服务）</w:t>
      </w:r>
      <w:r>
        <w:rPr>
          <w:rFonts w:ascii="仿宋" w:hAnsi="仿宋" w:eastAsia="仿宋" w:cs="仿宋"/>
          <w:color w:val="auto"/>
          <w:sz w:val="24"/>
          <w:szCs w:val="21"/>
          <w:highlight w:val="none"/>
        </w:rPr>
        <w:t xml:space="preserve">或其任何一部分时不受第三方提出侵犯其专利权、版权、商标权和工业设计权等知识产权的起诉。一旦出现侵权，由乙方负全部责任。</w:t>
      </w:r>
      <w:r/>
    </w:p>
    <w:p>
      <w:pPr>
        <w:ind w:right="0"/>
        <w:keepLines w:val="0"/>
        <w:keepNext w:val="0"/>
        <w:pageBreakBefore w:val="0"/>
        <w:spacing w:before="120" w:after="120"/>
        <w:widowControl w:val="off"/>
        <w:rPr>
          <w:rFonts w:ascii="仿宋" w:hAnsi="仿宋" w:eastAsia="仿宋" w:cs="仿宋"/>
          <w:color w:val="auto"/>
          <w:sz w:val="24"/>
          <w:szCs w:val="24"/>
          <w:highlight w:val="none"/>
          <w:u w:val="single"/>
        </w:rPr>
      </w:pPr>
      <w:r>
        <w:rPr>
          <w:rFonts w:ascii="仿宋" w:hAnsi="仿宋" w:eastAsia="仿宋" w:cs="仿宋"/>
          <w:b/>
          <w:color w:val="auto"/>
          <w:sz w:val="24"/>
          <w:szCs w:val="24"/>
          <w:highlight w:val="none"/>
        </w:rPr>
        <w:t xml:space="preserve">五、产权担保</w:t>
      </w:r>
      <w:r/>
    </w:p>
    <w:p>
      <w:pPr>
        <w:ind w:right="0"/>
        <w:keepLines w:val="0"/>
        <w:keepNext w:val="0"/>
        <w:pageBreakBefore w:val="0"/>
        <w:spacing w:before="120" w:after="120"/>
        <w:widowControl w:val="off"/>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5.1 乙方保证所交付的货物（包含与货物相关的服务）的所有权完全属于乙方且无任何抵押、查封等产权瑕疵。</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六、履约保证金</w:t>
      </w:r>
      <w:r/>
    </w:p>
    <w:p>
      <w:pPr>
        <w:ind w:right="0"/>
        <w:keepLines w:val="0"/>
        <w:keepNext w:val="0"/>
        <w:pageBreakBefore w:val="0"/>
        <w:spacing w:before="120" w:after="120"/>
        <w:widowControl w:val="off"/>
        <w:rPr>
          <w:rFonts w:ascii="仿宋" w:hAnsi="仿宋" w:eastAsia="仿宋" w:cs="仿宋"/>
          <w:b/>
          <w:bCs/>
          <w:color w:val="auto"/>
          <w:sz w:val="24"/>
          <w:szCs w:val="24"/>
          <w:highlight w:val="none"/>
        </w:rPr>
      </w:pPr>
      <w:r>
        <w:rPr>
          <w:rFonts w:ascii="仿宋" w:hAnsi="仿宋" w:eastAsia="仿宋" w:cs="仿宋"/>
          <w:color w:val="auto"/>
          <w:sz w:val="24"/>
          <w:szCs w:val="24"/>
          <w:highlight w:val="none"/>
        </w:rPr>
        <w:t xml:space="preserve">6.1 乙方交纳人民币</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元作为本合同的履约保证金。</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6.2合同履行结束后，甲方应及时退还交纳的履约保证金。</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6.2.1履约保证金退还方式：</w:t>
      </w:r>
      <w:r>
        <w:rPr>
          <w:rFonts w:ascii="仿宋" w:hAnsi="仿宋" w:eastAsia="仿宋" w:cs="仿宋"/>
          <w:color w:val="auto"/>
          <w:sz w:val="24"/>
          <w:szCs w:val="24"/>
          <w:highlight w:val="none"/>
          <w:u w:val="single"/>
          <w:lang w:val="en-US" w:eastAsia="zh-CN"/>
        </w:rPr>
        <w:t xml:space="preserve">根据乙方履约保证金缴纳方式进行退还</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6.2.2履约保证金退还时间：</w:t>
      </w:r>
      <w:r>
        <w:rPr>
          <w:rFonts w:ascii="仿宋" w:hAnsi="仿宋" w:eastAsia="仿宋" w:cs="仿宋"/>
          <w:color w:val="auto"/>
          <w:sz w:val="24"/>
          <w:szCs w:val="24"/>
          <w:highlight w:val="none"/>
          <w:u w:val="single"/>
          <w:lang w:val="en-US" w:eastAsia="zh-CN"/>
        </w:rPr>
        <w:t xml:space="preserve">验收合格后退还</w:t>
      </w:r>
      <w:r/>
    </w:p>
    <w:p>
      <w:pPr>
        <w:ind w:right="0"/>
        <w:keepLines w:val="0"/>
        <w:keepNext w:val="0"/>
        <w:pageBreakBefore w:val="0"/>
        <w:spacing w:before="145" w:after="145"/>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rPr>
        <w:t xml:space="preserve">6.2.3履约保证金退还条件：</w:t>
      </w:r>
      <w:r>
        <w:rPr>
          <w:rFonts w:ascii="仿宋" w:hAnsi="仿宋" w:eastAsia="仿宋" w:cs="仿宋"/>
          <w:color w:val="auto"/>
          <w:sz w:val="24"/>
          <w:szCs w:val="24"/>
          <w:highlight w:val="none"/>
          <w:lang w:val="en-US" w:eastAsia="zh-CN"/>
        </w:rPr>
        <w:t xml:space="preserve">乙方全部履约合同义务，经甲方验收合格无质量、进度等问题的，甲方在验收合格后一次性退还履约保证金，甲方若逾期退还履约保证金的，按照逾期部分的每日0.05%支付违约金。</w:t>
      </w:r>
      <w:r/>
    </w:p>
    <w:p>
      <w:pPr>
        <w:ind w:right="0"/>
        <w:keepLines w:val="0"/>
        <w:keepNext w:val="0"/>
        <w:pageBreakBefore w:val="0"/>
        <w:spacing w:before="145" w:after="145" w:line="24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6.2.4发生以下情况的，履约保证金不予退还或部分退还：</w:t>
      </w:r>
      <w:r/>
    </w:p>
    <w:p>
      <w:pPr>
        <w:ind w:right="0"/>
        <w:keepLines w:val="0"/>
        <w:keepNext w:val="0"/>
        <w:pageBreakBefore w:val="0"/>
        <w:spacing w:before="145" w:after="145" w:line="240" w:lineRule="auto"/>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6.2.4.1 签订合同后，乙方不履行合同义务的，甲方有权全额扣除履约保证金，全额不予退还，同时甲方亦有权终止合同，乙方还须承担相应的法律赔偿责任。</w:t>
      </w:r>
      <w:r/>
    </w:p>
    <w:p>
      <w:pPr>
        <w:ind w:right="0"/>
        <w:keepLines w:val="0"/>
        <w:keepNext w:val="0"/>
        <w:pageBreakBefore w:val="0"/>
        <w:spacing w:before="145" w:after="145"/>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6.2.4.2 乙方在履约过程中发生违约行为，给甲方造成损失的，甲方有权在乙方缴纳的履约保证金中予以扣款，以弥补甲方经济损失，不足的部分乙方另外补齐。</w:t>
      </w:r>
      <w:r/>
    </w:p>
    <w:p>
      <w:pPr>
        <w:ind w:right="0"/>
        <w:keepLines w:val="0"/>
        <w:keepNext w:val="0"/>
        <w:pageBreakBefore w:val="0"/>
        <w:spacing w:before="145" w:after="145"/>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七、合同转包或分包</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7.1乙方不得将合同标的转包给他人履行。</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7.2乙方不得将合同标的分包给他人履行。</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7.3乙方如有转包或未经甲方同意的分包行为，甲方有权给予终止合同。</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八、合同款项支付</w:t>
      </w:r>
      <w:r/>
    </w:p>
    <w:p>
      <w:pPr>
        <w:ind w:right="0"/>
        <w:keepLines w:val="0"/>
        <w:keepNext w:val="0"/>
        <w:pageBreakBefore w:val="0"/>
        <w:spacing w:before="120" w:after="120"/>
        <w:widowControl w:val="off"/>
        <w:rPr>
          <w:rFonts w:ascii="仿宋" w:hAnsi="仿宋" w:eastAsia="仿宋" w:cs="仿宋"/>
          <w:b w:val="0"/>
          <w:bCs/>
          <w:color w:val="auto"/>
          <w:sz w:val="24"/>
          <w:szCs w:val="24"/>
          <w:highlight w:val="none"/>
        </w:rPr>
      </w:pPr>
      <w:r>
        <w:rPr>
          <w:rFonts w:ascii="仿宋" w:hAnsi="仿宋" w:eastAsia="仿宋" w:cs="仿宋"/>
          <w:b w:val="0"/>
          <w:bCs/>
          <w:color w:val="auto"/>
          <w:sz w:val="24"/>
          <w:szCs w:val="24"/>
          <w:highlight w:val="none"/>
        </w:rPr>
        <w:t xml:space="preserve">8.1合同款项的支付方式及进度安排</w:t>
      </w:r>
      <w:r/>
    </w:p>
    <w:p>
      <w:pPr>
        <w:ind w:right="0"/>
        <w:keepLines w:val="0"/>
        <w:keepNext w:val="0"/>
        <w:pageBreakBefore w:val="0"/>
        <w:spacing w:before="120" w:after="120"/>
        <w:widowControl w:val="off"/>
        <w:rPr>
          <w:rFonts w:ascii="仿宋" w:hAnsi="仿宋" w:eastAsia="仿宋" w:cs="仿宋"/>
          <w:b w:val="0"/>
          <w:bCs/>
          <w:color w:val="auto"/>
          <w:sz w:val="24"/>
          <w:szCs w:val="24"/>
          <w:highlight w:val="none"/>
        </w:rPr>
      </w:pPr>
      <w:r>
        <w:rPr>
          <w:rFonts w:ascii="仿宋" w:hAnsi="仿宋" w:eastAsia="仿宋" w:cs="仿宋"/>
          <w:b w:val="0"/>
          <w:bCs/>
          <w:color w:val="auto"/>
          <w:sz w:val="24"/>
          <w:szCs w:val="24"/>
          <w:highlight w:val="none"/>
        </w:rPr>
        <w:t xml:space="preserve">8.1.</w:t>
      </w:r>
      <w:r>
        <w:rPr>
          <w:rFonts w:ascii="仿宋" w:hAnsi="仿宋" w:eastAsia="仿宋" w:cs="仿宋"/>
          <w:b w:val="0"/>
          <w:bCs/>
          <w:color w:val="auto"/>
          <w:sz w:val="24"/>
          <w:szCs w:val="24"/>
          <w:highlight w:val="none"/>
          <w:lang w:val="en-US" w:eastAsia="zh-CN"/>
        </w:rPr>
        <w:t xml:space="preserve">1</w:t>
      </w:r>
      <w:r>
        <w:rPr>
          <w:rFonts w:ascii="仿宋" w:hAnsi="仿宋" w:eastAsia="仿宋" w:cs="仿宋"/>
          <w:b w:val="0"/>
          <w:bCs/>
          <w:color w:val="auto"/>
          <w:sz w:val="24"/>
          <w:szCs w:val="24"/>
          <w:highlight w:val="none"/>
        </w:rPr>
        <w:t xml:space="preserve"> </w:t>
      </w:r>
      <w:r>
        <w:rPr>
          <w:rFonts w:ascii="仿宋" w:hAnsi="仿宋" w:eastAsia="仿宋" w:cs="仿宋"/>
          <w:b w:val="0"/>
          <w:bCs/>
          <w:color w:val="auto"/>
          <w:sz w:val="24"/>
          <w:szCs w:val="24"/>
          <w:highlight w:val="none"/>
          <w:lang w:eastAsia="zh-CN"/>
        </w:rPr>
        <w:t xml:space="preserve">货到如东县应急管理局指定地点，所提供产品经验收合格后</w:t>
      </w:r>
      <w:r>
        <w:rPr>
          <w:rFonts w:hint="eastAsia" w:ascii="仿宋" w:hAnsi="仿宋" w:eastAsia="仿宋" w:cs="仿宋"/>
          <w:b w:val="0"/>
          <w:bCs/>
          <w:color w:val="auto"/>
          <w:sz w:val="24"/>
          <w:szCs w:val="24"/>
          <w:highlight w:val="none"/>
          <w:lang w:val="en-US" w:eastAsia="zh-CN"/>
        </w:rPr>
        <w:t xml:space="preserve">一次性付清。</w:t>
      </w:r>
      <w:r/>
    </w:p>
    <w:p>
      <w:pPr>
        <w:ind w:right="0"/>
        <w:keepLines w:val="0"/>
        <w:keepNext w:val="0"/>
        <w:pageBreakBefore w:val="0"/>
        <w:spacing w:before="120" w:after="120"/>
        <w:widowControl w:val="off"/>
        <w:rPr>
          <w:rFonts w:ascii="仿宋" w:hAnsi="仿宋" w:eastAsia="仿宋" w:cs="仿宋"/>
          <w:b w:val="0"/>
          <w:bCs/>
          <w:color w:val="auto"/>
          <w:sz w:val="24"/>
          <w:szCs w:val="24"/>
          <w:highlight w:val="none"/>
        </w:rPr>
      </w:pPr>
      <w:r>
        <w:rPr>
          <w:rFonts w:ascii="仿宋" w:hAnsi="仿宋" w:eastAsia="仿宋" w:cs="仿宋"/>
          <w:b w:val="0"/>
          <w:bCs/>
          <w:color w:val="auto"/>
          <w:sz w:val="24"/>
          <w:szCs w:val="24"/>
          <w:highlight w:val="none"/>
        </w:rPr>
        <w:t xml:space="preserve">付款：成交供应商凭采购合同、验收单（经验收合格）及正式发票等</w:t>
      </w:r>
      <w:bookmarkStart w:id="8" w:name="_GoBack"/>
      <w:r/>
      <w:bookmarkEnd w:id="8"/>
      <w:r>
        <w:rPr>
          <w:rFonts w:ascii="仿宋" w:hAnsi="仿宋" w:eastAsia="仿宋" w:cs="仿宋"/>
          <w:b w:val="0"/>
          <w:bCs/>
          <w:color w:val="auto"/>
          <w:sz w:val="24"/>
          <w:szCs w:val="24"/>
          <w:highlight w:val="none"/>
        </w:rPr>
        <w:t xml:space="preserve">按规定进行资金结算。</w:t>
      </w:r>
      <w:r/>
    </w:p>
    <w:p>
      <w:pPr>
        <w:ind w:right="0"/>
        <w:keepLines w:val="0"/>
        <w:keepNext w:val="0"/>
        <w:pageBreakBefore w:val="0"/>
        <w:spacing w:before="120" w:after="120"/>
        <w:widowControl w:val="off"/>
        <w:rPr>
          <w:rFonts w:ascii="仿宋" w:hAnsi="仿宋" w:eastAsia="仿宋" w:cs="仿宋"/>
          <w:b w:val="0"/>
          <w:bCs/>
          <w:color w:val="auto"/>
          <w:sz w:val="24"/>
          <w:szCs w:val="24"/>
          <w:highlight w:val="none"/>
        </w:rPr>
      </w:pPr>
      <w:r>
        <w:rPr>
          <w:rFonts w:ascii="仿宋" w:hAnsi="仿宋" w:eastAsia="仿宋" w:cs="仿宋"/>
          <w:b w:val="0"/>
          <w:bCs/>
          <w:color w:val="auto"/>
          <w:sz w:val="24"/>
          <w:szCs w:val="24"/>
          <w:highlight w:val="none"/>
        </w:rPr>
        <w:t xml:space="preserve">8.2当采购数量与实际使用数量不一致时，乙方应根据实际使用量供货，合同的最终结算金额按实际使用量乘以成交单价进行计算。</w:t>
      </w:r>
      <w:r/>
    </w:p>
    <w:p>
      <w:pPr>
        <w:ind w:right="0"/>
        <w:keepLines w:val="0"/>
        <w:keepNext w:val="0"/>
        <w:pageBreakBefore w:val="0"/>
        <w:spacing w:before="145" w:after="145"/>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九、税费</w:t>
      </w:r>
      <w:r/>
    </w:p>
    <w:p>
      <w:pPr>
        <w:ind w:right="0"/>
        <w:keepLines w:val="0"/>
        <w:keepNext w:val="0"/>
        <w:pageBreakBefore w:val="0"/>
        <w:spacing w:before="145" w:after="145"/>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9.1本合同执行中相关的一切税费均由乙方负担。</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b/>
          <w:color w:val="auto"/>
          <w:sz w:val="24"/>
          <w:szCs w:val="24"/>
          <w:highlight w:val="none"/>
        </w:rPr>
        <w:t xml:space="preserve">十、质量保修范围和保修期及售后服务</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10.1 乙方应按招标文件规定的货物性能、技术要求、质量标准向甲方提供未经使用的</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全新产品。</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10.2 乙方提供的货物在质量期内因货物本身的质量问题发生故障，乙方应负责免费更</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换。对达不到技术要求者，根据实际情况，经双方协商，可按以下办法处理：</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⑴更换：由乙方承担所发生的全部费用。</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⑵贬值处理：由甲乙双方合议定价。</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⑶退货处理：乙方应退还甲方支付的合同款，同时应承担该货物的直接费用（运输、保险、检验、货款利息及银行手续费等）。</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10.3 如在使用过程中发生质量问题，乙方在接到甲方通知后在</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小时内到达甲方现场。</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10.4 在质保期内，乙方应对货物出现的质量及安全问题负责处理解决并承担一切费用。</w:t>
      </w:r>
      <w:r/>
    </w:p>
    <w:p>
      <w:pPr>
        <w:ind w:right="0"/>
        <w:keepLines w:val="0"/>
        <w:keepNext w:val="0"/>
        <w:pageBreakBefore w:val="0"/>
        <w:spacing w:before="120" w:after="120"/>
        <w:widowControl w:val="off"/>
        <w:rPr>
          <w:rFonts w:ascii="仿宋" w:hAnsi="仿宋" w:eastAsia="仿宋" w:cs="仿宋"/>
          <w:b w:val="0"/>
          <w:bCs/>
          <w:color w:val="auto"/>
          <w:sz w:val="24"/>
          <w:szCs w:val="24"/>
          <w:highlight w:val="none"/>
        </w:rPr>
      </w:pPr>
      <w:r>
        <w:rPr>
          <w:rFonts w:ascii="仿宋" w:hAnsi="仿宋" w:eastAsia="仿宋" w:cs="仿宋"/>
          <w:b w:val="0"/>
          <w:bCs/>
          <w:color w:val="auto"/>
          <w:sz w:val="24"/>
          <w:szCs w:val="24"/>
          <w:highlight w:val="none"/>
          <w:lang w:val="en-US" w:eastAsia="zh-CN"/>
        </w:rPr>
        <w:t xml:space="preserve">1</w:t>
      </w:r>
      <w:r>
        <w:rPr>
          <w:rFonts w:ascii="仿宋" w:hAnsi="仿宋" w:eastAsia="仿宋" w:cs="仿宋"/>
          <w:b w:val="0"/>
          <w:bCs/>
          <w:color w:val="auto"/>
          <w:sz w:val="24"/>
          <w:szCs w:val="24"/>
          <w:highlight w:val="none"/>
        </w:rPr>
        <w:t xml:space="preserve">0.5上述的货物</w:t>
      </w:r>
      <w:r>
        <w:rPr>
          <w:rFonts w:ascii="仿宋" w:hAnsi="仿宋" w:eastAsia="仿宋" w:cs="仿宋"/>
          <w:color w:val="auto"/>
          <w:sz w:val="24"/>
          <w:szCs w:val="24"/>
          <w:highlight w:val="none"/>
          <w:lang w:val="en-US" w:eastAsia="zh-CN"/>
        </w:rPr>
        <w:t xml:space="preserve">免费质量保证期</w:t>
      </w:r>
      <w:r>
        <w:rPr>
          <w:rFonts w:ascii="仿宋" w:hAnsi="仿宋" w:eastAsia="仿宋" w:cs="仿宋"/>
          <w:b w:val="0"/>
          <w:bCs/>
          <w:color w:val="auto"/>
          <w:sz w:val="24"/>
          <w:szCs w:val="24"/>
          <w:highlight w:val="none"/>
        </w:rPr>
        <w:t xml:space="preserve">为</w:t>
      </w:r>
      <w:r>
        <w:rPr>
          <w:rFonts w:ascii="仿宋" w:hAnsi="仿宋" w:eastAsia="仿宋" w:cs="仿宋"/>
          <w:b w:val="0"/>
          <w:bCs/>
          <w:color w:val="auto"/>
          <w:sz w:val="24"/>
          <w:szCs w:val="24"/>
          <w:highlight w:val="none"/>
          <w:lang w:val="en-US" w:eastAsia="zh-CN"/>
        </w:rPr>
        <w:t xml:space="preserve">整车质保：</w:t>
      </w:r>
      <w:r>
        <w:rPr>
          <w:rFonts w:hint="eastAsia" w:ascii="仿宋" w:hAnsi="仿宋" w:eastAsia="仿宋" w:cs="仿宋"/>
          <w:b w:val="0"/>
          <w:bCs/>
          <w:color w:val="auto"/>
          <w:sz w:val="24"/>
          <w:szCs w:val="24"/>
          <w:highlight w:val="none"/>
          <w:lang w:val="en-US" w:eastAsia="zh-CN"/>
        </w:rPr>
        <w:t xml:space="preserve">2</w:t>
      </w:r>
      <w:r>
        <w:rPr>
          <w:rFonts w:ascii="仿宋" w:hAnsi="仿宋" w:eastAsia="仿宋" w:cs="仿宋"/>
          <w:b w:val="0"/>
          <w:bCs/>
          <w:color w:val="auto"/>
          <w:sz w:val="24"/>
          <w:szCs w:val="24"/>
          <w:highlight w:val="none"/>
          <w:lang w:val="en-US" w:eastAsia="zh-CN"/>
        </w:rPr>
        <w:t xml:space="preserve">年</w:t>
      </w:r>
      <w:r>
        <w:rPr>
          <w:rFonts w:ascii="仿宋" w:hAnsi="仿宋" w:eastAsia="仿宋" w:cs="仿宋"/>
          <w:b w:val="0"/>
          <w:bCs/>
          <w:color w:val="auto"/>
          <w:sz w:val="24"/>
          <w:szCs w:val="24"/>
          <w:highlight w:val="none"/>
        </w:rPr>
        <w:t xml:space="preserve">（自交货验收合格之日起计），因人为因素出现的故障不在免费保修范围内。超过保修期的机器设备，终生维修，维修时只收部件成本费。</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十一、项目验收</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11.1 甲方依法组织履约验收工作。</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11.3 对于实际使用人和甲方分离的项目，甲方邀请实际使用人参与验收。</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11.4 如有必要，甲方邀请参加本项目的其他供应商或第三方专业机构及专家参与验收，相关意见将作为验收书的参考资料。</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十二、货物的包装、发运及运输</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12.1 乙方应在货物发运前对其进行满足运输距离、防潮、防震、防锈和防破损装卸等</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要求包装，以保证货物安全运达甲方指定地点。乙方对货物的包装应符合《商品包装</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政府采购需求标准（试行）》、《快递包装政府采购需求标准（试行）》的规定。</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12.2 使用说明书、质量检验证明书、随配附件和工具以及清单一并附于货物内。</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12.3 乙方在货物发运手续办理完毕后</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小时内或货到甲方</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小时前通知甲方，以准备接货。</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12.4 货物在交付甲方前发生的风险均由乙方负责。</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12.5 货物在规定的交付期限内由乙方送达甲方指定的地点视为交付，乙方同时需通知甲方货物已送达。</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十三、违约责任</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13.1 甲方无正当理由拒收货物的，甲方向乙方偿付拒收货款总值</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的违约金。</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13.2 甲方无故逾期验收和办理货款支付手续的,甲方应按逾期付款总额每日</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向乙方支付违约金。</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13.3 乙方逾期交付货物的，乙方应按逾期交货总额</w:t>
      </w:r>
      <w:r>
        <w:rPr>
          <w:rFonts w:ascii="仿宋" w:hAnsi="仿宋" w:eastAsia="仿宋" w:cs="仿宋"/>
          <w:color w:val="auto"/>
          <w:sz w:val="24"/>
          <w:szCs w:val="24"/>
          <w:highlight w:val="none"/>
          <w:u w:val="none"/>
        </w:rPr>
        <w:t xml:space="preserve">每日</w:t>
      </w:r>
      <w:r>
        <w:rPr>
          <w:rFonts w:ascii="仿宋" w:hAnsi="仿宋" w:eastAsia="仿宋" w:cs="仿宋"/>
          <w:color w:val="auto"/>
          <w:sz w:val="24"/>
          <w:szCs w:val="24"/>
          <w:highlight w:val="none"/>
          <w:u w:val="single"/>
          <w:lang w:val="en-US" w:eastAsia="zh-CN"/>
        </w:rPr>
        <w:t xml:space="preserve">  *****   </w:t>
      </w:r>
      <w:r>
        <w:rPr>
          <w:rFonts w:ascii="仿宋" w:hAnsi="仿宋" w:eastAsia="仿宋" w:cs="仿宋"/>
          <w:color w:val="auto"/>
          <w:sz w:val="24"/>
          <w:szCs w:val="24"/>
          <w:highlight w:val="none"/>
        </w:rPr>
        <w:t xml:space="preserve">向甲方支付违约金，由甲方从待付货款中扣除。逾期超过约定日期</w:t>
      </w:r>
      <w:r>
        <w:rPr>
          <w:rFonts w:ascii="仿宋" w:hAnsi="仿宋" w:eastAsia="仿宋" w:cs="仿宋"/>
          <w:color w:val="auto"/>
          <w:sz w:val="24"/>
          <w:szCs w:val="24"/>
          <w:highlight w:val="none"/>
          <w:u w:val="single"/>
          <w:lang w:val="en-US" w:eastAsia="zh-CN"/>
        </w:rPr>
        <w:t xml:space="preserve"> ****  </w:t>
      </w:r>
      <w:r>
        <w:rPr>
          <w:rFonts w:ascii="仿宋" w:hAnsi="仿宋" w:eastAsia="仿宋" w:cs="仿宋"/>
          <w:color w:val="auto"/>
          <w:sz w:val="24"/>
          <w:szCs w:val="24"/>
          <w:highlight w:val="none"/>
          <w:u w:val="none"/>
        </w:rPr>
        <w:t xml:space="preserve">个工作日</w:t>
      </w:r>
      <w:r>
        <w:rPr>
          <w:rFonts w:ascii="仿宋" w:hAnsi="仿宋" w:eastAsia="仿宋" w:cs="仿宋"/>
          <w:color w:val="auto"/>
          <w:sz w:val="24"/>
          <w:szCs w:val="24"/>
          <w:highlight w:val="none"/>
        </w:rPr>
        <w:t xml:space="preserve">不能交货的，甲方可解除本合同。乙方因逾期交货或因其他违约行为导致甲方解除合同的，乙方应向甲方支付合同总值</w:t>
      </w:r>
      <w:r>
        <w:rPr>
          <w:rFonts w:ascii="仿宋" w:hAnsi="仿宋" w:eastAsia="仿宋" w:cs="仿宋"/>
          <w:color w:val="auto"/>
          <w:sz w:val="24"/>
          <w:szCs w:val="24"/>
          <w:highlight w:val="none"/>
          <w:u w:val="single"/>
          <w:lang w:val="en-US" w:eastAsia="zh-CN"/>
        </w:rPr>
        <w:t xml:space="preserve">**</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的违约金，如造成甲方损失超过违约金的，超出部分由乙方继续承担赔偿责任。 </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13.4 乙方所交的货物品种、型号、规格、技术参数、质量不符合合同规定及招标文件</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规定标准的，甲方有权拒收该货物，乙方愿意更换货物但逾期交货的，按乙方逾期交</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货处理。乙方拒绝更换货物的，甲方可单方面解除合同。</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十四、不可抗力事件处理</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14.1 在合同有效期内，任何一方因不可抗力事件导致不能履行合同，则合同履行期可</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延长，其延长期与不可抗力影响期相同。</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14.2 不可抗力事件发生后，应立即通知对方，并寄送有关权威机构出具的证明。</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14.3 不可抗力事件延续</w:t>
      </w:r>
      <w:r>
        <w:rPr>
          <w:rFonts w:ascii="仿宋" w:hAnsi="仿宋" w:eastAsia="仿宋" w:cs="仿宋"/>
          <w:color w:val="auto"/>
          <w:sz w:val="24"/>
          <w:szCs w:val="24"/>
          <w:highlight w:val="none"/>
          <w:u w:val="single"/>
          <w:lang w:val="en-US" w:eastAsia="zh-CN"/>
        </w:rPr>
        <w:t xml:space="preserve"> **** </w:t>
      </w:r>
      <w:r>
        <w:rPr>
          <w:rFonts w:ascii="仿宋" w:hAnsi="仿宋" w:eastAsia="仿宋" w:cs="仿宋"/>
          <w:color w:val="auto"/>
          <w:sz w:val="24"/>
          <w:szCs w:val="24"/>
          <w:highlight w:val="none"/>
        </w:rPr>
        <w:t xml:space="preserve">天以上，双方应通过友好协商，确定是否继续履行合同。</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十五、解决争议的方法</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15.1甲乙双方因合同签订、履行而发生的一切争议，应通过友好协商解决。如协商不</w:t>
      </w:r>
      <w:r/>
    </w:p>
    <w:p>
      <w:pPr>
        <w:ind w:right="0"/>
        <w:keepLines w:val="0"/>
        <w:keepNext w:val="0"/>
        <w:pageBreakBefore w:val="0"/>
        <w:spacing w:line="0" w:lineRule="atLeas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成由甲方住所地人民法院管辖。</w:t>
      </w:r>
      <w:r/>
    </w:p>
    <w:p>
      <w:pPr>
        <w:ind w:right="0"/>
        <w:keepLines w:val="0"/>
        <w:keepNext w:val="0"/>
        <w:pageBreakBefore w:val="0"/>
        <w:spacing w:before="120" w:after="120"/>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十六、合同生效及其它</w:t>
      </w:r>
      <w:r/>
    </w:p>
    <w:p>
      <w:pPr>
        <w:ind w:right="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16.1 合同经双方法定代表人或授权委托代表人签字并加盖单位公章后生效。</w:t>
      </w:r>
      <w:r/>
    </w:p>
    <w:p>
      <w:pPr>
        <w:ind w:left="480" w:right="0" w:hanging="480"/>
        <w:keepLines w:val="0"/>
        <w:keepNext w:val="0"/>
        <w:pageBreakBefore w:val="0"/>
        <w:spacing w:before="120" w:after="12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16.2 本合同未尽事宜，遵照中华人民共和国现行法律法规有关条文执行。</w:t>
      </w:r>
      <w:r/>
    </w:p>
    <w:p>
      <w:pPr>
        <w:ind w:left="480" w:right="0" w:hanging="480"/>
        <w:spacing w:before="120" w:after="12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16.3 本合同正本一式</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份，具有同等法律效力。</w:t>
      </w:r>
      <w:r/>
    </w:p>
    <w:p>
      <w:pPr>
        <w:ind w:left="480" w:right="0" w:hanging="480"/>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w:t>
      </w:r>
      <w:r/>
    </w:p>
    <w:p>
      <w:pPr>
        <w:ind w:left="485" w:right="0" w:hanging="307"/>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甲方：                        乙方： </w:t>
      </w:r>
      <w:r/>
    </w:p>
    <w:p>
      <w:pPr>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地址：                        地址： </w:t>
      </w:r>
      <w:r/>
    </w:p>
    <w:p>
      <w:pPr>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法定代表人或授权代表：        法定代表人或授权代表：</w:t>
      </w:r>
      <w:r/>
    </w:p>
    <w:p>
      <w:pPr>
        <w:ind w:right="0" w:firstLine="240"/>
        <w:spacing w:before="120" w:after="120" w:line="0" w:lineRule="atLeast"/>
        <w:rPr>
          <w:rFonts w:ascii="仿宋" w:hAnsi="仿宋" w:eastAsia="仿宋" w:cs="仿宋"/>
          <w:color w:val="auto"/>
          <w:szCs w:val="21"/>
          <w:highlight w:val="none"/>
        </w:rPr>
      </w:pPr>
      <w:r>
        <w:rPr>
          <w:rFonts w:ascii="仿宋" w:hAnsi="仿宋" w:eastAsia="仿宋" w:cs="仿宋"/>
          <w:color w:val="auto"/>
          <w:sz w:val="24"/>
          <w:szCs w:val="24"/>
          <w:highlight w:val="none"/>
        </w:rPr>
        <w:t xml:space="preserve">联系电话：                    联系电话：          </w:t>
      </w:r>
      <w:r/>
    </w:p>
    <w:p>
      <w:pPr>
        <w:jc w:val="center"/>
        <w:spacing w:before="120" w:after="120" w:line="0" w:lineRule="atLeast"/>
        <w:rPr>
          <w:rFonts w:ascii="仿宋" w:hAnsi="仿宋" w:eastAsia="仿宋" w:cs="仿宋"/>
          <w:color w:val="auto"/>
          <w:sz w:val="24"/>
          <w:szCs w:val="24"/>
          <w:highlight w:val="none"/>
        </w:rPr>
      </w:pPr>
      <w:r>
        <w:rPr>
          <w:rFonts w:ascii="仿宋" w:hAnsi="仿宋" w:eastAsia="仿宋" w:cs="仿宋"/>
          <w:color w:val="auto"/>
          <w:szCs w:val="21"/>
          <w:highlight w:val="none"/>
        </w:rPr>
        <w:t xml:space="preserve">                 </w:t>
      </w:r>
      <w:r>
        <w:rPr>
          <w:rFonts w:ascii="仿宋" w:hAnsi="仿宋" w:eastAsia="仿宋" w:cs="仿宋"/>
          <w:color w:val="auto"/>
          <w:sz w:val="24"/>
          <w:szCs w:val="24"/>
          <w:highlight w:val="none"/>
        </w:rPr>
        <w:t xml:space="preserve">   </w:t>
      </w:r>
      <w:r/>
    </w:p>
    <w:p>
      <w:pPr>
        <w:jc w:val="center"/>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before="120" w:after="120"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签订日期：</w:t>
      </w:r>
      <w:r>
        <w:rPr>
          <w:rFonts w:ascii="仿宋" w:hAnsi="仿宋" w:eastAsia="仿宋" w:cs="仿宋"/>
          <w:color w:val="auto"/>
          <w:sz w:val="24"/>
          <w:szCs w:val="24"/>
          <w:highlight w:val="none"/>
          <w:u w:val="single"/>
          <w:lang w:val="en-US" w:eastAsia="zh-CN"/>
        </w:rPr>
        <w:t xml:space="preserve">****</w:t>
      </w:r>
      <w:r>
        <w:rPr>
          <w:rFonts w:ascii="仿宋" w:hAnsi="仿宋" w:eastAsia="仿宋" w:cs="仿宋"/>
          <w:color w:val="auto"/>
          <w:sz w:val="24"/>
          <w:szCs w:val="24"/>
          <w:highlight w:val="none"/>
        </w:rPr>
        <w:t xml:space="preserve">年</w:t>
      </w:r>
      <w:r>
        <w:rPr>
          <w:rFonts w:ascii="仿宋" w:hAnsi="仿宋" w:eastAsia="仿宋" w:cs="仿宋"/>
          <w:color w:val="auto"/>
          <w:sz w:val="24"/>
          <w:szCs w:val="24"/>
          <w:highlight w:val="none"/>
          <w:u w:val="single"/>
          <w:lang w:val="en-US" w:eastAsia="zh-CN"/>
        </w:rPr>
        <w:t xml:space="preserve">**</w:t>
      </w:r>
      <w:r>
        <w:rPr>
          <w:rFonts w:ascii="仿宋" w:hAnsi="仿宋" w:eastAsia="仿宋" w:cs="仿宋"/>
          <w:color w:val="auto"/>
          <w:sz w:val="24"/>
          <w:szCs w:val="24"/>
          <w:highlight w:val="none"/>
        </w:rPr>
        <w:t xml:space="preserve">月</w:t>
      </w:r>
      <w:r>
        <w:rPr>
          <w:rFonts w:ascii="仿宋" w:hAnsi="仿宋" w:eastAsia="仿宋" w:cs="仿宋"/>
          <w:color w:val="auto"/>
          <w:sz w:val="24"/>
          <w:szCs w:val="24"/>
          <w:highlight w:val="none"/>
          <w:u w:val="single"/>
          <w:lang w:val="en-US" w:eastAsia="zh-CN"/>
        </w:rPr>
        <w:t xml:space="preserve">**</w:t>
      </w:r>
      <w:r>
        <w:rPr>
          <w:rFonts w:ascii="仿宋" w:hAnsi="仿宋" w:eastAsia="仿宋" w:cs="仿宋"/>
          <w:color w:val="auto"/>
          <w:sz w:val="24"/>
          <w:szCs w:val="24"/>
          <w:highlight w:val="none"/>
        </w:rPr>
        <w:t xml:space="preserve">日</w:t>
      </w:r>
      <w:r/>
    </w:p>
    <w:p>
      <w:pPr>
        <w:jc w:val="center"/>
        <w:spacing w:before="120" w:after="120" w:line="0" w:lineRule="atLeast"/>
        <w:rPr>
          <w:rFonts w:ascii="仿宋" w:hAnsi="仿宋" w:eastAsia="仿宋" w:cs="仿宋"/>
          <w:color w:val="auto"/>
          <w:sz w:val="24"/>
          <w:szCs w:val="24"/>
          <w:highlight w:val="none"/>
        </w:rPr>
      </w:pPr>
      <w:r>
        <w:rPr>
          <w:color w:val="auto"/>
          <w:highlight w:val="none"/>
        </w:rPr>
        <w:br w:type="page" w:clear="all"/>
      </w:r>
      <w:r/>
    </w:p>
    <w:p>
      <w:pPr>
        <w:numPr>
          <w:ilvl w:val="0"/>
          <w:numId w:val="0"/>
        </w:numPr>
        <w:jc w:val="center"/>
        <w:spacing w:before="120" w:after="120" w:line="0" w:lineRule="atLeast"/>
        <w:rPr>
          <w:rFonts w:ascii="仿宋" w:hAnsi="仿宋" w:eastAsia="仿宋" w:cs="仿宋"/>
          <w:color w:val="auto"/>
          <w:sz w:val="24"/>
          <w:szCs w:val="24"/>
          <w:highlight w:val="none"/>
        </w:rPr>
        <w:outlineLvl w:val="0"/>
      </w:pPr>
      <w:r/>
      <w:bookmarkStart w:id="4" w:name="__RefHeading___Toc26382"/>
      <w:r/>
      <w:bookmarkEnd w:id="4"/>
      <w:r>
        <w:rPr>
          <w:rFonts w:ascii="仿宋" w:hAnsi="仿宋" w:eastAsia="仿宋" w:cs="仿宋"/>
          <w:b/>
          <w:bCs w:val="0"/>
          <w:color w:val="auto"/>
          <w:sz w:val="44"/>
          <w:szCs w:val="21"/>
          <w:highlight w:val="none"/>
        </w:rPr>
        <w:t xml:space="preserve">第四章 采购需求</w:t>
      </w:r>
      <w:r/>
    </w:p>
    <w:p>
      <w:pPr>
        <w:ind w:right="0" w:firstLine="560"/>
        <w:keepLines w:val="0"/>
        <w:keepNext w:val="0"/>
        <w:pageBreakBefore w:val="0"/>
        <w:spacing w:line="420" w:lineRule="exact"/>
        <w:widowControl w:val="off"/>
        <w:rPr>
          <w:rFonts w:ascii="仿宋" w:hAnsi="仿宋" w:eastAsia="仿宋" w:cs="仿宋"/>
          <w:bCs/>
          <w:color w:val="auto"/>
          <w:sz w:val="28"/>
          <w:szCs w:val="28"/>
          <w:highlight w:val="none"/>
        </w:rPr>
      </w:pPr>
      <w:r>
        <w:rPr>
          <w:rFonts w:ascii="仿宋" w:hAnsi="仿宋" w:eastAsia="仿宋" w:cs="仿宋"/>
          <w:bCs/>
          <w:color w:val="auto"/>
          <w:sz w:val="28"/>
          <w:szCs w:val="28"/>
          <w:highlight w:val="none"/>
          <w:lang w:eastAsia="zh-CN"/>
        </w:rPr>
        <w:t xml:space="preserve">投标人</w:t>
      </w:r>
      <w:r>
        <w:rPr>
          <w:rFonts w:ascii="仿宋" w:hAnsi="仿宋" w:eastAsia="仿宋" w:cs="仿宋"/>
          <w:bCs/>
          <w:color w:val="auto"/>
          <w:sz w:val="28"/>
          <w:szCs w:val="28"/>
          <w:highlight w:val="none"/>
        </w:rPr>
        <w:t xml:space="preserve">在制作</w:t>
      </w:r>
      <w:r>
        <w:rPr>
          <w:rFonts w:ascii="仿宋" w:hAnsi="仿宋" w:eastAsia="仿宋" w:cs="仿宋"/>
          <w:bCs/>
          <w:color w:val="auto"/>
          <w:sz w:val="28"/>
          <w:szCs w:val="28"/>
          <w:highlight w:val="none"/>
          <w:lang w:eastAsia="zh-CN"/>
        </w:rPr>
        <w:t xml:space="preserve">投标</w:t>
      </w:r>
      <w:r>
        <w:rPr>
          <w:rFonts w:ascii="仿宋" w:hAnsi="仿宋" w:eastAsia="仿宋" w:cs="仿宋"/>
          <w:bCs/>
          <w:color w:val="auto"/>
          <w:sz w:val="28"/>
          <w:szCs w:val="28"/>
          <w:highlight w:val="none"/>
        </w:rPr>
        <w:t xml:space="preserve">文件时仔细研究项目需求说明。项目需求包括技术要求和商务要求:</w:t>
      </w:r>
      <w:r/>
    </w:p>
    <w:p>
      <w:pPr>
        <w:ind w:right="0" w:firstLine="560"/>
        <w:keepLines w:val="0"/>
        <w:keepNext w:val="0"/>
        <w:pageBreakBefore w:val="0"/>
        <w:spacing w:line="420" w:lineRule="exact"/>
        <w:widowControl w:val="off"/>
        <w:rPr>
          <w:rFonts w:ascii="仿宋" w:hAnsi="仿宋" w:eastAsia="仿宋" w:cs="仿宋"/>
          <w:bCs/>
          <w:color w:val="auto"/>
          <w:sz w:val="28"/>
          <w:szCs w:val="28"/>
          <w:highlight w:val="none"/>
          <w:lang w:eastAsia="zh-CN"/>
        </w:rPr>
      </w:pPr>
      <w:r>
        <w:rPr>
          <w:rFonts w:ascii="仿宋" w:hAnsi="仿宋" w:eastAsia="仿宋" w:cs="仿宋"/>
          <w:bCs/>
          <w:color w:val="auto"/>
          <w:sz w:val="28"/>
          <w:szCs w:val="28"/>
          <w:highlight w:val="none"/>
        </w:rPr>
        <w:t xml:space="preserve">技术要求是指对采购标的功能和质量要求，包括性能、材料、结构、外观、安全，或者服务内容和标准等</w:t>
      </w:r>
      <w:r>
        <w:rPr>
          <w:rFonts w:ascii="仿宋" w:hAnsi="仿宋" w:eastAsia="仿宋" w:cs="仿宋"/>
          <w:bCs/>
          <w:color w:val="auto"/>
          <w:sz w:val="28"/>
          <w:szCs w:val="28"/>
          <w:highlight w:val="none"/>
          <w:lang w:val="en-US" w:eastAsia="zh-CN"/>
        </w:rPr>
        <w:t xml:space="preserve">,</w:t>
      </w:r>
      <w:r>
        <w:rPr>
          <w:rFonts w:ascii="仿宋" w:hAnsi="仿宋" w:eastAsia="仿宋" w:cs="仿宋"/>
          <w:b/>
          <w:bCs w:val="0"/>
          <w:i/>
          <w:iCs/>
          <w:color w:val="auto"/>
          <w:sz w:val="28"/>
          <w:szCs w:val="28"/>
          <w:highlight w:val="none"/>
          <w:u w:val="single"/>
        </w:rPr>
        <w:t xml:space="preserve">其中必须满足的实质性要求加斜体下划线</w:t>
      </w:r>
      <w:r>
        <w:rPr>
          <w:rFonts w:ascii="仿宋" w:hAnsi="仿宋" w:eastAsia="仿宋" w:cs="仿宋"/>
          <w:b/>
          <w:bCs w:val="0"/>
          <w:i/>
          <w:iCs/>
          <w:color w:val="auto"/>
          <w:sz w:val="28"/>
          <w:szCs w:val="28"/>
          <w:highlight w:val="none"/>
          <w:u w:val="single"/>
          <w:lang w:eastAsia="zh-CN"/>
        </w:rPr>
        <w:t xml:space="preserve">。</w:t>
      </w:r>
      <w:r/>
    </w:p>
    <w:p>
      <w:pPr>
        <w:ind w:right="0" w:firstLine="560"/>
        <w:keepLines w:val="0"/>
        <w:keepNext w:val="0"/>
        <w:pageBreakBefore w:val="0"/>
        <w:spacing w:line="420" w:lineRule="exact"/>
        <w:widowControl w:val="off"/>
        <w:rPr>
          <w:rFonts w:ascii="仿宋" w:hAnsi="仿宋" w:eastAsia="仿宋" w:cs="仿宋"/>
          <w:bCs/>
          <w:color w:val="auto"/>
          <w:sz w:val="24"/>
          <w:szCs w:val="24"/>
          <w:highlight w:val="none"/>
          <w:lang w:eastAsia="zh-CN"/>
        </w:rPr>
      </w:pPr>
      <w:r>
        <w:rPr>
          <w:rFonts w:ascii="仿宋" w:hAnsi="仿宋" w:eastAsia="仿宋" w:cs="仿宋"/>
          <w:bCs/>
          <w:color w:val="auto"/>
          <w:sz w:val="28"/>
          <w:szCs w:val="28"/>
          <w:highlight w:val="none"/>
        </w:rPr>
        <w:t xml:space="preserve">商务要求是指取得采购标的的时间、地点、财务和服务要求，包括交付（实施）的时间（期限）和地点（范围）</w:t>
      </w:r>
      <w:r>
        <w:rPr>
          <w:rFonts w:ascii="仿宋" w:hAnsi="仿宋" w:eastAsia="仿宋" w:cs="仿宋"/>
          <w:bCs/>
          <w:color w:val="auto"/>
          <w:sz w:val="28"/>
          <w:szCs w:val="28"/>
          <w:highlight w:val="none"/>
          <w:lang w:eastAsia="zh-CN"/>
        </w:rPr>
        <w:t xml:space="preserve">、</w:t>
      </w:r>
      <w:r>
        <w:rPr>
          <w:rFonts w:ascii="仿宋" w:hAnsi="仿宋" w:eastAsia="仿宋" w:cs="仿宋"/>
          <w:bCs/>
          <w:color w:val="auto"/>
          <w:sz w:val="28"/>
          <w:szCs w:val="28"/>
          <w:highlight w:val="none"/>
        </w:rPr>
        <w:t xml:space="preserve">付款条件（进度和方法）</w:t>
      </w:r>
      <w:r>
        <w:rPr>
          <w:rFonts w:ascii="仿宋" w:hAnsi="仿宋" w:eastAsia="仿宋" w:cs="仿宋"/>
          <w:bCs/>
          <w:color w:val="auto"/>
          <w:sz w:val="28"/>
          <w:szCs w:val="28"/>
          <w:highlight w:val="none"/>
          <w:lang w:eastAsia="zh-CN"/>
        </w:rPr>
        <w:t xml:space="preserve">、</w:t>
      </w:r>
      <w:r>
        <w:rPr>
          <w:rFonts w:ascii="仿宋" w:hAnsi="仿宋" w:eastAsia="仿宋" w:cs="仿宋"/>
          <w:bCs/>
          <w:color w:val="auto"/>
          <w:sz w:val="28"/>
          <w:szCs w:val="28"/>
          <w:highlight w:val="none"/>
        </w:rPr>
        <w:t xml:space="preserve">包装和运输</w:t>
      </w:r>
      <w:r>
        <w:rPr>
          <w:rFonts w:ascii="仿宋" w:hAnsi="仿宋" w:eastAsia="仿宋" w:cs="仿宋"/>
          <w:bCs/>
          <w:color w:val="auto"/>
          <w:sz w:val="28"/>
          <w:szCs w:val="28"/>
          <w:highlight w:val="none"/>
          <w:lang w:eastAsia="zh-CN"/>
        </w:rPr>
        <w:t xml:space="preserve">、</w:t>
      </w:r>
      <w:r>
        <w:rPr>
          <w:rFonts w:ascii="仿宋" w:hAnsi="仿宋" w:eastAsia="仿宋" w:cs="仿宋"/>
          <w:bCs/>
          <w:color w:val="auto"/>
          <w:sz w:val="28"/>
          <w:szCs w:val="28"/>
          <w:highlight w:val="none"/>
        </w:rPr>
        <w:t xml:space="preserve">售后服务</w:t>
      </w:r>
      <w:r>
        <w:rPr>
          <w:rFonts w:ascii="仿宋" w:hAnsi="仿宋" w:eastAsia="仿宋" w:cs="仿宋"/>
          <w:bCs/>
          <w:color w:val="auto"/>
          <w:sz w:val="28"/>
          <w:szCs w:val="28"/>
          <w:highlight w:val="none"/>
          <w:lang w:eastAsia="zh-CN"/>
        </w:rPr>
        <w:t xml:space="preserve">、</w:t>
      </w:r>
      <w:r>
        <w:rPr>
          <w:rFonts w:ascii="仿宋" w:hAnsi="仿宋" w:eastAsia="仿宋" w:cs="仿宋"/>
          <w:bCs/>
          <w:color w:val="auto"/>
          <w:sz w:val="28"/>
          <w:szCs w:val="28"/>
          <w:highlight w:val="none"/>
        </w:rPr>
        <w:t xml:space="preserve">保险等</w:t>
      </w:r>
      <w:r>
        <w:rPr>
          <w:rFonts w:ascii="仿宋" w:hAnsi="仿宋" w:eastAsia="仿宋" w:cs="仿宋"/>
          <w:bCs/>
          <w:color w:val="auto"/>
          <w:sz w:val="28"/>
          <w:szCs w:val="28"/>
          <w:highlight w:val="none"/>
          <w:lang w:val="en-US" w:eastAsia="zh-CN"/>
        </w:rPr>
        <w:t xml:space="preserve">,</w:t>
      </w:r>
      <w:r>
        <w:rPr>
          <w:rFonts w:ascii="仿宋" w:hAnsi="仿宋" w:eastAsia="仿宋" w:cs="仿宋"/>
          <w:b/>
          <w:bCs w:val="0"/>
          <w:i/>
          <w:iCs/>
          <w:color w:val="auto"/>
          <w:sz w:val="28"/>
          <w:szCs w:val="28"/>
          <w:highlight w:val="none"/>
          <w:u w:val="single"/>
        </w:rPr>
        <w:t xml:space="preserve">其中必须满足的实质性要求加斜体下划线</w:t>
      </w:r>
      <w:r>
        <w:rPr>
          <w:rFonts w:ascii="仿宋" w:hAnsi="仿宋" w:eastAsia="仿宋" w:cs="仿宋"/>
          <w:b/>
          <w:bCs w:val="0"/>
          <w:i/>
          <w:iCs/>
          <w:color w:val="auto"/>
          <w:sz w:val="28"/>
          <w:szCs w:val="28"/>
          <w:highlight w:val="none"/>
          <w:u w:val="single"/>
          <w:lang w:val="en-US" w:eastAsia="zh-CN"/>
        </w:rPr>
        <w:t xml:space="preserve">。</w:t>
      </w:r>
      <w:r/>
    </w:p>
    <w:p>
      <w:pPr>
        <w:ind w:right="0"/>
        <w:keepLines w:val="0"/>
        <w:keepNext w:val="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b/>
          <w:bCs/>
          <w:color w:val="auto"/>
          <w:sz w:val="24"/>
          <w:szCs w:val="24"/>
          <w:highlight w:val="none"/>
          <w:lang w:val="en-US" w:eastAsia="zh-CN"/>
        </w:rPr>
        <w:t xml:space="preserve">一、</w:t>
      </w:r>
      <w:r>
        <w:rPr>
          <w:rFonts w:ascii="仿宋" w:hAnsi="仿宋" w:eastAsia="仿宋" w:cs="仿宋"/>
          <w:b/>
          <w:bCs/>
          <w:color w:val="auto"/>
          <w:sz w:val="24"/>
          <w:szCs w:val="24"/>
          <w:highlight w:val="none"/>
        </w:rPr>
        <w:t xml:space="preserve">其内容包含</w:t>
      </w:r>
      <w:r>
        <w:rPr>
          <w:rFonts w:ascii="仿宋" w:hAnsi="仿宋" w:eastAsia="仿宋" w:cs="仿宋"/>
          <w:b/>
          <w:bCs/>
          <w:color w:val="auto"/>
          <w:sz w:val="24"/>
          <w:szCs w:val="24"/>
          <w:highlight w:val="none"/>
          <w:lang w:eastAsia="zh-CN"/>
        </w:rPr>
        <w:t xml:space="preserve">：</w:t>
      </w:r>
      <w:r/>
    </w:p>
    <w:p>
      <w:pPr>
        <w:keepLines w:val="0"/>
        <w:keepNext w:val="0"/>
        <w:pageBreakBefore w:val="0"/>
        <w:spacing w:line="420" w:lineRule="exact"/>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（一）采购标的需实现的功能或者目标，以及为落实政府采购政策需满足的要求；</w:t>
      </w:r>
      <w:r/>
    </w:p>
    <w:p>
      <w:pPr>
        <w:keepLines w:val="0"/>
        <w:keepNext w:val="0"/>
        <w:pageBreakBefore w:val="0"/>
        <w:spacing w:line="420" w:lineRule="exact"/>
        <w:widowControl w:val="off"/>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      满足我县危险化学品事故救援车辆装备短板，提升危险化学品道路运输突发事件处置能力。</w:t>
      </w:r>
      <w:r/>
    </w:p>
    <w:p>
      <w:pPr>
        <w:keepLines w:val="0"/>
        <w:keepNext w:val="0"/>
        <w:pageBreakBefore w:val="0"/>
        <w:spacing w:line="420" w:lineRule="exact"/>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（二）采购标的需执行的国家相关标准、行业标准、地方标准或者其他标准、规范；</w:t>
      </w:r>
      <w:r/>
    </w:p>
    <w:p>
      <w:pPr>
        <w:ind w:firstLine="723"/>
        <w:keepLines w:val="0"/>
        <w:keepNext w:val="0"/>
        <w:pageBreakBefore w:val="0"/>
        <w:spacing w:line="42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本项目采购危化品事故处置模块车及随车器材装备，主要用于危险化学品道路运输突发事件处置等场景。</w:t>
      </w:r>
      <w:r/>
    </w:p>
    <w:p>
      <w:pPr>
        <w:ind w:firstLine="723"/>
        <w:keepLines w:val="0"/>
        <w:keepNext w:val="0"/>
        <w:pageBreakBefore w:val="0"/>
        <w:spacing w:line="42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特别说明：所投车辆具有工信部公告的机动车辆；装备消防器材后具备基层应急消防救援处置功能的车辆，应符合国家现行机动车管理上牌要求、环保排放、安全使用、产品质量等相关法律法规及国家、行业标准要求。</w:t>
      </w:r>
      <w:r/>
    </w:p>
    <w:p>
      <w:pPr>
        <w:numPr>
          <w:ilvl w:val="0"/>
          <w:numId w:val="0"/>
        </w:numPr>
        <w:keepLines w:val="0"/>
        <w:keepNext w:val="0"/>
        <w:pageBreakBefore w:val="0"/>
        <w:spacing w:line="420" w:lineRule="exact"/>
        <w:widowControl w:val="off"/>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lang w:eastAsia="zh-CN"/>
        </w:rPr>
        <w:t xml:space="preserve">）</w:t>
      </w:r>
      <w:r>
        <w:rPr>
          <w:rFonts w:ascii="仿宋" w:hAnsi="仿宋" w:eastAsia="仿宋" w:cs="仿宋"/>
          <w:b/>
          <w:color w:val="auto"/>
          <w:sz w:val="24"/>
          <w:szCs w:val="24"/>
          <w:highlight w:val="none"/>
        </w:rPr>
        <w:t xml:space="preserve">采购标的需满足的质量、安全、技术规格、物理特性等要求；</w:t>
      </w:r>
      <w:r/>
    </w:p>
    <w:p>
      <w:pPr>
        <w:numPr>
          <w:ilvl w:val="0"/>
          <w:numId w:val="0"/>
        </w:numPr>
        <w:keepLines w:val="0"/>
        <w:keepNext w:val="0"/>
        <w:pageBreakBefore w:val="0"/>
        <w:spacing w:line="420" w:lineRule="exact"/>
        <w:widowControl w:val="off"/>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自装卸式（道路危化品事故处置模块）消防车</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lang w:val="en-US" w:eastAsia="zh-CN"/>
        </w:rPr>
        <w:t xml:space="preserve">1辆</w:t>
      </w:r>
      <w:r/>
    </w:p>
    <w:tbl>
      <w:tblPr>
        <w:tblStyle w:val="724"/>
        <w:tblW w:w="94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055"/>
        <w:gridCol w:w="7637"/>
      </w:tblGrid>
      <w:tr>
        <w:trPr>
          <w:jc w:val="center"/>
          <w:trHeight w:val="316"/>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763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技术参数</w:t>
            </w:r>
            <w:r/>
          </w:p>
        </w:tc>
      </w:tr>
      <w:tr>
        <w:trPr>
          <w:jc w:val="center"/>
          <w:trHeight w:val="250"/>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技术标准与要求</w:t>
            </w:r>
            <w:r/>
          </w:p>
        </w:tc>
        <w:tc>
          <w:tcPr>
            <w:tcBorders>
              <w:top w:val="single" w:color="auto" w:sz="4" w:space="0"/>
              <w:left w:val="single" w:color="auto" w:sz="4" w:space="0"/>
              <w:bottom w:val="single" w:color="auto" w:sz="4" w:space="0"/>
              <w:right w:val="single" w:color="auto" w:sz="4" w:space="0"/>
            </w:tcBorders>
            <w:tcW w:w="7637"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i/>
                <w:iCs/>
                <w:color w:val="auto"/>
                <w:sz w:val="24"/>
                <w:szCs w:val="24"/>
                <w:highlight w:val="none"/>
                <w:u w:val="single"/>
              </w:rPr>
            </w:pPr>
            <w:r>
              <w:rPr>
                <w:rFonts w:hint="eastAsia" w:ascii="仿宋" w:hAnsi="仿宋" w:eastAsia="仿宋" w:cs="仿宋"/>
                <w:i/>
                <w:iCs/>
                <w:color w:val="auto"/>
                <w:sz w:val="24"/>
                <w:szCs w:val="24"/>
                <w:highlight w:val="none"/>
                <w:u w:val="single"/>
              </w:rPr>
              <w:t xml:space="preserve">1.整车符合GB7956.1-2014《消防车第1部分：消防车通用技术条件》投标时</w:t>
            </w:r>
            <w:r>
              <w:rPr>
                <w:rFonts w:hint="eastAsia" w:ascii="仿宋" w:hAnsi="仿宋" w:eastAsia="仿宋" w:cs="仿宋"/>
                <w:i/>
                <w:iCs/>
                <w:color w:val="auto"/>
                <w:sz w:val="24"/>
                <w:szCs w:val="24"/>
                <w:highlight w:val="none"/>
                <w:u w:val="single"/>
                <w:lang w:val="en-US" w:eastAsia="zh-CN"/>
              </w:rPr>
              <w:t xml:space="preserve">需</w:t>
            </w:r>
            <w:r>
              <w:rPr>
                <w:rFonts w:hint="eastAsia" w:ascii="仿宋" w:hAnsi="仿宋" w:eastAsia="仿宋" w:cs="仿宋"/>
                <w:i/>
                <w:iCs/>
                <w:color w:val="auto"/>
                <w:sz w:val="24"/>
                <w:szCs w:val="24"/>
                <w:highlight w:val="none"/>
                <w:u w:val="single"/>
              </w:rPr>
              <w:t xml:space="preserve">提供投标产品或同类产品的相关公告和</w:t>
            </w:r>
            <w:r>
              <w:rPr>
                <w:rFonts w:hint="eastAsia" w:ascii="仿宋" w:hAnsi="仿宋" w:eastAsia="仿宋" w:cs="仿宋"/>
                <w:i/>
                <w:iCs/>
                <w:color w:val="auto"/>
                <w:sz w:val="24"/>
                <w:szCs w:val="24"/>
                <w:highlight w:val="none"/>
                <w:u w:val="single"/>
                <w:lang w:val="en-US" w:eastAsia="zh-CN"/>
              </w:rPr>
              <w:t xml:space="preserve">试验</w:t>
            </w:r>
            <w:r>
              <w:rPr>
                <w:rFonts w:hint="eastAsia" w:ascii="仿宋" w:hAnsi="仿宋" w:eastAsia="仿宋" w:cs="仿宋"/>
                <w:i/>
                <w:iCs/>
                <w:color w:val="auto"/>
                <w:sz w:val="24"/>
                <w:szCs w:val="24"/>
                <w:highlight w:val="none"/>
                <w:u w:val="single"/>
              </w:rPr>
              <w:t xml:space="preserve">报告，交车时提供投标产品经认证第三方检验机构出具的</w:t>
            </w:r>
            <w:r>
              <w:rPr>
                <w:rFonts w:hint="eastAsia" w:ascii="仿宋" w:hAnsi="仿宋" w:eastAsia="仿宋" w:cs="仿宋"/>
                <w:i/>
                <w:iCs/>
                <w:color w:val="auto"/>
                <w:sz w:val="24"/>
                <w:szCs w:val="24"/>
                <w:highlight w:val="none"/>
                <w:u w:val="single"/>
                <w:lang w:val="en-US" w:eastAsia="zh-CN"/>
              </w:rPr>
              <w:t xml:space="preserve">试验</w:t>
            </w:r>
            <w:r>
              <w:rPr>
                <w:rFonts w:hint="eastAsia" w:ascii="仿宋" w:hAnsi="仿宋" w:eastAsia="仿宋" w:cs="仿宋"/>
                <w:i/>
                <w:iCs/>
                <w:color w:val="auto"/>
                <w:sz w:val="24"/>
                <w:szCs w:val="24"/>
                <w:highlight w:val="none"/>
                <w:u w:val="single"/>
              </w:rPr>
              <w:t xml:space="preserve">报告及工信部公告证明。</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2.车身颜色符合GB/T3181中规定的RO3大红色，外观标识严格落实《消防救援局关于做好消防救援车辆外观制式涂装工作的通知》应急消〔2019〕76号文件要求。</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3.整车外观美观大方，所有操作开关、仪表均有符合规范的铭牌标志；</w:t>
            </w:r>
            <w:r/>
          </w:p>
        </w:tc>
      </w:tr>
      <w:tr>
        <w:trPr>
          <w:jc w:val="center"/>
          <w:trHeight w:val="250"/>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其它配置</w:t>
            </w:r>
            <w:r/>
          </w:p>
        </w:tc>
        <w:tc>
          <w:tcPr>
            <w:tcBorders>
              <w:top w:val="single" w:color="auto" w:sz="4" w:space="0"/>
              <w:left w:val="single" w:color="auto" w:sz="4" w:space="0"/>
              <w:bottom w:val="single" w:color="auto" w:sz="4" w:space="0"/>
              <w:right w:val="single" w:color="auto" w:sz="4" w:space="0"/>
            </w:tcBorders>
            <w:tcW w:w="7637" w:type="dxa"/>
            <w:vAlign w:val="top"/>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配360°行车记录仪（内存不小于64G），倒车雷达、倒车影像、三点式安全带；车辆有预留牌照架（符合现行应急车牌尺寸）；配子午线钢丝轮胎、胎压监测系统；配置前轮盘式制动器、电子刹车系统，配备EBS和ESC</w:t>
            </w:r>
            <w:r/>
          </w:p>
        </w:tc>
      </w:tr>
      <w:tr>
        <w:trPr>
          <w:jc w:val="center"/>
          <w:trHeight w:val="145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底盘</w:t>
            </w:r>
            <w:r/>
          </w:p>
        </w:tc>
        <w:tc>
          <w:tcPr>
            <w:tcBorders>
              <w:top w:val="single" w:color="auto" w:sz="4" w:space="0"/>
              <w:left w:val="single" w:color="auto" w:sz="4" w:space="0"/>
              <w:bottom w:val="single" w:color="auto" w:sz="4" w:space="0"/>
              <w:right w:val="single" w:color="auto" w:sz="4" w:space="0"/>
            </w:tcBorders>
            <w:tcW w:w="7637" w:type="dxa"/>
            <w:vAlign w:val="top"/>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驱动形式：4×2，轴距：≥5000mm；</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发动机额定功率:≥251kW </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最大扭矩/转速(N•m/r/m):1400/1200～1600；</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排    量：7360ml；</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排放标准：符合国家第六阶段排放标准</w:t>
            </w:r>
            <w:r/>
          </w:p>
        </w:tc>
      </w:tr>
      <w:tr>
        <w:trPr>
          <w:jc w:val="center"/>
          <w:trHeight w:val="90"/>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驾驶室</w:t>
            </w:r>
            <w:r/>
          </w:p>
        </w:tc>
        <w:tc>
          <w:tcPr>
            <w:tcBorders>
              <w:top w:val="single" w:color="auto" w:sz="4" w:space="0"/>
              <w:left w:val="single" w:color="auto" w:sz="4" w:space="0"/>
              <w:bottom w:val="single" w:color="auto" w:sz="4" w:space="0"/>
              <w:right w:val="single" w:color="auto" w:sz="4" w:space="0"/>
            </w:tcBorders>
            <w:tcW w:w="7637" w:type="dxa"/>
            <w:vAlign w:val="top"/>
            <w:textDirection w:val="lrTb"/>
            <w:noWrap w:val="false"/>
          </w:tcPr>
          <w:p>
            <w:pPr>
              <w:numPr>
                <w:ilvl w:val="0"/>
                <w:numId w:val="4"/>
              </w:num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采用全封闭驾驶室，液压缸倾翻、乘员数不低于2人。</w:t>
            </w:r>
            <w:r/>
          </w:p>
          <w:p>
            <w:pPr>
              <w:numPr>
                <w:ilvl w:val="0"/>
                <w:numId w:val="4"/>
              </w:num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结构：单排双门整体驾驶室，电动翻转，液压支撑；</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3、驾驶室外部：驾驶室顶部前端安装长排红色频闪警灯、100W警报器，固定式脚踏板。车尾、车身两侧加装频闪轮廓灯、反光带。</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4、驾驶室内设备：</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除原车冷暖空调、收音机设备等设备外，加装警报器、警灯开关、驾驶室装有供暖及空调系统。并预留车载电台的电源接口和安装位置。</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5、燃油箱容积：底盘原装300L铝合金柴油箱</w:t>
            </w:r>
            <w:r/>
          </w:p>
        </w:tc>
      </w:tr>
      <w:tr>
        <w:trPr>
          <w:jc w:val="center"/>
          <w:trHeight w:val="1050"/>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上装部分</w:t>
            </w:r>
            <w:r/>
          </w:p>
        </w:tc>
        <w:tc>
          <w:tcPr>
            <w:tcBorders>
              <w:top w:val="single" w:color="auto" w:sz="4" w:space="0"/>
              <w:left w:val="single" w:color="auto" w:sz="4" w:space="0"/>
              <w:bottom w:val="single" w:color="auto" w:sz="4" w:space="0"/>
              <w:right w:val="single" w:color="auto" w:sz="4" w:space="0"/>
            </w:tcBorders>
            <w:tcW w:w="7637" w:type="dxa"/>
            <w:vAlign w:val="top"/>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t xml:space="preserve">钢结构骨架，铝合金翻门，该车采用焊接、搭接、铆接、螺栓连接等有效连接方式，确保轻质、耐腐、抗压。车厢采用低重心设计，提高行车安全性。车厢两侧门采用上掀门结构，方便车厢模块的整体取放。</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2、上装材质：</w:t>
            </w:r>
            <w:r>
              <w:rPr>
                <w:rFonts w:hint="eastAsia" w:ascii="仿宋" w:hAnsi="仿宋" w:eastAsia="仿宋" w:cs="仿宋"/>
                <w:color w:val="auto"/>
                <w:sz w:val="24"/>
                <w:szCs w:val="24"/>
                <w:highlight w:val="none"/>
              </w:rPr>
              <w:t xml:space="preserve">副车架使用610L型钢焊接。车厢整体采用型钢焊接外蒙铝合金板，侧开门采用铝合金材质制作而成，尽量减轻上装重量。</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3、车顶：车厢顶部粘接不低于3mm花纹铝板，做防腐防滑处理，车顶便于行走，并做好防水处理，车顶不得有积水，水不得进入器材箱内部。车顶两侧设置铝合金护板。</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4、上装：制作时，表面保持一定的平整度，简洁美观，所有焊接须牢固，光洁，平整；所有缝隙须涂上硅胶，硅胶平整、密封良好。所有铰链、搭扣、把手等小五金件应采用不锈防腐材料。</w:t>
            </w:r>
            <w:r/>
          </w:p>
        </w:tc>
      </w:tr>
      <w:tr>
        <w:trPr>
          <w:jc w:val="center"/>
          <w:trHeight w:val="589"/>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拉臂钩</w:t>
            </w:r>
            <w:r/>
          </w:p>
        </w:tc>
        <w:tc>
          <w:tcPr>
            <w:tcBorders>
              <w:top w:val="single" w:color="auto" w:sz="4" w:space="0"/>
              <w:left w:val="single" w:color="auto" w:sz="4" w:space="0"/>
              <w:bottom w:val="single" w:color="auto" w:sz="4" w:space="0"/>
              <w:right w:val="single" w:color="auto" w:sz="4" w:space="0"/>
            </w:tcBorders>
            <w:tcW w:w="7637" w:type="dxa"/>
            <w:vAlign w:val="top"/>
            <w:textDirection w:val="lrTb"/>
            <w:noWrap w:val="false"/>
          </w:tcPr>
          <w:p>
            <w:pPr>
              <w:numPr>
                <w:ilvl w:val="0"/>
                <w:numId w:val="0"/>
              </w:num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拉臂钩系统</w:t>
            </w:r>
            <w:r>
              <w:rPr>
                <w:rFonts w:hint="eastAsia" w:ascii="仿宋" w:hAnsi="仿宋" w:eastAsia="仿宋" w:cs="仿宋"/>
                <w:color w:val="auto"/>
                <w:sz w:val="24"/>
                <w:szCs w:val="24"/>
                <w:highlight w:val="none"/>
              </w:rPr>
              <w:t xml:space="preserve">具有功率大、吊卸平稳、吊卸速度快</w:t>
            </w:r>
            <w:r>
              <w:rPr>
                <w:rFonts w:hint="eastAsia" w:ascii="仿宋" w:hAnsi="仿宋" w:eastAsia="仿宋" w:cs="仿宋"/>
                <w:color w:val="auto"/>
                <w:sz w:val="24"/>
                <w:szCs w:val="24"/>
                <w:highlight w:val="none"/>
              </w:rPr>
              <w:t xml:space="preserve">（箱体卸载（放下）工作时间(s)≤60，箱体装载（提升）工作时间(s)≤60、安全可靠、操作维护方便等特点。整个系统主要由副车架、举升架、主框架、导向装置、提升装置、箱体锁紧装置组成。全套液压系统，可执行箱体的起吊、平移、锁紧功能。液压油泵、液压油箱和相应的管路，液压泵直接与发动机驱动的取力装置连接，向拉臂钩提供液压油。</w:t>
            </w:r>
            <w:r/>
          </w:p>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2、提升能力：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20000kg </w:t>
            </w:r>
            <w:r/>
          </w:p>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3、装载时间：≤60s </w:t>
            </w:r>
            <w:r/>
          </w:p>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4、卸载时间：≤60s</w:t>
            </w:r>
            <w:r/>
          </w:p>
        </w:tc>
      </w:tr>
      <w:tr>
        <w:trPr>
          <w:jc w:val="center"/>
          <w:trHeight w:val="134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上装功能模块</w:t>
            </w:r>
            <w:r/>
          </w:p>
        </w:tc>
        <w:tc>
          <w:tcPr>
            <w:tcBorders>
              <w:top w:val="single" w:color="auto" w:sz="4" w:space="0"/>
              <w:left w:val="single" w:color="auto" w:sz="4" w:space="0"/>
              <w:bottom w:val="single" w:color="auto" w:sz="4" w:space="0"/>
              <w:right w:val="single" w:color="auto" w:sz="4" w:space="0"/>
            </w:tcBorders>
            <w:tcW w:w="7637" w:type="dxa"/>
            <w:vAlign w:val="top"/>
            <w:textDirection w:val="lrTb"/>
            <w:noWrap w:val="false"/>
          </w:tcPr>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发电照明设备</w:t>
            </w:r>
            <w:r/>
          </w:p>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1、汽油发电机额定功率≥12kW</w:t>
            </w:r>
            <w:r/>
          </w:p>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额定电压≥380V/220V</w:t>
            </w:r>
            <w:r/>
          </w:p>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频    率：50HZ</w:t>
            </w:r>
            <w:r/>
          </w:p>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功    能：除可为升降照明提供电能，同时可为其他用电设备供电。</w:t>
            </w:r>
            <w:r/>
          </w:p>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▲2升降照明卧式升降照明</w:t>
            </w:r>
            <w:r/>
          </w:p>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▲功    率：≥2×1000W</w:t>
            </w:r>
            <w:r/>
          </w:p>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灯具光源：LED</w:t>
            </w:r>
            <w:r/>
          </w:p>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控制方式：面板控制/有限遥控/无线遥控</w:t>
            </w:r>
            <w:r/>
          </w:p>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举升高度3.5米（含灯具4米）</w:t>
            </w:r>
            <w:r/>
          </w:p>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水平转角：0-360o </w:t>
            </w:r>
            <w:r/>
          </w:p>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俯仰角度：-90 ° /+270 °</w:t>
            </w:r>
            <w:r/>
          </w:p>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▲3、静电释放系统</w:t>
            </w:r>
            <w:r/>
          </w:p>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   成：由人体静电释放器、接地桩、货车静电带、汽车静电带、法兰静电跨接线、无火花工具等组成；</w:t>
            </w:r>
            <w:r/>
          </w:p>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功  能：车辆车架处安装有货车静电带，模块箱体及各功能模块小推车均加装有汽车静电释放带，确保各模块总成均处于静电释放状态。人体静电释放器与模块箱体连接安装在箱体前部，救援人员在执行处理易燃、易爆介质任务时需先触碰静电释放器，防止在处理过程中发生二次事故。同时在处理易燃、易爆介质任务时，如输转管路需法兰端对接，需要提前连接法兰静电跨接线，并将金属管路或接头与接地桩相连将设备移动过程中产生的静电导地，全程设备连接均需采用无火花工具进行施工。</w:t>
            </w:r>
            <w:r/>
          </w:p>
        </w:tc>
      </w:tr>
      <w:tr>
        <w:trPr>
          <w:jc w:val="center"/>
          <w:trHeight w:val="993"/>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危化品处置功能模块</w:t>
            </w:r>
            <w:r/>
          </w:p>
        </w:tc>
        <w:tc>
          <w:tcPr>
            <w:tcBorders>
              <w:top w:val="single" w:color="auto" w:sz="4" w:space="0"/>
              <w:left w:val="single" w:color="auto" w:sz="4" w:space="0"/>
              <w:bottom w:val="single" w:color="auto" w:sz="4" w:space="0"/>
              <w:right w:val="single" w:color="auto" w:sz="4" w:space="0"/>
            </w:tcBorders>
            <w:tcW w:w="7637" w:type="dxa"/>
            <w:vAlign w:val="top"/>
            <w:textDirection w:val="lrTb"/>
            <w:noWrap w:val="false"/>
          </w:tcPr>
          <w:p>
            <w:pPr>
              <w:jc w:val="left"/>
              <w:keepLines w:val="0"/>
              <w:keepNext w:val="0"/>
              <w:pageBreakBefore w:val="0"/>
              <w:spacing w:line="3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b/>
                <w:bCs/>
                <w:color w:val="auto"/>
                <w:sz w:val="24"/>
                <w:szCs w:val="24"/>
                <w:highlight w:val="none"/>
              </w:rPr>
              <w:t xml:space="preserve">1、常温、常压易燃、易爆、腐蚀类液体处置模块</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▲1.1、输转泵组：</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rPr>
              <w:t xml:space="preserve">输转泵组由两台50气动隔膜输转泵组成（一台输转酸碱类介质、一台输转石油类介质，同时可达到一备一用的目的），气动隔膜泵性能稳定，救援过程中不会产生静电及火花，救援任务可以在安全可靠的环境下完成。</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1.2、50气动隔膜输转泵</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过流部件材质:衬氟材质</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隔膜材质:三道隔膜+特氟龙隔膜</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进出口口径: DN50 </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最大流量及工作状态: ≥21立方/小时（100m处）；</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最大吸程:≥5.3米</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最大扬程:≥75米 </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 DN50管路</w:t>
            </w:r>
            <w:r/>
          </w:p>
          <w:p>
            <w:pPr>
              <w:ind w:firstLine="480"/>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5根8米腐蚀类液体输转管路和5根8米易燃易爆类液体输转管路组成，采用专用DN50特氟龙软管制作而成，两端为快速接头。两组管路颜色不同并在易观察处带有相应标识，易于分辨。管路分两组，每组均配有铝合金</w:t>
            </w:r>
            <w:r>
              <w:rPr>
                <w:rFonts w:hint="eastAsia" w:ascii="仿宋" w:hAnsi="仿宋" w:eastAsia="仿宋" w:cs="仿宋"/>
                <w:color w:val="auto"/>
                <w:sz w:val="24"/>
                <w:szCs w:val="24"/>
                <w:highlight w:val="none"/>
                <w:lang w:val="en-US" w:eastAsia="zh-CN"/>
              </w:rPr>
              <w:t xml:space="preserve">储物筐和</w:t>
            </w:r>
            <w:r>
              <w:rPr>
                <w:rFonts w:hint="eastAsia" w:ascii="仿宋" w:hAnsi="仿宋" w:eastAsia="仿宋" w:cs="仿宋"/>
                <w:color w:val="auto"/>
                <w:sz w:val="24"/>
                <w:szCs w:val="24"/>
                <w:highlight w:val="none"/>
              </w:rPr>
              <w:t xml:space="preserve">移动小推车，方便管路的输转，同时配备</w:t>
            </w:r>
            <w:r>
              <w:rPr>
                <w:rFonts w:hint="eastAsia" w:ascii="仿宋" w:hAnsi="仿宋" w:eastAsia="仿宋" w:cs="仿宋"/>
                <w:color w:val="auto"/>
                <w:sz w:val="24"/>
                <w:szCs w:val="24"/>
                <w:highlight w:val="none"/>
              </w:rPr>
              <w:t xml:space="preserve">变径接头（4′转3′）、DN80快速接头/DN50快速接头（带球阀）等</w:t>
            </w:r>
            <w:r>
              <w:rPr>
                <w:rFonts w:hint="eastAsia" w:ascii="仿宋" w:hAnsi="仿宋" w:eastAsia="仿宋" w:cs="仿宋"/>
                <w:color w:val="auto"/>
                <w:sz w:val="24"/>
                <w:szCs w:val="24"/>
                <w:highlight w:val="none"/>
              </w:rPr>
              <w:t xml:space="preserve">转换接头，可以根据事故现场的需求选择相匹配的转换接头。</w:t>
            </w:r>
            <w:r/>
          </w:p>
          <w:p>
            <w:pPr>
              <w:jc w:val="left"/>
              <w:keepLines w:val="0"/>
              <w:keepNext w:val="0"/>
              <w:pageBreakBefore w:val="0"/>
              <w:spacing w:line="300" w:lineRule="exact"/>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▲1.4、空气压缩机</w:t>
            </w:r>
            <w:r/>
          </w:p>
          <w:p>
            <w:pPr>
              <w:ind w:firstLine="480"/>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由一体式空压机和一组60米DN25气路卷盘组成，空压机固定车辆后方，为气动隔膜泵提供气源，气路卷盘可以和注氮管线连用，可以实现30米，60米、90米和120米的救援状态，可在救援模块120米范围内保证气动泵的功能使用。</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排气压力:≥1.0Mpa</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排气量:2.5</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m³/min</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进气温度: -10℃-50℃ </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油耗:7L/H</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连续工作时间:≥8小时</w:t>
            </w:r>
            <w:r/>
          </w:p>
          <w:p>
            <w:pPr>
              <w:jc w:val="left"/>
              <w:keepLines w:val="0"/>
              <w:keepNext w:val="0"/>
              <w:pageBreakBefore w:val="0"/>
              <w:spacing w:line="3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b/>
                <w:bCs/>
                <w:color w:val="auto"/>
                <w:sz w:val="24"/>
                <w:szCs w:val="24"/>
                <w:highlight w:val="none"/>
              </w:rPr>
              <w:t xml:space="preserve">2、 LNG类介质处置模块</w:t>
            </w:r>
            <w:r/>
          </w:p>
          <w:p>
            <w:pPr>
              <w:ind w:firstLine="480"/>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由可移动式铝合金储物筐（放置钢编软管）、航空箱（放置转换接头）、</w:t>
            </w:r>
            <w:r>
              <w:rPr>
                <w:rFonts w:hint="eastAsia" w:ascii="仿宋" w:hAnsi="仿宋" w:eastAsia="仿宋" w:cs="仿宋"/>
                <w:color w:val="auto"/>
                <w:sz w:val="24"/>
                <w:szCs w:val="24"/>
                <w:highlight w:val="none"/>
              </w:rPr>
              <w:t xml:space="preserve">DN32LNG法兰/KA40快接头</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DN50LNG法兰/KA40快接头、DN65国标法兰/KA40快接头、KA40快接头/ DN50槽车公头、KA40快接头/KA40快接头/G1母头（带排放阀）</w:t>
            </w:r>
            <w:r>
              <w:rPr>
                <w:rFonts w:hint="eastAsia" w:ascii="仿宋" w:hAnsi="仿宋" w:eastAsia="仿宋" w:cs="仿宋"/>
                <w:color w:val="auto"/>
                <w:sz w:val="24"/>
                <w:szCs w:val="24"/>
                <w:highlight w:val="none"/>
              </w:rPr>
              <w:t xml:space="preserve">和5根10米</w:t>
            </w:r>
            <w:r>
              <w:rPr>
                <w:rFonts w:hint="eastAsia" w:ascii="仿宋" w:hAnsi="仿宋" w:eastAsia="仿宋" w:cs="仿宋"/>
                <w:color w:val="auto"/>
                <w:sz w:val="24"/>
                <w:szCs w:val="24"/>
                <w:highlight w:val="none"/>
              </w:rPr>
              <w:t xml:space="preserve">DN40钢编软管（KA40快接头）</w:t>
            </w:r>
            <w:r>
              <w:rPr>
                <w:rFonts w:hint="eastAsia" w:ascii="仿宋" w:hAnsi="仿宋" w:eastAsia="仿宋" w:cs="仿宋"/>
                <w:color w:val="auto"/>
                <w:sz w:val="24"/>
                <w:szCs w:val="24"/>
                <w:highlight w:val="none"/>
              </w:rPr>
              <w:t xml:space="preserve">，可通过与气体消防车（制氮消防车）或液氮车的配合完全输转事故车辆内的LNG类介质，转换接头可在事故车辆处于不同损坏状态时进行匹配组装或替换。</w:t>
            </w:r>
            <w:r>
              <w:rPr>
                <w:rFonts w:hint="eastAsia" w:ascii="仿宋" w:hAnsi="仿宋" w:eastAsia="仿宋" w:cs="仿宋"/>
                <w:color w:val="auto"/>
                <w:sz w:val="24"/>
                <w:szCs w:val="24"/>
                <w:highlight w:val="none"/>
              </w:rPr>
              <w:t xml:space="preserve"> </w:t>
            </w:r>
            <w:r/>
          </w:p>
          <w:p>
            <w:pPr>
              <w:jc w:val="left"/>
              <w:keepLines w:val="0"/>
              <w:keepNext w:val="0"/>
              <w:pageBreakBefore w:val="0"/>
              <w:spacing w:line="3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b/>
                <w:bCs/>
                <w:color w:val="auto"/>
                <w:sz w:val="24"/>
                <w:szCs w:val="24"/>
                <w:highlight w:val="none"/>
              </w:rPr>
              <w:t xml:space="preserve">3、LPG类介质处置模块</w:t>
            </w:r>
            <w:r/>
          </w:p>
          <w:p>
            <w:pPr>
              <w:ind w:firstLine="480"/>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由可移动式铝合金储物筐（放置钢编软管）、航空箱（放置转换接头）、</w:t>
            </w:r>
            <w:r>
              <w:rPr>
                <w:rFonts w:hint="eastAsia" w:ascii="仿宋" w:hAnsi="仿宋" w:eastAsia="仿宋" w:cs="仿宋"/>
                <w:color w:val="auto"/>
                <w:sz w:val="24"/>
                <w:szCs w:val="24"/>
                <w:highlight w:val="none"/>
              </w:rPr>
              <w:t xml:space="preserve">DN50化工法兰/DN50槽车公头</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DN25槽车母头/DN50槽车公头</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DN25化工法兰/DN50槽车公头</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DN50槽车母头/DN50槽车母头（带球阀）、DN50槽车母头/DN50槽车公头/G1母头（带排放阀）</w:t>
            </w:r>
            <w:r>
              <w:rPr>
                <w:rFonts w:hint="eastAsia" w:ascii="仿宋" w:hAnsi="仿宋" w:eastAsia="仿宋" w:cs="仿宋"/>
                <w:color w:val="auto"/>
                <w:sz w:val="24"/>
                <w:szCs w:val="24"/>
                <w:highlight w:val="none"/>
              </w:rPr>
              <w:t xml:space="preserve">和5根10米</w:t>
            </w:r>
            <w:r>
              <w:rPr>
                <w:rFonts w:hint="eastAsia" w:ascii="仿宋" w:hAnsi="仿宋" w:eastAsia="仿宋" w:cs="仿宋"/>
                <w:color w:val="auto"/>
                <w:sz w:val="24"/>
                <w:szCs w:val="24"/>
                <w:highlight w:val="none"/>
              </w:rPr>
              <w:t xml:space="preserve">DN40钢编软管（DN50槽车公/母头）</w:t>
            </w:r>
            <w:r>
              <w:rPr>
                <w:rFonts w:hint="eastAsia" w:ascii="仿宋" w:hAnsi="仿宋" w:eastAsia="仿宋" w:cs="仿宋"/>
                <w:color w:val="auto"/>
                <w:sz w:val="24"/>
                <w:szCs w:val="24"/>
                <w:highlight w:val="none"/>
              </w:rPr>
              <w:t xml:space="preserve">，可通过与气体消防车（制氮消防车）或液氮车的配合完全输转事故车辆内的LPG类介质，转换接头可在事故车辆处于不同损坏状态时进行匹配组装或替换。</w:t>
            </w:r>
            <w:r/>
          </w:p>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b/>
                <w:bCs/>
                <w:color w:val="auto"/>
                <w:sz w:val="24"/>
                <w:szCs w:val="24"/>
                <w:highlight w:val="none"/>
              </w:rPr>
              <w:t xml:space="preserve">注氮设备模块</w:t>
            </w:r>
            <w:r/>
          </w:p>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由可移动式铝合金储物筐（放置钢编软管）、航空箱（放置转换接头）、</w:t>
            </w:r>
            <w:r>
              <w:rPr>
                <w:rFonts w:hint="eastAsia" w:ascii="仿宋" w:hAnsi="仿宋" w:eastAsia="仿宋" w:cs="仿宋"/>
                <w:color w:val="auto"/>
                <w:sz w:val="24"/>
                <w:szCs w:val="24"/>
                <w:highlight w:val="none"/>
              </w:rPr>
              <w:t xml:space="preserve">DN25槽车母头/G1母头（带排放阀）、DN25化工法兰/G1母头（带排放阀）、DN50槽车母头/G1母头（带排放阀）、DN50化工法兰/ G1母头（带排放阀）、DN50LNG法兰/G1母头（带排放阀）、DN32LNG法兰/ G1母头（带排放阀）、DN65国标法兰/G1母头（带排放阀）</w:t>
            </w:r>
            <w:r>
              <w:rPr>
                <w:rFonts w:hint="eastAsia" w:ascii="仿宋" w:hAnsi="仿宋" w:eastAsia="仿宋" w:cs="仿宋"/>
                <w:color w:val="auto"/>
                <w:sz w:val="24"/>
                <w:szCs w:val="24"/>
                <w:highlight w:val="none"/>
              </w:rPr>
              <w:t xml:space="preserve">和2根30米DN25国标公母头快接软管组成，主要用来配合氮气增压车和液氮车对LPG类和LNG类事故车辆进行增压排放介质。</w:t>
            </w:r>
            <w:r/>
          </w:p>
          <w:p>
            <w:pPr>
              <w:ind w:firstLine="480"/>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车辆设置氮气瓶组，可在事故救援前对输转管线、接头进行吹扫，在事故救援后对事故罐体进行惰化，防止二次事故的发生。同时也可配合大型制氮设备和液氮车对事故车辆罐体增压，达到介质输转的目的。</w:t>
            </w:r>
            <w:r/>
          </w:p>
          <w:p>
            <w:pPr>
              <w:ind w:firstLine="480"/>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氮气瓶规格：120L；</w:t>
            </w:r>
            <w:r/>
          </w:p>
          <w:p>
            <w:pPr>
              <w:ind w:firstLine="480"/>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氮气瓶数量：≥4个；</w:t>
            </w:r>
            <w:r/>
          </w:p>
          <w:p>
            <w:pPr>
              <w:ind w:firstLine="480"/>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气瓶充气压力：15MPa；</w:t>
            </w:r>
            <w:r/>
          </w:p>
          <w:p>
            <w:pP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bCs/>
                <w:color w:val="auto"/>
                <w:sz w:val="24"/>
                <w:szCs w:val="24"/>
                <w:highlight w:val="none"/>
              </w:rPr>
              <w:t xml:space="preserve">控烧模块</w:t>
            </w:r>
            <w:r/>
          </w:p>
          <w:p>
            <w:pPr>
              <w:ind w:firstLine="480"/>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由点火集成小推车、2根30米DN25国标公母头快接软管组成、遥控单元组成，可以远距离遥控点火，主要作用是在事故处理后期控烧密度较轻的易燃有毒气体。</w:t>
            </w:r>
            <w:r/>
          </w:p>
        </w:tc>
      </w:tr>
      <w:tr>
        <w:trPr>
          <w:jc w:val="center"/>
          <w:trHeight w:val="263"/>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车辆智能动态示教系统</w:t>
            </w:r>
            <w:r/>
          </w:p>
        </w:tc>
        <w:tc>
          <w:tcPr>
            <w:tcBorders>
              <w:top w:val="single" w:color="auto" w:sz="4" w:space="0"/>
              <w:left w:val="single" w:color="auto" w:sz="4" w:space="0"/>
              <w:bottom w:val="single" w:color="auto" w:sz="4" w:space="0"/>
              <w:right w:val="single" w:color="auto" w:sz="4" w:space="0"/>
            </w:tcBorders>
            <w:tcW w:w="7637" w:type="dxa"/>
            <w:vAlign w:val="top"/>
            <w:textDirection w:val="lrTb"/>
            <w:noWrap w:val="false"/>
          </w:tcPr>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消防车动态示教系统是一款集合车辆展示、功能解析、场景模拟与操作指导等功能的专用教学工具。软件旨在使消防队员能够在安全、低成本的条件下，全面掌握消防车的使用操作和在不同火灾场景下的应对策略。</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系统功能包括：</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车辆示教功能，软件内置高精度车辆模型，支持旋转360°环视，车辆、车载模块可多种视角切换，全方位展示化学救援车的外观、内部结构及各部件细节，集成视频语音示教软件帮助用户深入了解车辆构造，产品软件系统拥有自主知识产权。</w:t>
            </w:r>
            <w:r/>
          </w:p>
          <w:p>
            <w:pPr>
              <w:jc w:val="left"/>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2.处置方案功能，设定多种典型的化学事故场景（如 LNG 处置、LPG 处置、酸性液体处置、碱性液体处置等），根据不同事故场景</w:t>
            </w:r>
            <w:r>
              <w:rPr>
                <w:rFonts w:hint="eastAsia" w:ascii="仿宋" w:hAnsi="仿宋" w:eastAsia="仿宋" w:cs="仿宋"/>
                <w:b/>
                <w:bCs/>
                <w:color w:val="auto"/>
                <w:sz w:val="24"/>
                <w:szCs w:val="24"/>
                <w:highlight w:val="none"/>
              </w:rPr>
              <w:t xml:space="preserve">推荐</w:t>
            </w:r>
            <w:r>
              <w:rPr>
                <w:rFonts w:hint="eastAsia" w:ascii="仿宋" w:hAnsi="仿宋" w:eastAsia="仿宋" w:cs="仿宋"/>
                <w:color w:val="auto"/>
                <w:sz w:val="24"/>
                <w:szCs w:val="24"/>
                <w:highlight w:val="none"/>
              </w:rPr>
              <w:t xml:space="preserve">处理方案和使用器材，并通过物联网技术实现器材位置自动指示。</w:t>
            </w:r>
            <w:r/>
          </w:p>
          <w:p>
            <w:pPr>
              <w:jc w:val="left"/>
              <w:keepLines w:val="0"/>
              <w:keepNext w:val="0"/>
              <w:pageBreakBefore w:val="0"/>
              <w:spacing w:line="30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3.搭载系统的装置性能优越，设备搭载国产芯片，采用15寸以上高清显示器，集成通讯功能和2路USB端口，集成RS-485协议。机身采用铝合金材质，耐磨耐用防尘防水。</w:t>
            </w:r>
            <w:r/>
          </w:p>
        </w:tc>
      </w:tr>
      <w:tr>
        <w:trPr>
          <w:jc w:val="center"/>
          <w:trHeight w:val="491"/>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警示照明系统及附加电器</w:t>
            </w:r>
            <w:r/>
          </w:p>
        </w:tc>
        <w:tc>
          <w:tcPr>
            <w:tcBorders>
              <w:top w:val="single" w:color="auto" w:sz="4" w:space="0"/>
              <w:left w:val="single" w:color="auto" w:sz="4" w:space="0"/>
              <w:bottom w:val="single" w:color="auto" w:sz="4" w:space="0"/>
              <w:right w:val="single" w:color="auto" w:sz="4" w:space="0"/>
            </w:tcBorders>
            <w:tcW w:w="7637" w:type="dxa"/>
            <w:vAlign w:val="top"/>
            <w:textDirection w:val="lrTb"/>
            <w:noWrap w:val="false"/>
          </w:tcPr>
          <w:p>
            <w:pPr>
              <w:jc w:val="left"/>
              <w:keepLines w:val="0"/>
              <w:keepNext w:val="0"/>
              <w:pageBreakBefore w:val="0"/>
              <w:spacing w:line="30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1、整车设有电源总开关，附加电源开关、警灯、警报器、标志灯、示廓灯等操控开关设在驾驶室内，独立电路设计。</w:t>
            </w:r>
            <w:r/>
          </w:p>
          <w:p>
            <w:pPr>
              <w:jc w:val="left"/>
              <w:keepLines w:val="0"/>
              <w:keepNext w:val="0"/>
              <w:pageBreakBefore w:val="0"/>
              <w:spacing w:line="30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2、警灯：配备长排警灯，警灯安装于驾驶室顶部，外形符合整车外观要求。</w:t>
            </w:r>
            <w:r/>
          </w:p>
          <w:p>
            <w:pPr>
              <w:jc w:val="left"/>
              <w:keepLines w:val="0"/>
              <w:keepNext w:val="0"/>
              <w:pageBreakBefore w:val="0"/>
              <w:spacing w:line="30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3、警报器：功率：100W。</w:t>
            </w:r>
            <w:r/>
          </w:p>
          <w:p>
            <w:pPr>
              <w:jc w:val="left"/>
              <w:keepLines w:val="0"/>
              <w:keepNext w:val="0"/>
              <w:pageBreakBefore w:val="0"/>
              <w:spacing w:line="30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4、侧警灯：车身两侧各装3组爆闪警灯；车身两侧下方安装3组安全侧标志灯。</w:t>
            </w:r>
            <w:r/>
          </w:p>
          <w:p>
            <w:pPr>
              <w:jc w:val="left"/>
              <w:keepLines w:val="0"/>
              <w:keepNext w:val="0"/>
              <w:pageBreakBefore w:val="0"/>
              <w:spacing w:line="30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5、侧照明及后照明：车身侧面安装2个LED照明灯，后部侧开门上方安装1个LED照明灯，车顶安装1个可俯仰旋转的搜索灯；</w:t>
            </w:r>
            <w:r/>
          </w:p>
          <w:p>
            <w:pPr>
              <w:jc w:val="left"/>
              <w:keepLines w:val="0"/>
              <w:keepNext w:val="0"/>
              <w:pageBreakBefore w:val="0"/>
              <w:spacing w:line="30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6、安装市电外接接口：当方便使用外电时不用开动发电机，直接接入市电电源，确保车内用电设备正常供电。</w:t>
            </w:r>
            <w:r/>
          </w:p>
        </w:tc>
      </w:tr>
      <w:tr>
        <w:trPr>
          <w:jc w:val="center"/>
          <w:trHeight w:val="44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w:t>
            </w:r>
            <w:r/>
          </w:p>
        </w:tc>
        <w:tc>
          <w:tcPr>
            <w:tcBorders>
              <w:top w:val="single" w:color="auto" w:sz="4" w:space="0"/>
              <w:left w:val="single" w:color="auto" w:sz="4" w:space="0"/>
              <w:bottom w:val="single" w:color="auto" w:sz="4" w:space="0"/>
              <w:right w:val="single" w:color="auto" w:sz="4" w:space="0"/>
            </w:tcBorders>
            <w:tcW w:w="7637" w:type="dxa"/>
            <w:vAlign w:val="top"/>
            <w:textDirection w:val="lrTb"/>
            <w:noWrap w:val="false"/>
          </w:tcPr>
          <w:p>
            <w:pPr>
              <w:jc w:val="left"/>
              <w:keepLines w:val="0"/>
              <w:keepNext w:val="0"/>
              <w:pageBreakBefore w:val="0"/>
              <w:spacing w:line="300" w:lineRule="exact"/>
              <w:widowControl w:val="off"/>
              <w:rPr>
                <w:rFonts w:hint="eastAsia" w:ascii="仿宋" w:hAnsi="仿宋" w:eastAsia="仿宋" w:cs="仿宋"/>
                <w:b/>
                <w:i/>
                <w:iCs/>
                <w:color w:val="auto"/>
                <w:sz w:val="24"/>
                <w:szCs w:val="24"/>
                <w:highlight w:val="none"/>
                <w:u w:val="single"/>
              </w:rPr>
            </w:pPr>
            <w:r>
              <w:rPr>
                <w:rFonts w:hint="eastAsia" w:ascii="仿宋" w:hAnsi="仿宋" w:eastAsia="仿宋" w:cs="仿宋"/>
                <w:b/>
                <w:i/>
                <w:iCs/>
                <w:color w:val="auto"/>
                <w:sz w:val="24"/>
                <w:szCs w:val="24"/>
                <w:highlight w:val="none"/>
                <w:u w:val="single"/>
              </w:rPr>
              <w:t xml:space="preserve">随车文件</w:t>
            </w:r>
            <w:r/>
          </w:p>
          <w:p>
            <w:pPr>
              <w:numPr>
                <w:ilvl w:val="0"/>
                <w:numId w:val="5"/>
              </w:numPr>
              <w:ind w:hanging="1400"/>
              <w:jc w:val="left"/>
              <w:keepLines w:val="0"/>
              <w:keepNext w:val="0"/>
              <w:pageBreakBefore w:val="0"/>
              <w:spacing w:line="300" w:lineRule="exact"/>
              <w:widowControl w:val="off"/>
              <w:tabs>
                <w:tab w:val="clear" w:pos="1400" w:leader="none"/>
              </w:tabs>
              <w:rPr>
                <w:rFonts w:hint="eastAsia" w:ascii="仿宋" w:hAnsi="仿宋" w:eastAsia="仿宋" w:cs="仿宋"/>
                <w:i/>
                <w:iCs/>
                <w:color w:val="auto"/>
                <w:sz w:val="24"/>
                <w:szCs w:val="24"/>
                <w:highlight w:val="none"/>
                <w:u w:val="single"/>
              </w:rPr>
            </w:pPr>
            <w:r>
              <w:rPr>
                <w:rFonts w:hint="eastAsia" w:ascii="仿宋" w:hAnsi="仿宋" w:eastAsia="仿宋" w:cs="仿宋"/>
                <w:i/>
                <w:iCs/>
                <w:color w:val="auto"/>
                <w:sz w:val="24"/>
                <w:szCs w:val="24"/>
                <w:highlight w:val="none"/>
                <w:u w:val="single"/>
              </w:rPr>
              <w:t xml:space="preserve">底盘使用与保养说明书</w:t>
            </w:r>
            <w:r/>
          </w:p>
          <w:p>
            <w:pPr>
              <w:numPr>
                <w:ilvl w:val="0"/>
                <w:numId w:val="5"/>
              </w:numPr>
              <w:ind w:hanging="1400"/>
              <w:jc w:val="left"/>
              <w:keepLines w:val="0"/>
              <w:keepNext w:val="0"/>
              <w:pageBreakBefore w:val="0"/>
              <w:spacing w:line="300" w:lineRule="exact"/>
              <w:widowControl w:val="off"/>
              <w:tabs>
                <w:tab w:val="clear" w:pos="1400" w:leader="none"/>
              </w:tabs>
              <w:rPr>
                <w:rFonts w:hint="eastAsia" w:ascii="仿宋" w:hAnsi="仿宋" w:eastAsia="仿宋" w:cs="仿宋"/>
                <w:i/>
                <w:iCs/>
                <w:color w:val="auto"/>
                <w:sz w:val="24"/>
                <w:szCs w:val="24"/>
                <w:highlight w:val="none"/>
                <w:u w:val="single"/>
              </w:rPr>
            </w:pPr>
            <w:r>
              <w:rPr>
                <w:rFonts w:hint="eastAsia" w:ascii="仿宋" w:hAnsi="仿宋" w:eastAsia="仿宋" w:cs="仿宋"/>
                <w:i/>
                <w:iCs/>
                <w:color w:val="auto"/>
                <w:sz w:val="24"/>
                <w:szCs w:val="24"/>
                <w:highlight w:val="none"/>
                <w:u w:val="single"/>
              </w:rPr>
              <w:t xml:space="preserve">底盘合格证</w:t>
            </w:r>
            <w:r/>
          </w:p>
          <w:p>
            <w:pPr>
              <w:numPr>
                <w:ilvl w:val="0"/>
                <w:numId w:val="5"/>
              </w:numPr>
              <w:ind w:hanging="1400"/>
              <w:jc w:val="left"/>
              <w:keepLines w:val="0"/>
              <w:keepNext w:val="0"/>
              <w:pageBreakBefore w:val="0"/>
              <w:spacing w:line="300" w:lineRule="exact"/>
              <w:widowControl w:val="off"/>
              <w:tabs>
                <w:tab w:val="clear" w:pos="1400" w:leader="none"/>
              </w:tabs>
              <w:rPr>
                <w:rFonts w:hint="eastAsia" w:ascii="仿宋" w:hAnsi="仿宋" w:eastAsia="仿宋" w:cs="仿宋"/>
                <w:i/>
                <w:iCs/>
                <w:color w:val="auto"/>
                <w:sz w:val="24"/>
                <w:szCs w:val="24"/>
                <w:highlight w:val="none"/>
                <w:u w:val="single"/>
              </w:rPr>
            </w:pPr>
            <w:r>
              <w:rPr>
                <w:rFonts w:hint="eastAsia" w:ascii="仿宋" w:hAnsi="仿宋" w:eastAsia="仿宋" w:cs="仿宋"/>
                <w:i/>
                <w:iCs/>
                <w:color w:val="auto"/>
                <w:sz w:val="24"/>
                <w:szCs w:val="24"/>
                <w:highlight w:val="none"/>
                <w:u w:val="single"/>
              </w:rPr>
              <w:t xml:space="preserve">底盘VIN号拓印件</w:t>
            </w:r>
            <w:r/>
          </w:p>
          <w:p>
            <w:pPr>
              <w:numPr>
                <w:ilvl w:val="0"/>
                <w:numId w:val="5"/>
              </w:numPr>
              <w:ind w:hanging="1400"/>
              <w:jc w:val="left"/>
              <w:keepLines w:val="0"/>
              <w:keepNext w:val="0"/>
              <w:pageBreakBefore w:val="0"/>
              <w:spacing w:line="300" w:lineRule="exact"/>
              <w:widowControl w:val="off"/>
              <w:tabs>
                <w:tab w:val="clear" w:pos="1400" w:leader="none"/>
              </w:tabs>
              <w:rPr>
                <w:rFonts w:hint="eastAsia" w:ascii="仿宋" w:hAnsi="仿宋" w:eastAsia="仿宋" w:cs="仿宋"/>
                <w:i/>
                <w:iCs/>
                <w:color w:val="auto"/>
                <w:sz w:val="24"/>
                <w:szCs w:val="24"/>
                <w:highlight w:val="none"/>
                <w:u w:val="single"/>
              </w:rPr>
            </w:pPr>
            <w:r>
              <w:rPr>
                <w:rFonts w:hint="eastAsia" w:ascii="仿宋" w:hAnsi="仿宋" w:eastAsia="仿宋" w:cs="仿宋"/>
                <w:i/>
                <w:iCs/>
                <w:color w:val="auto"/>
                <w:sz w:val="24"/>
                <w:szCs w:val="24"/>
                <w:highlight w:val="none"/>
                <w:u w:val="single"/>
              </w:rPr>
              <w:t xml:space="preserve">底盘随车工具清单</w:t>
            </w:r>
            <w:r/>
          </w:p>
          <w:p>
            <w:pPr>
              <w:numPr>
                <w:ilvl w:val="0"/>
                <w:numId w:val="5"/>
              </w:numPr>
              <w:ind w:hanging="1400"/>
              <w:jc w:val="left"/>
              <w:keepLines w:val="0"/>
              <w:keepNext w:val="0"/>
              <w:pageBreakBefore w:val="0"/>
              <w:spacing w:line="300" w:lineRule="exact"/>
              <w:widowControl w:val="off"/>
              <w:tabs>
                <w:tab w:val="clear" w:pos="1400" w:leader="none"/>
              </w:tabs>
              <w:rPr>
                <w:rFonts w:hint="eastAsia" w:ascii="仿宋" w:hAnsi="仿宋" w:eastAsia="仿宋" w:cs="仿宋"/>
                <w:i/>
                <w:iCs/>
                <w:color w:val="auto"/>
                <w:sz w:val="24"/>
                <w:szCs w:val="24"/>
                <w:highlight w:val="none"/>
                <w:u w:val="single"/>
              </w:rPr>
            </w:pPr>
            <w:r>
              <w:rPr>
                <w:rFonts w:hint="eastAsia" w:ascii="仿宋" w:hAnsi="仿宋" w:eastAsia="仿宋" w:cs="仿宋"/>
                <w:i/>
                <w:iCs/>
                <w:color w:val="auto"/>
                <w:sz w:val="24"/>
                <w:szCs w:val="24"/>
                <w:highlight w:val="none"/>
                <w:u w:val="single"/>
              </w:rPr>
              <w:t xml:space="preserve">消防车合格证</w:t>
            </w:r>
            <w:r/>
          </w:p>
          <w:p>
            <w:pPr>
              <w:numPr>
                <w:ilvl w:val="0"/>
                <w:numId w:val="5"/>
              </w:numPr>
              <w:ind w:hanging="1400"/>
              <w:jc w:val="left"/>
              <w:keepLines w:val="0"/>
              <w:keepNext w:val="0"/>
              <w:pageBreakBefore w:val="0"/>
              <w:spacing w:line="300" w:lineRule="exact"/>
              <w:widowControl w:val="off"/>
              <w:tabs>
                <w:tab w:val="clear" w:pos="1400" w:leader="none"/>
              </w:tabs>
              <w:rPr>
                <w:rFonts w:hint="eastAsia" w:ascii="仿宋" w:hAnsi="仿宋" w:eastAsia="仿宋" w:cs="仿宋"/>
                <w:i/>
                <w:iCs/>
                <w:color w:val="auto"/>
                <w:sz w:val="24"/>
                <w:szCs w:val="24"/>
                <w:highlight w:val="none"/>
                <w:u w:val="single"/>
              </w:rPr>
            </w:pPr>
            <w:r>
              <w:rPr>
                <w:rFonts w:hint="eastAsia" w:ascii="仿宋" w:hAnsi="仿宋" w:eastAsia="仿宋" w:cs="仿宋"/>
                <w:i/>
                <w:iCs/>
                <w:color w:val="auto"/>
                <w:sz w:val="24"/>
                <w:szCs w:val="24"/>
                <w:highlight w:val="none"/>
                <w:u w:val="single"/>
              </w:rPr>
              <w:t xml:space="preserve">消防车使用说明书</w:t>
            </w:r>
            <w:r/>
          </w:p>
          <w:p>
            <w:pPr>
              <w:numPr>
                <w:ilvl w:val="0"/>
                <w:numId w:val="5"/>
              </w:numPr>
              <w:ind w:hanging="1400"/>
              <w:jc w:val="left"/>
              <w:keepLines w:val="0"/>
              <w:keepNext w:val="0"/>
              <w:pageBreakBefore w:val="0"/>
              <w:spacing w:line="300" w:lineRule="exact"/>
              <w:widowControl w:val="off"/>
              <w:tabs>
                <w:tab w:val="clear" w:pos="1400" w:leader="none"/>
              </w:tabs>
              <w:rPr>
                <w:rFonts w:hint="eastAsia" w:ascii="仿宋" w:hAnsi="仿宋" w:eastAsia="仿宋" w:cs="仿宋"/>
                <w:color w:val="auto"/>
                <w:sz w:val="24"/>
                <w:szCs w:val="24"/>
                <w:highlight w:val="none"/>
              </w:rPr>
            </w:pPr>
            <w:r>
              <w:rPr>
                <w:rFonts w:hint="eastAsia" w:ascii="仿宋" w:hAnsi="仿宋" w:eastAsia="仿宋" w:cs="仿宋"/>
                <w:i/>
                <w:iCs/>
                <w:color w:val="auto"/>
                <w:sz w:val="24"/>
                <w:szCs w:val="24"/>
                <w:highlight w:val="none"/>
                <w:u w:val="single"/>
              </w:rPr>
              <w:t xml:space="preserve">消防车随车器材配备表</w:t>
            </w:r>
            <w:r/>
          </w:p>
        </w:tc>
      </w:tr>
    </w:tbl>
    <w:p>
      <w:pPr>
        <w:numPr>
          <w:ilvl w:val="0"/>
          <w:numId w:val="0"/>
        </w:numPr>
        <w:keepLines w:val="0"/>
        <w:keepNext w:val="0"/>
        <w:pageBreakBefore w:val="0"/>
        <w:spacing w:line="42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2、随车器材</w:t>
      </w:r>
      <w:r/>
    </w:p>
    <w:tbl>
      <w:tblPr>
        <w:tblStyle w:val="724"/>
        <w:tblW w:w="93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419"/>
        <w:gridCol w:w="2502"/>
        <w:gridCol w:w="787"/>
        <w:gridCol w:w="1950"/>
        <w:gridCol w:w="1900"/>
      </w:tblGrid>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W w:w="1419"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类别</w:t>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名称</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数量</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规格</w:t>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附注</w:t>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1419" w:type="dxa"/>
            <w:vAlign w:val="center"/>
            <w:vMerge w:val="restart"/>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原车附件</w:t>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手提式干粉灭火器</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4kg</w:t>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原车工具</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1套</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底盘厂随车附件</w:t>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车用三角警告牌</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W w:w="1419" w:type="dxa"/>
            <w:vAlign w:val="center"/>
            <w:vMerge w:val="restart"/>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堵漏工具组</w:t>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木质堵漏楔</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1套</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强磁堵漏工具一套</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1套</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注入式堵漏工具</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1套</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黏贴式堵漏工具</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1套</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外封式堵漏袋</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1套</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p>
        </w:tc>
        <w:tc>
          <w:tcPr>
            <w:tcW w:w="1419" w:type="dxa"/>
            <w:vAlign w:val="center"/>
            <w:vMerge w:val="restart"/>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静电释放装置</w:t>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人体静电释放球</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法兰静电跨接线</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40根</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静电导地桩</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4根</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10米</w:t>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无火花工具</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1套</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w:t>
            </w:r>
            <w:r/>
          </w:p>
        </w:tc>
        <w:tc>
          <w:tcPr>
            <w:tcW w:w="1419" w:type="dxa"/>
            <w:vAlign w:val="center"/>
            <w:vMerge w:val="restart"/>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注氮模块</w:t>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DN25槽车母头/G1母头（带排放阀）</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气相注氮</w:t>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DN25化工法兰/G1母头（带排放阀）</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气相注氮</w:t>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DN50槽车母头/G1母头（带排放阀）</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气相注氮</w:t>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DN50化工法兰/ G1母头（带排放阀）</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气相注氮</w:t>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DN50LNG法兰/G1母头（带排放阀）</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气相注氮</w:t>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18</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DN32LNG法兰/ G1母头（带排放阀）</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气相注氮</w:t>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DN65国标法兰/G1母头（带排放阀）</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气相注氮</w:t>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30米DN25钢编软管（两端快接）</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2根</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气相注氮/控烧/供气</w:t>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120L氮气瓶</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氮气瓶组设置支架+气体汇流排</w:t>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w:t>
            </w:r>
            <w:r/>
          </w:p>
        </w:tc>
        <w:tc>
          <w:tcPr>
            <w:tcW w:w="1419" w:type="dxa"/>
            <w:vAlign w:val="center"/>
            <w:vMerge w:val="restart"/>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LNG类介质处置模块</w:t>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DN50LNG法兰/KA40快接头</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DN32LNG法兰/KA40快接头</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DN65国标法兰/KA40快接头</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25</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KA40快接头/ DN50槽车公头</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39"/>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KA40快接头/KA40快接头/G1母头（带排放阀）</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39"/>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KA40快接头/ DN50槽车母头</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28</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10米</w:t>
            </w:r>
            <w:r>
              <w:rPr>
                <w:rFonts w:hint="eastAsia" w:ascii="仿宋" w:hAnsi="仿宋" w:eastAsia="仿宋" w:cs="仿宋"/>
                <w:color w:val="auto"/>
                <w:sz w:val="24"/>
                <w:szCs w:val="24"/>
                <w:highlight w:val="none"/>
              </w:rPr>
              <w:t xml:space="preserve">DN40钢编软管（KA40快接头）</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5根</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10米/根</w:t>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29</w:t>
            </w:r>
            <w:r/>
          </w:p>
        </w:tc>
        <w:tc>
          <w:tcPr>
            <w:tcW w:w="1419" w:type="dxa"/>
            <w:vAlign w:val="center"/>
            <w:vMerge w:val="restart"/>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LPG类介质处置模块</w:t>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DN50化工法兰/DN50槽车公头</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DN25槽车母头/DN50槽车公头</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31</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DN25化工法兰/DN50槽车公头</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DN50槽车母头/DN50槽车母头（带球阀）</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33</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DN50槽车母头/DN50槽车公头/G1母头（带排放阀）</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34</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DN40钢编软管（DN50槽车公/母头）</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5根</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10米/根</w:t>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35</w:t>
            </w:r>
            <w:r/>
          </w:p>
        </w:tc>
        <w:tc>
          <w:tcPr>
            <w:tcW w:w="1419" w:type="dxa"/>
            <w:vAlign w:val="center"/>
            <w:vMerge w:val="restart"/>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常温常压类危化品介质处置模块</w:t>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变径接头（4′转3′）</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卸料口</w:t>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36</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DN80快接/DN50快接（带球阀）</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两车液相</w:t>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37</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DN80快接/DN50快接</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两车液相</w:t>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38</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DN80快接/DN50法兰</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泵组转换</w:t>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39</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DN50红色特氟龙软管（国标50</w:t>
            </w:r>
            <w:r>
              <w:rPr>
                <w:rFonts w:hint="eastAsia" w:ascii="仿宋" w:hAnsi="仿宋" w:eastAsia="仿宋" w:cs="仿宋"/>
                <w:color w:val="auto"/>
                <w:sz w:val="24"/>
                <w:szCs w:val="24"/>
                <w:highlight w:val="none"/>
              </w:rPr>
              <w:t xml:space="preserve">快接</w:t>
            </w:r>
            <w:r>
              <w:rPr>
                <w:rFonts w:hint="eastAsia" w:ascii="仿宋" w:hAnsi="仿宋" w:eastAsia="仿宋" w:cs="仿宋"/>
                <w:color w:val="auto"/>
                <w:sz w:val="24"/>
                <w:szCs w:val="24"/>
                <w:highlight w:val="none"/>
              </w:rPr>
              <w:t xml:space="preserve">）</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5根</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8米/根</w:t>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40</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DN50蓝色特氟龙软管</w:t>
            </w:r>
            <w:r>
              <w:rPr>
                <w:rFonts w:hint="eastAsia" w:ascii="仿宋" w:hAnsi="仿宋" w:eastAsia="仿宋" w:cs="仿宋"/>
                <w:color w:val="auto"/>
                <w:sz w:val="24"/>
                <w:szCs w:val="24"/>
                <w:highlight w:val="none"/>
              </w:rPr>
              <w:t xml:space="preserve">（国标50</w:t>
            </w:r>
            <w:r>
              <w:rPr>
                <w:rFonts w:hint="eastAsia" w:ascii="仿宋" w:hAnsi="仿宋" w:eastAsia="仿宋" w:cs="仿宋"/>
                <w:color w:val="auto"/>
                <w:sz w:val="24"/>
                <w:szCs w:val="24"/>
                <w:highlight w:val="none"/>
              </w:rPr>
              <w:t xml:space="preserve">快接</w:t>
            </w:r>
            <w:r>
              <w:rPr>
                <w:rFonts w:hint="eastAsia" w:ascii="仿宋" w:hAnsi="仿宋" w:eastAsia="仿宋" w:cs="仿宋"/>
                <w:color w:val="auto"/>
                <w:sz w:val="24"/>
                <w:szCs w:val="24"/>
                <w:highlight w:val="none"/>
              </w:rPr>
              <w:t xml:space="preserve">）</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5根</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8米/根</w:t>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41</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边锋BFQCF-50FTFF型气动隔膜泵</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2台</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42</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M16螺栓（含平垫、弹垫）</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43</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M12螺栓（含平垫、弹垫）</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44</w:t>
            </w:r>
            <w:r/>
          </w:p>
        </w:tc>
        <w:tc>
          <w:tcPr>
            <w:tcW w:w="1419" w:type="dxa"/>
            <w:vAlign w:val="center"/>
            <w:vMerge w:val="restart"/>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防护装备模块</w:t>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防静电服</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2套</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45</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耐低温服</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2套</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耐低温手套</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2套</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47</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一级化学防护服</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2套</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48</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二级化学防护服</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2套</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49</w:t>
            </w:r>
            <w:r/>
          </w:p>
        </w:tc>
        <w:tc>
          <w:tcPr>
            <w:tcW w:w="1419" w:type="dxa"/>
            <w:vAlign w:val="center"/>
            <w:vMerge w:val="restart"/>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控烧模块</w:t>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点火集成小推车</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1套</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50</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遥控单元</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1台</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51</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30米</w:t>
            </w:r>
            <w:r>
              <w:rPr>
                <w:rFonts w:hint="eastAsia" w:ascii="仿宋" w:hAnsi="仿宋" w:eastAsia="仿宋" w:cs="仿宋"/>
                <w:color w:val="auto"/>
                <w:sz w:val="24"/>
                <w:szCs w:val="24"/>
                <w:highlight w:val="none"/>
              </w:rPr>
              <w:t xml:space="preserve">DN25钢</w:t>
            </w:r>
            <w:r>
              <w:rPr>
                <w:rFonts w:hint="eastAsia" w:ascii="仿宋" w:hAnsi="仿宋" w:eastAsia="仿宋" w:cs="仿宋"/>
                <w:color w:val="auto"/>
                <w:sz w:val="24"/>
                <w:szCs w:val="24"/>
                <w:highlight w:val="none"/>
              </w:rPr>
              <w:t xml:space="preserve">编软管（两端快接）</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2根</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气相注氮/控烧/供气</w:t>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52</w:t>
            </w:r>
            <w:r/>
          </w:p>
        </w:tc>
        <w:tc>
          <w:tcPr>
            <w:tcW w:w="1419" w:type="dxa"/>
            <w:vAlign w:val="center"/>
            <w:vMerge w:val="restart"/>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运载及储存设备</w:t>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不锈钢手刹小推车</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53</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蓝色航空箱</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985</w:t>
            </w:r>
            <w:r>
              <w:rPr>
                <w:rFonts w:hint="eastAsia" w:ascii="仿宋" w:hAnsi="仿宋" w:eastAsia="仿宋" w:cs="仿宋"/>
                <w:color w:val="auto"/>
                <w:sz w:val="24"/>
                <w:szCs w:val="24"/>
                <w:highlight w:val="none"/>
              </w:rPr>
              <w:t xml:space="preserve">mm×4</w:t>
            </w:r>
            <w:r>
              <w:rPr>
                <w:rFonts w:hint="eastAsia" w:ascii="仿宋" w:hAnsi="仿宋" w:eastAsia="仿宋" w:cs="仿宋"/>
                <w:color w:val="auto"/>
                <w:sz w:val="24"/>
                <w:szCs w:val="24"/>
                <w:highlight w:val="none"/>
                <w:lang w:val="en-US" w:eastAsia="zh-CN"/>
              </w:rPr>
              <w:t xml:space="preserve">95</w:t>
            </w:r>
            <w:r>
              <w:rPr>
                <w:rFonts w:hint="eastAsia" w:ascii="仿宋" w:hAnsi="仿宋" w:eastAsia="仿宋" w:cs="仿宋"/>
                <w:color w:val="auto"/>
                <w:sz w:val="24"/>
                <w:szCs w:val="24"/>
                <w:highlight w:val="none"/>
              </w:rPr>
              <w:t xml:space="preserve">mm×</w:t>
            </w:r>
            <w:r>
              <w:rPr>
                <w:rFonts w:hint="eastAsia" w:ascii="仿宋" w:hAnsi="仿宋" w:eastAsia="仿宋" w:cs="仿宋"/>
                <w:color w:val="auto"/>
                <w:sz w:val="24"/>
                <w:szCs w:val="24"/>
                <w:highlight w:val="none"/>
                <w:lang w:val="en-US" w:eastAsia="zh-CN"/>
              </w:rPr>
              <w:t xml:space="preserve">365</w:t>
            </w:r>
            <w:r>
              <w:rPr>
                <w:rFonts w:hint="eastAsia" w:ascii="仿宋" w:hAnsi="仿宋" w:eastAsia="仿宋" w:cs="仿宋"/>
                <w:color w:val="auto"/>
                <w:sz w:val="24"/>
                <w:szCs w:val="24"/>
                <w:highlight w:val="none"/>
              </w:rPr>
              <w:t xml:space="preserve">mm</w:t>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751" w:type="dxa"/>
            <w:vAlign w:val="center"/>
            <w:textDirection w:val="lrTb"/>
            <w:noWrap w:val="false"/>
          </w:tcPr>
          <w:p>
            <w:pPr>
              <w:jc w:val="center"/>
              <w:keepLines w:val="0"/>
              <w:keepNext w:val="0"/>
              <w:pageBreakBefore w:val="0"/>
              <w:spacing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54</w:t>
            </w:r>
            <w:r/>
          </w:p>
        </w:tc>
        <w:tc>
          <w:tcPr>
            <w:tcW w:w="1419" w:type="dxa"/>
            <w:vAlign w:val="center"/>
            <w:vMerge w:val="continue"/>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502"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红色航空箱</w:t>
            </w:r>
            <w:r/>
          </w:p>
        </w:tc>
        <w:tc>
          <w:tcPr>
            <w:tcW w:w="787"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4个</w:t>
            </w:r>
            <w:r/>
          </w:p>
        </w:tc>
        <w:tc>
          <w:tcPr>
            <w:tcW w:w="195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985</w:t>
            </w:r>
            <w:r>
              <w:rPr>
                <w:rFonts w:hint="eastAsia" w:ascii="仿宋" w:hAnsi="仿宋" w:eastAsia="仿宋" w:cs="仿宋"/>
                <w:color w:val="auto"/>
                <w:sz w:val="24"/>
                <w:szCs w:val="24"/>
                <w:highlight w:val="none"/>
              </w:rPr>
              <w:t xml:space="preserve">mm×4</w:t>
            </w:r>
            <w:r>
              <w:rPr>
                <w:rFonts w:hint="eastAsia" w:ascii="仿宋" w:hAnsi="仿宋" w:eastAsia="仿宋" w:cs="仿宋"/>
                <w:color w:val="auto"/>
                <w:sz w:val="24"/>
                <w:szCs w:val="24"/>
                <w:highlight w:val="none"/>
                <w:lang w:val="en-US" w:eastAsia="zh-CN"/>
              </w:rPr>
              <w:t xml:space="preserve">95</w:t>
            </w:r>
            <w:r>
              <w:rPr>
                <w:rFonts w:hint="eastAsia" w:ascii="仿宋" w:hAnsi="仿宋" w:eastAsia="仿宋" w:cs="仿宋"/>
                <w:color w:val="auto"/>
                <w:sz w:val="24"/>
                <w:szCs w:val="24"/>
                <w:highlight w:val="none"/>
              </w:rPr>
              <w:t xml:space="preserve">mm×</w:t>
            </w:r>
            <w:r>
              <w:rPr>
                <w:rFonts w:hint="eastAsia" w:ascii="仿宋" w:hAnsi="仿宋" w:eastAsia="仿宋" w:cs="仿宋"/>
                <w:color w:val="auto"/>
                <w:sz w:val="24"/>
                <w:szCs w:val="24"/>
                <w:highlight w:val="none"/>
                <w:lang w:val="en-US" w:eastAsia="zh-CN"/>
              </w:rPr>
              <w:t xml:space="preserve">365</w:t>
            </w:r>
            <w:r>
              <w:rPr>
                <w:rFonts w:hint="eastAsia" w:ascii="仿宋" w:hAnsi="仿宋" w:eastAsia="仿宋" w:cs="仿宋"/>
                <w:color w:val="auto"/>
                <w:sz w:val="24"/>
                <w:szCs w:val="24"/>
                <w:highlight w:val="none"/>
              </w:rPr>
              <w:t xml:space="preserve">mm</w:t>
            </w:r>
            <w:r/>
          </w:p>
        </w:tc>
        <w:tc>
          <w:tcPr>
            <w:tcW w:w="1900"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keepLines w:val="0"/>
        <w:keepNext w:val="0"/>
        <w:pageBreakBefore w:val="0"/>
        <w:spacing w:line="420" w:lineRule="exact"/>
        <w:widowControl w:val="off"/>
        <w:rPr>
          <w:rFonts w:ascii="仿宋" w:hAnsi="仿宋" w:eastAsia="仿宋" w:cs="仿宋"/>
          <w:b/>
          <w:color w:val="auto"/>
          <w:sz w:val="24"/>
          <w:szCs w:val="24"/>
          <w:highlight w:val="none"/>
        </w:rPr>
      </w:pPr>
      <w:r>
        <w:rPr>
          <w:rFonts w:ascii="仿宋" w:hAnsi="仿宋" w:eastAsia="仿宋" w:cs="仿宋"/>
          <w:b/>
          <w:color w:val="auto"/>
          <w:sz w:val="24"/>
          <w:szCs w:val="24"/>
          <w:highlight w:val="none"/>
          <w:lang w:eastAsia="zh-CN"/>
        </w:rPr>
        <w:t xml:space="preserve">（</w:t>
      </w:r>
      <w:r>
        <w:rPr>
          <w:rFonts w:ascii="仿宋" w:hAnsi="仿宋" w:eastAsia="仿宋" w:cs="仿宋"/>
          <w:b/>
          <w:color w:val="auto"/>
          <w:sz w:val="24"/>
          <w:szCs w:val="24"/>
          <w:highlight w:val="none"/>
          <w:lang w:val="en-US" w:eastAsia="zh-CN"/>
        </w:rPr>
        <w:t xml:space="preserve">四</w:t>
      </w:r>
      <w:r>
        <w:rPr>
          <w:rFonts w:ascii="仿宋" w:hAnsi="仿宋" w:eastAsia="仿宋" w:cs="仿宋"/>
          <w:b/>
          <w:color w:val="auto"/>
          <w:sz w:val="24"/>
          <w:szCs w:val="24"/>
          <w:highlight w:val="none"/>
          <w:lang w:eastAsia="zh-CN"/>
        </w:rPr>
        <w:t xml:space="preserve">）</w:t>
      </w:r>
      <w:r>
        <w:rPr>
          <w:rFonts w:ascii="仿宋" w:hAnsi="仿宋" w:eastAsia="仿宋" w:cs="仿宋"/>
          <w:b/>
          <w:color w:val="auto"/>
          <w:sz w:val="24"/>
          <w:szCs w:val="24"/>
          <w:highlight w:val="none"/>
        </w:rPr>
        <w:t xml:space="preserve">采购标的的数量、采购项目交付或者实施的时间和地点；</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1、标的数量：本次采购</w:t>
      </w:r>
      <w:r>
        <w:rPr>
          <w:rFonts w:hint="eastAsia"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lang w:val="en-US" w:eastAsia="zh-CN"/>
        </w:rPr>
        <w:t xml:space="preserve">辆</w:t>
      </w:r>
      <w:r>
        <w:rPr>
          <w:rFonts w:hint="eastAsia" w:ascii="仿宋" w:hAnsi="仿宋" w:eastAsia="仿宋" w:cs="仿宋"/>
          <w:color w:val="auto"/>
          <w:sz w:val="24"/>
          <w:szCs w:val="24"/>
          <w:highlight w:val="none"/>
          <w:lang w:val="en-US" w:eastAsia="zh-CN"/>
        </w:rPr>
        <w:t xml:space="preserve">自装卸式（危化品事故处置模块车）消防车</w:t>
      </w:r>
      <w:r>
        <w:rPr>
          <w:rFonts w:ascii="仿宋" w:hAnsi="仿宋" w:eastAsia="仿宋" w:cs="仿宋"/>
          <w:color w:val="auto"/>
          <w:sz w:val="24"/>
          <w:szCs w:val="24"/>
          <w:highlight w:val="none"/>
          <w:lang w:val="en-US" w:eastAsia="zh-CN"/>
        </w:rPr>
        <w:t xml:space="preserve">。</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2、实施时间：合同签订生效后，</w:t>
      </w:r>
      <w:r>
        <w:rPr>
          <w:rFonts w:hint="eastAsia" w:ascii="仿宋" w:hAnsi="仿宋" w:eastAsia="仿宋" w:cs="仿宋"/>
          <w:color w:val="auto"/>
          <w:sz w:val="24"/>
          <w:szCs w:val="24"/>
          <w:highlight w:val="none"/>
          <w:lang w:val="en-US" w:eastAsia="zh-CN"/>
        </w:rPr>
        <w:t xml:space="preserve">90</w:t>
      </w:r>
      <w:r>
        <w:rPr>
          <w:rFonts w:ascii="仿宋" w:hAnsi="仿宋" w:eastAsia="仿宋" w:cs="仿宋"/>
          <w:color w:val="auto"/>
          <w:sz w:val="24"/>
          <w:szCs w:val="24"/>
          <w:highlight w:val="none"/>
          <w:lang w:val="en-US" w:eastAsia="zh-CN"/>
        </w:rPr>
        <w:t xml:space="preserve">个日历天内完成货物的采购、安装、调试等通过验收并交付采购人使用。</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3、实施地点：采购人指定地点。</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4、投标人可自行到现场进行实地勘察，了解项目详细概况，成交供应商进场后不得以不了解现场为由提出增加费用的要求，勘察费用自理。如未到现场勘察，责任自负。</w:t>
      </w:r>
      <w:r/>
    </w:p>
    <w:p>
      <w:pPr>
        <w:keepLines w:val="0"/>
        <w:keepNext w:val="0"/>
        <w:pageBreakBefore w:val="0"/>
        <w:spacing w:line="420" w:lineRule="exact"/>
        <w:widowControl w:val="off"/>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lang w:eastAsia="zh-CN"/>
        </w:rPr>
        <w:t xml:space="preserve">（</w:t>
      </w:r>
      <w:r>
        <w:rPr>
          <w:rFonts w:ascii="仿宋" w:hAnsi="仿宋" w:eastAsia="仿宋" w:cs="仿宋"/>
          <w:b/>
          <w:color w:val="auto"/>
          <w:sz w:val="24"/>
          <w:szCs w:val="24"/>
          <w:highlight w:val="none"/>
          <w:lang w:val="en-US" w:eastAsia="zh-CN"/>
        </w:rPr>
        <w:t xml:space="preserve">五</w:t>
      </w:r>
      <w:r>
        <w:rPr>
          <w:rFonts w:ascii="仿宋" w:hAnsi="仿宋" w:eastAsia="仿宋" w:cs="仿宋"/>
          <w:b/>
          <w:color w:val="auto"/>
          <w:sz w:val="24"/>
          <w:szCs w:val="24"/>
          <w:highlight w:val="none"/>
          <w:lang w:eastAsia="zh-CN"/>
        </w:rPr>
        <w:t xml:space="preserve">）采购标的需满足的服务标准、期限、效率等要求；</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zh-CN" w:eastAsia="zh-CN"/>
        </w:rPr>
      </w:pPr>
      <w:r>
        <w:rPr>
          <w:rFonts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lang w:val="zh-CN" w:eastAsia="zh-CN"/>
        </w:rPr>
        <w:t xml:space="preserve">、中标供应商负责运输、搬运、免费安装调试</w:t>
      </w:r>
      <w:r>
        <w:rPr>
          <w:rFonts w:hint="eastAsia" w:ascii="仿宋" w:hAnsi="仿宋" w:eastAsia="仿宋" w:cs="仿宋"/>
          <w:color w:val="auto"/>
          <w:sz w:val="24"/>
          <w:szCs w:val="24"/>
          <w:highlight w:val="none"/>
          <w:lang w:val="zh-CN" w:eastAsia="zh-CN"/>
        </w:rPr>
        <w:t xml:space="preserve">；中标商需完成后续车辆上牌、保险（包括交强险三责险300万），及相关上牌所需要的税金等费用。</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zh-CN" w:eastAsia="zh-CN"/>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lang w:val="zh-CN" w:eastAsia="zh-CN"/>
        </w:rPr>
        <w:t xml:space="preserve">、</w:t>
      </w:r>
      <w:r>
        <w:rPr>
          <w:rFonts w:ascii="仿宋" w:hAnsi="仿宋" w:eastAsia="仿宋" w:cs="仿宋"/>
          <w:color w:val="auto"/>
          <w:sz w:val="24"/>
          <w:szCs w:val="24"/>
          <w:highlight w:val="none"/>
          <w:lang w:val="en-US" w:eastAsia="zh-CN"/>
        </w:rPr>
        <w:t xml:space="preserve">质量保证期限：中标供应商货物经过双方检验认可后，签署验收报告，免费质量保证期：整车质保：</w:t>
      </w:r>
      <w:r>
        <w:rPr>
          <w:rFonts w:hint="eastAsia"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lang w:val="en-US" w:eastAsia="zh-CN"/>
        </w:rPr>
        <w:t xml:space="preserve">年。质量保证期自货物验收合格之日起算，由中标供应商提供货物保修文件。</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zh-CN" w:eastAsia="zh-CN"/>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lang w:val="zh-CN" w:eastAsia="zh-CN"/>
        </w:rPr>
        <w:t xml:space="preserve">、在免费质保期内设备发生任何非人为的缺陷、损坏等问题，厂家售后服务网点保证在接到维修电话后30分钟内响应，不能通过远程解决的，最迟在接到维修电话后12小时内赶赴现场修复，48小时以内解决问题，不能修复的，采取提供备品、备件等措施，以保证采购人的正常使用，维修或更换所发生的一切费用厂家负责。质保期内的维修费用（包括材料）全部由厂家负责，质保期满以后，中标供应商应按同类货物的优惠价格提供保修服务。</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zh-CN" w:eastAsia="zh-CN"/>
        </w:rPr>
      </w:pPr>
      <w:r>
        <w:rPr>
          <w:rFonts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lang w:val="zh-CN" w:eastAsia="zh-CN"/>
        </w:rPr>
        <w:t xml:space="preserve">中标供应商应严格按照规范及采购文件等相关要求组织供货，须文明供货；垃圾必须清理离场，做到地面等均无污染。</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5、中标供应商须提供全面使用、维护培训。中标供应商应对所投设备进行调试并对采购人操作人员提供不少于5天的现场实地操作培训。</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6、中标供应商应配备满足本项目供货、安装调试、培训及售后服务需要的项目负责人、安装调试人员、维修服务人员。相关人员应与车辆、机械、机电、车辆维修等项目履约内容相关。</w:t>
      </w:r>
      <w:r/>
    </w:p>
    <w:p>
      <w:pPr>
        <w:keepLines w:val="0"/>
        <w:keepNext w:val="0"/>
        <w:pageBreakBefore w:val="0"/>
        <w:spacing w:line="420" w:lineRule="exact"/>
        <w:widowControl w:val="off"/>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lang w:eastAsia="zh-CN"/>
        </w:rPr>
        <w:t xml:space="preserve">（</w:t>
      </w:r>
      <w:r>
        <w:rPr>
          <w:rFonts w:ascii="仿宋" w:hAnsi="仿宋" w:eastAsia="仿宋" w:cs="仿宋"/>
          <w:b/>
          <w:color w:val="auto"/>
          <w:sz w:val="24"/>
          <w:szCs w:val="24"/>
          <w:highlight w:val="none"/>
          <w:lang w:val="en-US" w:eastAsia="zh-CN"/>
        </w:rPr>
        <w:t xml:space="preserve">六</w:t>
      </w:r>
      <w:r>
        <w:rPr>
          <w:rFonts w:ascii="仿宋" w:hAnsi="仿宋" w:eastAsia="仿宋" w:cs="仿宋"/>
          <w:b/>
          <w:color w:val="auto"/>
          <w:sz w:val="24"/>
          <w:szCs w:val="24"/>
          <w:highlight w:val="none"/>
          <w:lang w:eastAsia="zh-CN"/>
        </w:rPr>
        <w:t xml:space="preserve">）采购标的的验收标准、方法、时间；</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1、项目验收由采购人对数量、现场安装质量、情况等进行验收。采购人组织现场验收，检验不合格或不符合质量要求，中标供应商除无条件退货、返工外，还应承担采购人的一切损失。</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2、验收方法：中标供应商交货安装完成后，向采购人提交验收申请和各项验收资料，由采购人组织验收。</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3、验收要求</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中标供应商必须严格按照投标时所投原产品品牌进行供货，提供货物绝不低于招标文件规定的规格和材质要求，如果采购人发现一件产品不符合国家标准及招标文件要求，中标供应商需无条件退货，并按照合同总价款的20%违约金无条件支付给采购人，违约金从采购人应付中标供应商的任何款项中支付。同时采购人有权终止合同，并保留追究中标供应商责任的权利。</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（2）验收标准：中标供应商提供的货物必须符合我国最新颁布的与之相关的技术规范与标准，同时必须满足招标文件中所列规格、具体配置、技术条件及功能要求和中标供应商承诺的其它指标。</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（3）在质保期内，如果标的物的数量、质量或规格与合同不符或证实标的物是具有缺陷的，包括潜在缺陷或使用不符合要求的材料等，采购人将以书面形式通知中标应商并提出索赔。</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（4）验收期限在安装调试结束60个工作日内进行。特殊情况需延长的，双方应特别约定。</w:t>
      </w:r>
      <w:r/>
    </w:p>
    <w:p>
      <w:pPr>
        <w:ind w:right="0" w:firstLine="42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5）验收结果经双方确认后，双方代表须按规定的验收。验收报告作为最终付款所需文件的组成部分。如因产品质量问题发生争议时，采购人将请质量技术监督部门给予鉴定。货物鉴定费用由中标供应商承担，同时按合同违约处理。</w:t>
      </w:r>
      <w:r/>
    </w:p>
    <w:p>
      <w:pPr>
        <w:keepLines w:val="0"/>
        <w:keepNext w:val="0"/>
        <w:pageBreakBefore w:val="0"/>
        <w:spacing w:line="420" w:lineRule="exact"/>
        <w:widowControl w:val="off"/>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lang w:eastAsia="zh-CN"/>
        </w:rPr>
        <w:t xml:space="preserve">（</w:t>
      </w:r>
      <w:r>
        <w:rPr>
          <w:rFonts w:ascii="仿宋" w:hAnsi="仿宋" w:eastAsia="仿宋" w:cs="仿宋"/>
          <w:b/>
          <w:color w:val="auto"/>
          <w:sz w:val="24"/>
          <w:szCs w:val="24"/>
          <w:highlight w:val="none"/>
          <w:lang w:val="en-US" w:eastAsia="zh-CN"/>
        </w:rPr>
        <w:t xml:space="preserve">七</w:t>
      </w:r>
      <w:r>
        <w:rPr>
          <w:rFonts w:ascii="仿宋" w:hAnsi="仿宋" w:eastAsia="仿宋" w:cs="仿宋"/>
          <w:b/>
          <w:color w:val="auto"/>
          <w:sz w:val="24"/>
          <w:szCs w:val="24"/>
          <w:highlight w:val="none"/>
          <w:lang w:eastAsia="zh-CN"/>
        </w:rPr>
        <w:t xml:space="preserve">）采购标的的其他技术、服务等要求（增加商品包装、快递包装的相关要求）；</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lang w:eastAsia="zh-CN"/>
        </w:rPr>
        <w:t xml:space="preserve">商品包装环保要求：应当按《关于印发〈商品包装政府采购需求标准(试行）〉、〈快递包装政府采购需求标准(试行)〉的通知》 (财办库〔202</w:t>
      </w:r>
      <w:r>
        <w:rPr>
          <w:rFonts w:ascii="仿宋" w:hAnsi="仿宋" w:eastAsia="仿宋" w:cs="仿宋"/>
          <w:color w:val="auto"/>
          <w:sz w:val="24"/>
          <w:szCs w:val="24"/>
          <w:highlight w:val="none"/>
          <w:lang w:val="en-US" w:eastAsia="zh-CN"/>
        </w:rPr>
        <w:t xml:space="preserve">0</w:t>
      </w:r>
      <w:r>
        <w:rPr>
          <w:rFonts w:ascii="仿宋" w:hAnsi="仿宋" w:eastAsia="仿宋" w:cs="仿宋"/>
          <w:color w:val="auto"/>
          <w:sz w:val="24"/>
          <w:szCs w:val="24"/>
          <w:highlight w:val="none"/>
          <w:lang w:eastAsia="zh-CN"/>
        </w:rPr>
        <w:t xml:space="preserve">〕123号)文件执行。</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（1）商品包装层数不得超过 3 层，空隙率不大于 40%；</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（2）商品包装尽可能使用单一材质的包装材料，如因功能需求必需使用不同材质，不同材质间应便于分离；</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（3）商品包装中铅、汞、镉、六价铬的总含量应不大于100mg/kg；</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（4）商品包装印刷使用的油墨中挥发性有机化合物(VOCs)含量应不大于 5%（以重量计）；</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（5）塑料材质商品包装上呈现的印刷颜色不得超过 6 色；</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（6）纸质商品包装应使用 75%以上的可再生纤维原料生产；</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（7）木质商品包装的原料应来源于可持续性森林。</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lang w:eastAsia="zh-CN"/>
        </w:rPr>
        <w:t xml:space="preserve">快递包装环保要求：</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（1）快递包装中重金属（铅、汞、镉、六价铬）总量应不大于 100mg/kg；</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（2）快递包装印刷使用的油墨中不应添加邻苯二甲酸酯，其挥发性有机化合物(VOCs)含量应不大于5%（以重量计）；</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（3）快递包装中使用纸基材的包装材料，纸基材中的有机氯的含量应不大于150 mg/kg；</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（5）快递中使用的塑料包装袋不得使用聚氯乙烯作为原料，且原料应为单一材质制成，生物分解率大于60%；</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（6）快递中使用的充气类填充物不得使用聚氯乙烯作为原料，且原料为单一材质制成，生物分解率大于60%；</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（7）快递中使用的集装袋应为单一材质制成，其重复使用次数应不小于 80 次；</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（8）快递中应使用幅宽不大于45mm 的生物降解胶带；</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（9）快递包装中不得使用溶剂型胶粘剂；</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w:t>
      </w:r>
      <w:r>
        <w:rPr>
          <w:rFonts w:ascii="仿宋" w:hAnsi="仿宋" w:eastAsia="仿宋" w:cs="仿宋"/>
          <w:color w:val="auto"/>
          <w:sz w:val="24"/>
          <w:szCs w:val="24"/>
          <w:highlight w:val="none"/>
          <w:lang w:val="en-US" w:eastAsia="zh-CN"/>
        </w:rPr>
        <w:t xml:space="preserve">0</w:t>
      </w:r>
      <w:r>
        <w:rPr>
          <w:rFonts w:ascii="仿宋" w:hAnsi="仿宋" w:eastAsia="仿宋" w:cs="仿宋"/>
          <w:color w:val="auto"/>
          <w:sz w:val="24"/>
          <w:szCs w:val="24"/>
          <w:highlight w:val="none"/>
          <w:lang w:eastAsia="zh-CN"/>
        </w:rPr>
        <w:t xml:space="preserve">）快递应使用电子面单；</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w:t>
      </w:r>
      <w:r>
        <w:rPr>
          <w:rFonts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lang w:eastAsia="zh-CN"/>
        </w:rPr>
        <w:t xml:space="preserve">）直接使用商品包装作为快递包装的商品，其商品包装满足《商品包装政府采购需求标准（试行）》即可；</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（1</w:t>
      </w: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lang w:eastAsia="zh-CN"/>
        </w:rPr>
        <w:t xml:space="preserve">）快递包装产品质量和封装方式应符合相关国家或行业标准技术指标要求。</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lang w:eastAsia="zh-CN"/>
        </w:rPr>
        <w:t xml:space="preserve">绿色数据中心</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lang w:eastAsia="zh-CN"/>
        </w:rPr>
        <w:t xml:space="preserve">低挥发性有机化合物产品：</w:t>
      </w:r>
      <w:r>
        <w:rPr>
          <w:rFonts w:ascii="仿宋" w:hAnsi="仿宋" w:eastAsia="仿宋" w:cs="仿宋"/>
          <w:color w:val="auto"/>
          <w:sz w:val="24"/>
          <w:szCs w:val="24"/>
          <w:highlight w:val="none"/>
          <w:lang w:val="zh-CN" w:eastAsia="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ascii="仿宋" w:hAnsi="仿宋" w:eastAsia="仿宋" w:cs="仿宋"/>
          <w:color w:val="auto"/>
          <w:sz w:val="24"/>
          <w:szCs w:val="24"/>
          <w:highlight w:val="none"/>
          <w:lang w:eastAsia="zh-CN"/>
        </w:rPr>
        <w:t xml:space="preserve">应</w:t>
      </w:r>
      <w:r>
        <w:rPr>
          <w:rFonts w:ascii="仿宋" w:hAnsi="仿宋" w:eastAsia="仿宋" w:cs="仿宋"/>
          <w:color w:val="auto"/>
          <w:sz w:val="24"/>
          <w:szCs w:val="24"/>
          <w:highlight w:val="none"/>
          <w:lang w:val="zh-CN" w:eastAsia="zh-CN"/>
        </w:rPr>
        <w:t xml:space="preserve">优先使用低挥发性原辅材料</w:t>
      </w:r>
      <w:r>
        <w:rPr>
          <w:rFonts w:ascii="仿宋" w:hAnsi="仿宋" w:eastAsia="仿宋" w:cs="仿宋"/>
          <w:color w:val="auto"/>
          <w:sz w:val="24"/>
          <w:szCs w:val="24"/>
          <w:highlight w:val="none"/>
          <w:lang w:eastAsia="zh-CN"/>
        </w:rPr>
        <w:t xml:space="preserve">，将使用低</w:t>
      </w:r>
      <w:r>
        <w:rPr>
          <w:rFonts w:ascii="仿宋" w:hAnsi="仿宋" w:eastAsia="仿宋" w:cs="仿宋"/>
          <w:color w:val="auto"/>
          <w:sz w:val="24"/>
          <w:szCs w:val="24"/>
          <w:highlight w:val="none"/>
          <w:lang w:val="zh-CN" w:eastAsia="zh-CN"/>
        </w:rPr>
        <w:t xml:space="preserve">VOCs含量的</w:t>
      </w:r>
      <w:r>
        <w:rPr>
          <w:rFonts w:ascii="仿宋" w:hAnsi="仿宋" w:eastAsia="仿宋" w:cs="仿宋"/>
          <w:color w:val="auto"/>
          <w:sz w:val="24"/>
          <w:szCs w:val="24"/>
          <w:highlight w:val="none"/>
          <w:lang w:eastAsia="zh-CN"/>
        </w:rPr>
        <w:t xml:space="preserve">涂料、</w:t>
      </w:r>
      <w:r>
        <w:rPr>
          <w:rFonts w:ascii="仿宋" w:hAnsi="仿宋" w:eastAsia="仿宋" w:cs="仿宋"/>
          <w:color w:val="auto"/>
          <w:sz w:val="24"/>
          <w:szCs w:val="24"/>
          <w:highlight w:val="none"/>
          <w:lang w:val="zh-CN" w:eastAsia="zh-CN"/>
        </w:rPr>
        <w:t xml:space="preserve">胶黏剂</w:t>
      </w:r>
      <w:r>
        <w:rPr>
          <w:rFonts w:ascii="仿宋" w:hAnsi="仿宋" w:eastAsia="仿宋" w:cs="仿宋"/>
          <w:color w:val="auto"/>
          <w:sz w:val="24"/>
          <w:szCs w:val="24"/>
          <w:highlight w:val="none"/>
          <w:lang w:eastAsia="zh-CN"/>
        </w:rPr>
        <w:t xml:space="preserve">等纳入合同条款。</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val="zh-CN" w:eastAsia="zh-CN"/>
        </w:rPr>
      </w:pPr>
      <w:r>
        <w:rPr>
          <w:rFonts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lang w:eastAsia="zh-CN"/>
        </w:rPr>
        <w:t xml:space="preserve">节能环保产品：</w:t>
      </w:r>
      <w:r>
        <w:rPr>
          <w:rFonts w:ascii="仿宋" w:hAnsi="仿宋" w:eastAsia="仿宋" w:cs="仿宋"/>
          <w:color w:val="auto"/>
          <w:sz w:val="24"/>
          <w:szCs w:val="24"/>
          <w:highlight w:val="none"/>
          <w:lang w:val="zh-CN" w:eastAsia="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val="en-US" w:eastAsia="zh-CN"/>
        </w:rPr>
        <w:t xml:space="preserve">6、</w:t>
      </w:r>
      <w:r>
        <w:rPr>
          <w:rFonts w:ascii="仿宋" w:hAnsi="仿宋" w:eastAsia="仿宋" w:cs="仿宋"/>
          <w:color w:val="auto"/>
          <w:sz w:val="24"/>
          <w:szCs w:val="24"/>
          <w:highlight w:val="none"/>
          <w:lang w:eastAsia="zh-CN"/>
        </w:rPr>
        <w:t xml:space="preserve">绿色低碳管理目标和服务要求：在物业、合同能源管理等服务类采购项目需求中，要强化绿色低碳管理目标和服务要求，促进绿色产品和服务推广应用。</w:t>
      </w:r>
      <w:r/>
    </w:p>
    <w:p>
      <w:pPr>
        <w:numPr>
          <w:ilvl w:val="0"/>
          <w:numId w:val="0"/>
        </w:numPr>
        <w:ind w:left="0" w:right="0" w:firstLine="480"/>
        <w:keepLines w:val="0"/>
        <w:keepNext w:val="0"/>
        <w:pageBreakBefore w:val="0"/>
        <w:spacing w:line="42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7、采购的货物或者服务属信创产品目录内容内的，须遵照信创产品要求提供货物或服务</w:t>
      </w:r>
      <w:r>
        <w:rPr>
          <w:rFonts w:ascii="仿宋" w:hAnsi="仿宋" w:eastAsia="仿宋" w:cs="仿宋"/>
          <w:color w:val="auto"/>
          <w:sz w:val="24"/>
          <w:szCs w:val="24"/>
          <w:highlight w:val="none"/>
          <w:lang w:eastAsia="zh-CN"/>
        </w:rPr>
        <w:t xml:space="preserve">；</w:t>
      </w:r>
      <w:r/>
    </w:p>
    <w:p>
      <w:pPr>
        <w:keepLines w:val="0"/>
        <w:keepNext w:val="0"/>
        <w:pageBreakBefore w:val="0"/>
        <w:spacing w:line="420" w:lineRule="exact"/>
        <w:widowControl w:val="off"/>
        <w:rPr>
          <w:rFonts w:ascii="仿宋" w:hAnsi="仿宋" w:eastAsia="仿宋" w:cs="仿宋"/>
          <w:b w:val="0"/>
          <w:bCs/>
          <w:color w:val="auto"/>
          <w:sz w:val="24"/>
          <w:szCs w:val="24"/>
          <w:highlight w:val="none"/>
          <w:lang w:eastAsia="zh-CN"/>
        </w:rPr>
      </w:pPr>
      <w:r>
        <w:rPr>
          <w:rFonts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lang w:val="en-US" w:eastAsia="zh-CN"/>
        </w:rPr>
        <w:t xml:space="preserve">八</w:t>
      </w:r>
      <w:r>
        <w:rPr>
          <w:rFonts w:ascii="仿宋" w:hAnsi="仿宋" w:eastAsia="仿宋" w:cs="仿宋"/>
          <w:b/>
          <w:color w:val="auto"/>
          <w:sz w:val="24"/>
          <w:szCs w:val="24"/>
          <w:highlight w:val="none"/>
          <w:lang w:eastAsia="zh-CN"/>
        </w:rPr>
        <w:t xml:space="preserve">）付款方式：</w:t>
      </w:r>
      <w:r>
        <w:rPr>
          <w:rFonts w:ascii="仿宋" w:hAnsi="仿宋" w:eastAsia="仿宋" w:cs="仿宋"/>
          <w:b w:val="0"/>
          <w:bCs/>
          <w:color w:val="auto"/>
          <w:sz w:val="24"/>
          <w:szCs w:val="24"/>
          <w:highlight w:val="none"/>
          <w:lang w:eastAsia="zh-CN"/>
        </w:rPr>
        <w:t xml:space="preserve">货到如东县应急管理局指定地点，所提供产品经验收合格后</w:t>
      </w:r>
      <w:r>
        <w:rPr>
          <w:rFonts w:hint="eastAsia" w:ascii="仿宋" w:hAnsi="仿宋" w:eastAsia="仿宋" w:cs="仿宋"/>
          <w:b w:val="0"/>
          <w:bCs/>
          <w:color w:val="auto"/>
          <w:sz w:val="24"/>
          <w:szCs w:val="24"/>
          <w:highlight w:val="none"/>
          <w:lang w:val="en-US" w:eastAsia="zh-CN"/>
        </w:rPr>
        <w:t xml:space="preserve">一次性付清</w:t>
      </w:r>
      <w:r>
        <w:rPr>
          <w:rFonts w:ascii="仿宋" w:hAnsi="仿宋" w:eastAsia="仿宋" w:cs="仿宋"/>
          <w:b w:val="0"/>
          <w:bCs/>
          <w:color w:val="auto"/>
          <w:sz w:val="24"/>
          <w:szCs w:val="24"/>
          <w:highlight w:val="none"/>
          <w:lang w:eastAsia="zh-CN"/>
        </w:rPr>
        <w:t xml:space="preserve">。</w:t>
      </w:r>
      <w:r/>
    </w:p>
    <w:p>
      <w:pPr>
        <w:numPr>
          <w:ilvl w:val="0"/>
          <w:numId w:val="0"/>
        </w:numPr>
        <w:ind w:left="0" w:right="0" w:firstLine="480"/>
        <w:keepLines w:val="0"/>
        <w:keepNext w:val="0"/>
        <w:pageBreakBefore w:val="0"/>
        <w:spacing w:line="420" w:lineRule="exact"/>
        <w:widowControl w:val="off"/>
        <w:rPr>
          <w:color w:val="auto"/>
          <w:highlight w:val="none"/>
        </w:rPr>
      </w:pPr>
      <w:r>
        <w:rPr>
          <w:rFonts w:ascii="Times New Roman" w:hAnsi="Times New Roman" w:eastAsia="仿宋" w:cs="Times New Roman"/>
          <w:b w:val="0"/>
          <w:bCs/>
          <w:color w:val="auto"/>
          <w:sz w:val="24"/>
          <w:highlight w:val="none"/>
        </w:rPr>
        <w:t xml:space="preserve">付款：成交供应商凭采购合同、验收单（经验收合格）及正式发票等按规定进行资金结算。</w:t>
      </w:r>
      <w:r/>
    </w:p>
    <w:p>
      <w:pPr>
        <w:keepLines w:val="0"/>
        <w:keepNext w:val="0"/>
        <w:pageBreakBefore w:val="0"/>
        <w:spacing w:line="420" w:lineRule="exact"/>
        <w:widowControl w:val="off"/>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lang w:val="en-US" w:eastAsia="zh-CN"/>
        </w:rPr>
        <w:t xml:space="preserve">九</w:t>
      </w:r>
      <w:r>
        <w:rPr>
          <w:rFonts w:ascii="仿宋" w:hAnsi="仿宋" w:eastAsia="仿宋" w:cs="仿宋"/>
          <w:b/>
          <w:color w:val="auto"/>
          <w:sz w:val="24"/>
          <w:szCs w:val="24"/>
          <w:highlight w:val="none"/>
          <w:lang w:eastAsia="zh-CN"/>
        </w:rPr>
        <w:t xml:space="preserve">）履约保证金：</w:t>
      </w:r>
      <w:r/>
    </w:p>
    <w:p>
      <w:pPr>
        <w:numPr>
          <w:ilvl w:val="0"/>
          <w:numId w:val="0"/>
        </w:numPr>
        <w:ind w:left="0" w:right="0" w:firstLine="480"/>
        <w:keepLines w:val="0"/>
        <w:keepNext w:val="0"/>
        <w:pageBreakBefore w:val="0"/>
        <w:spacing w:line="420" w:lineRule="exact"/>
        <w:widowControl w:val="off"/>
        <w:rPr>
          <w:rFonts w:ascii="仿宋" w:hAnsi="仿宋" w:eastAsia="仿宋" w:cs="仿宋"/>
          <w:b/>
          <w:color w:val="auto"/>
          <w:sz w:val="24"/>
          <w:szCs w:val="24"/>
          <w:highlight w:val="none"/>
        </w:rPr>
      </w:pPr>
      <w:r>
        <w:rPr>
          <w:rFonts w:ascii="仿宋" w:hAnsi="仿宋" w:eastAsia="仿宋" w:cs="仿宋"/>
          <w:color w:val="auto"/>
          <w:sz w:val="24"/>
          <w:szCs w:val="24"/>
          <w:highlight w:val="none"/>
          <w:lang w:eastAsia="zh-CN"/>
        </w:rPr>
        <w:t xml:space="preserve">本项目中标后的履约保证金为项目中标价的</w:t>
      </w:r>
      <w:r>
        <w:rPr>
          <w:rFonts w:ascii="仿宋" w:hAnsi="仿宋" w:eastAsia="仿宋" w:cs="仿宋"/>
          <w:color w:val="auto"/>
          <w:sz w:val="24"/>
          <w:szCs w:val="24"/>
          <w:highlight w:val="none"/>
          <w:lang w:val="en-US" w:eastAsia="zh-CN"/>
        </w:rPr>
        <w:t xml:space="preserve">5</w:t>
      </w:r>
      <w:r>
        <w:rPr>
          <w:rFonts w:ascii="仿宋" w:hAnsi="仿宋" w:eastAsia="仿宋" w:cs="仿宋"/>
          <w:color w:val="auto"/>
          <w:sz w:val="24"/>
          <w:szCs w:val="24"/>
          <w:highlight w:val="none"/>
          <w:lang w:eastAsia="zh-CN"/>
        </w:rPr>
        <w:t xml:space="preserve">%，中标人的履约保证金须在中标通知书发出之日起至合同签订前汇入采购单位账户（应当以数字人民币、支票、汇票或者金融机构、担保机构出具的保函等非现金形式提交），中标人凭中标通知书与采购单位签订合同。超期或未有协商，则视为自动放弃中标资格。</w:t>
      </w:r>
      <w:r/>
    </w:p>
    <w:p>
      <w:pPr>
        <w:keepLines w:val="0"/>
        <w:keepNext w:val="0"/>
        <w:pageBreakBefore w:val="0"/>
        <w:spacing w:line="420" w:lineRule="exact"/>
        <w:widowControl w:val="off"/>
        <w:rPr>
          <w:rFonts w:ascii="仿宋" w:hAnsi="仿宋" w:eastAsia="仿宋" w:cs="仿宋"/>
          <w:b/>
          <w:color w:val="auto"/>
          <w:sz w:val="24"/>
          <w:szCs w:val="24"/>
          <w:highlight w:val="none"/>
          <w:lang w:val="en-US" w:eastAsia="zh-CN"/>
        </w:rPr>
      </w:pPr>
      <w:r>
        <w:rPr>
          <w:rFonts w:ascii="仿宋" w:hAnsi="仿宋" w:eastAsia="仿宋" w:cs="仿宋"/>
          <w:b/>
          <w:color w:val="auto"/>
          <w:sz w:val="24"/>
          <w:szCs w:val="24"/>
          <w:highlight w:val="none"/>
          <w:lang w:eastAsia="zh-CN"/>
        </w:rPr>
        <w:t xml:space="preserve">（十）本项目不接受进口产品参与</w:t>
      </w:r>
      <w:r/>
    </w:p>
    <w:p>
      <w:pPr>
        <w:keepLines w:val="0"/>
        <w:keepNext w:val="0"/>
        <w:pageBreakBefore w:val="0"/>
        <w:spacing w:line="420" w:lineRule="exact"/>
        <w:widowControl w:val="off"/>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lang w:eastAsia="zh-CN"/>
        </w:rPr>
        <w:t xml:space="preserve">（十</w:t>
      </w:r>
      <w:r>
        <w:rPr>
          <w:rFonts w:hint="eastAsia" w:ascii="仿宋" w:hAnsi="仿宋" w:eastAsia="仿宋" w:cs="仿宋"/>
          <w:b/>
          <w:color w:val="auto"/>
          <w:sz w:val="24"/>
          <w:szCs w:val="24"/>
          <w:highlight w:val="none"/>
          <w:lang w:val="en-US" w:eastAsia="zh-CN"/>
        </w:rPr>
        <w:t xml:space="preserve">一</w:t>
      </w:r>
      <w:r>
        <w:rPr>
          <w:rFonts w:ascii="仿宋" w:hAnsi="仿宋" w:eastAsia="仿宋" w:cs="仿宋"/>
          <w:b/>
          <w:color w:val="auto"/>
          <w:sz w:val="24"/>
          <w:szCs w:val="24"/>
          <w:highlight w:val="none"/>
          <w:lang w:eastAsia="zh-CN"/>
        </w:rPr>
        <w:t xml:space="preserve">）安全责任</w:t>
      </w:r>
      <w:r/>
    </w:p>
    <w:p>
      <w:pPr>
        <w:ind w:right="0" w:firstLine="480"/>
        <w:keepLines w:val="0"/>
        <w:keepNext w:val="0"/>
        <w:pageBreakBefore w:val="0"/>
        <w:spacing w:line="42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lang w:eastAsia="zh-CN"/>
        </w:rPr>
        <w:t xml:space="preserve">中标人</w:t>
      </w:r>
      <w:r>
        <w:rPr>
          <w:rFonts w:ascii="仿宋" w:hAnsi="仿宋" w:eastAsia="仿宋" w:cs="仿宋"/>
          <w:color w:val="auto"/>
          <w:sz w:val="24"/>
          <w:szCs w:val="24"/>
          <w:highlight w:val="none"/>
        </w:rPr>
        <w:t xml:space="preserve">在本项目施工、安装、调试等过程中必须严格遵守相关的法规、规范和现场施工的规定，督促施工人员规范操作，采取严格有力的安全防护措施，做好安全防护工作，确保相关人员人身安全。</w:t>
      </w:r>
      <w:r>
        <w:rPr>
          <w:rFonts w:ascii="仿宋" w:hAnsi="仿宋" w:eastAsia="仿宋" w:cs="仿宋"/>
          <w:color w:val="auto"/>
          <w:sz w:val="24"/>
          <w:szCs w:val="24"/>
          <w:highlight w:val="none"/>
          <w:lang w:eastAsia="zh-CN"/>
        </w:rPr>
        <w:t xml:space="preserve">中标人</w:t>
      </w:r>
      <w:r>
        <w:rPr>
          <w:rFonts w:ascii="仿宋" w:hAnsi="仿宋" w:eastAsia="仿宋" w:cs="仿宋"/>
          <w:color w:val="auto"/>
          <w:sz w:val="24"/>
          <w:szCs w:val="24"/>
          <w:highlight w:val="none"/>
        </w:rPr>
        <w:t xml:space="preserve">要使用专业人员、专业工具。本项目一切安全责任均由</w:t>
      </w:r>
      <w:r>
        <w:rPr>
          <w:rFonts w:ascii="仿宋" w:hAnsi="仿宋" w:eastAsia="仿宋" w:cs="仿宋"/>
          <w:color w:val="auto"/>
          <w:sz w:val="24"/>
          <w:szCs w:val="24"/>
          <w:highlight w:val="none"/>
          <w:lang w:eastAsia="zh-CN"/>
        </w:rPr>
        <w:t xml:space="preserve">中标人</w:t>
      </w:r>
      <w:r>
        <w:rPr>
          <w:rFonts w:ascii="仿宋" w:hAnsi="仿宋" w:eastAsia="仿宋" w:cs="仿宋"/>
          <w:color w:val="auto"/>
          <w:sz w:val="24"/>
          <w:szCs w:val="24"/>
          <w:highlight w:val="none"/>
        </w:rPr>
        <w:t xml:space="preserve">负责，</w:t>
      </w:r>
      <w:r>
        <w:rPr>
          <w:rFonts w:ascii="仿宋" w:hAnsi="仿宋" w:eastAsia="仿宋" w:cs="仿宋"/>
          <w:color w:val="auto"/>
          <w:sz w:val="24"/>
          <w:szCs w:val="24"/>
          <w:highlight w:val="none"/>
          <w:lang w:eastAsia="zh-CN"/>
        </w:rPr>
        <w:t xml:space="preserve">采购人</w:t>
      </w:r>
      <w:r>
        <w:rPr>
          <w:rFonts w:ascii="仿宋" w:hAnsi="仿宋" w:eastAsia="仿宋" w:cs="仿宋"/>
          <w:color w:val="auto"/>
          <w:sz w:val="24"/>
          <w:szCs w:val="24"/>
          <w:highlight w:val="none"/>
        </w:rPr>
        <w:t xml:space="preserve">不承担任何责任。</w:t>
      </w:r>
      <w:r>
        <w:rPr>
          <w:color w:val="auto"/>
          <w:highlight w:val="none"/>
        </w:rPr>
        <w:br w:type="page" w:clear="all"/>
      </w:r>
      <w:r/>
    </w:p>
    <w:p>
      <w:pPr>
        <w:numPr>
          <w:ilvl w:val="0"/>
          <w:numId w:val="0"/>
        </w:numPr>
        <w:jc w:val="center"/>
        <w:keepNext/>
        <w:rPr>
          <w:rFonts w:ascii="仿宋" w:hAnsi="仿宋" w:eastAsia="仿宋" w:cs="仿宋"/>
          <w:bCs/>
          <w:color w:val="auto"/>
          <w:sz w:val="44"/>
          <w:szCs w:val="28"/>
          <w:highlight w:val="none"/>
        </w:rPr>
        <w:outlineLvl w:val="0"/>
      </w:pPr>
      <w:r/>
      <w:bookmarkStart w:id="5" w:name="__RefHeading___Toc8870"/>
      <w:r/>
      <w:bookmarkEnd w:id="5"/>
      <w:r>
        <w:rPr>
          <w:rFonts w:ascii="仿宋" w:hAnsi="仿宋" w:eastAsia="仿宋" w:cs="仿宋"/>
          <w:b/>
          <w:bCs w:val="0"/>
          <w:color w:val="auto"/>
          <w:sz w:val="44"/>
          <w:szCs w:val="28"/>
          <w:highlight w:val="none"/>
        </w:rPr>
        <w:t xml:space="preserve">第五章  评标方法与评标</w:t>
      </w:r>
      <w:r>
        <w:rPr>
          <w:rFonts w:ascii="仿宋" w:hAnsi="仿宋" w:eastAsia="仿宋" w:cs="仿宋"/>
          <w:b/>
          <w:bCs/>
          <w:color w:val="auto"/>
          <w:sz w:val="44"/>
          <w:szCs w:val="28"/>
          <w:highlight w:val="none"/>
        </w:rPr>
        <w:t xml:space="preserve">标准</w:t>
      </w:r>
      <w:r/>
    </w:p>
    <w:p>
      <w:pPr>
        <w:keepLines w:val="0"/>
        <w:keepNext w:val="0"/>
        <w:pageBreakBefore w:val="0"/>
        <w:spacing w:line="440" w:lineRule="exact"/>
        <w:widowControl w:val="off"/>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lang w:val="en-US" w:eastAsia="zh-CN"/>
        </w:rPr>
        <w:t xml:space="preserve">一、</w:t>
      </w:r>
      <w:r>
        <w:rPr>
          <w:rFonts w:ascii="仿宋" w:hAnsi="仿宋" w:eastAsia="仿宋" w:cs="仿宋"/>
          <w:b/>
          <w:bCs/>
          <w:color w:val="auto"/>
          <w:sz w:val="24"/>
          <w:szCs w:val="24"/>
          <w:highlight w:val="none"/>
        </w:rPr>
        <w:t xml:space="preserve">评审方法：</w:t>
      </w:r>
      <w:r/>
    </w:p>
    <w:p>
      <w:pPr>
        <w:ind w:right="0" w:firstLine="555"/>
        <w:keepLines w:val="0"/>
        <w:keepNext w:val="0"/>
        <w:pageBreakBefore w:val="0"/>
        <w:spacing w:line="44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采用综合评分法</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由采购人对投标人资格进行审查，然后评标委员会对符合资格的投标人的投标文件进行符合性审查，最后评标委员会对符合性审查合格的投标文件商务、技术部分进行评估，综合比较与评价。投标人商务、技术部分和价格部分的合计分值，为该投标人的评标总得分。</w:t>
      </w:r>
      <w:r/>
    </w:p>
    <w:p>
      <w:pPr>
        <w:ind w:right="0" w:firstLine="555"/>
        <w:keepLines w:val="0"/>
        <w:keepNext w:val="0"/>
        <w:pageBreakBefore w:val="0"/>
        <w:spacing w:line="44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评标结果按评审后得分由高到低顺序排列，确定中标候选人名单并按顺序确定中标人。得分相同的，按投标报价由低到高顺序排列</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得分且投标报价相同的并列</w:t>
      </w:r>
      <w:r>
        <w:rPr>
          <w:rFonts w:ascii="仿宋" w:hAnsi="仿宋" w:eastAsia="仿宋" w:cs="仿宋"/>
          <w:color w:val="auto"/>
          <w:sz w:val="24"/>
          <w:szCs w:val="24"/>
          <w:highlight w:val="none"/>
          <w:lang w:val="en-US" w:eastAsia="zh-CN"/>
        </w:rPr>
        <w:t xml:space="preserve">,</w:t>
      </w:r>
      <w:r>
        <w:rPr>
          <w:rFonts w:ascii="仿宋" w:hAnsi="仿宋" w:eastAsia="仿宋" w:cs="仿宋"/>
          <w:color w:val="auto"/>
          <w:sz w:val="24"/>
          <w:szCs w:val="24"/>
          <w:highlight w:val="none"/>
        </w:rPr>
        <w:t xml:space="preserve">按照技术指标优劣顺序推荐。</w:t>
      </w:r>
      <w:r/>
    </w:p>
    <w:p>
      <w:pPr>
        <w:keepLines w:val="0"/>
        <w:keepNext w:val="0"/>
        <w:pageBreakBefore w:val="0"/>
        <w:spacing w:line="440" w:lineRule="exact"/>
        <w:widowControl w:val="off"/>
        <w:rPr>
          <w:rFonts w:ascii="仿宋" w:hAnsi="仿宋" w:eastAsia="仿宋" w:cs="仿宋"/>
          <w:b/>
          <w:bCs/>
          <w:color w:val="auto"/>
          <w:sz w:val="24"/>
          <w:szCs w:val="24"/>
          <w:highlight w:val="none"/>
          <w:lang w:val="en-US" w:eastAsia="zh-CN"/>
        </w:rPr>
      </w:pPr>
      <w:r>
        <w:rPr>
          <w:rFonts w:ascii="仿宋" w:hAnsi="仿宋" w:eastAsia="仿宋" w:cs="仿宋"/>
          <w:b/>
          <w:bCs/>
          <w:color w:val="auto"/>
          <w:sz w:val="24"/>
          <w:szCs w:val="24"/>
          <w:highlight w:val="none"/>
          <w:lang w:val="en-US" w:eastAsia="zh-CN"/>
        </w:rPr>
        <w:t xml:space="preserve">二、政府采购政策功能落实</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1、小微型企业价格扣除</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（1）本项目对小型和微型企业产品给予10%的扣除价格，用扣除后的价格参与评审</w:t>
      </w:r>
      <w:r>
        <w:rPr>
          <w:rFonts w:ascii="仿宋" w:hAnsi="仿宋" w:eastAsia="仿宋" w:cs="仿宋"/>
          <w:bCs/>
          <w:color w:val="auto"/>
          <w:sz w:val="24"/>
          <w:szCs w:val="24"/>
          <w:highlight w:val="none"/>
          <w:lang w:val="en-US" w:eastAsia="zh-CN"/>
        </w:rPr>
        <w:t xml:space="preserve">。</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（2）供应商需按照《政府采购促进中小企业发展管理办法》（财库〔202</w:t>
      </w:r>
      <w:r>
        <w:rPr>
          <w:rFonts w:ascii="仿宋" w:hAnsi="仿宋" w:eastAsia="仿宋" w:cs="仿宋"/>
          <w:bCs/>
          <w:color w:val="auto"/>
          <w:sz w:val="24"/>
          <w:szCs w:val="24"/>
          <w:highlight w:val="none"/>
          <w:lang w:val="en-US" w:eastAsia="zh-CN"/>
        </w:rPr>
        <w:t xml:space="preserve">0</w:t>
      </w:r>
      <w:r>
        <w:rPr>
          <w:rFonts w:ascii="仿宋" w:hAnsi="仿宋" w:eastAsia="仿宋" w:cs="仿宋"/>
          <w:bCs/>
          <w:color w:val="auto"/>
          <w:sz w:val="24"/>
          <w:szCs w:val="24"/>
          <w:highlight w:val="none"/>
        </w:rPr>
        <w:t xml:space="preserve">〕46号）的规定提供相应的《中小企业声明函》。</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（3）企业标准请参照《关于印发中小企业划型标准规定的通知》（工信部联企业〔20</w:t>
      </w:r>
      <w:r>
        <w:rPr>
          <w:rFonts w:ascii="仿宋" w:hAnsi="仿宋" w:eastAsia="仿宋" w:cs="仿宋"/>
          <w:bCs/>
          <w:color w:val="auto"/>
          <w:sz w:val="24"/>
          <w:szCs w:val="24"/>
          <w:highlight w:val="none"/>
          <w:lang w:val="en-US" w:eastAsia="zh-CN"/>
        </w:rPr>
        <w:t xml:space="preserve">1</w:t>
      </w:r>
      <w:r>
        <w:rPr>
          <w:rFonts w:ascii="仿宋" w:hAnsi="仿宋" w:eastAsia="仿宋" w:cs="仿宋"/>
          <w:bCs/>
          <w:color w:val="auto"/>
          <w:sz w:val="24"/>
          <w:szCs w:val="24"/>
          <w:highlight w:val="none"/>
        </w:rPr>
        <w:t xml:space="preserve">1〕300号）文件规定自行填写。</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2、残疾人福利单位价格扣除</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rPr>
        <w:t xml:space="preserve">本项目对残疾人福利性单位视同小型、微型企业，给予10%的价格扣除，用扣除后的价格参与评审</w:t>
      </w:r>
      <w:r>
        <w:rPr>
          <w:rFonts w:ascii="仿宋" w:hAnsi="仿宋" w:eastAsia="仿宋" w:cs="仿宋"/>
          <w:bCs/>
          <w:color w:val="auto"/>
          <w:sz w:val="24"/>
          <w:szCs w:val="24"/>
          <w:highlight w:val="none"/>
        </w:rPr>
        <w:t xml:space="preserve">。</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（2）残疾人福利单位需按照</w:t>
      </w:r>
      <w:r>
        <w:rPr>
          <w:rFonts w:ascii="仿宋" w:hAnsi="仿宋" w:eastAsia="仿宋" w:cs="仿宋"/>
          <w:bCs/>
          <w:color w:val="auto"/>
          <w:sz w:val="24"/>
          <w:szCs w:val="24"/>
          <w:highlight w:val="none"/>
          <w:lang w:eastAsia="zh-CN"/>
        </w:rPr>
        <w:t xml:space="preserve">招标</w:t>
      </w:r>
      <w:r>
        <w:rPr>
          <w:rFonts w:ascii="仿宋" w:hAnsi="仿宋" w:eastAsia="仿宋" w:cs="仿宋"/>
          <w:bCs/>
          <w:color w:val="auto"/>
          <w:sz w:val="24"/>
          <w:szCs w:val="24"/>
          <w:highlight w:val="none"/>
        </w:rPr>
        <w:t xml:space="preserve">文件的要求提供《残疾人福利性单位声明函》。</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（3）残疾人福利单位标准请参照《关于促进残疾人就业政府采购政策的通知》（财库〔2017〕141号）。</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3、监狱和戒毒企业价格扣除</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rPr>
        <w:t xml:space="preserve">本项目对监狱和戒毒企业（简称监狱企业）视同小型、微型企业，给予10%的价格扣除，用扣除后的价格参与评审</w:t>
      </w:r>
      <w:r>
        <w:rPr>
          <w:rFonts w:ascii="仿宋" w:hAnsi="仿宋" w:eastAsia="仿宋" w:cs="仿宋"/>
          <w:bCs/>
          <w:color w:val="auto"/>
          <w:sz w:val="24"/>
          <w:szCs w:val="24"/>
          <w:highlight w:val="none"/>
        </w:rPr>
        <w:t xml:space="preserve">。</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（3）监狱企业标准请参照《关于政府采购支持监狱企业发展有关问题的通知》（财库〔20</w:t>
      </w:r>
      <w:r>
        <w:rPr>
          <w:rFonts w:ascii="仿宋" w:hAnsi="仿宋" w:eastAsia="仿宋" w:cs="仿宋"/>
          <w:bCs/>
          <w:color w:val="auto"/>
          <w:sz w:val="24"/>
          <w:szCs w:val="24"/>
          <w:highlight w:val="none"/>
          <w:lang w:val="en-US" w:eastAsia="zh-CN"/>
        </w:rPr>
        <w:t xml:space="preserve">14</w:t>
      </w:r>
      <w:r>
        <w:rPr>
          <w:rFonts w:ascii="仿宋" w:hAnsi="仿宋" w:eastAsia="仿宋" w:cs="仿宋"/>
          <w:bCs/>
          <w:color w:val="auto"/>
          <w:sz w:val="24"/>
          <w:szCs w:val="24"/>
          <w:highlight w:val="none"/>
        </w:rPr>
        <w:t xml:space="preserve">〕68号）。</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4、残疾人福利单位、监狱企业属于小型、微型企业的，不重复享受政策。</w:t>
      </w:r>
      <w:r/>
    </w:p>
    <w:p>
      <w:pPr>
        <w:ind w:right="0" w:firstLine="570"/>
        <w:keepLines w:val="0"/>
        <w:keepNext w:val="0"/>
        <w:pageBreakBefore w:val="0"/>
        <w:spacing w:line="440" w:lineRule="exact"/>
        <w:widowControl w:val="off"/>
        <w:rPr>
          <w:rFonts w:ascii="仿宋" w:hAnsi="仿宋" w:eastAsia="仿宋" w:cs="仿宋"/>
          <w:b w:val="0"/>
          <w:bCs/>
          <w:color w:val="auto"/>
          <w:sz w:val="24"/>
          <w:szCs w:val="24"/>
          <w:highlight w:val="none"/>
        </w:rPr>
      </w:pPr>
      <w:r>
        <w:rPr>
          <w:rFonts w:ascii="仿宋" w:hAnsi="仿宋" w:eastAsia="仿宋" w:cs="仿宋"/>
          <w:bCs/>
          <w:color w:val="auto"/>
          <w:sz w:val="24"/>
          <w:szCs w:val="24"/>
          <w:highlight w:val="none"/>
        </w:rPr>
        <w:t xml:space="preserve">5、</w:t>
      </w:r>
      <w:r>
        <w:rPr>
          <w:rFonts w:ascii="仿宋" w:hAnsi="仿宋" w:eastAsia="仿宋" w:cs="仿宋"/>
          <w:bCs/>
          <w:color w:val="auto"/>
          <w:sz w:val="24"/>
          <w:szCs w:val="24"/>
          <w:highlight w:val="none"/>
          <w:lang w:val="en-US" w:eastAsia="zh-CN"/>
        </w:rPr>
        <w:t xml:space="preserve">如本项目同意联合体参加投标或同意分包履行合同的，</w:t>
      </w:r>
      <w:r>
        <w:rPr>
          <w:rFonts w:ascii="仿宋" w:hAnsi="仿宋" w:eastAsia="仿宋" w:cs="仿宋"/>
          <w:bCs/>
          <w:color w:val="auto"/>
          <w:sz w:val="24"/>
          <w:szCs w:val="24"/>
          <w:highlight w:val="none"/>
        </w:rPr>
        <w:t xml:space="preserve">大中型企业与小微企业（残疾人福利单位、监狱企业）组成联合体或者大中型企业向</w:t>
      </w:r>
      <w:r>
        <w:rPr>
          <w:rFonts w:ascii="仿宋" w:hAnsi="仿宋" w:eastAsia="仿宋" w:cs="仿宋"/>
          <w:bCs/>
          <w:color w:val="auto"/>
          <w:sz w:val="24"/>
          <w:szCs w:val="24"/>
          <w:highlight w:val="none"/>
          <w:lang w:val="en-US" w:eastAsia="zh-CN"/>
        </w:rPr>
        <w:t xml:space="preserve">一家或多家</w:t>
      </w:r>
      <w:r>
        <w:rPr>
          <w:rFonts w:ascii="仿宋" w:hAnsi="仿宋" w:eastAsia="仿宋" w:cs="仿宋"/>
          <w:bCs/>
          <w:color w:val="auto"/>
          <w:sz w:val="24"/>
          <w:szCs w:val="24"/>
          <w:highlight w:val="none"/>
        </w:rPr>
        <w:t xml:space="preserve">小微企业（残疾人福利单位、监狱企业）分包的，对联合协议或者分包意向协议约定小微企业合同份额占到合同总金额30%以上的，对联合体或者大中型企业的报价给予4%的</w:t>
      </w:r>
      <w:r>
        <w:rPr>
          <w:rFonts w:ascii="仿宋" w:hAnsi="仿宋" w:eastAsia="仿宋" w:cs="仿宋"/>
          <w:bCs/>
          <w:color w:val="auto"/>
          <w:sz w:val="24"/>
          <w:szCs w:val="24"/>
          <w:highlight w:val="none"/>
          <w:lang w:eastAsia="zh-CN"/>
        </w:rPr>
        <w:t xml:space="preserve">价格</w:t>
      </w:r>
      <w:r>
        <w:rPr>
          <w:rFonts w:ascii="仿宋" w:hAnsi="仿宋" w:eastAsia="仿宋" w:cs="仿宋"/>
          <w:bCs/>
          <w:color w:val="auto"/>
          <w:sz w:val="24"/>
          <w:szCs w:val="24"/>
          <w:highlight w:val="none"/>
        </w:rPr>
        <w:t xml:space="preserve">扣除，用扣除后的价格参与评审。</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6、联合体各方均为小型、微型企业（残疾人福利单位、监狱企业）的，联合体享受10%价格扣除，用扣除后的价格参与评审。</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7、专门面向中小企业采购的项目或者采购包，不再执行价格评审优惠的扶持政策。</w:t>
      </w:r>
      <w:r/>
    </w:p>
    <w:p>
      <w:pPr>
        <w:ind w:right="0" w:firstLine="570"/>
        <w:keepLines w:val="0"/>
        <w:keepNext w:val="0"/>
        <w:pageBreakBefore w:val="0"/>
        <w:spacing w:line="44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8、根据《江苏省政府采购信用管理暂行办法》的规定，供应商信用评价结果为三星的扣2分，评价结果为二星的扣3分，评价结果为一星的扣4分。</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ascii="仿宋" w:hAnsi="仿宋" w:eastAsia="仿宋" w:cs="仿宋"/>
          <w:bCs/>
          <w:color w:val="auto"/>
          <w:sz w:val="24"/>
          <w:szCs w:val="24"/>
          <w:highlight w:val="none"/>
          <w:lang w:val="en-US" w:eastAsia="zh-CN"/>
        </w:rPr>
        <w:t xml:space="preserve">9</w:t>
      </w:r>
      <w:r>
        <w:rPr>
          <w:rFonts w:ascii="仿宋" w:hAnsi="仿宋" w:eastAsia="仿宋" w:cs="仿宋"/>
          <w:bCs/>
          <w:color w:val="auto"/>
          <w:sz w:val="24"/>
          <w:szCs w:val="24"/>
          <w:highlight w:val="none"/>
        </w:rPr>
        <w:t xml:space="preserve">、采购本国产品的支持政策</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9.1 本项目政府采购活动中既有本国产品又有非本国产品参与竞争的，依法对本国产品给予价格评审优惠，对本国产品的报价给予 20%的价格扣除，用扣除后的价格参与评审。</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9.3 供应商需按照招标文件的要求提供《关于符合本国产品标准的声明函》（以下简称《声明函》），如不提供将不享受本国产品价格评审优惠。</w:t>
      </w:r>
      <w:r/>
    </w:p>
    <w:p>
      <w:pPr>
        <w:ind w:firstLine="570"/>
        <w:keepLines w:val="0"/>
        <w:keepNext w:val="0"/>
        <w:pageBreakBefore w:val="0"/>
        <w:spacing w:line="380" w:lineRule="exact"/>
        <w:widowControl w:val="off"/>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right="0" w:firstLine="570"/>
        <w:keepLines w:val="0"/>
        <w:keepNext w:val="0"/>
        <w:pageBreakBefore w:val="0"/>
        <w:spacing w:line="440" w:lineRule="exact"/>
        <w:widowControl w:val="off"/>
        <w:rPr>
          <w:color w:val="auto"/>
          <w:highlight w:val="none"/>
        </w:rPr>
      </w:pPr>
      <w:r>
        <w:rPr>
          <w:rFonts w:hint="eastAsia" w:ascii="仿宋" w:hAnsi="仿宋" w:eastAsia="仿宋" w:cs="仿宋"/>
          <w:bCs/>
          <w:color w:val="auto"/>
          <w:sz w:val="24"/>
          <w:szCs w:val="24"/>
          <w:highlight w:val="none"/>
        </w:rPr>
        <w:t xml:space="preserve">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仿宋" w:hAnsi="仿宋" w:eastAsia="仿宋" w:cs="仿宋"/>
          <w:bCs/>
          <w:color w:val="auto"/>
          <w:sz w:val="24"/>
          <w:szCs w:val="24"/>
          <w:highlight w:val="none"/>
          <w:lang w:val="en-US" w:eastAsia="zh-CN"/>
        </w:rPr>
        <w:t xml:space="preserve">。</w:t>
      </w:r>
      <w:r/>
    </w:p>
    <w:p>
      <w:pPr>
        <w:keepLines w:val="0"/>
        <w:keepNext w:val="0"/>
        <w:pageBreakBefore w:val="0"/>
        <w:spacing w:line="440" w:lineRule="exact"/>
        <w:widowControl w:val="off"/>
        <w:rPr>
          <w:rFonts w:ascii="仿宋" w:hAnsi="仿宋" w:eastAsia="仿宋" w:cs="仿宋"/>
          <w:b/>
          <w:bCs/>
          <w:color w:val="auto"/>
          <w:sz w:val="24"/>
          <w:szCs w:val="24"/>
          <w:highlight w:val="none"/>
          <w:lang w:val="en-US" w:eastAsia="zh-CN"/>
        </w:rPr>
      </w:pPr>
      <w:r>
        <w:rPr>
          <w:rFonts w:ascii="仿宋" w:hAnsi="仿宋" w:eastAsia="仿宋" w:cs="仿宋"/>
          <w:b/>
          <w:bCs/>
          <w:color w:val="auto"/>
          <w:sz w:val="24"/>
          <w:szCs w:val="24"/>
          <w:highlight w:val="none"/>
          <w:lang w:val="en-US" w:eastAsia="zh-CN"/>
        </w:rPr>
        <w:t xml:space="preserve">三、评标方法与评标标准</w:t>
      </w:r>
      <w:r/>
    </w:p>
    <w:p>
      <w:pPr>
        <w:pStyle w:val="805"/>
        <w:keepLines w:val="0"/>
        <w:keepNext w:val="0"/>
        <w:pageBreakBefore w:val="0"/>
        <w:spacing w:line="44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  </w:t>
      </w:r>
      <w:r>
        <w:rPr>
          <w:rFonts w:ascii="仿宋" w:hAnsi="仿宋" w:eastAsia="仿宋" w:cs="仿宋"/>
          <w:color w:val="auto"/>
          <w:sz w:val="24"/>
          <w:szCs w:val="24"/>
          <w:highlight w:val="none"/>
          <w:lang w:eastAsia="zh-CN"/>
        </w:rPr>
        <w:t xml:space="preserve">本项目</w:t>
      </w:r>
      <w:r>
        <w:rPr>
          <w:rFonts w:ascii="仿宋" w:hAnsi="仿宋" w:eastAsia="仿宋" w:cs="仿宋"/>
          <w:color w:val="auto"/>
          <w:sz w:val="24"/>
          <w:szCs w:val="24"/>
          <w:highlight w:val="none"/>
        </w:rPr>
        <w:t xml:space="preserve">采用综合评分法。</w:t>
      </w:r>
      <w:r>
        <w:rPr>
          <w:rFonts w:ascii="仿宋" w:hAnsi="仿宋" w:eastAsia="仿宋" w:cs="仿宋"/>
          <w:color w:val="auto"/>
          <w:sz w:val="24"/>
          <w:szCs w:val="24"/>
          <w:highlight w:val="none"/>
          <w:lang w:val="en-US" w:eastAsia="zh-CN"/>
        </w:rPr>
        <w:t xml:space="preserve">评委会将按下列评审因素与评审标准进行评分，</w:t>
      </w:r>
      <w:r>
        <w:rPr>
          <w:rFonts w:ascii="仿宋" w:hAnsi="仿宋" w:eastAsia="仿宋" w:cs="仿宋"/>
          <w:color w:val="auto"/>
          <w:sz w:val="24"/>
          <w:szCs w:val="24"/>
          <w:highlight w:val="none"/>
        </w:rPr>
        <w:t xml:space="preserve">总分值为100分</w:t>
      </w:r>
      <w:r>
        <w:rPr>
          <w:rFonts w:ascii="仿宋" w:hAnsi="仿宋" w:eastAsia="仿宋" w:cs="仿宋"/>
          <w:color w:val="auto"/>
          <w:sz w:val="24"/>
          <w:szCs w:val="24"/>
          <w:highlight w:val="none"/>
          <w:lang w:eastAsia="zh-CN"/>
        </w:rPr>
        <w:t xml:space="preserve">。</w:t>
      </w:r>
      <w:r/>
    </w:p>
    <w:p>
      <w:pPr>
        <w:pStyle w:val="805"/>
        <w:keepLines w:val="0"/>
        <w:keepNext w:val="0"/>
        <w:pageBreakBefore w:val="0"/>
        <w:spacing w:line="440" w:lineRule="exact"/>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（一）投标价格分：</w:t>
      </w:r>
      <w:r>
        <w:rPr>
          <w:rFonts w:ascii="仿宋" w:hAnsi="仿宋" w:eastAsia="仿宋" w:cs="仿宋"/>
          <w:color w:val="auto"/>
          <w:sz w:val="24"/>
          <w:szCs w:val="24"/>
          <w:highlight w:val="none"/>
          <w:lang w:val="en-US" w:eastAsia="zh-CN"/>
        </w:rPr>
        <w:t xml:space="preserve">30</w:t>
      </w:r>
      <w:r>
        <w:rPr>
          <w:rFonts w:ascii="仿宋" w:hAnsi="仿宋" w:eastAsia="仿宋" w:cs="仿宋"/>
          <w:color w:val="auto"/>
          <w:sz w:val="24"/>
          <w:szCs w:val="24"/>
          <w:highlight w:val="none"/>
          <w:lang w:eastAsia="zh-CN"/>
        </w:rPr>
        <w:t xml:space="preserve">分。</w:t>
      </w:r>
      <w:r/>
    </w:p>
    <w:p>
      <w:pPr>
        <w:pStyle w:val="805"/>
        <w:keepLines w:val="0"/>
        <w:keepNext w:val="0"/>
        <w:pageBreakBefore w:val="0"/>
        <w:spacing w:line="44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价格分统一采用低价优先法计算，即满足招标文件要求且投标价格最低的投标报价为评标基准价，其价格分为满分。其他投标人的价格分统一按照下列公式计算：</w:t>
      </w:r>
      <w:r/>
    </w:p>
    <w:p>
      <w:pPr>
        <w:pStyle w:val="805"/>
        <w:keepLines w:val="0"/>
        <w:keepNext w:val="0"/>
        <w:pageBreakBefore w:val="0"/>
        <w:spacing w:line="44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投标报价得分=（评标基准价/投标报价）×价格权值×100</w:t>
      </w:r>
      <w:r/>
    </w:p>
    <w:p>
      <w:pPr>
        <w:pStyle w:val="805"/>
        <w:keepLines w:val="0"/>
        <w:keepNext w:val="0"/>
        <w:pageBreakBefore w:val="0"/>
        <w:spacing w:line="44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（二）商务技术分：70分 </w:t>
      </w:r>
      <w:r/>
    </w:p>
    <w:p>
      <w:pPr>
        <w:pStyle w:val="805"/>
        <w:keepLines w:val="0"/>
        <w:keepNext w:val="0"/>
        <w:pageBreakBefore w:val="0"/>
        <w:spacing w:line="440" w:lineRule="exact"/>
        <w:widowControl w:val="off"/>
        <w:rPr>
          <w:rFonts w:ascii="仿宋" w:hAnsi="仿宋" w:eastAsia="仿宋" w:cs="仿宋"/>
          <w:b/>
          <w:bCs/>
          <w:color w:val="auto"/>
          <w:sz w:val="24"/>
          <w:szCs w:val="24"/>
          <w:highlight w:val="none"/>
          <w:lang w:val="en-US" w:eastAsia="zh-CN"/>
        </w:rPr>
      </w:pPr>
      <w:r>
        <w:rPr>
          <w:rFonts w:ascii="仿宋" w:hAnsi="仿宋" w:eastAsia="仿宋" w:cs="仿宋"/>
          <w:b/>
          <w:bCs/>
          <w:color w:val="auto"/>
          <w:sz w:val="24"/>
          <w:szCs w:val="24"/>
          <w:highlight w:val="none"/>
          <w:lang w:val="en-US" w:eastAsia="zh-CN"/>
        </w:rPr>
        <w:t xml:space="preserve">投标人提供的相关证明材料须在有效期内，均应为原件扫描件且清晰可见，否则，投标人自行承担因扫描件模糊等问题导致评委无法辨识的一切后果。</w:t>
      </w:r>
      <w:r/>
    </w:p>
    <w:tbl>
      <w:tblPr>
        <w:tblStyle w:val="724"/>
        <w:tblW w:w="486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181"/>
        <w:gridCol w:w="743"/>
        <w:gridCol w:w="6709"/>
      </w:tblGrid>
      <w:tr>
        <w:trPr>
          <w:jc w:val="center"/>
          <w:trHeight w:val="451"/>
        </w:trPr>
        <w:tc>
          <w:tcPr>
            <w:gridSpan w:val="2"/>
            <w:tcW w:w="1957"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评分点名称</w:t>
            </w:r>
            <w:r/>
          </w:p>
        </w:tc>
        <w:tc>
          <w:tcPr>
            <w:tcW w:w="7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分值</w:t>
            </w:r>
            <w:r/>
          </w:p>
        </w:tc>
        <w:tc>
          <w:tcPr>
            <w:tcW w:w="6709"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评审标准</w:t>
            </w:r>
            <w:r/>
          </w:p>
        </w:tc>
      </w:tr>
      <w:tr>
        <w:trPr>
          <w:jc w:val="center"/>
          <w:trHeight w:val="90"/>
        </w:trPr>
        <w:tc>
          <w:tcPr>
            <w:tcW w:w="776" w:type="dxa"/>
            <w:vAlign w:val="center"/>
            <w:vMerge w:val="restart"/>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shd w:val="clear" w:color="auto" w:fill="auto"/>
                <w:lang w:val="en-US" w:eastAsia="zh-CN"/>
              </w:rPr>
              <w:t xml:space="preserve">商务部分</w:t>
            </w:r>
            <w:r/>
          </w:p>
        </w:tc>
        <w:tc>
          <w:tcPr>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i w:val="0"/>
                <w:iCs w:val="0"/>
                <w:color w:val="auto"/>
                <w:sz w:val="24"/>
                <w:szCs w:val="24"/>
                <w:highlight w:val="none"/>
                <w:u w:val="none"/>
                <w:lang w:val="en-US" w:eastAsia="zh-CN" w:bidi="ar"/>
              </w:rPr>
            </w:pPr>
            <w:r>
              <w:rPr>
                <w:rFonts w:hint="eastAsia" w:ascii="仿宋" w:hAnsi="仿宋" w:eastAsia="仿宋" w:cs="仿宋"/>
                <w:b w:val="0"/>
                <w:bCs w:val="0"/>
                <w:i w:val="0"/>
                <w:iCs w:val="0"/>
                <w:color w:val="auto"/>
                <w:sz w:val="24"/>
                <w:szCs w:val="24"/>
                <w:highlight w:val="none"/>
                <w:u w:val="none"/>
                <w:lang w:val="en-US" w:eastAsia="zh-CN" w:bidi="ar"/>
              </w:rPr>
              <w:t xml:space="preserve">交货期</w:t>
            </w:r>
            <w:r/>
          </w:p>
        </w:tc>
        <w:tc>
          <w:tcPr>
            <w:tcW w:w="743" w:type="dxa"/>
            <w:vAlign w:val="center"/>
            <w:textDirection w:val="lrTb"/>
            <w:noWrap w:val="false"/>
          </w:tcPr>
          <w:p>
            <w:pPr>
              <w:jc w:val="center"/>
              <w:keepLines w:val="0"/>
              <w:keepNext w:val="0"/>
              <w:pageBreakBefore w:val="0"/>
              <w:spacing w:line="320" w:lineRule="exact"/>
              <w:widowControl w:val="off"/>
              <w:rPr>
                <w:rFonts w:hint="default" w:ascii="仿宋" w:hAnsi="仿宋" w:eastAsia="仿宋" w:cs="仿宋"/>
                <w:color w:val="auto"/>
                <w:sz w:val="21"/>
                <w:szCs w:val="21"/>
                <w:highlight w:val="none"/>
                <w:shd w:val="clear" w:color="auto" w:fill="auto"/>
                <w:lang w:val="en-US" w:eastAsia="zh-CN"/>
              </w:rPr>
            </w:pPr>
            <w:r>
              <w:rPr>
                <w:rFonts w:hint="eastAsia" w:ascii="仿宋" w:hAnsi="仿宋" w:eastAsia="仿宋" w:cs="仿宋"/>
                <w:color w:val="auto"/>
                <w:sz w:val="21"/>
                <w:szCs w:val="21"/>
                <w:highlight w:val="none"/>
                <w:shd w:val="clear" w:color="auto" w:fill="auto"/>
                <w:lang w:val="en-US" w:eastAsia="zh-CN"/>
              </w:rPr>
              <w:t xml:space="preserve">2</w:t>
            </w:r>
            <w:r/>
          </w:p>
        </w:tc>
        <w:tc>
          <w:tcPr>
            <w:tcW w:w="6709" w:type="dxa"/>
            <w:vAlign w:val="center"/>
            <w:textDirection w:val="lrTb"/>
            <w:noWrap w:val="false"/>
          </w:tcPr>
          <w:p>
            <w:pPr>
              <w:keepLines w:val="0"/>
              <w:keepNext w:val="0"/>
              <w:pageBreakBefore w:val="0"/>
              <w:spacing w:before="0" w:after="0" w:line="320" w:lineRule="exact"/>
              <w:widowControl w:val="off"/>
              <w:rPr>
                <w:rFonts w:hint="default" w:ascii="仿宋" w:hAnsi="仿宋" w:eastAsia="仿宋" w:cs="仿宋"/>
                <w:b w:val="0"/>
                <w:color w:val="auto"/>
                <w:sz w:val="24"/>
                <w:highlight w:val="none"/>
                <w:lang w:val="en-US" w:eastAsia="zh-CN"/>
              </w:rPr>
            </w:pPr>
            <w:r>
              <w:rPr>
                <w:rFonts w:hint="eastAsia" w:ascii="仿宋" w:hAnsi="仿宋" w:eastAsia="仿宋" w:cs="仿宋"/>
                <w:b w:val="0"/>
                <w:color w:val="auto"/>
                <w:sz w:val="24"/>
                <w:highlight w:val="none"/>
                <w:lang w:val="en-US" w:eastAsia="zh-CN"/>
              </w:rPr>
              <w:t xml:space="preserve">承诺提前10天交付的得2分，承诺提前5天交付的得1分。</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lang w:val="en-US" w:eastAsia="zh-CN"/>
              </w:rPr>
            </w:pPr>
            <w:r>
              <w:rPr>
                <w:rFonts w:hint="eastAsia" w:ascii="仿宋" w:hAnsi="仿宋" w:eastAsia="仿宋" w:cs="仿宋"/>
                <w:b w:val="0"/>
                <w:color w:val="auto"/>
                <w:sz w:val="24"/>
                <w:highlight w:val="none"/>
              </w:rPr>
              <w:t xml:space="preserve">注：</w:t>
            </w:r>
            <w:r>
              <w:rPr>
                <w:rFonts w:hint="eastAsia" w:ascii="仿宋" w:hAnsi="仿宋" w:eastAsia="仿宋" w:cs="仿宋"/>
                <w:b w:val="0"/>
                <w:color w:val="auto"/>
                <w:sz w:val="24"/>
                <w:highlight w:val="none"/>
                <w:lang w:val="en-US" w:eastAsia="zh-CN"/>
              </w:rPr>
              <w:t xml:space="preserve">提供承诺书（格式自拟）并加盖投标人公章</w:t>
            </w:r>
            <w:r>
              <w:rPr>
                <w:rFonts w:hint="eastAsia" w:ascii="仿宋" w:hAnsi="仿宋" w:eastAsia="仿宋" w:cs="仿宋"/>
                <w:b w:val="0"/>
                <w:color w:val="auto"/>
                <w:sz w:val="24"/>
                <w:highlight w:val="none"/>
              </w:rPr>
              <w:t xml:space="preserve">，否则不得分。</w:t>
            </w:r>
            <w:r/>
          </w:p>
        </w:tc>
      </w:tr>
      <w:tr>
        <w:trPr>
          <w:jc w:val="center"/>
          <w:trHeight w:val="695"/>
        </w:trPr>
        <w:tc>
          <w:tcPr>
            <w:tcW w:w="776"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w:t>
            </w:r>
            <w:r/>
          </w:p>
        </w:tc>
        <w:tc>
          <w:tcPr>
            <w:shd w:val="clear" w:color="auto" w:fill="auto"/>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i w:val="0"/>
                <w:iCs w:val="0"/>
                <w:color w:val="auto"/>
                <w:sz w:val="24"/>
                <w:szCs w:val="24"/>
                <w:highlight w:val="none"/>
                <w:u w:val="none"/>
                <w:lang w:val="en-US" w:eastAsia="zh-CN" w:bidi="ar"/>
              </w:rPr>
            </w:pPr>
            <w:r>
              <w:rPr>
                <w:rFonts w:hint="eastAsia" w:ascii="仿宋" w:hAnsi="仿宋" w:eastAsia="仿宋" w:cs="仿宋"/>
                <w:b w:val="0"/>
                <w:bCs w:val="0"/>
                <w:i w:val="0"/>
                <w:iCs w:val="0"/>
                <w:color w:val="auto"/>
                <w:sz w:val="24"/>
                <w:szCs w:val="24"/>
                <w:highlight w:val="none"/>
                <w:u w:val="none"/>
                <w:lang w:val="en-US" w:eastAsia="zh-CN" w:bidi="ar"/>
              </w:rPr>
              <w:t xml:space="preserve">供货业绩</w:t>
            </w:r>
            <w:r/>
          </w:p>
        </w:tc>
        <w:tc>
          <w:tcPr>
            <w:tcW w:w="743" w:type="dxa"/>
            <w:vAlign w:val="center"/>
            <w:textDirection w:val="lrTb"/>
            <w:noWrap w:val="false"/>
          </w:tcPr>
          <w:p>
            <w:pPr>
              <w:jc w:val="center"/>
              <w:keepLines w:val="0"/>
              <w:keepNext w:val="0"/>
              <w:pageBreakBefore w:val="0"/>
              <w:spacing w:line="320" w:lineRule="exact"/>
              <w:widowControl w:val="off"/>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3</w:t>
            </w:r>
            <w:r/>
          </w:p>
        </w:tc>
        <w:tc>
          <w:tcPr>
            <w:shd w:val="clear" w:color="auto" w:fill="auto"/>
            <w:tcW w:w="6709" w:type="dxa"/>
            <w:vAlign w:val="top"/>
            <w:textDirection w:val="lrTb"/>
            <w:noWrap w:val="false"/>
          </w:tcPr>
          <w:p>
            <w:pPr>
              <w:keepLines w:val="0"/>
              <w:keepNext w:val="0"/>
              <w:pageBreakBefore w:val="0"/>
              <w:spacing w:before="0" w:after="0" w:line="320" w:lineRule="exact"/>
              <w:widowControl w:val="off"/>
              <w:rPr>
                <w:rFonts w:hint="eastAsia" w:ascii="仿宋" w:hAnsi="仿宋" w:eastAsia="仿宋" w:cs="仿宋"/>
                <w:b w:val="0"/>
                <w:color w:val="auto"/>
                <w:sz w:val="24"/>
                <w:highlight w:val="none"/>
                <w:lang w:val="en-US" w:eastAsia="zh-CN"/>
              </w:rPr>
            </w:pPr>
            <w:r>
              <w:rPr>
                <w:rFonts w:hint="eastAsia" w:ascii="仿宋" w:hAnsi="仿宋" w:eastAsia="仿宋" w:cs="仿宋"/>
                <w:b w:val="0"/>
                <w:color w:val="auto"/>
                <w:sz w:val="24"/>
                <w:highlight w:val="none"/>
              </w:rPr>
              <w:t xml:space="preserve">投标</w:t>
            </w:r>
            <w:r>
              <w:rPr>
                <w:rFonts w:hint="eastAsia" w:ascii="仿宋" w:hAnsi="仿宋" w:eastAsia="仿宋" w:cs="仿宋"/>
                <w:b w:val="0"/>
                <w:color w:val="auto"/>
                <w:sz w:val="24"/>
                <w:highlight w:val="none"/>
                <w:lang w:val="en-US" w:eastAsia="zh-CN"/>
              </w:rPr>
              <w:t xml:space="preserve">人自</w:t>
            </w:r>
            <w:r>
              <w:rPr>
                <w:rFonts w:hint="eastAsia" w:ascii="仿宋" w:hAnsi="仿宋" w:eastAsia="仿宋" w:cs="仿宋"/>
                <w:b w:val="0"/>
                <w:color w:val="auto"/>
                <w:sz w:val="24"/>
                <w:highlight w:val="none"/>
              </w:rPr>
              <w:t xml:space="preserve">202</w:t>
            </w:r>
            <w:r>
              <w:rPr>
                <w:rFonts w:hint="eastAsia" w:ascii="仿宋" w:hAnsi="仿宋" w:eastAsia="仿宋" w:cs="仿宋"/>
                <w:b w:val="0"/>
                <w:color w:val="auto"/>
                <w:sz w:val="24"/>
                <w:highlight w:val="none"/>
                <w:lang w:val="en-US" w:eastAsia="zh-CN"/>
              </w:rPr>
              <w:t xml:space="preserve">2</w:t>
            </w:r>
            <w:r>
              <w:rPr>
                <w:rFonts w:hint="eastAsia" w:ascii="仿宋" w:hAnsi="仿宋" w:eastAsia="仿宋" w:cs="仿宋"/>
                <w:b w:val="0"/>
                <w:color w:val="auto"/>
                <w:sz w:val="24"/>
                <w:highlight w:val="none"/>
              </w:rPr>
              <w:t xml:space="preserve">年1月1日</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以合同签订时间为准</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至今完成</w:t>
            </w:r>
            <w:r>
              <w:rPr>
                <w:rFonts w:hint="eastAsia" w:ascii="仿宋" w:hAnsi="仿宋" w:eastAsia="仿宋" w:cs="仿宋"/>
                <w:b w:val="0"/>
                <w:color w:val="auto"/>
                <w:sz w:val="24"/>
                <w:highlight w:val="none"/>
                <w:lang w:val="en-US" w:eastAsia="zh-CN"/>
              </w:rPr>
              <w:t xml:space="preserve">的同款车型项目业绩的，有一个</w:t>
            </w:r>
            <w:r>
              <w:rPr>
                <w:rFonts w:hint="eastAsia" w:ascii="仿宋" w:hAnsi="仿宋" w:eastAsia="仿宋" w:cs="仿宋"/>
                <w:b w:val="0"/>
                <w:color w:val="auto"/>
                <w:sz w:val="24"/>
                <w:highlight w:val="none"/>
              </w:rPr>
              <w:t xml:space="preserve">得</w:t>
            </w:r>
            <w:r>
              <w:rPr>
                <w:rFonts w:hint="eastAsia" w:ascii="仿宋" w:hAnsi="仿宋" w:eastAsia="仿宋" w:cs="仿宋"/>
                <w:b w:val="0"/>
                <w:color w:val="auto"/>
                <w:sz w:val="24"/>
                <w:highlight w:val="none"/>
                <w:lang w:val="en-US" w:eastAsia="zh-CN"/>
              </w:rPr>
              <w:t xml:space="preserve">3</w:t>
            </w:r>
            <w:r>
              <w:rPr>
                <w:rFonts w:hint="eastAsia" w:ascii="仿宋" w:hAnsi="仿宋" w:eastAsia="仿宋" w:cs="仿宋"/>
                <w:b w:val="0"/>
                <w:color w:val="auto"/>
                <w:sz w:val="24"/>
                <w:highlight w:val="none"/>
              </w:rPr>
              <w:t xml:space="preserve">分</w:t>
            </w:r>
            <w:r>
              <w:rPr>
                <w:rFonts w:hint="eastAsia" w:ascii="仿宋" w:hAnsi="仿宋" w:eastAsia="仿宋" w:cs="仿宋"/>
                <w:b w:val="0"/>
                <w:color w:val="auto"/>
                <w:sz w:val="24"/>
                <w:highlight w:val="none"/>
              </w:rPr>
              <w:t xml:space="preserve">，</w:t>
            </w:r>
            <w:r>
              <w:rPr>
                <w:rFonts w:hint="eastAsia" w:ascii="仿宋" w:hAnsi="仿宋" w:eastAsia="仿宋" w:cs="仿宋"/>
                <w:b w:val="0"/>
                <w:color w:val="auto"/>
                <w:sz w:val="24"/>
                <w:highlight w:val="none"/>
                <w:lang w:val="en-US" w:eastAsia="zh-CN"/>
              </w:rPr>
              <w:t xml:space="preserve">本项最高得3分。</w:t>
            </w:r>
            <w:r>
              <w:rPr>
                <w:rFonts w:hint="eastAsia" w:ascii="仿宋" w:hAnsi="仿宋" w:eastAsia="仿宋" w:cs="仿宋"/>
                <w:b w:val="0"/>
                <w:color w:val="auto"/>
                <w:sz w:val="24"/>
                <w:highlight w:val="none"/>
                <w:lang w:eastAsia="zh-CN"/>
              </w:rPr>
              <w:t xml:space="preserve">投标时需提供合同扫描件，</w:t>
            </w:r>
            <w:r>
              <w:rPr>
                <w:rFonts w:hint="eastAsia" w:ascii="仿宋" w:hAnsi="仿宋" w:eastAsia="仿宋" w:cs="仿宋"/>
                <w:b w:val="0"/>
                <w:color w:val="auto"/>
                <w:sz w:val="24"/>
                <w:highlight w:val="none"/>
                <w:lang w:val="en-US" w:eastAsia="zh-CN"/>
              </w:rPr>
              <w:t xml:space="preserve">未提供或不具备同等功能的不得分</w:t>
            </w:r>
            <w:r>
              <w:rPr>
                <w:rFonts w:hint="eastAsia" w:ascii="仿宋" w:hAnsi="仿宋" w:eastAsia="仿宋" w:cs="仿宋"/>
                <w:b w:val="0"/>
                <w:color w:val="auto"/>
                <w:sz w:val="24"/>
                <w:highlight w:val="none"/>
              </w:rPr>
              <w:t xml:space="preserve">。</w:t>
            </w:r>
            <w:r/>
          </w:p>
        </w:tc>
      </w:tr>
      <w:tr>
        <w:trPr>
          <w:jc w:val="center"/>
          <w:trHeight w:val="646"/>
        </w:trPr>
        <w:tc>
          <w:tcPr>
            <w:tcW w:w="776"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shd w:val="clear" w:color="auto" w:fill="auto"/>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i w:val="0"/>
                <w:iCs w:val="0"/>
                <w:color w:val="auto"/>
                <w:sz w:val="24"/>
                <w:szCs w:val="24"/>
                <w:highlight w:val="none"/>
                <w:u w:val="none"/>
                <w:lang w:val="en-US" w:eastAsia="zh-CN" w:bidi="ar"/>
              </w:rPr>
            </w:pPr>
            <w:r>
              <w:rPr>
                <w:rFonts w:hint="eastAsia" w:ascii="仿宋" w:hAnsi="仿宋" w:eastAsia="仿宋" w:cs="仿宋"/>
                <w:b w:val="0"/>
                <w:bCs w:val="0"/>
                <w:i w:val="0"/>
                <w:iCs w:val="0"/>
                <w:color w:val="auto"/>
                <w:sz w:val="24"/>
                <w:szCs w:val="24"/>
                <w:highlight w:val="none"/>
                <w:u w:val="none"/>
                <w:lang w:val="en-US" w:eastAsia="zh-CN" w:bidi="ar"/>
              </w:rPr>
              <w:t xml:space="preserve">质保期</w:t>
            </w:r>
            <w:r/>
          </w:p>
        </w:tc>
        <w:tc>
          <w:tcPr>
            <w:tcW w:w="743" w:type="dxa"/>
            <w:vAlign w:val="center"/>
            <w:textDirection w:val="lrTb"/>
            <w:noWrap w:val="false"/>
          </w:tcPr>
          <w:p>
            <w:pPr>
              <w:jc w:val="center"/>
              <w:keepLines w:val="0"/>
              <w:keepNext w:val="0"/>
              <w:pageBreakBefore w:val="0"/>
              <w:spacing w:line="32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w:t>
            </w:r>
            <w:r/>
          </w:p>
        </w:tc>
        <w:tc>
          <w:tcPr>
            <w:shd w:val="clear" w:color="auto" w:fill="auto"/>
            <w:tcW w:w="6709" w:type="dxa"/>
            <w:vAlign w:val="top"/>
            <w:textDirection w:val="lrTb"/>
            <w:noWrap w:val="false"/>
          </w:tcPr>
          <w:p>
            <w:pPr>
              <w:keepLines w:val="0"/>
              <w:keepNext w:val="0"/>
              <w:pageBreakBefore w:val="0"/>
              <w:spacing w:before="0" w:after="0" w:line="320" w:lineRule="exact"/>
              <w:widowControl w:val="off"/>
              <w:rPr>
                <w:rFonts w:hint="eastAsia" w:ascii="仿宋" w:hAnsi="仿宋" w:eastAsia="仿宋" w:cs="仿宋"/>
                <w:b w:val="0"/>
                <w:color w:val="auto"/>
                <w:sz w:val="24"/>
                <w:highlight w:val="none"/>
                <w:lang w:val="en-US" w:eastAsia="zh-CN"/>
              </w:rPr>
            </w:pPr>
            <w:r>
              <w:rPr>
                <w:rFonts w:hint="eastAsia" w:ascii="仿宋" w:hAnsi="仿宋" w:eastAsia="仿宋" w:cs="仿宋"/>
                <w:b w:val="0"/>
                <w:color w:val="auto"/>
                <w:sz w:val="24"/>
                <w:highlight w:val="none"/>
                <w:lang w:val="en-US" w:eastAsia="zh-CN"/>
              </w:rPr>
              <w:t xml:space="preserve">免费质量保证期</w:t>
            </w:r>
            <w:r>
              <w:rPr>
                <w:rFonts w:hint="eastAsia" w:ascii="仿宋" w:hAnsi="仿宋" w:eastAsia="仿宋" w:cs="仿宋"/>
                <w:bCs/>
                <w:color w:val="auto"/>
                <w:sz w:val="24"/>
                <w:szCs w:val="24"/>
                <w:highlight w:val="none"/>
              </w:rPr>
              <w:t xml:space="preserve">在满足招标文件基本要求的基础上</w:t>
            </w:r>
            <w:r>
              <w:rPr>
                <w:rFonts w:hint="eastAsia" w:ascii="仿宋" w:hAnsi="仿宋" w:eastAsia="仿宋" w:cs="仿宋"/>
                <w:b w:val="0"/>
                <w:color w:val="auto"/>
                <w:sz w:val="24"/>
                <w:highlight w:val="none"/>
              </w:rPr>
              <w:t xml:space="preserve">，每延长半年</w:t>
            </w:r>
            <w:r>
              <w:rPr>
                <w:rFonts w:hint="eastAsia" w:ascii="仿宋" w:hAnsi="仿宋" w:eastAsia="仿宋" w:cs="仿宋"/>
                <w:b w:val="0"/>
                <w:color w:val="auto"/>
                <w:sz w:val="24"/>
                <w:highlight w:val="none"/>
                <w:lang w:val="en-US" w:eastAsia="zh-CN"/>
              </w:rPr>
              <w:t xml:space="preserve">得1</w:t>
            </w:r>
            <w:r>
              <w:rPr>
                <w:rFonts w:hint="eastAsia" w:ascii="仿宋" w:hAnsi="仿宋" w:eastAsia="仿宋" w:cs="仿宋"/>
                <w:b w:val="0"/>
                <w:color w:val="auto"/>
                <w:sz w:val="24"/>
                <w:highlight w:val="none"/>
              </w:rPr>
              <w:t xml:space="preserve">分，</w:t>
            </w:r>
            <w:r>
              <w:rPr>
                <w:rFonts w:hint="eastAsia" w:ascii="仿宋" w:hAnsi="仿宋" w:eastAsia="仿宋" w:cs="仿宋"/>
                <w:b w:val="0"/>
                <w:color w:val="auto"/>
                <w:sz w:val="24"/>
                <w:highlight w:val="none"/>
                <w:lang w:val="en-US" w:eastAsia="zh-CN"/>
              </w:rPr>
              <w:t xml:space="preserve">本项</w:t>
            </w:r>
            <w:r>
              <w:rPr>
                <w:rFonts w:hint="eastAsia" w:ascii="仿宋" w:hAnsi="仿宋" w:eastAsia="仿宋" w:cs="仿宋"/>
                <w:b w:val="0"/>
                <w:color w:val="auto"/>
                <w:sz w:val="24"/>
                <w:highlight w:val="none"/>
              </w:rPr>
              <w:t xml:space="preserve">最多</w:t>
            </w:r>
            <w:r>
              <w:rPr>
                <w:rFonts w:hint="eastAsia" w:ascii="仿宋" w:hAnsi="仿宋" w:eastAsia="仿宋" w:cs="仿宋"/>
                <w:b w:val="0"/>
                <w:color w:val="auto"/>
                <w:sz w:val="24"/>
                <w:highlight w:val="none"/>
                <w:lang w:val="en-US" w:eastAsia="zh-CN"/>
              </w:rPr>
              <w:t xml:space="preserve">得2</w:t>
            </w:r>
            <w:r>
              <w:rPr>
                <w:rFonts w:hint="eastAsia" w:ascii="仿宋" w:hAnsi="仿宋" w:eastAsia="仿宋" w:cs="仿宋"/>
                <w:b w:val="0"/>
                <w:color w:val="auto"/>
                <w:sz w:val="24"/>
                <w:highlight w:val="none"/>
              </w:rPr>
              <w:t xml:space="preserve">分。</w:t>
            </w:r>
            <w:r>
              <w:rPr>
                <w:rFonts w:hint="eastAsia" w:ascii="仿宋" w:hAnsi="仿宋" w:eastAsia="仿宋" w:cs="仿宋"/>
                <w:bCs/>
                <w:color w:val="auto"/>
                <w:sz w:val="24"/>
                <w:szCs w:val="24"/>
                <w:highlight w:val="none"/>
                <w:lang w:val="en-US" w:eastAsia="zh-CN"/>
              </w:rPr>
              <w:t xml:space="preserve">提供</w:t>
            </w:r>
            <w:r>
              <w:rPr>
                <w:rFonts w:hint="eastAsia" w:ascii="仿宋" w:hAnsi="仿宋" w:eastAsia="仿宋" w:cs="仿宋"/>
                <w:b w:val="0"/>
                <w:color w:val="auto"/>
                <w:sz w:val="24"/>
                <w:highlight w:val="none"/>
                <w:lang w:val="en-US" w:eastAsia="zh-CN"/>
              </w:rPr>
              <w:t xml:space="preserve">免费质量保证期</w:t>
            </w:r>
            <w:r>
              <w:rPr>
                <w:rFonts w:hint="eastAsia" w:ascii="仿宋" w:hAnsi="仿宋" w:eastAsia="仿宋" w:cs="仿宋"/>
                <w:bCs/>
                <w:color w:val="auto"/>
                <w:sz w:val="24"/>
                <w:szCs w:val="24"/>
                <w:highlight w:val="none"/>
              </w:rPr>
              <w:t xml:space="preserve">承诺函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格式自拟</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并</w:t>
            </w:r>
            <w:r>
              <w:rPr>
                <w:rFonts w:hint="eastAsia" w:ascii="仿宋" w:hAnsi="仿宋" w:eastAsia="仿宋" w:cs="仿宋"/>
                <w:bCs/>
                <w:color w:val="auto"/>
                <w:sz w:val="24"/>
                <w:szCs w:val="24"/>
                <w:highlight w:val="none"/>
              </w:rPr>
              <w:t xml:space="preserve">加盖投标人公章。</w:t>
            </w:r>
            <w:r/>
          </w:p>
        </w:tc>
      </w:tr>
      <w:tr>
        <w:trPr>
          <w:jc w:val="center"/>
          <w:trHeight w:val="646"/>
        </w:trPr>
        <w:tc>
          <w:tcPr>
            <w:tcW w:w="776"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shd w:val="clear" w:color="auto" w:fill="auto"/>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i w:val="0"/>
                <w:iCs w:val="0"/>
                <w:color w:val="auto"/>
                <w:sz w:val="24"/>
                <w:szCs w:val="24"/>
                <w:highlight w:val="none"/>
                <w:u w:val="none"/>
                <w:lang w:val="en-US" w:eastAsia="zh-CN" w:bidi="ar"/>
              </w:rPr>
            </w:pPr>
            <w:r>
              <w:rPr>
                <w:rFonts w:hint="eastAsia" w:ascii="仿宋" w:hAnsi="仿宋" w:eastAsia="仿宋" w:cs="仿宋"/>
                <w:b w:val="0"/>
                <w:bCs w:val="0"/>
                <w:i w:val="0"/>
                <w:iCs w:val="0"/>
                <w:color w:val="auto"/>
                <w:sz w:val="24"/>
                <w:szCs w:val="24"/>
                <w:highlight w:val="none"/>
                <w:u w:val="none"/>
                <w:lang w:val="en-US" w:eastAsia="zh-CN" w:bidi="ar"/>
              </w:rPr>
              <w:t xml:space="preserve">管理体系证书</w:t>
            </w:r>
            <w:r/>
          </w:p>
        </w:tc>
        <w:tc>
          <w:tcPr>
            <w:tcW w:w="743" w:type="dxa"/>
            <w:vAlign w:val="center"/>
            <w:textDirection w:val="lrTb"/>
            <w:noWrap w:val="false"/>
          </w:tcPr>
          <w:p>
            <w:pPr>
              <w:jc w:val="center"/>
              <w:keepLines w:val="0"/>
              <w:keepNext w:val="0"/>
              <w:pageBreakBefore w:val="0"/>
              <w:spacing w:line="32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w:t>
            </w:r>
            <w:r/>
          </w:p>
        </w:tc>
        <w:tc>
          <w:tcPr>
            <w:shd w:val="clear" w:color="auto" w:fill="auto"/>
            <w:tcW w:w="6709" w:type="dxa"/>
            <w:vAlign w:val="top"/>
            <w:textDirection w:val="lrTb"/>
            <w:noWrap w:val="false"/>
          </w:tcPr>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lang w:val="en-US" w:eastAsia="zh-CN"/>
              </w:rPr>
              <w:t xml:space="preserve">投标人</w:t>
            </w:r>
            <w:r>
              <w:rPr>
                <w:rFonts w:hint="eastAsia" w:ascii="仿宋" w:hAnsi="仿宋" w:eastAsia="仿宋" w:cs="仿宋"/>
                <w:b w:val="0"/>
                <w:color w:val="auto"/>
                <w:sz w:val="24"/>
                <w:highlight w:val="none"/>
              </w:rPr>
              <w:t xml:space="preserve">具有有效的质量管理认证体系证书</w:t>
            </w:r>
            <w:r>
              <w:rPr>
                <w:rFonts w:hint="eastAsia" w:ascii="仿宋" w:hAnsi="仿宋" w:eastAsia="仿宋" w:cs="仿宋"/>
                <w:b w:val="0"/>
                <w:color w:val="auto"/>
                <w:sz w:val="24"/>
                <w:highlight w:val="none"/>
                <w:lang w:val="en-US" w:eastAsia="zh-CN"/>
              </w:rPr>
              <w:t xml:space="preserve">的</w:t>
            </w:r>
            <w:r>
              <w:rPr>
                <w:rFonts w:hint="eastAsia" w:ascii="仿宋" w:hAnsi="仿宋" w:eastAsia="仿宋" w:cs="仿宋"/>
                <w:b w:val="0"/>
                <w:color w:val="auto"/>
                <w:sz w:val="24"/>
                <w:highlight w:val="none"/>
              </w:rPr>
              <w:t xml:space="preserve">得</w:t>
            </w:r>
            <w:r>
              <w:rPr>
                <w:rFonts w:hint="eastAsia" w:ascii="仿宋" w:hAnsi="仿宋" w:eastAsia="仿宋" w:cs="仿宋"/>
                <w:b w:val="0"/>
                <w:color w:val="auto"/>
                <w:sz w:val="24"/>
                <w:highlight w:val="none"/>
                <w:lang w:val="en-US" w:eastAsia="zh-CN"/>
              </w:rPr>
              <w:t xml:space="preserve">1</w:t>
            </w:r>
            <w:r>
              <w:rPr>
                <w:rFonts w:hint="eastAsia" w:ascii="仿宋" w:hAnsi="仿宋" w:eastAsia="仿宋" w:cs="仿宋"/>
                <w:b w:val="0"/>
                <w:color w:val="auto"/>
                <w:sz w:val="24"/>
                <w:highlight w:val="none"/>
              </w:rPr>
              <w:t xml:space="preserve">分，否则不得分；</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lang w:val="en-US" w:eastAsia="zh-CN"/>
              </w:rPr>
              <w:t xml:space="preserve">投标人</w:t>
            </w:r>
            <w:r>
              <w:rPr>
                <w:rFonts w:hint="eastAsia" w:ascii="仿宋" w:hAnsi="仿宋" w:eastAsia="仿宋" w:cs="仿宋"/>
                <w:b w:val="0"/>
                <w:color w:val="auto"/>
                <w:sz w:val="24"/>
                <w:highlight w:val="none"/>
              </w:rPr>
              <w:t xml:space="preserve">具有有效的环境管理认证体系证书</w:t>
            </w:r>
            <w:r>
              <w:rPr>
                <w:rFonts w:hint="eastAsia" w:ascii="仿宋" w:hAnsi="仿宋" w:eastAsia="仿宋" w:cs="仿宋"/>
                <w:b w:val="0"/>
                <w:color w:val="auto"/>
                <w:sz w:val="24"/>
                <w:highlight w:val="none"/>
                <w:lang w:eastAsia="zh-CN"/>
              </w:rPr>
              <w:t xml:space="preserve">的</w:t>
            </w:r>
            <w:r>
              <w:rPr>
                <w:rFonts w:hint="eastAsia" w:ascii="仿宋" w:hAnsi="仿宋" w:eastAsia="仿宋" w:cs="仿宋"/>
                <w:b w:val="0"/>
                <w:color w:val="auto"/>
                <w:sz w:val="24"/>
                <w:highlight w:val="none"/>
              </w:rPr>
              <w:t xml:space="preserve">得</w:t>
            </w:r>
            <w:r>
              <w:rPr>
                <w:rFonts w:hint="eastAsia" w:ascii="仿宋" w:hAnsi="仿宋" w:eastAsia="仿宋" w:cs="仿宋"/>
                <w:b w:val="0"/>
                <w:color w:val="auto"/>
                <w:sz w:val="24"/>
                <w:highlight w:val="none"/>
                <w:lang w:val="en-US" w:eastAsia="zh-CN"/>
              </w:rPr>
              <w:t xml:space="preserve">1</w:t>
            </w:r>
            <w:r>
              <w:rPr>
                <w:rFonts w:hint="eastAsia" w:ascii="仿宋" w:hAnsi="仿宋" w:eastAsia="仿宋" w:cs="仿宋"/>
                <w:b w:val="0"/>
                <w:color w:val="auto"/>
                <w:sz w:val="24"/>
                <w:highlight w:val="none"/>
              </w:rPr>
              <w:t xml:space="preserve">分，否则不得分；</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lang w:val="en-US" w:eastAsia="zh-CN"/>
              </w:rPr>
              <w:t xml:space="preserve">投标人</w:t>
            </w:r>
            <w:r>
              <w:rPr>
                <w:rFonts w:hint="eastAsia" w:ascii="仿宋" w:hAnsi="仿宋" w:eastAsia="仿宋" w:cs="仿宋"/>
                <w:b w:val="0"/>
                <w:color w:val="auto"/>
                <w:sz w:val="24"/>
                <w:highlight w:val="none"/>
              </w:rPr>
              <w:t xml:space="preserve">具有有效的职业健康安全管理体系证书</w:t>
            </w:r>
            <w:r>
              <w:rPr>
                <w:rFonts w:hint="eastAsia" w:ascii="仿宋" w:hAnsi="仿宋" w:eastAsia="仿宋" w:cs="仿宋"/>
                <w:b w:val="0"/>
                <w:color w:val="auto"/>
                <w:sz w:val="24"/>
                <w:highlight w:val="none"/>
                <w:lang w:eastAsia="zh-CN"/>
              </w:rPr>
              <w:t xml:space="preserve">的</w:t>
            </w:r>
            <w:r>
              <w:rPr>
                <w:rFonts w:hint="eastAsia" w:ascii="仿宋" w:hAnsi="仿宋" w:eastAsia="仿宋" w:cs="仿宋"/>
                <w:b w:val="0"/>
                <w:color w:val="auto"/>
                <w:sz w:val="24"/>
                <w:highlight w:val="none"/>
              </w:rPr>
              <w:t xml:space="preserve">得</w:t>
            </w:r>
            <w:r>
              <w:rPr>
                <w:rFonts w:hint="eastAsia" w:ascii="仿宋" w:hAnsi="仿宋" w:eastAsia="仿宋" w:cs="仿宋"/>
                <w:b w:val="0"/>
                <w:color w:val="auto"/>
                <w:sz w:val="24"/>
                <w:highlight w:val="none"/>
                <w:lang w:val="en-US" w:eastAsia="zh-CN"/>
              </w:rPr>
              <w:t xml:space="preserve">1</w:t>
            </w:r>
            <w:r>
              <w:rPr>
                <w:rFonts w:hint="eastAsia" w:ascii="仿宋" w:hAnsi="仿宋" w:eastAsia="仿宋" w:cs="仿宋"/>
                <w:b w:val="0"/>
                <w:color w:val="auto"/>
                <w:sz w:val="24"/>
                <w:highlight w:val="none"/>
              </w:rPr>
              <w:t xml:space="preserve">分，否则不得分。</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lang w:val="en-US" w:eastAsia="zh-CN"/>
              </w:rPr>
            </w:pPr>
            <w:r>
              <w:rPr>
                <w:rFonts w:hint="eastAsia" w:ascii="仿宋" w:hAnsi="仿宋" w:eastAsia="仿宋" w:cs="仿宋"/>
                <w:b w:val="0"/>
                <w:color w:val="auto"/>
                <w:sz w:val="24"/>
                <w:highlight w:val="none"/>
              </w:rPr>
              <w:t xml:space="preserve">注：提供</w:t>
            </w:r>
            <w:r>
              <w:rPr>
                <w:rFonts w:hint="eastAsia" w:ascii="仿宋" w:hAnsi="仿宋" w:eastAsia="仿宋" w:cs="仿宋"/>
                <w:b w:val="0"/>
                <w:color w:val="auto"/>
                <w:sz w:val="24"/>
                <w:highlight w:val="none"/>
                <w:lang w:val="en-US" w:eastAsia="zh-CN"/>
              </w:rPr>
              <w:t xml:space="preserve">相关</w:t>
            </w:r>
            <w:r>
              <w:rPr>
                <w:rFonts w:hint="eastAsia" w:ascii="仿宋" w:hAnsi="仿宋" w:eastAsia="仿宋" w:cs="仿宋"/>
                <w:b w:val="0"/>
                <w:color w:val="auto"/>
                <w:sz w:val="24"/>
                <w:highlight w:val="none"/>
              </w:rPr>
              <w:t xml:space="preserve">证书，证书中的被认证单位名称须与投标人名称一致，否则不得分。</w:t>
            </w:r>
            <w:r/>
          </w:p>
        </w:tc>
      </w:tr>
      <w:tr>
        <w:trPr>
          <w:jc w:val="center"/>
          <w:trHeight w:val="1612"/>
        </w:trPr>
        <w:tc>
          <w:tcPr>
            <w:tcW w:w="776"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shd w:val="clear" w:color="auto" w:fill="auto"/>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i w:val="0"/>
                <w:iCs w:val="0"/>
                <w:color w:val="auto"/>
                <w:sz w:val="24"/>
                <w:szCs w:val="24"/>
                <w:highlight w:val="none"/>
                <w:u w:val="none"/>
                <w:lang w:val="en-US" w:eastAsia="zh-CN" w:bidi="ar"/>
              </w:rPr>
            </w:pPr>
            <w:r>
              <w:rPr>
                <w:rFonts w:hint="eastAsia" w:ascii="仿宋" w:hAnsi="仿宋" w:eastAsia="仿宋" w:cs="仿宋"/>
                <w:b w:val="0"/>
                <w:bCs w:val="0"/>
                <w:i w:val="0"/>
                <w:iCs w:val="0"/>
                <w:color w:val="auto"/>
                <w:sz w:val="24"/>
                <w:szCs w:val="24"/>
                <w:highlight w:val="none"/>
                <w:u w:val="none"/>
                <w:lang w:val="en-US" w:eastAsia="zh-CN" w:bidi="ar"/>
              </w:rPr>
              <w:t xml:space="preserve">售后服务</w:t>
            </w:r>
            <w:r/>
          </w:p>
        </w:tc>
        <w:tc>
          <w:tcPr>
            <w:tcW w:w="743" w:type="dxa"/>
            <w:vAlign w:val="center"/>
            <w:textDirection w:val="lrTb"/>
            <w:noWrap w:val="false"/>
          </w:tcPr>
          <w:p>
            <w:pPr>
              <w:jc w:val="center"/>
              <w:keepLines w:val="0"/>
              <w:keepNext w:val="0"/>
              <w:pageBreakBefore w:val="0"/>
              <w:spacing w:line="32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w:t>
            </w:r>
            <w:r/>
          </w:p>
        </w:tc>
        <w:tc>
          <w:tcPr>
            <w:tcW w:w="6709" w:type="dxa"/>
            <w:vAlign w:val="center"/>
            <w:textDirection w:val="lrTb"/>
            <w:noWrap w:val="false"/>
          </w:tcPr>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rPr>
              <w:t xml:space="preserve">根据投标人提供的服务承诺及方案进行综合评审，方案内容包括：</w:t>
            </w:r>
            <w:r/>
          </w:p>
          <w:p>
            <w:pPr>
              <w:numPr>
                <w:ilvl w:val="0"/>
                <w:numId w:val="0"/>
              </w:num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lang w:val="en-US" w:eastAsia="zh-CN"/>
              </w:rPr>
              <w:t xml:space="preserve">1、</w:t>
            </w:r>
            <w:r>
              <w:rPr>
                <w:rFonts w:hint="eastAsia" w:ascii="仿宋" w:hAnsi="仿宋" w:eastAsia="仿宋" w:cs="仿宋"/>
                <w:b w:val="0"/>
                <w:color w:val="auto"/>
                <w:sz w:val="24"/>
                <w:highlight w:val="none"/>
              </w:rPr>
              <w:t xml:space="preserve">故障响应时间及故障解决措施</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应急处理</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应明确</w:t>
            </w:r>
            <w:r>
              <w:rPr>
                <w:rFonts w:hint="eastAsia" w:ascii="仿宋" w:hAnsi="仿宋" w:eastAsia="仿宋" w:cs="仿宋"/>
                <w:b w:val="0"/>
                <w:color w:val="auto"/>
                <w:sz w:val="24"/>
                <w:highlight w:val="none"/>
                <w:lang w:val="en-US" w:eastAsia="zh-CN"/>
              </w:rPr>
              <w:t xml:space="preserve">服务承诺，</w:t>
            </w:r>
            <w:r>
              <w:rPr>
                <w:rFonts w:hint="eastAsia" w:ascii="仿宋" w:hAnsi="仿宋" w:eastAsia="仿宋" w:cs="仿宋"/>
                <w:b w:val="0"/>
                <w:color w:val="auto"/>
                <w:sz w:val="24"/>
                <w:highlight w:val="none"/>
              </w:rPr>
              <w:t xml:space="preserve">响应时限、到场或远程支持方式及</w:t>
            </w:r>
            <w:r>
              <w:rPr>
                <w:rFonts w:hint="eastAsia" w:ascii="仿宋" w:hAnsi="仿宋" w:eastAsia="仿宋" w:cs="仿宋"/>
                <w:b w:val="0"/>
                <w:color w:val="auto"/>
                <w:sz w:val="24"/>
                <w:highlight w:val="none"/>
                <w:lang w:val="en-US" w:eastAsia="zh-CN"/>
              </w:rPr>
              <w:t xml:space="preserve">服务渠道与措施、</w:t>
            </w:r>
            <w:r>
              <w:rPr>
                <w:rFonts w:hint="eastAsia" w:ascii="仿宋" w:hAnsi="仿宋" w:eastAsia="仿宋" w:cs="仿宋"/>
                <w:b w:val="0"/>
                <w:color w:val="auto"/>
                <w:sz w:val="24"/>
                <w:highlight w:val="none"/>
              </w:rPr>
              <w:t xml:space="preserve">针对故障情形提出</w:t>
            </w:r>
            <w:r>
              <w:rPr>
                <w:rFonts w:hint="eastAsia" w:ascii="仿宋" w:hAnsi="仿宋" w:eastAsia="仿宋" w:cs="仿宋"/>
                <w:b w:val="0"/>
                <w:color w:val="auto"/>
                <w:sz w:val="24"/>
                <w:highlight w:val="none"/>
                <w:lang w:val="en-US" w:eastAsia="zh-CN"/>
              </w:rPr>
              <w:t xml:space="preserve">突发事件紧急处理预案</w:t>
            </w:r>
            <w:r>
              <w:rPr>
                <w:rFonts w:hint="eastAsia" w:ascii="仿宋" w:hAnsi="仿宋" w:eastAsia="仿宋" w:cs="仿宋"/>
                <w:b w:val="0"/>
                <w:color w:val="auto"/>
                <w:sz w:val="24"/>
                <w:highlight w:val="none"/>
              </w:rPr>
              <w:t xml:space="preserve">；</w:t>
            </w:r>
            <w:r/>
          </w:p>
          <w:p>
            <w:pPr>
              <w:numPr>
                <w:ilvl w:val="0"/>
                <w:numId w:val="0"/>
              </w:num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lang w:val="en-US" w:eastAsia="zh-CN"/>
              </w:rPr>
              <w:t xml:space="preserve">2、</w:t>
            </w:r>
            <w:r>
              <w:rPr>
                <w:rFonts w:hint="eastAsia" w:ascii="仿宋" w:hAnsi="仿宋" w:eastAsia="仿宋" w:cs="仿宋"/>
                <w:b w:val="0"/>
                <w:color w:val="auto"/>
                <w:sz w:val="24"/>
                <w:highlight w:val="none"/>
              </w:rPr>
              <w:t xml:space="preserve">售后服务技术支持</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售后服务技术支持应明确技术支持方式、服务渠道及问题反馈闭环；</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lang w:val="en-US" w:eastAsia="zh-CN"/>
              </w:rPr>
              <w:t xml:space="preserve">3、</w:t>
            </w:r>
            <w:r>
              <w:rPr>
                <w:rFonts w:hint="eastAsia" w:ascii="仿宋" w:hAnsi="仿宋" w:eastAsia="仿宋" w:cs="仿宋"/>
                <w:b w:val="0"/>
                <w:color w:val="auto"/>
                <w:sz w:val="24"/>
                <w:highlight w:val="none"/>
              </w:rPr>
              <w:t xml:space="preserve">定期巡检</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lang w:val="en-US" w:eastAsia="zh-CN"/>
              </w:rPr>
              <w:t xml:space="preserve">保养、</w:t>
            </w:r>
            <w:r>
              <w:rPr>
                <w:rFonts w:hint="eastAsia" w:ascii="仿宋" w:hAnsi="仿宋" w:eastAsia="仿宋" w:cs="仿宋"/>
                <w:b w:val="0"/>
                <w:color w:val="auto"/>
                <w:sz w:val="24"/>
                <w:highlight w:val="none"/>
              </w:rPr>
              <w:t xml:space="preserve">备品备件</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应明确巡检频次、</w:t>
            </w:r>
            <w:r>
              <w:rPr>
                <w:rFonts w:hint="eastAsia" w:ascii="仿宋" w:hAnsi="仿宋" w:eastAsia="仿宋" w:cs="仿宋"/>
                <w:b w:val="0"/>
                <w:color w:val="auto"/>
                <w:sz w:val="24"/>
                <w:highlight w:val="none"/>
                <w:lang w:val="en-US" w:eastAsia="zh-CN"/>
              </w:rPr>
              <w:t xml:space="preserve">巡检</w:t>
            </w:r>
            <w:r>
              <w:rPr>
                <w:rFonts w:hint="eastAsia" w:ascii="仿宋" w:hAnsi="仿宋" w:eastAsia="仿宋" w:cs="仿宋"/>
                <w:b w:val="0"/>
                <w:color w:val="auto"/>
                <w:sz w:val="24"/>
                <w:highlight w:val="none"/>
              </w:rPr>
              <w:t xml:space="preserve">内容、</w:t>
            </w:r>
            <w:r>
              <w:rPr>
                <w:rFonts w:hint="eastAsia" w:ascii="仿宋" w:hAnsi="仿宋" w:eastAsia="仿宋" w:cs="仿宋"/>
                <w:b w:val="0"/>
                <w:color w:val="auto"/>
                <w:sz w:val="24"/>
                <w:highlight w:val="none"/>
                <w:lang w:val="en-US" w:eastAsia="zh-CN"/>
              </w:rPr>
              <w:t xml:space="preserve">保养内容、系统配备、</w:t>
            </w:r>
            <w:r>
              <w:rPr>
                <w:rFonts w:hint="eastAsia" w:ascii="仿宋" w:hAnsi="仿宋" w:eastAsia="仿宋" w:cs="仿宋"/>
                <w:b w:val="0"/>
                <w:color w:val="auto"/>
                <w:sz w:val="24"/>
                <w:highlight w:val="none"/>
              </w:rPr>
              <w:t xml:space="preserve">常用易损件配件保障措施；</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lang w:val="en-US" w:eastAsia="zh-CN"/>
              </w:rPr>
              <w:t xml:space="preserve">4、</w:t>
            </w:r>
            <w:r>
              <w:rPr>
                <w:rFonts w:hint="eastAsia" w:ascii="仿宋" w:hAnsi="仿宋" w:eastAsia="仿宋" w:cs="仿宋"/>
                <w:b w:val="0"/>
                <w:color w:val="auto"/>
                <w:sz w:val="24"/>
                <w:highlight w:val="none"/>
              </w:rPr>
              <w:t xml:space="preserve">本地维修服务</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应说明本地或周边维修服务能力、服务网点</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lang w:val="en-US" w:eastAsia="zh-CN"/>
              </w:rPr>
              <w:t xml:space="preserve">售后服务人员安排</w:t>
            </w:r>
            <w:r>
              <w:rPr>
                <w:rFonts w:hint="eastAsia" w:ascii="仿宋" w:hAnsi="仿宋" w:eastAsia="仿宋" w:cs="仿宋"/>
                <w:b w:val="0"/>
                <w:color w:val="auto"/>
                <w:sz w:val="24"/>
                <w:highlight w:val="none"/>
              </w:rPr>
              <w:t xml:space="preserve">；</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rPr>
            </w:pPr>
            <w:r>
              <w:rPr>
                <w:rFonts w:hint="eastAsia" w:ascii="仿宋" w:hAnsi="仿宋" w:eastAsia="仿宋" w:cs="仿宋"/>
                <w:b w:val="0"/>
                <w:color w:val="auto"/>
                <w:sz w:val="24"/>
                <w:highlight w:val="none"/>
                <w:lang w:val="en-US" w:eastAsia="zh-CN"/>
              </w:rPr>
              <w:t xml:space="preserve">5</w:t>
            </w:r>
            <w:r>
              <w:rPr>
                <w:rFonts w:hint="eastAsia" w:ascii="仿宋" w:hAnsi="仿宋" w:eastAsia="仿宋" w:cs="仿宋"/>
                <w:b w:val="0"/>
                <w:color w:val="auto"/>
                <w:sz w:val="24"/>
                <w:highlight w:val="none"/>
              </w:rPr>
              <w:t xml:space="preserve">、培训方案</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培训</w:t>
            </w:r>
            <w:r>
              <w:rPr>
                <w:rFonts w:hint="eastAsia" w:ascii="仿宋" w:hAnsi="仿宋" w:eastAsia="仿宋" w:cs="仿宋"/>
                <w:b w:val="0"/>
                <w:color w:val="auto"/>
                <w:sz w:val="24"/>
                <w:highlight w:val="none"/>
                <w:lang w:val="en-US" w:eastAsia="zh-CN"/>
              </w:rPr>
              <w:t xml:space="preserve">计划</w:t>
            </w:r>
            <w:r>
              <w:rPr>
                <w:rFonts w:hint="eastAsia" w:ascii="仿宋" w:hAnsi="仿宋" w:eastAsia="仿宋" w:cs="仿宋"/>
                <w:b w:val="0"/>
                <w:color w:val="auto"/>
                <w:sz w:val="24"/>
                <w:highlight w:val="none"/>
              </w:rPr>
              <w:t xml:space="preserve">、培训内容、</w:t>
            </w:r>
            <w:r>
              <w:rPr>
                <w:rFonts w:hint="eastAsia" w:ascii="仿宋" w:hAnsi="仿宋" w:eastAsia="仿宋" w:cs="仿宋"/>
                <w:b w:val="0"/>
                <w:color w:val="auto"/>
                <w:sz w:val="24"/>
                <w:highlight w:val="none"/>
                <w:lang w:val="en-US" w:eastAsia="zh-CN"/>
              </w:rPr>
              <w:t xml:space="preserve">常见故障及排障方法</w:t>
            </w:r>
            <w:r>
              <w:rPr>
                <w:rFonts w:hint="eastAsia" w:ascii="仿宋" w:hAnsi="仿宋" w:eastAsia="仿宋" w:cs="仿宋"/>
                <w:b w:val="0"/>
                <w:color w:val="auto"/>
                <w:sz w:val="24"/>
                <w:highlight w:val="none"/>
              </w:rPr>
              <w:t xml:space="preserve">、</w:t>
            </w:r>
            <w:r>
              <w:rPr>
                <w:rFonts w:hint="eastAsia" w:ascii="仿宋" w:hAnsi="仿宋" w:eastAsia="仿宋" w:cs="仿宋"/>
                <w:b w:val="0"/>
                <w:color w:val="auto"/>
                <w:sz w:val="24"/>
                <w:highlight w:val="none"/>
                <w:lang w:val="en-US" w:eastAsia="zh-CN"/>
              </w:rPr>
              <w:t xml:space="preserve">培训时间</w:t>
            </w:r>
            <w:r>
              <w:rPr>
                <w:rFonts w:hint="eastAsia" w:ascii="仿宋" w:hAnsi="仿宋" w:eastAsia="仿宋" w:cs="仿宋"/>
                <w:b w:val="0"/>
                <w:color w:val="auto"/>
                <w:sz w:val="24"/>
                <w:highlight w:val="none"/>
              </w:rPr>
              <w:t xml:space="preserve">及培训</w:t>
            </w:r>
            <w:r>
              <w:rPr>
                <w:rFonts w:hint="eastAsia" w:ascii="仿宋" w:hAnsi="仿宋" w:eastAsia="仿宋" w:cs="仿宋"/>
                <w:b w:val="0"/>
                <w:color w:val="auto"/>
                <w:sz w:val="24"/>
                <w:highlight w:val="none"/>
                <w:lang w:val="en-US" w:eastAsia="zh-CN"/>
              </w:rPr>
              <w:t xml:space="preserve">人员</w:t>
            </w:r>
            <w:r>
              <w:rPr>
                <w:rFonts w:hint="eastAsia" w:ascii="仿宋" w:hAnsi="仿宋" w:eastAsia="仿宋" w:cs="仿宋"/>
                <w:b w:val="0"/>
                <w:color w:val="auto"/>
                <w:sz w:val="24"/>
                <w:highlight w:val="none"/>
              </w:rPr>
              <w:t xml:space="preserve">。</w:t>
            </w:r>
            <w:r/>
          </w:p>
          <w:p>
            <w:pPr>
              <w:keepLines w:val="0"/>
              <w:keepNext w:val="0"/>
              <w:pageBreakBefore w:val="0"/>
              <w:spacing w:before="0" w:after="0" w:line="320" w:lineRule="exact"/>
              <w:widowControl w:val="off"/>
              <w:rPr>
                <w:rFonts w:hint="eastAsia" w:ascii="仿宋" w:hAnsi="仿宋" w:eastAsia="仿宋" w:cs="仿宋"/>
                <w:b w:val="0"/>
                <w:color w:val="auto"/>
                <w:sz w:val="24"/>
                <w:highlight w:val="none"/>
                <w:lang w:val="en-US" w:eastAsia="zh-CN"/>
              </w:rPr>
            </w:pPr>
            <w:r>
              <w:rPr>
                <w:rFonts w:hint="eastAsia" w:ascii="仿宋" w:hAnsi="仿宋" w:eastAsia="仿宋" w:cs="仿宋"/>
                <w:b w:val="0"/>
                <w:color w:val="auto"/>
                <w:sz w:val="24"/>
                <w:highlight w:val="none"/>
              </w:rPr>
              <w:t xml:space="preserve">上述</w:t>
            </w:r>
            <w:r>
              <w:rPr>
                <w:rFonts w:hint="eastAsia" w:ascii="仿宋" w:hAnsi="仿宋" w:eastAsia="仿宋" w:cs="仿宋"/>
                <w:b w:val="0"/>
                <w:color w:val="auto"/>
                <w:sz w:val="24"/>
                <w:highlight w:val="none"/>
                <w:lang w:val="en-US" w:eastAsia="zh-CN"/>
              </w:rPr>
              <w:t xml:space="preserve">5</w:t>
            </w:r>
            <w:r>
              <w:rPr>
                <w:rFonts w:hint="eastAsia" w:ascii="仿宋" w:hAnsi="仿宋" w:eastAsia="仿宋" w:cs="仿宋"/>
                <w:b w:val="0"/>
                <w:color w:val="auto"/>
                <w:sz w:val="24"/>
                <w:highlight w:val="none"/>
              </w:rPr>
              <w:t xml:space="preserve">个方面每有一项内容完整</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lang w:val="en-US" w:eastAsia="zh-CN"/>
              </w:rPr>
              <w:t xml:space="preserve">方案可行</w:t>
            </w:r>
            <w:r>
              <w:rPr>
                <w:rFonts w:hint="eastAsia" w:ascii="仿宋" w:hAnsi="仿宋" w:eastAsia="仿宋" w:cs="仿宋"/>
                <w:b w:val="0"/>
                <w:color w:val="auto"/>
                <w:sz w:val="24"/>
                <w:highlight w:val="none"/>
              </w:rPr>
              <w:t xml:space="preserve">且</w:t>
            </w:r>
            <w:r>
              <w:rPr>
                <w:rFonts w:hint="eastAsia" w:ascii="仿宋" w:hAnsi="仿宋" w:eastAsia="仿宋" w:cs="仿宋"/>
                <w:b w:val="0"/>
                <w:color w:val="auto"/>
                <w:sz w:val="24"/>
                <w:highlight w:val="none"/>
                <w:lang w:val="en-US" w:eastAsia="zh-CN"/>
              </w:rPr>
              <w:t xml:space="preserve">满足本项目</w:t>
            </w:r>
            <w:r>
              <w:rPr>
                <w:rFonts w:hint="eastAsia" w:ascii="仿宋" w:hAnsi="仿宋" w:eastAsia="仿宋" w:cs="仿宋"/>
                <w:b w:val="0"/>
                <w:color w:val="auto"/>
                <w:sz w:val="24"/>
                <w:highlight w:val="none"/>
              </w:rPr>
              <w:t xml:space="preserve">采购需求的得2分，本项最高得10分。每有一项内容虽已提供但存在内容不完整、</w:t>
            </w:r>
            <w:r>
              <w:rPr>
                <w:rFonts w:hint="eastAsia" w:ascii="仿宋" w:hAnsi="仿宋" w:eastAsia="仿宋" w:cs="仿宋"/>
                <w:b w:val="0"/>
                <w:color w:val="auto"/>
                <w:sz w:val="24"/>
                <w:highlight w:val="none"/>
                <w:lang w:val="en-US" w:eastAsia="zh-CN"/>
              </w:rPr>
              <w:t xml:space="preserve">方案不可行、</w:t>
            </w:r>
            <w:r>
              <w:rPr>
                <w:rFonts w:hint="eastAsia" w:ascii="仿宋" w:hAnsi="仿宋" w:eastAsia="仿宋" w:cs="仿宋"/>
                <w:b w:val="0"/>
                <w:color w:val="auto"/>
                <w:sz w:val="24"/>
                <w:highlight w:val="none"/>
              </w:rPr>
              <w:t xml:space="preserve">表述笼统、与本项目需求不匹配、措施缺乏可操作性或关键内容无法判断，或者仅设置标题、原则性承诺、套用通用模板</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出现其他项目名称、其他设备类型、其他实施地点、其他验收标准等与本项目无关内容，或者不能体现与本项目采购需求对应关系的，视为套用通用模板</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、照抄采购文件、未提供对应内容的，该项不得分。</w:t>
            </w:r>
            <w:r/>
          </w:p>
        </w:tc>
      </w:tr>
      <w:tr>
        <w:trPr>
          <w:jc w:val="center"/>
          <w:trHeight w:val="1600"/>
        </w:trPr>
        <w:tc>
          <w:tcPr>
            <w:tcW w:w="776" w:type="dxa"/>
            <w:vAlign w:val="center"/>
            <w:vMerge w:val="restart"/>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技术部分</w:t>
            </w:r>
            <w:r/>
          </w:p>
        </w:tc>
        <w:tc>
          <w:tcPr>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i w:val="0"/>
                <w:iCs w:val="0"/>
                <w:color w:val="auto"/>
                <w:sz w:val="24"/>
                <w:szCs w:val="24"/>
                <w:highlight w:val="none"/>
                <w:u w:val="none"/>
                <w:lang w:val="en-US" w:eastAsia="zh-CN" w:bidi="ar"/>
              </w:rPr>
            </w:pPr>
            <w:r>
              <w:rPr>
                <w:rFonts w:hint="eastAsia" w:ascii="仿宋" w:hAnsi="仿宋" w:eastAsia="仿宋" w:cs="仿宋"/>
                <w:b w:val="0"/>
                <w:bCs w:val="0"/>
                <w:i w:val="0"/>
                <w:iCs w:val="0"/>
                <w:color w:val="auto"/>
                <w:sz w:val="24"/>
                <w:szCs w:val="24"/>
                <w:highlight w:val="none"/>
                <w:u w:val="none"/>
                <w:lang w:val="en-US" w:eastAsia="zh-CN" w:bidi="ar"/>
              </w:rPr>
              <w:t xml:space="preserve">技术参数 响应性</w:t>
            </w:r>
            <w:r/>
          </w:p>
        </w:tc>
        <w:tc>
          <w:tcPr>
            <w:tcW w:w="743" w:type="dxa"/>
            <w:vAlign w:val="center"/>
            <w:textDirection w:val="lrTb"/>
            <w:noWrap w:val="false"/>
          </w:tcPr>
          <w:p>
            <w:pPr>
              <w:jc w:val="center"/>
              <w:keepLines w:val="0"/>
              <w:keepNext w:val="0"/>
              <w:pageBreakBefore w:val="0"/>
              <w:spacing w:line="32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45</w:t>
            </w:r>
            <w:r/>
          </w:p>
        </w:tc>
        <w:tc>
          <w:tcPr>
            <w:shd w:val="clear" w:color="auto" w:fill="auto"/>
            <w:tcW w:w="6709" w:type="dxa"/>
            <w:vAlign w:val="top"/>
            <w:textDirection w:val="lrTb"/>
            <w:noWrap w:val="false"/>
          </w:tcPr>
          <w:p>
            <w:pPr>
              <w:keepLines w:val="0"/>
              <w:keepNext w:val="0"/>
              <w:pageBreakBefore w:val="0"/>
              <w:spacing w:line="3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根据招标文件“第四章 采购需求”中的技术参数进行评审，</w:t>
            </w:r>
            <w:r>
              <w:rPr>
                <w:rFonts w:hint="eastAsia" w:ascii="仿宋" w:hAnsi="仿宋" w:eastAsia="仿宋" w:cs="仿宋"/>
                <w:color w:val="auto"/>
                <w:sz w:val="24"/>
                <w:szCs w:val="24"/>
                <w:highlight w:val="none"/>
                <w:lang w:val="en-US" w:eastAsia="zh-CN"/>
              </w:rPr>
              <w:t xml:space="preserve">共</w:t>
            </w:r>
            <w:r>
              <w:rPr>
                <w:rFonts w:hint="eastAsia" w:ascii="仿宋" w:hAnsi="仿宋" w:eastAsia="仿宋" w:cs="仿宋"/>
                <w:b w:val="0"/>
                <w:color w:val="auto"/>
                <w:sz w:val="24"/>
                <w:highlight w:val="none"/>
                <w:lang w:val="en-US" w:eastAsia="zh-CN"/>
              </w:rPr>
              <w:t xml:space="preserve">45分</w:t>
            </w:r>
            <w:r>
              <w:rPr>
                <w:rFonts w:hint="eastAsia" w:ascii="仿宋" w:hAnsi="仿宋" w:eastAsia="仿宋" w:cs="仿宋"/>
                <w:color w:val="auto"/>
                <w:sz w:val="24"/>
                <w:szCs w:val="24"/>
                <w:highlight w:val="none"/>
              </w:rPr>
              <w:t xml:space="preserve">。投标人应按照第四章采购需求的技术参数</w:t>
            </w:r>
            <w:r>
              <w:rPr>
                <w:rFonts w:hint="eastAsia" w:ascii="仿宋" w:hAnsi="仿宋" w:eastAsia="仿宋" w:cs="仿宋"/>
                <w:color w:val="auto"/>
                <w:sz w:val="24"/>
                <w:szCs w:val="24"/>
                <w:highlight w:val="none"/>
                <w:lang w:val="en-US" w:eastAsia="zh-CN"/>
              </w:rPr>
              <w:t xml:space="preserve">进行</w:t>
            </w:r>
            <w:r>
              <w:rPr>
                <w:rFonts w:hint="eastAsia" w:ascii="仿宋" w:hAnsi="仿宋" w:eastAsia="仿宋" w:cs="仿宋"/>
                <w:color w:val="auto"/>
                <w:sz w:val="24"/>
                <w:szCs w:val="24"/>
                <w:highlight w:val="none"/>
              </w:rPr>
              <w:t xml:space="preserve">响应。</w:t>
            </w:r>
            <w:r/>
          </w:p>
          <w:p>
            <w:pPr>
              <w:keepLines w:val="0"/>
              <w:keepNext w:val="0"/>
              <w:pageBreakBefore w:val="0"/>
              <w:spacing w:before="0" w:after="0" w:line="320" w:lineRule="exact"/>
              <w:widowControl w:val="off"/>
              <w:rPr>
                <w:rFonts w:hint="eastAsia" w:ascii="仿宋" w:hAnsi="仿宋" w:eastAsia="宋体" w:cs="仿宋"/>
                <w:b w:val="0"/>
                <w:color w:val="auto"/>
                <w:sz w:val="24"/>
                <w:highlight w:val="none"/>
                <w:lang w:val="en-US" w:eastAsia="zh-CN"/>
              </w:rPr>
            </w:pPr>
            <w:r>
              <w:rPr>
                <w:rFonts w:hint="eastAsia" w:ascii="仿宋" w:hAnsi="仿宋" w:eastAsia="仿宋" w:cs="仿宋"/>
                <w:color w:val="auto"/>
                <w:sz w:val="24"/>
                <w:szCs w:val="24"/>
                <w:highlight w:val="none"/>
              </w:rPr>
              <w:t xml:space="preserve">技术参数中标注“▲”的为</w:t>
            </w:r>
            <w:r>
              <w:rPr>
                <w:rFonts w:hint="eastAsia" w:ascii="仿宋" w:hAnsi="仿宋" w:eastAsia="仿宋" w:cs="仿宋"/>
                <w:color w:val="auto"/>
                <w:sz w:val="24"/>
                <w:szCs w:val="24"/>
                <w:highlight w:val="none"/>
                <w:lang w:val="en-US" w:eastAsia="zh-CN"/>
              </w:rPr>
              <w:t xml:space="preserve">灭火重要指标</w:t>
            </w:r>
            <w:r>
              <w:rPr>
                <w:rFonts w:hint="eastAsia" w:ascii="仿宋" w:hAnsi="仿宋" w:eastAsia="仿宋" w:cs="仿宋"/>
                <w:color w:val="auto"/>
                <w:sz w:val="24"/>
                <w:szCs w:val="24"/>
                <w:highlight w:val="none"/>
              </w:rPr>
              <w:t xml:space="preserve">，以第四章采购需求参数表中标注的“▲”参数为准，投标人应对“▲”参数逐项响应，</w:t>
            </w:r>
            <w:r>
              <w:rPr>
                <w:rFonts w:hint="eastAsia" w:ascii="仿宋" w:hAnsi="仿宋" w:eastAsia="仿宋" w:cs="仿宋"/>
                <w:color w:val="auto"/>
                <w:sz w:val="24"/>
                <w:szCs w:val="24"/>
                <w:highlight w:val="none"/>
                <w:lang w:val="en-US" w:eastAsia="zh-CN"/>
              </w:rPr>
              <w:t xml:space="preserve">有一条不满足的扣3分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存在负偏离、未响应、响应不明确或未提供有效证明材料的，</w:t>
            </w:r>
            <w:r>
              <w:rPr>
                <w:rFonts w:hint="eastAsia" w:ascii="仿宋" w:hAnsi="仿宋" w:eastAsia="仿宋" w:cs="仿宋"/>
                <w:color w:val="auto"/>
                <w:sz w:val="24"/>
                <w:szCs w:val="24"/>
                <w:highlight w:val="none"/>
                <w:lang w:val="en-US" w:eastAsia="zh-CN"/>
              </w:rPr>
              <w:t xml:space="preserve">则</w:t>
            </w:r>
            <w:r>
              <w:rPr>
                <w:rFonts w:hint="eastAsia" w:ascii="仿宋" w:hAnsi="仿宋" w:eastAsia="仿宋" w:cs="仿宋"/>
                <w:color w:val="auto"/>
                <w:sz w:val="24"/>
                <w:szCs w:val="24"/>
                <w:highlight w:val="none"/>
              </w:rPr>
              <w:t xml:space="preserve">不得分。</w:t>
            </w:r>
            <w:r>
              <w:rPr>
                <w:rFonts w:hint="eastAsia" w:ascii="仿宋" w:hAnsi="仿宋" w:eastAsia="仿宋" w:cs="仿宋"/>
                <w:color w:val="auto"/>
                <w:sz w:val="24"/>
                <w:szCs w:val="24"/>
                <w:highlight w:val="none"/>
                <w:lang w:val="en-US" w:eastAsia="zh-CN"/>
              </w:rPr>
              <w:t xml:space="preserve">技术参数中未标注的参数采购人不接受负偏离。</w:t>
            </w:r>
            <w:r/>
          </w:p>
        </w:tc>
      </w:tr>
      <w:tr>
        <w:trPr>
          <w:jc w:val="center"/>
          <w:trHeight w:val="1600"/>
        </w:trPr>
        <w:tc>
          <w:tcPr>
            <w:tcW w:w="776"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shd w:val="clear" w:color="auto" w:fill="auto"/>
            <w:tcW w:w="118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i w:val="0"/>
                <w:iCs w:val="0"/>
                <w:color w:val="auto"/>
                <w:sz w:val="24"/>
                <w:szCs w:val="24"/>
                <w:highlight w:val="none"/>
                <w:u w:val="none"/>
                <w:lang w:val="en-US" w:eastAsia="zh-CN" w:bidi="ar"/>
              </w:rPr>
            </w:pPr>
            <w:r>
              <w:rPr>
                <w:rFonts w:hint="eastAsia" w:ascii="仿宋" w:hAnsi="仿宋" w:eastAsia="仿宋" w:cs="仿宋"/>
                <w:b w:val="0"/>
                <w:bCs w:val="0"/>
                <w:i w:val="0"/>
                <w:iCs w:val="0"/>
                <w:color w:val="auto"/>
                <w:sz w:val="24"/>
                <w:szCs w:val="24"/>
                <w:highlight w:val="none"/>
                <w:u w:val="none"/>
                <w:lang w:val="en-US" w:eastAsia="zh-CN" w:bidi="ar"/>
              </w:rPr>
              <w:t xml:space="preserve">生产改装能力</w:t>
            </w:r>
            <w:r/>
          </w:p>
        </w:tc>
        <w:tc>
          <w:tcPr>
            <w:shd w:val="clear" w:color="auto" w:fill="auto"/>
            <w:tcW w:w="74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5</w:t>
            </w:r>
            <w:r/>
          </w:p>
        </w:tc>
        <w:tc>
          <w:tcPr>
            <w:shd w:val="clear" w:color="auto" w:fill="auto"/>
            <w:tcW w:w="6709" w:type="dxa"/>
            <w:vAlign w:val="top"/>
            <w:textDirection w:val="lrTb"/>
            <w:noWrap w:val="false"/>
          </w:tcPr>
          <w:p>
            <w:pPr>
              <w:keepLines w:val="0"/>
              <w:keepNext w:val="0"/>
              <w:pageBreakBefore w:val="0"/>
              <w:spacing w:before="0" w:after="0" w:line="320" w:lineRule="exact"/>
              <w:widowControl w:val="off"/>
              <w:rPr>
                <w:rFonts w:hint="eastAsia" w:ascii="仿宋" w:hAnsi="仿宋" w:eastAsia="仿宋" w:cs="仿宋"/>
                <w:b w:val="0"/>
                <w:color w:val="auto"/>
                <w:sz w:val="24"/>
                <w:highlight w:val="none"/>
                <w:lang w:val="en-US" w:eastAsia="zh-CN"/>
              </w:rPr>
            </w:pPr>
            <w:r>
              <w:rPr>
                <w:rFonts w:hint="eastAsia" w:ascii="仿宋" w:hAnsi="仿宋" w:eastAsia="仿宋" w:cs="仿宋"/>
                <w:b w:val="0"/>
                <w:color w:val="auto"/>
                <w:sz w:val="24"/>
                <w:highlight w:val="none"/>
                <w:lang w:val="en-US" w:eastAsia="zh-CN"/>
              </w:rPr>
              <w:t xml:space="preserve">根据消防车制造商的生产改装能力实际情况，</w:t>
            </w:r>
            <w:r>
              <w:rPr>
                <w:rFonts w:hint="eastAsia" w:ascii="仿宋" w:hAnsi="仿宋" w:eastAsia="仿宋" w:cs="仿宋"/>
                <w:bCs/>
                <w:color w:val="auto"/>
                <w:sz w:val="24"/>
                <w:szCs w:val="24"/>
                <w:highlight w:val="none"/>
              </w:rPr>
              <w:t xml:space="preserve">包含以下</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项内容</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①</w:t>
            </w:r>
            <w:r>
              <w:rPr>
                <w:rFonts w:hint="eastAsia" w:ascii="仿宋" w:hAnsi="仿宋" w:eastAsia="仿宋" w:cs="仿宋"/>
                <w:b w:val="0"/>
                <w:color w:val="auto"/>
                <w:sz w:val="24"/>
                <w:highlight w:val="none"/>
                <w:lang w:val="en-US" w:eastAsia="zh-CN"/>
              </w:rPr>
              <w:t xml:space="preserve">实施进度计划</w:t>
            </w:r>
            <w:r>
              <w:rPr>
                <w:rFonts w:hint="eastAsia" w:ascii="仿宋" w:hAnsi="仿宋" w:eastAsia="仿宋" w:cs="仿宋"/>
                <w:bCs/>
                <w:color w:val="auto"/>
                <w:sz w:val="24"/>
                <w:szCs w:val="24"/>
                <w:highlight w:val="none"/>
              </w:rPr>
              <w:t xml:space="preserve">；②</w:t>
            </w:r>
            <w:r>
              <w:rPr>
                <w:rFonts w:hint="eastAsia" w:ascii="仿宋" w:hAnsi="仿宋" w:eastAsia="仿宋" w:cs="仿宋"/>
                <w:b w:val="0"/>
                <w:color w:val="auto"/>
                <w:sz w:val="24"/>
                <w:highlight w:val="none"/>
                <w:lang w:val="en-US" w:eastAsia="zh-CN"/>
              </w:rPr>
              <w:t xml:space="preserve">生产改装设备</w:t>
            </w:r>
            <w:r>
              <w:rPr>
                <w:rFonts w:hint="eastAsia" w:ascii="仿宋" w:hAnsi="仿宋" w:eastAsia="仿宋" w:cs="仿宋"/>
                <w:bCs/>
                <w:color w:val="auto"/>
                <w:sz w:val="24"/>
                <w:szCs w:val="24"/>
                <w:highlight w:val="none"/>
              </w:rPr>
              <w:t xml:space="preserve">；③</w:t>
            </w:r>
            <w:r>
              <w:rPr>
                <w:rFonts w:hint="eastAsia" w:ascii="仿宋" w:hAnsi="仿宋" w:eastAsia="仿宋" w:cs="仿宋"/>
                <w:b w:val="0"/>
                <w:color w:val="auto"/>
                <w:sz w:val="24"/>
                <w:highlight w:val="none"/>
                <w:lang w:val="en-US" w:eastAsia="zh-CN"/>
              </w:rPr>
              <w:t xml:space="preserve">技术人员配备</w:t>
            </w:r>
            <w:r>
              <w:rPr>
                <w:rFonts w:hint="eastAsia" w:ascii="仿宋" w:hAnsi="仿宋" w:eastAsia="仿宋" w:cs="仿宋"/>
                <w:bCs/>
                <w:color w:val="auto"/>
                <w:sz w:val="24"/>
                <w:szCs w:val="24"/>
                <w:highlight w:val="none"/>
              </w:rPr>
              <w:t xml:space="preserve">；④</w:t>
            </w:r>
            <w:r>
              <w:rPr>
                <w:rFonts w:hint="eastAsia" w:ascii="仿宋" w:hAnsi="仿宋" w:eastAsia="仿宋" w:cs="仿宋"/>
                <w:b w:val="0"/>
                <w:color w:val="auto"/>
                <w:sz w:val="24"/>
                <w:highlight w:val="none"/>
                <w:lang w:val="en-US" w:eastAsia="zh-CN"/>
              </w:rPr>
              <w:t xml:space="preserve">质量控制等措施；</w:t>
            </w:r>
            <w:r>
              <w:rPr>
                <w:rFonts w:hint="eastAsia" w:ascii="仿宋" w:hAnsi="仿宋" w:eastAsia="仿宋" w:cs="仿宋"/>
                <w:bCs/>
                <w:color w:val="auto"/>
                <w:sz w:val="24"/>
                <w:szCs w:val="24"/>
                <w:highlight w:val="none"/>
              </w:rPr>
              <w:t xml:space="preserve">⑤</w:t>
            </w:r>
            <w:r>
              <w:rPr>
                <w:rFonts w:hint="eastAsia" w:ascii="仿宋" w:hAnsi="仿宋" w:eastAsia="仿宋" w:cs="仿宋"/>
                <w:b w:val="0"/>
                <w:color w:val="auto"/>
                <w:sz w:val="24"/>
                <w:highlight w:val="none"/>
                <w:lang w:val="en-US" w:eastAsia="zh-CN"/>
              </w:rPr>
              <w:t xml:space="preserve">上装关键部件性能检测。</w:t>
            </w:r>
            <w:r/>
          </w:p>
          <w:p>
            <w:pPr>
              <w:keepLines w:val="0"/>
              <w:keepNext w:val="0"/>
              <w:pageBreakBefore w:val="0"/>
              <w:spacing w:before="0" w:after="0" w:line="320" w:lineRule="exact"/>
              <w:widowControl w:val="off"/>
              <w:rPr>
                <w:rFonts w:hint="eastAsia" w:ascii="仿宋" w:hAnsi="仿宋" w:eastAsia="仿宋" w:cs="仿宋"/>
                <w:b w:val="0"/>
                <w:color w:val="auto"/>
                <w:sz w:val="24"/>
                <w:szCs w:val="22"/>
                <w:highlight w:val="none"/>
                <w:lang w:val="en-US" w:eastAsia="zh-CN" w:bidi="ar-SA"/>
              </w:rPr>
            </w:pPr>
            <w:r>
              <w:rPr>
                <w:rFonts w:hint="eastAsia" w:ascii="仿宋" w:hAnsi="仿宋" w:eastAsia="仿宋" w:cs="仿宋"/>
                <w:b w:val="0"/>
                <w:color w:val="auto"/>
                <w:sz w:val="24"/>
                <w:highlight w:val="none"/>
              </w:rPr>
              <w:t xml:space="preserve">上述</w:t>
            </w:r>
            <w:r>
              <w:rPr>
                <w:rFonts w:hint="eastAsia" w:ascii="仿宋" w:hAnsi="仿宋" w:eastAsia="仿宋" w:cs="仿宋"/>
                <w:b w:val="0"/>
                <w:color w:val="auto"/>
                <w:sz w:val="24"/>
                <w:highlight w:val="none"/>
                <w:lang w:val="en-US" w:eastAsia="zh-CN"/>
              </w:rPr>
              <w:t xml:space="preserve">5</w:t>
            </w:r>
            <w:r>
              <w:rPr>
                <w:rFonts w:hint="eastAsia" w:ascii="仿宋" w:hAnsi="仿宋" w:eastAsia="仿宋" w:cs="仿宋"/>
                <w:b w:val="0"/>
                <w:color w:val="auto"/>
                <w:sz w:val="24"/>
                <w:highlight w:val="none"/>
              </w:rPr>
              <w:t xml:space="preserve">个方面每有一项内容完整</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lang w:val="en-US" w:eastAsia="zh-CN"/>
              </w:rPr>
              <w:t xml:space="preserve">方案可行</w:t>
            </w:r>
            <w:r>
              <w:rPr>
                <w:rFonts w:hint="eastAsia" w:ascii="仿宋" w:hAnsi="仿宋" w:eastAsia="仿宋" w:cs="仿宋"/>
                <w:b w:val="0"/>
                <w:color w:val="auto"/>
                <w:sz w:val="24"/>
                <w:highlight w:val="none"/>
              </w:rPr>
              <w:t xml:space="preserve">且</w:t>
            </w:r>
            <w:r>
              <w:rPr>
                <w:rFonts w:hint="eastAsia" w:ascii="仿宋" w:hAnsi="仿宋" w:eastAsia="仿宋" w:cs="仿宋"/>
                <w:b w:val="0"/>
                <w:color w:val="auto"/>
                <w:sz w:val="24"/>
                <w:highlight w:val="none"/>
                <w:lang w:val="en-US" w:eastAsia="zh-CN"/>
              </w:rPr>
              <w:t xml:space="preserve">满足本项目</w:t>
            </w:r>
            <w:r>
              <w:rPr>
                <w:rFonts w:hint="eastAsia" w:ascii="仿宋" w:hAnsi="仿宋" w:eastAsia="仿宋" w:cs="仿宋"/>
                <w:b w:val="0"/>
                <w:color w:val="auto"/>
                <w:sz w:val="24"/>
                <w:highlight w:val="none"/>
              </w:rPr>
              <w:t xml:space="preserve">采购需求的得</w:t>
            </w:r>
            <w:r>
              <w:rPr>
                <w:rFonts w:hint="eastAsia" w:ascii="仿宋" w:hAnsi="仿宋" w:eastAsia="仿宋" w:cs="仿宋"/>
                <w:b w:val="0"/>
                <w:color w:val="auto"/>
                <w:sz w:val="24"/>
                <w:highlight w:val="none"/>
                <w:lang w:val="en-US" w:eastAsia="zh-CN"/>
              </w:rPr>
              <w:t xml:space="preserve">1</w:t>
            </w:r>
            <w:r>
              <w:rPr>
                <w:rFonts w:hint="eastAsia" w:ascii="仿宋" w:hAnsi="仿宋" w:eastAsia="仿宋" w:cs="仿宋"/>
                <w:b w:val="0"/>
                <w:color w:val="auto"/>
                <w:sz w:val="24"/>
                <w:highlight w:val="none"/>
              </w:rPr>
              <w:t xml:space="preserve">分，本项最高得</w:t>
            </w:r>
            <w:r>
              <w:rPr>
                <w:rFonts w:hint="eastAsia" w:ascii="仿宋" w:hAnsi="仿宋" w:eastAsia="仿宋" w:cs="仿宋"/>
                <w:b w:val="0"/>
                <w:color w:val="auto"/>
                <w:sz w:val="24"/>
                <w:highlight w:val="none"/>
                <w:lang w:val="en-US" w:eastAsia="zh-CN"/>
              </w:rPr>
              <w:t xml:space="preserve">5</w:t>
            </w:r>
            <w:r>
              <w:rPr>
                <w:rFonts w:hint="eastAsia" w:ascii="仿宋" w:hAnsi="仿宋" w:eastAsia="仿宋" w:cs="仿宋"/>
                <w:b w:val="0"/>
                <w:color w:val="auto"/>
                <w:sz w:val="24"/>
                <w:highlight w:val="none"/>
              </w:rPr>
              <w:t xml:space="preserve">分。每有一项内容虽已提供但存在内容不完整、</w:t>
            </w:r>
            <w:r>
              <w:rPr>
                <w:rFonts w:hint="eastAsia" w:ascii="仿宋" w:hAnsi="仿宋" w:eastAsia="仿宋" w:cs="仿宋"/>
                <w:b w:val="0"/>
                <w:color w:val="auto"/>
                <w:sz w:val="24"/>
                <w:highlight w:val="none"/>
                <w:lang w:val="en-US" w:eastAsia="zh-CN"/>
              </w:rPr>
              <w:t xml:space="preserve">方案不可行、</w:t>
            </w:r>
            <w:r>
              <w:rPr>
                <w:rFonts w:hint="eastAsia" w:ascii="仿宋" w:hAnsi="仿宋" w:eastAsia="仿宋" w:cs="仿宋"/>
                <w:b w:val="0"/>
                <w:color w:val="auto"/>
                <w:sz w:val="24"/>
                <w:highlight w:val="none"/>
              </w:rPr>
              <w:t xml:space="preserve">表述笼统、与本项目需求不匹配、措施缺乏可操作性或关键内容无法判断，或者仅设置标题、原则性承诺、套用通用模板</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出现其他项目名称、其他设备类型、其他实施地点、其他验收标准等与本项目无关内容，或者不能体现与本项目采购需求对应关系的，视为套用通用模板</w:t>
            </w:r>
            <w:r>
              <w:rPr>
                <w:rFonts w:hint="eastAsia" w:ascii="仿宋" w:hAnsi="仿宋" w:eastAsia="仿宋" w:cs="仿宋"/>
                <w:b w:val="0"/>
                <w:color w:val="auto"/>
                <w:sz w:val="24"/>
                <w:highlight w:val="none"/>
                <w:lang w:eastAsia="zh-CN"/>
              </w:rPr>
              <w:t xml:space="preserve">）</w:t>
            </w:r>
            <w:r>
              <w:rPr>
                <w:rFonts w:hint="eastAsia" w:ascii="仿宋" w:hAnsi="仿宋" w:eastAsia="仿宋" w:cs="仿宋"/>
                <w:b w:val="0"/>
                <w:color w:val="auto"/>
                <w:sz w:val="24"/>
                <w:highlight w:val="none"/>
              </w:rPr>
              <w:t xml:space="preserve">、照抄采购文件、未提供对应内容的，该项不得分。</w:t>
            </w:r>
            <w:r/>
          </w:p>
        </w:tc>
      </w:tr>
    </w:tbl>
    <w:p>
      <w:pPr>
        <w:rPr>
          <w:color w:val="auto"/>
          <w:highlight w:val="none"/>
          <w:lang w:val="en-US" w:eastAsia="zh-CN"/>
        </w:rPr>
      </w:pPr>
      <w:r>
        <w:rPr>
          <w:color w:val="auto"/>
          <w:highlight w:val="none"/>
          <w:lang w:val="en-US" w:eastAsia="zh-CN"/>
        </w:rPr>
      </w:r>
      <w:r/>
    </w:p>
    <w:p>
      <w:pPr>
        <w:pStyle w:val="737"/>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pStyle w:val="737"/>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rPr>
          <w:rFonts w:ascii="仿宋" w:hAnsi="仿宋" w:eastAsia="仿宋" w:cs="仿宋"/>
          <w:b/>
          <w:bCs w:val="0"/>
          <w:color w:val="auto"/>
          <w:sz w:val="44"/>
          <w:szCs w:val="28"/>
          <w:highlight w:val="none"/>
        </w:rPr>
      </w:pPr>
      <w:r/>
      <w:bookmarkStart w:id="6" w:name="__RefHeading___Toc5763"/>
      <w:r/>
      <w:r/>
    </w:p>
    <w:p>
      <w:pPr>
        <w:rPr>
          <w:rFonts w:ascii="仿宋" w:hAnsi="仿宋" w:eastAsia="仿宋" w:cs="仿宋"/>
          <w:b/>
          <w:bCs w:val="0"/>
          <w:color w:val="auto"/>
          <w:sz w:val="44"/>
          <w:szCs w:val="28"/>
          <w:highlight w:val="none"/>
        </w:rPr>
      </w:pPr>
      <w:r>
        <w:rPr>
          <w:rFonts w:ascii="仿宋" w:hAnsi="仿宋" w:eastAsia="仿宋" w:cs="仿宋"/>
          <w:b/>
          <w:bCs w:val="0"/>
          <w:color w:val="auto"/>
          <w:sz w:val="44"/>
          <w:szCs w:val="28"/>
          <w:highlight w:val="none"/>
        </w:rPr>
        <w:br w:type="page" w:clear="all"/>
      </w:r>
      <w:r/>
    </w:p>
    <w:p>
      <w:pPr>
        <w:numPr>
          <w:ilvl w:val="0"/>
          <w:numId w:val="0"/>
        </w:numPr>
        <w:jc w:val="center"/>
        <w:keepNext/>
        <w:rPr>
          <w:rFonts w:ascii="仿宋" w:hAnsi="仿宋" w:eastAsia="仿宋" w:cs="仿宋"/>
          <w:b/>
          <w:bCs w:val="0"/>
          <w:color w:val="auto"/>
          <w:sz w:val="44"/>
          <w:szCs w:val="28"/>
          <w:highlight w:val="none"/>
        </w:rPr>
        <w:outlineLvl w:val="0"/>
      </w:pPr>
      <w:r>
        <w:rPr>
          <w:rFonts w:ascii="仿宋" w:hAnsi="仿宋" w:eastAsia="仿宋" w:cs="仿宋"/>
          <w:b/>
          <w:bCs w:val="0"/>
          <w:color w:val="auto"/>
          <w:sz w:val="44"/>
          <w:szCs w:val="28"/>
          <w:highlight w:val="none"/>
        </w:rPr>
      </w:r>
      <w:r/>
    </w:p>
    <w:p>
      <w:pPr>
        <w:numPr>
          <w:ilvl w:val="0"/>
          <w:numId w:val="0"/>
        </w:numPr>
        <w:jc w:val="center"/>
        <w:keepNext/>
        <w:rPr>
          <w:rFonts w:ascii="仿宋" w:hAnsi="仿宋" w:eastAsia="仿宋" w:cs="仿宋"/>
          <w:b/>
          <w:bCs w:val="0"/>
          <w:color w:val="auto"/>
          <w:sz w:val="44"/>
          <w:szCs w:val="28"/>
          <w:highlight w:val="none"/>
        </w:rPr>
        <w:outlineLvl w:val="0"/>
      </w:pPr>
      <w:r>
        <w:rPr>
          <w:rFonts w:ascii="仿宋" w:hAnsi="仿宋" w:eastAsia="仿宋" w:cs="仿宋"/>
          <w:b/>
          <w:bCs w:val="0"/>
          <w:color w:val="auto"/>
          <w:sz w:val="44"/>
          <w:szCs w:val="28"/>
          <w:highlight w:val="none"/>
        </w:rPr>
        <w:t xml:space="preserve">第六章  投标文件格式</w:t>
      </w:r>
      <w:bookmarkEnd w:id="6"/>
      <w:r>
        <w:rPr>
          <w:rFonts w:ascii="仿宋" w:hAnsi="仿宋" w:eastAsia="仿宋" w:cs="仿宋"/>
          <w:b/>
          <w:bCs w:val="0"/>
          <w:color w:val="auto"/>
          <w:sz w:val="44"/>
          <w:szCs w:val="28"/>
          <w:highlight w:val="none"/>
        </w:rPr>
        <w:t xml:space="preserve"> </w:t>
      </w:r>
      <w:r/>
    </w:p>
    <w:p>
      <w:pPr>
        <w:jc w:val="center"/>
        <w:rPr>
          <w:rFonts w:ascii="仿宋" w:hAnsi="仿宋" w:eastAsia="仿宋" w:cs="仿宋"/>
          <w:b/>
          <w:bCs w:val="0"/>
          <w:color w:val="auto"/>
          <w:sz w:val="72"/>
          <w:szCs w:val="21"/>
          <w:highlight w:val="none"/>
        </w:rPr>
      </w:pPr>
      <w:r>
        <w:rPr>
          <w:rFonts w:ascii="仿宋" w:hAnsi="仿宋" w:eastAsia="仿宋" w:cs="仿宋"/>
          <w:b/>
          <w:bCs w:val="0"/>
          <w:color w:val="auto"/>
          <w:sz w:val="72"/>
          <w:szCs w:val="21"/>
          <w:highlight w:val="none"/>
        </w:rPr>
      </w:r>
      <w:r/>
    </w:p>
    <w:p>
      <w:pPr>
        <w:jc w:val="center"/>
        <w:rPr>
          <w:rFonts w:ascii="仿宋" w:hAnsi="仿宋" w:eastAsia="仿宋" w:cs="仿宋"/>
          <w:b/>
          <w:color w:val="auto"/>
          <w:sz w:val="72"/>
          <w:szCs w:val="21"/>
          <w:highlight w:val="none"/>
        </w:rPr>
      </w:pPr>
      <w:r>
        <w:rPr>
          <w:rFonts w:ascii="仿宋" w:hAnsi="仿宋" w:eastAsia="仿宋" w:cs="仿宋"/>
          <w:b/>
          <w:color w:val="auto"/>
          <w:sz w:val="72"/>
          <w:szCs w:val="21"/>
          <w:highlight w:val="none"/>
        </w:rPr>
        <w:t xml:space="preserve">投  标  文  件</w:t>
      </w:r>
      <w:r/>
    </w:p>
    <w:p>
      <w:pPr>
        <w:jc w:val="center"/>
        <w:rPr>
          <w:rFonts w:ascii="仿宋" w:hAnsi="仿宋" w:eastAsia="仿宋" w:cs="仿宋"/>
          <w:b/>
          <w:color w:val="auto"/>
          <w:sz w:val="72"/>
          <w:szCs w:val="21"/>
          <w:highlight w:val="none"/>
        </w:rPr>
      </w:pPr>
      <w:r>
        <w:rPr>
          <w:rFonts w:ascii="仿宋" w:hAnsi="仿宋" w:eastAsia="仿宋" w:cs="仿宋"/>
          <w:b/>
          <w:color w:val="auto"/>
          <w:sz w:val="72"/>
          <w:szCs w:val="21"/>
          <w:highlight w:val="none"/>
        </w:rPr>
      </w:r>
      <w:r/>
    </w:p>
    <w:p>
      <w:pPr>
        <w:jc w:val="center"/>
        <w:rPr>
          <w:rFonts w:ascii="仿宋" w:hAnsi="仿宋" w:eastAsia="仿宋" w:cs="仿宋"/>
          <w:b/>
          <w:color w:val="auto"/>
          <w:sz w:val="72"/>
          <w:szCs w:val="21"/>
          <w:highlight w:val="none"/>
        </w:rPr>
      </w:pPr>
      <w:r>
        <w:rPr>
          <w:rFonts w:ascii="仿宋" w:hAnsi="仿宋" w:eastAsia="仿宋" w:cs="仿宋"/>
          <w:b/>
          <w:color w:val="auto"/>
          <w:sz w:val="72"/>
          <w:szCs w:val="21"/>
          <w:highlight w:val="none"/>
        </w:rPr>
      </w:r>
      <w:r/>
    </w:p>
    <w:p>
      <w:pPr>
        <w:jc w:val="center"/>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jc w:val="center"/>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jc w:val="center"/>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ind w:right="0" w:firstLine="1084"/>
        <w:rPr>
          <w:rFonts w:ascii="仿宋" w:hAnsi="仿宋" w:eastAsia="仿宋" w:cs="仿宋"/>
          <w:b/>
          <w:color w:val="auto"/>
          <w:sz w:val="36"/>
          <w:szCs w:val="21"/>
          <w:highlight w:val="none"/>
        </w:rPr>
      </w:pPr>
      <w:r>
        <w:rPr>
          <w:rFonts w:ascii="仿宋" w:hAnsi="仿宋" w:eastAsia="仿宋" w:cs="仿宋"/>
          <w:b/>
          <w:color w:val="auto"/>
          <w:sz w:val="36"/>
          <w:szCs w:val="21"/>
          <w:highlight w:val="none"/>
        </w:rPr>
        <w:t xml:space="preserve">项 目 名 称：</w:t>
      </w:r>
      <w:r>
        <w:rPr>
          <w:rFonts w:ascii="仿宋" w:hAnsi="仿宋" w:eastAsia="仿宋" w:cs="仿宋"/>
          <w:b/>
          <w:color w:val="auto"/>
          <w:sz w:val="36"/>
          <w:szCs w:val="21"/>
          <w:highlight w:val="none"/>
          <w:u w:val="single"/>
        </w:rPr>
        <w:t xml:space="preserve">               </w:t>
      </w:r>
      <w:r/>
    </w:p>
    <w:p>
      <w:pPr>
        <w:ind w:right="0" w:firstLine="1084"/>
        <w:rPr>
          <w:rFonts w:ascii="仿宋" w:hAnsi="仿宋" w:eastAsia="仿宋" w:cs="仿宋"/>
          <w:b/>
          <w:color w:val="auto"/>
          <w:sz w:val="36"/>
          <w:szCs w:val="21"/>
          <w:highlight w:val="none"/>
          <w:u w:val="single"/>
        </w:rPr>
      </w:pPr>
      <w:r>
        <w:rPr>
          <w:rFonts w:ascii="仿宋" w:hAnsi="仿宋" w:eastAsia="仿宋" w:cs="仿宋"/>
          <w:b/>
          <w:color w:val="auto"/>
          <w:sz w:val="36"/>
          <w:szCs w:val="21"/>
          <w:highlight w:val="none"/>
        </w:rPr>
        <w:t xml:space="preserve">项 目 编 号：</w:t>
      </w:r>
      <w:r>
        <w:rPr>
          <w:rFonts w:ascii="仿宋" w:hAnsi="仿宋" w:eastAsia="仿宋" w:cs="仿宋"/>
          <w:b/>
          <w:color w:val="auto"/>
          <w:sz w:val="36"/>
          <w:szCs w:val="21"/>
          <w:highlight w:val="none"/>
          <w:u w:val="single"/>
        </w:rPr>
        <w:t xml:space="preserve">               </w:t>
      </w:r>
      <w:r/>
    </w:p>
    <w:p>
      <w:pPr>
        <w:rPr>
          <w:rFonts w:ascii="仿宋" w:hAnsi="仿宋" w:eastAsia="仿宋" w:cs="仿宋"/>
          <w:b/>
          <w:color w:val="auto"/>
          <w:sz w:val="36"/>
          <w:szCs w:val="21"/>
          <w:highlight w:val="none"/>
          <w:u w:val="single"/>
        </w:rPr>
      </w:pPr>
      <w:r>
        <w:rPr>
          <w:rFonts w:ascii="仿宋" w:hAnsi="仿宋" w:eastAsia="仿宋" w:cs="仿宋"/>
          <w:b/>
          <w:color w:val="auto"/>
          <w:sz w:val="36"/>
          <w:szCs w:val="21"/>
          <w:highlight w:val="none"/>
        </w:rPr>
        <w:t xml:space="preserve">      投标人名称 ：</w:t>
      </w:r>
      <w:r>
        <w:rPr>
          <w:rFonts w:ascii="仿宋" w:hAnsi="仿宋" w:eastAsia="仿宋" w:cs="仿宋"/>
          <w:b/>
          <w:color w:val="auto"/>
          <w:sz w:val="36"/>
          <w:szCs w:val="21"/>
          <w:highlight w:val="none"/>
          <w:u w:val="single"/>
        </w:rPr>
        <w:t xml:space="preserve">（加盖CA电子公章）</w:t>
      </w:r>
      <w:r/>
    </w:p>
    <w:p>
      <w:pPr>
        <w:rPr>
          <w:rFonts w:ascii="仿宋" w:hAnsi="仿宋" w:eastAsia="仿宋" w:cs="仿宋"/>
          <w:b/>
          <w:color w:val="auto"/>
          <w:sz w:val="36"/>
          <w:szCs w:val="21"/>
          <w:highlight w:val="none"/>
          <w:u w:val="single"/>
        </w:rPr>
      </w:pPr>
      <w:r>
        <w:rPr>
          <w:rFonts w:ascii="仿宋" w:hAnsi="仿宋" w:eastAsia="仿宋" w:cs="仿宋"/>
          <w:b/>
          <w:color w:val="auto"/>
          <w:sz w:val="36"/>
          <w:szCs w:val="21"/>
          <w:highlight w:val="none"/>
        </w:rPr>
        <w:t xml:space="preserve">      日      期 ：</w:t>
      </w:r>
      <w:r>
        <w:rPr>
          <w:rFonts w:ascii="仿宋" w:hAnsi="仿宋" w:eastAsia="仿宋" w:cs="仿宋"/>
          <w:b/>
          <w:color w:val="auto"/>
          <w:sz w:val="36"/>
          <w:szCs w:val="21"/>
          <w:highlight w:val="none"/>
          <w:u w:val="single"/>
        </w:rPr>
        <w:t xml:space="preserve">               </w:t>
      </w:r>
      <w:r/>
    </w:p>
    <w:p>
      <w:pPr>
        <w:jc w:val="center"/>
        <w:spacing w:line="440" w:lineRule="exact"/>
        <w:rPr>
          <w:rFonts w:ascii="仿宋" w:hAnsi="仿宋" w:eastAsia="仿宋" w:cs="仿宋"/>
          <w:b/>
          <w:bCs/>
          <w:color w:val="auto"/>
          <w:sz w:val="32"/>
          <w:szCs w:val="32"/>
          <w:highlight w:val="none"/>
          <w:u w:val="single"/>
        </w:rPr>
      </w:pPr>
      <w:r>
        <w:rPr>
          <w:rFonts w:ascii="仿宋" w:hAnsi="仿宋" w:eastAsia="仿宋" w:cs="仿宋"/>
          <w:b/>
          <w:bCs/>
          <w:color w:val="auto"/>
          <w:sz w:val="32"/>
          <w:szCs w:val="32"/>
          <w:highlight w:val="none"/>
          <w:u w:val="single"/>
        </w:rPr>
      </w:r>
      <w:r/>
    </w:p>
    <w:p>
      <w:pPr>
        <w:spacing w:line="440" w:lineRule="exact"/>
        <w:rPr>
          <w:rFonts w:ascii="仿宋" w:hAnsi="仿宋" w:eastAsia="仿宋" w:cs="仿宋"/>
          <w:b/>
          <w:bCs/>
          <w:color w:val="auto"/>
          <w:sz w:val="32"/>
          <w:szCs w:val="21"/>
          <w:highlight w:val="none"/>
        </w:rPr>
      </w:pPr>
      <w:r>
        <w:rPr>
          <w:color w:val="auto"/>
          <w:highlight w:val="none"/>
        </w:rPr>
        <w:br w:type="page" w:clear="all"/>
      </w:r>
      <w:r/>
    </w:p>
    <w:p>
      <w:pPr>
        <w:ind w:right="0"/>
        <w:jc w:val="center"/>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投标文件的组成</w:t>
      </w:r>
      <w:r/>
    </w:p>
    <w:p>
      <w:pPr>
        <w:jc w:val="center"/>
        <w:spacing w:line="44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left="480"/>
        <w:keepLines w:val="0"/>
        <w:keepNext w:val="0"/>
        <w:pageBreakBefore w:val="0"/>
        <w:spacing w:line="400" w:lineRule="exact"/>
        <w:widowControl w:val="off"/>
        <w:rPr>
          <w:rFonts w:ascii="仿宋" w:hAnsi="仿宋" w:eastAsia="仿宋" w:cs="仿宋"/>
          <w:b/>
          <w:color w:val="auto"/>
          <w:sz w:val="24"/>
          <w:szCs w:val="21"/>
          <w:highlight w:val="none"/>
          <w:lang w:val="en-US" w:eastAsia="zh-CN"/>
        </w:rPr>
      </w:pPr>
      <w:r>
        <w:rPr>
          <w:rFonts w:ascii="仿宋" w:hAnsi="仿宋" w:eastAsia="仿宋" w:cs="仿宋"/>
          <w:b/>
          <w:color w:val="auto"/>
          <w:sz w:val="24"/>
          <w:szCs w:val="21"/>
          <w:highlight w:val="none"/>
          <w:lang w:val="en-US" w:eastAsia="zh-CN"/>
        </w:rPr>
        <w:t xml:space="preserve">一、基本目录</w:t>
      </w:r>
      <w:r/>
    </w:p>
    <w:p>
      <w:pPr>
        <w:ind w:left="480" w:right="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1.开标一览表（格式见附件1）</w:t>
      </w:r>
      <w:r/>
    </w:p>
    <w:p>
      <w:pPr>
        <w:ind w:left="480" w:right="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w:t>
      </w:r>
      <w:r>
        <w:rPr>
          <w:rFonts w:ascii="仿宋" w:hAnsi="仿宋" w:eastAsia="仿宋" w:cs="仿宋"/>
          <w:color w:val="auto"/>
          <w:sz w:val="24"/>
          <w:szCs w:val="21"/>
          <w:highlight w:val="none"/>
          <w:lang w:eastAsia="zh-CN"/>
        </w:rPr>
        <w:t xml:space="preserve">投标</w:t>
      </w:r>
      <w:r>
        <w:rPr>
          <w:rFonts w:ascii="仿宋" w:hAnsi="仿宋" w:eastAsia="仿宋" w:cs="仿宋"/>
          <w:color w:val="auto"/>
          <w:sz w:val="24"/>
          <w:szCs w:val="21"/>
          <w:highlight w:val="none"/>
        </w:rPr>
        <w:t xml:space="preserve">分项报价表（格式见附件2）</w:t>
      </w:r>
      <w:r/>
    </w:p>
    <w:p>
      <w:pPr>
        <w:ind w:left="480"/>
        <w:keepLines w:val="0"/>
        <w:keepNext w:val="0"/>
        <w:pageBreakBefore w:val="0"/>
        <w:spacing w:line="400" w:lineRule="exact"/>
        <w:widowControl w:val="off"/>
        <w:rPr>
          <w:rFonts w:ascii="仿宋" w:hAnsi="仿宋" w:eastAsia="仿宋" w:cs="仿宋"/>
          <w:b/>
          <w:color w:val="auto"/>
          <w:sz w:val="24"/>
          <w:szCs w:val="21"/>
          <w:highlight w:val="none"/>
          <w:lang w:val="en-US" w:eastAsia="zh-CN"/>
        </w:rPr>
      </w:pPr>
      <w:r>
        <w:rPr>
          <w:rFonts w:ascii="仿宋" w:hAnsi="仿宋" w:eastAsia="仿宋" w:cs="仿宋"/>
          <w:b/>
          <w:color w:val="auto"/>
          <w:sz w:val="24"/>
          <w:szCs w:val="21"/>
          <w:highlight w:val="none"/>
          <w:lang w:val="en-US" w:eastAsia="zh-CN"/>
        </w:rPr>
        <w:t xml:space="preserve">二、资格审查内容</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1.投标人符合《中华人民共和国政府采购法》第二十二条规定条件的声明函</w:t>
      </w:r>
      <w:r>
        <w:rPr>
          <w:rFonts w:ascii="仿宋" w:hAnsi="仿宋" w:eastAsia="仿宋" w:cs="仿宋"/>
          <w:color w:val="auto"/>
          <w:sz w:val="24"/>
          <w:szCs w:val="21"/>
          <w:highlight w:val="none"/>
          <w:lang w:eastAsia="zh-CN"/>
        </w:rPr>
        <w:t xml:space="preserve">（</w:t>
      </w:r>
      <w:r>
        <w:rPr>
          <w:rFonts w:ascii="仿宋" w:hAnsi="仿宋" w:eastAsia="仿宋" w:cs="仿宋"/>
          <w:color w:val="auto"/>
          <w:sz w:val="24"/>
          <w:szCs w:val="21"/>
          <w:highlight w:val="none"/>
          <w:lang w:val="zh-CN"/>
        </w:rPr>
        <w:t xml:space="preserve">格式见附件</w:t>
      </w:r>
      <w:r>
        <w:rPr>
          <w:rFonts w:ascii="仿宋" w:hAnsi="仿宋" w:eastAsia="仿宋" w:cs="仿宋"/>
          <w:color w:val="auto"/>
          <w:sz w:val="24"/>
          <w:szCs w:val="21"/>
          <w:highlight w:val="none"/>
          <w:lang w:val="en-US" w:eastAsia="zh-CN"/>
        </w:rPr>
        <w:t xml:space="preserve">3</w:t>
      </w:r>
      <w:r>
        <w:rPr>
          <w:rFonts w:ascii="仿宋" w:hAnsi="仿宋" w:eastAsia="仿宋" w:cs="仿宋"/>
          <w:color w:val="auto"/>
          <w:sz w:val="24"/>
          <w:szCs w:val="21"/>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2.</w:t>
      </w:r>
      <w:r>
        <w:rPr>
          <w:rFonts w:ascii="仿宋" w:hAnsi="仿宋" w:eastAsia="仿宋" w:cs="仿宋"/>
          <w:color w:val="auto"/>
          <w:sz w:val="24"/>
          <w:szCs w:val="21"/>
          <w:highlight w:val="none"/>
        </w:rPr>
        <w:t xml:space="preserve">法定代表人身份证明（格式见附件</w:t>
      </w:r>
      <w:r>
        <w:rPr>
          <w:rFonts w:ascii="仿宋" w:hAnsi="仿宋" w:eastAsia="仿宋" w:cs="仿宋"/>
          <w:color w:val="auto"/>
          <w:sz w:val="24"/>
          <w:szCs w:val="21"/>
          <w:highlight w:val="none"/>
          <w:lang w:val="en-US" w:eastAsia="zh-CN"/>
        </w:rPr>
        <w:t xml:space="preserve">4</w:t>
      </w:r>
      <w:r>
        <w:rPr>
          <w:rFonts w:ascii="仿宋" w:hAnsi="仿宋" w:eastAsia="仿宋" w:cs="仿宋"/>
          <w:color w:val="auto"/>
          <w:sz w:val="24"/>
          <w:szCs w:val="21"/>
          <w:highlight w:val="none"/>
        </w:rPr>
        <w:t xml:space="preserve">）</w:t>
      </w:r>
      <w:r>
        <w:rPr>
          <w:rFonts w:ascii="仿宋" w:hAnsi="仿宋" w:eastAsia="仿宋" w:cs="仿宋"/>
          <w:color w:val="auto"/>
          <w:sz w:val="24"/>
          <w:szCs w:val="21"/>
          <w:highlight w:val="none"/>
          <w:lang w:eastAsia="zh-CN"/>
        </w:rPr>
        <w:t xml:space="preserve">、</w:t>
      </w:r>
      <w:r>
        <w:rPr>
          <w:rFonts w:ascii="仿宋" w:hAnsi="仿宋" w:eastAsia="仿宋" w:cs="仿宋"/>
          <w:color w:val="auto"/>
          <w:sz w:val="24"/>
          <w:szCs w:val="21"/>
          <w:highlight w:val="none"/>
          <w:lang w:val="zh-CN"/>
        </w:rPr>
        <w:t xml:space="preserve">法定代表人的身份证</w:t>
      </w:r>
      <w:r>
        <w:rPr>
          <w:rFonts w:ascii="仿宋" w:hAnsi="仿宋" w:eastAsia="仿宋" w:cs="仿宋"/>
          <w:color w:val="auto"/>
          <w:sz w:val="24"/>
          <w:szCs w:val="21"/>
          <w:highlight w:val="none"/>
          <w:lang w:val="en-US" w:eastAsia="zh-CN"/>
        </w:rPr>
        <w:t xml:space="preserve">扫描件</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lang w:val="en-US" w:eastAsia="zh-CN"/>
        </w:rPr>
      </w:pPr>
      <w:r>
        <w:rPr>
          <w:rFonts w:ascii="仿宋" w:hAnsi="仿宋" w:eastAsia="仿宋" w:cs="仿宋"/>
          <w:color w:val="auto"/>
          <w:sz w:val="24"/>
          <w:szCs w:val="21"/>
          <w:highlight w:val="none"/>
          <w:lang w:val="en-US" w:eastAsia="zh-CN"/>
        </w:rPr>
        <w:t xml:space="preserve">3.</w:t>
      </w:r>
      <w:r>
        <w:rPr>
          <w:rFonts w:ascii="仿宋" w:hAnsi="仿宋" w:eastAsia="仿宋" w:cs="仿宋"/>
          <w:color w:val="auto"/>
          <w:sz w:val="24"/>
          <w:szCs w:val="21"/>
          <w:highlight w:val="none"/>
        </w:rPr>
        <w:t xml:space="preserve">法人授权书（格式见附件</w:t>
      </w:r>
      <w:r>
        <w:rPr>
          <w:rFonts w:ascii="仿宋" w:hAnsi="仿宋" w:eastAsia="仿宋" w:cs="仿宋"/>
          <w:color w:val="auto"/>
          <w:sz w:val="24"/>
          <w:szCs w:val="21"/>
          <w:highlight w:val="none"/>
          <w:lang w:val="en-US" w:eastAsia="zh-CN"/>
        </w:rPr>
        <w:t xml:space="preserve">5</w:t>
      </w:r>
      <w:r>
        <w:rPr>
          <w:rFonts w:ascii="仿宋" w:hAnsi="仿宋" w:eastAsia="仿宋" w:cs="仿宋"/>
          <w:color w:val="auto"/>
          <w:sz w:val="24"/>
          <w:szCs w:val="21"/>
          <w:highlight w:val="none"/>
        </w:rPr>
        <w:t xml:space="preserve">）</w:t>
      </w:r>
      <w:r>
        <w:rPr>
          <w:rFonts w:ascii="仿宋" w:hAnsi="仿宋" w:eastAsia="仿宋" w:cs="仿宋"/>
          <w:color w:val="auto"/>
          <w:sz w:val="24"/>
          <w:szCs w:val="21"/>
          <w:highlight w:val="none"/>
          <w:lang w:eastAsia="zh-CN"/>
        </w:rPr>
        <w:t xml:space="preserve">、</w:t>
      </w:r>
      <w:r>
        <w:rPr>
          <w:rFonts w:ascii="仿宋" w:hAnsi="仿宋" w:eastAsia="仿宋" w:cs="仿宋"/>
          <w:color w:val="auto"/>
          <w:sz w:val="24"/>
          <w:szCs w:val="21"/>
          <w:highlight w:val="none"/>
          <w:lang w:val="en-US" w:eastAsia="zh-CN"/>
        </w:rPr>
        <w:t xml:space="preserve">被授权</w:t>
      </w:r>
      <w:r>
        <w:rPr>
          <w:rFonts w:ascii="仿宋" w:hAnsi="仿宋" w:eastAsia="仿宋" w:cs="仿宋"/>
          <w:color w:val="auto"/>
          <w:sz w:val="24"/>
          <w:szCs w:val="21"/>
          <w:highlight w:val="none"/>
          <w:lang w:val="zh-CN"/>
        </w:rPr>
        <w:t xml:space="preserve">人身份证</w:t>
      </w:r>
      <w:r>
        <w:rPr>
          <w:rFonts w:ascii="仿宋" w:hAnsi="仿宋" w:eastAsia="仿宋" w:cs="仿宋"/>
          <w:color w:val="auto"/>
          <w:sz w:val="24"/>
          <w:szCs w:val="21"/>
          <w:highlight w:val="none"/>
          <w:lang w:val="en-US" w:eastAsia="zh-CN"/>
        </w:rPr>
        <w:t xml:space="preserve">扫描件</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4</w:t>
      </w:r>
      <w:r>
        <w:rPr>
          <w:rFonts w:ascii="仿宋" w:hAnsi="仿宋" w:eastAsia="仿宋" w:cs="仿宋"/>
          <w:color w:val="auto"/>
          <w:sz w:val="24"/>
          <w:szCs w:val="21"/>
          <w:highlight w:val="none"/>
        </w:rPr>
        <w:t xml:space="preserve">.投标函（格式见附件</w:t>
      </w:r>
      <w:r>
        <w:rPr>
          <w:rFonts w:ascii="仿宋" w:hAnsi="仿宋" w:eastAsia="仿宋" w:cs="仿宋"/>
          <w:color w:val="auto"/>
          <w:sz w:val="24"/>
          <w:szCs w:val="21"/>
          <w:highlight w:val="none"/>
          <w:lang w:val="en-US" w:eastAsia="zh-CN"/>
        </w:rPr>
        <w:t xml:space="preserve">6</w:t>
      </w:r>
      <w:r>
        <w:rPr>
          <w:rFonts w:ascii="仿宋" w:hAnsi="仿宋" w:eastAsia="仿宋" w:cs="仿宋"/>
          <w:color w:val="auto"/>
          <w:sz w:val="24"/>
          <w:szCs w:val="21"/>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lang w:val="zh-CN" w:eastAsia="zh-CN"/>
        </w:rPr>
      </w:pPr>
      <w:r>
        <w:rPr>
          <w:rFonts w:hint="eastAsia" w:ascii="仿宋" w:hAnsi="仿宋" w:eastAsia="仿宋" w:cs="仿宋"/>
          <w:color w:val="auto"/>
          <w:sz w:val="24"/>
          <w:szCs w:val="21"/>
          <w:highlight w:val="none"/>
          <w:lang w:val="en-US" w:eastAsia="zh-CN"/>
        </w:rPr>
        <w:t xml:space="preserve">5</w:t>
      </w:r>
      <w:r>
        <w:rPr>
          <w:rFonts w:ascii="仿宋" w:hAnsi="仿宋" w:eastAsia="仿宋" w:cs="仿宋"/>
          <w:color w:val="auto"/>
          <w:sz w:val="24"/>
          <w:szCs w:val="21"/>
          <w:highlight w:val="none"/>
          <w:lang w:val="zh-CN" w:eastAsia="zh-CN"/>
        </w:rPr>
        <w:t xml:space="preserve">.其它需要提交的资格审查证明材料。</w:t>
      </w:r>
      <w:r/>
    </w:p>
    <w:p>
      <w:pPr>
        <w:ind w:left="480"/>
        <w:keepLines w:val="0"/>
        <w:keepNext w:val="0"/>
        <w:pageBreakBefore w:val="0"/>
        <w:spacing w:line="400" w:lineRule="exact"/>
        <w:widowControl w:val="off"/>
        <w:rPr>
          <w:rFonts w:ascii="仿宋" w:hAnsi="仿宋" w:eastAsia="仿宋" w:cs="仿宋"/>
          <w:b/>
          <w:color w:val="auto"/>
          <w:sz w:val="24"/>
          <w:szCs w:val="21"/>
          <w:highlight w:val="none"/>
          <w:lang w:val="en-US" w:eastAsia="zh-CN"/>
        </w:rPr>
      </w:pPr>
      <w:r>
        <w:rPr>
          <w:rFonts w:ascii="仿宋" w:hAnsi="仿宋" w:eastAsia="仿宋" w:cs="仿宋"/>
          <w:b/>
          <w:color w:val="auto"/>
          <w:sz w:val="24"/>
          <w:szCs w:val="21"/>
          <w:highlight w:val="none"/>
          <w:lang w:val="en-US" w:eastAsia="zh-CN"/>
        </w:rPr>
        <w:t xml:space="preserve">三、符合性审查内容</w:t>
      </w:r>
      <w:r/>
    </w:p>
    <w:p>
      <w:pPr>
        <w:ind w:left="480" w:right="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1</w:t>
      </w:r>
      <w:r>
        <w:rPr>
          <w:rFonts w:ascii="仿宋" w:hAnsi="仿宋" w:eastAsia="仿宋" w:cs="仿宋"/>
          <w:color w:val="auto"/>
          <w:sz w:val="24"/>
          <w:szCs w:val="21"/>
          <w:highlight w:val="none"/>
        </w:rPr>
        <w:t xml:space="preserve">.技术</w:t>
      </w:r>
      <w:r>
        <w:rPr>
          <w:rFonts w:ascii="仿宋" w:hAnsi="仿宋" w:eastAsia="仿宋" w:cs="仿宋"/>
          <w:color w:val="auto"/>
          <w:sz w:val="24"/>
          <w:szCs w:val="21"/>
          <w:highlight w:val="none"/>
          <w:lang w:eastAsia="zh-CN"/>
        </w:rPr>
        <w:t xml:space="preserve">要求响应及</w:t>
      </w:r>
      <w:r>
        <w:rPr>
          <w:rFonts w:ascii="仿宋" w:hAnsi="仿宋" w:eastAsia="仿宋" w:cs="仿宋"/>
          <w:color w:val="auto"/>
          <w:sz w:val="24"/>
          <w:szCs w:val="21"/>
          <w:highlight w:val="none"/>
        </w:rPr>
        <w:t xml:space="preserve">偏离表（格式见附件</w:t>
      </w:r>
      <w:r>
        <w:rPr>
          <w:rFonts w:ascii="仿宋" w:hAnsi="仿宋" w:eastAsia="仿宋" w:cs="仿宋"/>
          <w:color w:val="auto"/>
          <w:sz w:val="24"/>
          <w:szCs w:val="21"/>
          <w:highlight w:val="none"/>
          <w:lang w:val="en-US" w:eastAsia="zh-CN"/>
        </w:rPr>
        <w:t xml:space="preserve">10</w:t>
      </w:r>
      <w:r>
        <w:rPr>
          <w:rFonts w:ascii="仿宋" w:hAnsi="仿宋" w:eastAsia="仿宋" w:cs="仿宋"/>
          <w:color w:val="auto"/>
          <w:sz w:val="24"/>
          <w:szCs w:val="21"/>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2</w:t>
      </w:r>
      <w:r>
        <w:rPr>
          <w:rFonts w:ascii="仿宋" w:hAnsi="仿宋" w:eastAsia="仿宋" w:cs="仿宋"/>
          <w:color w:val="auto"/>
          <w:sz w:val="24"/>
          <w:szCs w:val="21"/>
          <w:highlight w:val="none"/>
        </w:rPr>
        <w:t xml:space="preserve">.商务</w:t>
      </w:r>
      <w:r>
        <w:rPr>
          <w:rFonts w:ascii="仿宋" w:hAnsi="仿宋" w:eastAsia="仿宋" w:cs="仿宋"/>
          <w:color w:val="auto"/>
          <w:sz w:val="24"/>
          <w:szCs w:val="21"/>
          <w:highlight w:val="none"/>
          <w:lang w:eastAsia="zh-CN"/>
        </w:rPr>
        <w:t xml:space="preserve">要求响应及</w:t>
      </w:r>
      <w:r>
        <w:rPr>
          <w:rFonts w:ascii="仿宋" w:hAnsi="仿宋" w:eastAsia="仿宋" w:cs="仿宋"/>
          <w:color w:val="auto"/>
          <w:sz w:val="24"/>
          <w:szCs w:val="21"/>
          <w:highlight w:val="none"/>
        </w:rPr>
        <w:t xml:space="preserve">偏离表（格式见附件</w:t>
      </w:r>
      <w:r>
        <w:rPr>
          <w:rFonts w:ascii="仿宋" w:hAnsi="仿宋" w:eastAsia="仿宋" w:cs="仿宋"/>
          <w:color w:val="auto"/>
          <w:sz w:val="24"/>
          <w:szCs w:val="21"/>
          <w:highlight w:val="none"/>
          <w:lang w:val="en-US" w:eastAsia="zh-CN"/>
        </w:rPr>
        <w:t xml:space="preserve">11</w:t>
      </w:r>
      <w:r>
        <w:rPr>
          <w:rFonts w:ascii="仿宋" w:hAnsi="仿宋" w:eastAsia="仿宋" w:cs="仿宋"/>
          <w:color w:val="auto"/>
          <w:sz w:val="24"/>
          <w:szCs w:val="21"/>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1"/>
          <w:highlight w:val="none"/>
        </w:rPr>
      </w:pPr>
      <w:r>
        <w:rPr>
          <w:rFonts w:ascii="仿宋" w:hAnsi="仿宋" w:eastAsia="仿宋" w:cs="仿宋"/>
          <w:color w:val="auto"/>
          <w:sz w:val="24"/>
          <w:szCs w:val="21"/>
          <w:highlight w:val="none"/>
          <w:lang w:val="en-US" w:eastAsia="zh-CN"/>
        </w:rPr>
        <w:t xml:space="preserve">3.</w:t>
      </w:r>
      <w:r>
        <w:rPr>
          <w:rFonts w:ascii="仿宋" w:hAnsi="仿宋" w:eastAsia="仿宋" w:cs="仿宋"/>
          <w:color w:val="auto"/>
          <w:sz w:val="24"/>
          <w:szCs w:val="21"/>
          <w:highlight w:val="none"/>
        </w:rPr>
        <w:t xml:space="preserve">实质性要求响应及偏离表（格式见附件1</w:t>
      </w:r>
      <w:r>
        <w:rPr>
          <w:rFonts w:ascii="仿宋" w:hAnsi="仿宋" w:eastAsia="仿宋" w:cs="仿宋"/>
          <w:color w:val="auto"/>
          <w:sz w:val="24"/>
          <w:szCs w:val="21"/>
          <w:highlight w:val="none"/>
          <w:lang w:val="en-US" w:eastAsia="zh-CN"/>
        </w:rPr>
        <w:t xml:space="preserve">2</w:t>
      </w:r>
      <w:r>
        <w:rPr>
          <w:rFonts w:ascii="仿宋" w:hAnsi="仿宋" w:eastAsia="仿宋" w:cs="仿宋"/>
          <w:color w:val="auto"/>
          <w:sz w:val="24"/>
          <w:szCs w:val="21"/>
          <w:highlight w:val="none"/>
        </w:rPr>
        <w:t xml:space="preserve">）</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必须对技术要求和商务要求中加斜体下划线的实质性要求做出响应，并按照</w:t>
      </w:r>
      <w:r>
        <w:rPr>
          <w:rFonts w:ascii="仿宋" w:hAnsi="仿宋" w:eastAsia="仿宋" w:cs="仿宋"/>
          <w:color w:val="auto"/>
          <w:sz w:val="24"/>
          <w:szCs w:val="21"/>
          <w:highlight w:val="none"/>
          <w:lang w:eastAsia="zh-CN"/>
        </w:rPr>
        <w:t xml:space="preserve">招标</w:t>
      </w:r>
      <w:r>
        <w:rPr>
          <w:rFonts w:ascii="仿宋" w:hAnsi="仿宋" w:eastAsia="仿宋" w:cs="仿宋"/>
          <w:color w:val="auto"/>
          <w:sz w:val="24"/>
          <w:szCs w:val="21"/>
          <w:highlight w:val="none"/>
        </w:rPr>
        <w:t xml:space="preserve">文件要求提供证明材料，否则做无效响应处理。</w:t>
      </w:r>
      <w:r/>
    </w:p>
    <w:p>
      <w:pPr>
        <w:ind w:left="480"/>
        <w:keepLines w:val="0"/>
        <w:keepNext w:val="0"/>
        <w:pageBreakBefore w:val="0"/>
        <w:spacing w:line="400" w:lineRule="exact"/>
        <w:widowControl w:val="off"/>
        <w:rPr>
          <w:rFonts w:ascii="仿宋" w:hAnsi="仿宋" w:eastAsia="仿宋" w:cs="仿宋"/>
          <w:b/>
          <w:color w:val="auto"/>
          <w:sz w:val="24"/>
          <w:szCs w:val="21"/>
          <w:highlight w:val="none"/>
          <w:lang w:val="en-US" w:eastAsia="zh-CN"/>
        </w:rPr>
      </w:pPr>
      <w:r>
        <w:rPr>
          <w:rFonts w:ascii="仿宋" w:hAnsi="仿宋" w:eastAsia="仿宋" w:cs="仿宋"/>
          <w:b/>
          <w:color w:val="auto"/>
          <w:sz w:val="24"/>
          <w:szCs w:val="21"/>
          <w:highlight w:val="none"/>
          <w:lang w:val="en-US" w:eastAsia="zh-CN"/>
        </w:rPr>
        <w:t xml:space="preserve">四、</w:t>
      </w:r>
      <w:r>
        <w:rPr>
          <w:rFonts w:ascii="仿宋" w:hAnsi="仿宋" w:eastAsia="仿宋" w:cs="仿宋"/>
          <w:b/>
          <w:color w:val="auto"/>
          <w:sz w:val="24"/>
          <w:szCs w:val="21"/>
          <w:highlight w:val="none"/>
          <w:lang w:val="zh-CN" w:eastAsia="zh-CN"/>
        </w:rPr>
        <w:t xml:space="preserve">商务技术</w:t>
      </w:r>
      <w:r>
        <w:rPr>
          <w:rFonts w:ascii="仿宋" w:hAnsi="仿宋" w:eastAsia="仿宋" w:cs="仿宋"/>
          <w:b/>
          <w:color w:val="auto"/>
          <w:sz w:val="24"/>
          <w:szCs w:val="21"/>
          <w:highlight w:val="none"/>
          <w:lang w:eastAsia="zh-CN"/>
        </w:rPr>
        <w:t xml:space="preserve">内容</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lang w:val="zh-CN"/>
        </w:rPr>
        <w:t xml:space="preserve">商务技术评分标准中须提供的相关得分佐证材料</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lang w:val="zh-CN"/>
        </w:rPr>
        <w:t xml:space="preserve">投标人认为需要提交的其他商务技术材料。</w:t>
      </w:r>
      <w:r/>
    </w:p>
    <w:p>
      <w:pPr>
        <w:ind w:left="480"/>
        <w:keepLines w:val="0"/>
        <w:keepNext w:val="0"/>
        <w:pageBreakBefore w:val="0"/>
        <w:spacing w:line="400" w:lineRule="exact"/>
        <w:widowControl w:val="off"/>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五、价格扣除证明文件</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1.中小企业声明函（格式见附件</w:t>
      </w:r>
      <w:r>
        <w:rPr>
          <w:rFonts w:ascii="仿宋" w:hAnsi="仿宋" w:eastAsia="仿宋" w:cs="仿宋"/>
          <w:color w:val="auto"/>
          <w:sz w:val="24"/>
          <w:szCs w:val="24"/>
          <w:highlight w:val="none"/>
          <w:lang w:val="en-US" w:eastAsia="zh-CN"/>
        </w:rPr>
        <w:t xml:space="preserve">7</w:t>
      </w:r>
      <w:r>
        <w:rPr>
          <w:rFonts w:ascii="仿宋" w:hAnsi="仿宋" w:eastAsia="仿宋" w:cs="仿宋"/>
          <w:color w:val="auto"/>
          <w:sz w:val="24"/>
          <w:szCs w:val="24"/>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2.残疾人福利性单位声明函（格式见附件</w:t>
      </w:r>
      <w:r>
        <w:rPr>
          <w:rFonts w:ascii="仿宋" w:hAnsi="仿宋" w:eastAsia="仿宋" w:cs="仿宋"/>
          <w:color w:val="auto"/>
          <w:sz w:val="24"/>
          <w:szCs w:val="24"/>
          <w:highlight w:val="none"/>
          <w:lang w:val="en-US" w:eastAsia="zh-CN"/>
        </w:rPr>
        <w:t xml:space="preserve">8</w:t>
      </w:r>
      <w:r>
        <w:rPr>
          <w:rFonts w:ascii="仿宋" w:hAnsi="仿宋" w:eastAsia="仿宋" w:cs="仿宋"/>
          <w:color w:val="auto"/>
          <w:sz w:val="24"/>
          <w:szCs w:val="24"/>
          <w:highlight w:val="none"/>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lang w:val="en-US" w:eastAsia="zh-CN"/>
        </w:rPr>
        <w:t xml:space="preserve">3.监狱和戒毒企业证明材料</w:t>
      </w:r>
      <w:r>
        <w:rPr>
          <w:rFonts w:ascii="仿宋" w:hAnsi="仿宋" w:eastAsia="仿宋" w:cs="仿宋"/>
          <w:color w:val="auto"/>
          <w:sz w:val="24"/>
          <w:szCs w:val="24"/>
          <w:highlight w:val="none"/>
          <w:lang w:val="zh-CN"/>
        </w:rPr>
        <w:t xml:space="preserve">（格式见附件</w:t>
      </w:r>
      <w:r>
        <w:rPr>
          <w:rFonts w:ascii="仿宋" w:hAnsi="仿宋" w:eastAsia="仿宋" w:cs="仿宋"/>
          <w:color w:val="auto"/>
          <w:sz w:val="24"/>
          <w:szCs w:val="24"/>
          <w:highlight w:val="none"/>
          <w:lang w:val="en-US" w:eastAsia="zh-CN"/>
        </w:rPr>
        <w:t xml:space="preserve">9</w:t>
      </w:r>
      <w:r>
        <w:rPr>
          <w:rFonts w:ascii="仿宋" w:hAnsi="仿宋" w:eastAsia="仿宋" w:cs="仿宋"/>
          <w:color w:val="auto"/>
          <w:sz w:val="24"/>
          <w:szCs w:val="24"/>
          <w:highlight w:val="none"/>
          <w:lang w:val="zh-CN"/>
        </w:rPr>
        <w:t xml:space="preserve">）</w:t>
      </w:r>
      <w:r/>
    </w:p>
    <w:p>
      <w:pPr>
        <w:ind w:right="0" w:firstLine="480"/>
        <w:keepLines w:val="0"/>
        <w:keepNext w:val="0"/>
        <w:pageBreakBefore w:val="0"/>
        <w:spacing w:line="4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4.关于符合本国产品标准的声明函（格式见附件14）</w:t>
      </w:r>
      <w:r/>
    </w:p>
    <w:p>
      <w:pPr>
        <w:ind w:left="480" w:right="0"/>
        <w:rPr>
          <w:rFonts w:ascii="仿宋" w:hAnsi="仿宋" w:eastAsia="仿宋" w:cs="仿宋"/>
          <w:b/>
          <w:color w:val="auto"/>
          <w:sz w:val="24"/>
          <w:szCs w:val="21"/>
          <w:highlight w:val="none"/>
        </w:rPr>
      </w:pPr>
      <w:r>
        <w:rPr>
          <w:color w:val="auto"/>
          <w:highlight w:val="none"/>
        </w:rPr>
        <w:br w:type="page" w:clear="all"/>
      </w:r>
      <w:r/>
    </w:p>
    <w:p>
      <w:pPr>
        <w:jc w:val="both"/>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附件1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开标一览表</w:t>
      </w:r>
      <w:r/>
    </w:p>
    <w:p>
      <w:pPr>
        <w:ind w:right="0" w:firstLine="482"/>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投标人全称（加盖CA电子签章）：</w:t>
      </w:r>
      <w:r/>
    </w:p>
    <w:p>
      <w:pPr>
        <w:ind w:right="0" w:firstLine="482"/>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项目名称：</w:t>
      </w:r>
      <w:r/>
    </w:p>
    <w:p>
      <w:pPr>
        <w:ind w:right="0" w:firstLine="482"/>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项目编号：                                   </w:t>
      </w:r>
      <w:r/>
    </w:p>
    <w:tbl>
      <w:tblPr>
        <w:tblStyle w:val="724"/>
        <w:tblW w:w="8886" w:type="dxa"/>
        <w:tblInd w:w="108" w:type="dxa"/>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Borders>
              <w:top w:val="single" w:color="000000" w:sz="4" w:space="0"/>
              <w:left w:val="single" w:color="000000" w:sz="4" w:space="0"/>
              <w:bottom w:val="single" w:color="000000" w:sz="4" w:space="0"/>
              <w:right w:val="single" w:color="000000" w:sz="4" w:space="0"/>
            </w:tcBorders>
            <w:tcW w:w="8886" w:type="dxa"/>
            <w:vAlign w:val="center"/>
            <w:textDirection w:val="lrTb"/>
            <w:noWrap w:val="false"/>
          </w:tcPr>
          <w:p>
            <w:pP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投标总报价</w:t>
            </w:r>
            <w:r/>
          </w:p>
        </w:tc>
      </w:tr>
      <w:tr>
        <w:trPr>
          <w:cantSplit/>
          <w:trHeight w:val="612"/>
        </w:trPr>
        <w:tc>
          <w:tcPr>
            <w:gridSpan w:val="2"/>
            <w:tcBorders>
              <w:top w:val="single" w:color="000000" w:sz="4" w:space="0"/>
              <w:left w:val="single" w:color="000000" w:sz="4" w:space="0"/>
              <w:bottom w:val="single" w:color="000000" w:sz="4" w:space="0"/>
              <w:right w:val="single" w:color="000000" w:sz="4" w:space="0"/>
            </w:tcBorders>
            <w:tcW w:w="8886" w:type="dxa"/>
            <w:vAlign w:val="center"/>
            <w:textDirection w:val="lrTb"/>
            <w:noWrap w:val="false"/>
          </w:tcPr>
          <w:p>
            <w:pPr>
              <w:jc w:val="left"/>
              <w:spacing w:line="500" w:lineRule="exact"/>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t xml:space="preserve">大写：</w:t>
            </w:r>
            <w:r/>
          </w:p>
          <w:p>
            <w:pPr>
              <w:jc w:val="left"/>
              <w:spacing w:line="500" w:lineRule="exact"/>
              <w:rPr>
                <w:rFonts w:ascii="仿宋" w:hAnsi="仿宋" w:eastAsia="仿宋" w:cs="仿宋"/>
                <w:color w:val="auto"/>
                <w:sz w:val="24"/>
                <w:szCs w:val="21"/>
                <w:highlight w:val="none"/>
              </w:rPr>
            </w:pPr>
            <w:r>
              <w:rPr>
                <w:rFonts w:ascii="仿宋" w:hAnsi="仿宋" w:eastAsia="仿宋" w:cs="仿宋"/>
                <w:color w:val="auto"/>
                <w:sz w:val="24"/>
                <w:szCs w:val="24"/>
                <w:highlight w:val="none"/>
              </w:rPr>
              <w:t xml:space="preserve">小写：                             （人民币：元）</w:t>
            </w:r>
            <w:r/>
          </w:p>
        </w:tc>
      </w:tr>
      <w:tr>
        <w:trPr>
          <w:cantSplit/>
          <w:trHeight w:val="612"/>
        </w:trPr>
        <w:tc>
          <w:tcPr>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spacing w:line="30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核心产品品牌</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right="0"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                                            </w:t>
      </w:r>
      <w:r/>
    </w:p>
    <w:p>
      <w:pPr>
        <w:rPr>
          <w:rFonts w:ascii="仿宋" w:hAnsi="仿宋" w:eastAsia="仿宋" w:cs="仿宋"/>
          <w:color w:val="auto"/>
          <w:sz w:val="24"/>
          <w:szCs w:val="24"/>
          <w:highlight w:val="none"/>
        </w:rPr>
      </w:pPr>
      <w:r>
        <w:rPr>
          <w:color w:val="auto"/>
          <w:highlight w:val="none"/>
        </w:rPr>
        <w:br w:type="page" w:clear="all"/>
      </w:r>
      <w:r/>
    </w:p>
    <w:p>
      <w:pPr>
        <w:jc w:val="both"/>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附件2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投标分项报价表</w:t>
      </w:r>
      <w:r/>
    </w:p>
    <w:tbl>
      <w:tblPr>
        <w:tblStyle w:val="724"/>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序号</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w:t>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w:t>
            </w:r>
            <w:r/>
          </w:p>
        </w:tc>
        <w:tc>
          <w:tcPr>
            <w:tcW w:w="110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w:t>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6</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7</w:t>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8</w:t>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产品</w:t>
            </w:r>
            <w:r/>
          </w:p>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名称</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品牌</w:t>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规格</w:t>
            </w:r>
            <w:r/>
          </w:p>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型号</w:t>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制造商名称</w:t>
            </w:r>
            <w:r/>
          </w:p>
        </w:tc>
        <w:tc>
          <w:tcPr>
            <w:tcW w:w="110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产地</w:t>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数量</w:t>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分项</w:t>
            </w:r>
            <w:r/>
          </w:p>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单价</w:t>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分项</w:t>
            </w:r>
            <w:r/>
          </w:p>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rPr>
              <w:t xml:space="preserve">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580"/>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249"/>
        </w:trPr>
        <w:tc>
          <w:tcPr>
            <w:tcW w:w="500" w:type="dxa"/>
            <w:vAlign w:val="top"/>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gridSpan w:val="8"/>
            <w:tcW w:w="7797" w:type="dxa"/>
            <w:vAlign w:val="center"/>
            <w:textDirection w:val="lrTb"/>
            <w:noWrap w:val="false"/>
          </w:tcPr>
          <w:p>
            <w:pPr>
              <w:jc w:val="center"/>
              <w:spacing w:line="0" w:lineRule="atLeas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投标总报价（人民币：元）</w:t>
            </w:r>
            <w:r/>
          </w:p>
        </w:tc>
        <w:tc>
          <w:tcPr>
            <w:tcW w:w="966" w:type="dxa"/>
            <w:vAlign w:val="top"/>
            <w:textDirection w:val="lrTb"/>
            <w:noWrap w:val="false"/>
          </w:tcPr>
          <w:p>
            <w:pP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cantSplit/>
          <w:trHeight w:val="249"/>
        </w:trPr>
        <w:tc>
          <w:tcPr>
            <w:gridSpan w:val="10"/>
            <w:tcW w:w="9263" w:type="dxa"/>
            <w:vAlign w:val="top"/>
            <w:textDirection w:val="lrTb"/>
            <w:noWrap w:val="false"/>
          </w:tcPr>
          <w:p>
            <w:pP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tc>
      </w:tr>
    </w:tbl>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0" w:right="0" w:firstLine="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备注：</w:t>
      </w:r>
      <w:r/>
    </w:p>
    <w:p>
      <w:pPr>
        <w:ind w:right="0" w:firstLine="218"/>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right="0" w:firstLine="218"/>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2.“投标分项报价表”中“投标总报价”数额应当与“开标一览表”中“投标总报价”数额一致。</w:t>
      </w:r>
      <w:r/>
    </w:p>
    <w:p>
      <w:pPr>
        <w:ind w:right="0" w:firstLine="218"/>
        <w:spacing w:line="400" w:lineRule="exact"/>
        <w:rPr>
          <w:rFonts w:hint="default"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3</w:t>
      </w:r>
      <w:r>
        <w:rPr>
          <w:rFonts w:hint="eastAsia" w:ascii="仿宋" w:hAnsi="仿宋" w:eastAsia="仿宋" w:cs="仿宋"/>
          <w:color w:val="auto"/>
          <w:sz w:val="24"/>
          <w:szCs w:val="21"/>
          <w:highlight w:val="none"/>
        </w:rPr>
        <w:t xml:space="preserve">.投标人需认真填写本报价表，尤其注意规格型号的准确填写</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否则视为无效投标。</w:t>
      </w:r>
      <w:r/>
    </w:p>
    <w:p>
      <w:pPr>
        <w:ind w:right="0" w:firstLine="218"/>
        <w:spacing w:line="400" w:lineRule="exact"/>
        <w:rPr>
          <w:rFonts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仿宋" w:hAnsi="仿宋" w:eastAsia="仿宋" w:cs="仿宋"/>
          <w:color w:val="auto"/>
          <w:sz w:val="24"/>
          <w:szCs w:val="21"/>
          <w:highlight w:val="none"/>
        </w:rPr>
        <w:t xml:space="preserve">。</w:t>
      </w:r>
      <w:r/>
    </w:p>
    <w:p>
      <w:pPr>
        <w:spacing w:line="0" w:lineRule="atLeast"/>
        <w:rPr>
          <w:rFonts w:ascii="仿宋" w:hAnsi="仿宋" w:eastAsia="仿宋" w:cs="仿宋"/>
          <w:caps w:val="0"/>
          <w:smallCaps w:val="0"/>
          <w:color w:val="auto"/>
          <w:sz w:val="24"/>
          <w:szCs w:val="24"/>
          <w:highlight w:val="none"/>
          <w:lang w:val="en-US" w:eastAsia="zh-CN" w:bidi="ar-SA"/>
        </w:rPr>
      </w:pPr>
      <w:r>
        <w:rPr>
          <w:rFonts w:ascii="仿宋" w:hAnsi="仿宋" w:eastAsia="仿宋" w:cs="仿宋"/>
          <w:caps w:val="0"/>
          <w:smallCaps w:val="0"/>
          <w:color w:val="auto"/>
          <w:sz w:val="24"/>
          <w:szCs w:val="24"/>
          <w:highlight w:val="none"/>
          <w:lang w:val="en-US" w:eastAsia="zh-CN" w:bidi="ar-SA"/>
        </w:rPr>
      </w:r>
      <w:r/>
    </w:p>
    <w:p>
      <w:pP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480" w:right="0"/>
        <w:rPr>
          <w:rFonts w:ascii="仿宋" w:hAnsi="仿宋" w:eastAsia="仿宋" w:cs="仿宋"/>
          <w:b/>
          <w:color w:val="auto"/>
          <w:sz w:val="24"/>
          <w:szCs w:val="21"/>
          <w:highlight w:val="none"/>
        </w:rPr>
      </w:pPr>
      <w:r>
        <w:rPr>
          <w:rFonts w:ascii="仿宋" w:hAnsi="仿宋" w:eastAsia="仿宋" w:cs="仿宋"/>
          <w:b/>
          <w:color w:val="auto"/>
          <w:sz w:val="24"/>
          <w:szCs w:val="21"/>
          <w:highlight w:val="none"/>
        </w:rPr>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rPr>
          <w:rFonts w:ascii="仿宋" w:hAnsi="仿宋" w:eastAsia="仿宋" w:cs="仿宋"/>
          <w:b/>
          <w:color w:val="auto"/>
          <w:sz w:val="24"/>
          <w:szCs w:val="24"/>
          <w:highlight w:val="none"/>
        </w:rPr>
      </w:pPr>
      <w:r>
        <w:rPr>
          <w:color w:val="auto"/>
          <w:highlight w:val="none"/>
        </w:rPr>
        <w:br w:type="page" w:clear="all"/>
      </w:r>
      <w:r/>
    </w:p>
    <w:p>
      <w:pPr>
        <w:jc w:val="left"/>
        <w:rPr>
          <w:rFonts w:ascii="仿宋" w:hAnsi="仿宋" w:eastAsia="仿宋" w:cs="仿宋"/>
          <w:b/>
          <w:color w:val="auto"/>
          <w:sz w:val="24"/>
          <w:szCs w:val="24"/>
          <w:highlight w:val="none"/>
          <w:lang w:val="en-US" w:eastAsia="zh-CN"/>
        </w:rPr>
      </w:pPr>
      <w:r>
        <w:rPr>
          <w:rFonts w:ascii="仿宋" w:hAnsi="仿宋" w:eastAsia="仿宋" w:cs="仿宋"/>
          <w:b/>
          <w:color w:val="auto"/>
          <w:sz w:val="24"/>
          <w:szCs w:val="24"/>
          <w:highlight w:val="none"/>
          <w:lang w:eastAsia="zh-CN"/>
        </w:rPr>
        <w:t xml:space="preserve">附件</w:t>
      </w:r>
      <w:r>
        <w:rPr>
          <w:rFonts w:ascii="仿宋" w:hAnsi="仿宋" w:eastAsia="仿宋" w:cs="仿宋"/>
          <w:b/>
          <w:color w:val="auto"/>
          <w:sz w:val="24"/>
          <w:szCs w:val="24"/>
          <w:highlight w:val="none"/>
          <w:lang w:val="en-US" w:eastAsia="zh-CN"/>
        </w:rPr>
        <w:t xml:space="preserve">3</w:t>
      </w:r>
      <w:r/>
    </w:p>
    <w:p>
      <w:pPr>
        <w:jc w:val="center"/>
        <w:rPr>
          <w:rFonts w:ascii="仿宋" w:hAnsi="仿宋" w:eastAsia="仿宋" w:cs="仿宋"/>
          <w:b/>
          <w:color w:val="auto"/>
          <w:sz w:val="30"/>
          <w:szCs w:val="30"/>
          <w:highlight w:val="none"/>
        </w:rPr>
      </w:pPr>
      <w:r>
        <w:rPr>
          <w:rFonts w:ascii="仿宋" w:hAnsi="仿宋" w:eastAsia="仿宋" w:cs="仿宋"/>
          <w:b/>
          <w:color w:val="auto"/>
          <w:sz w:val="30"/>
          <w:szCs w:val="30"/>
          <w:highlight w:val="none"/>
        </w:rPr>
        <w:t xml:space="preserve">投标人符合《中华人民共和国政府采购法》第二十二条规定条件的声明函</w:t>
      </w:r>
      <w:r/>
    </w:p>
    <w:p>
      <w:pPr>
        <w:spacing w:line="460" w:lineRule="exact"/>
        <w:rPr>
          <w:rFonts w:ascii="仿宋" w:hAnsi="仿宋" w:eastAsia="仿宋" w:cs="仿宋"/>
          <w:b/>
          <w:bCs/>
          <w:color w:val="auto"/>
          <w:sz w:val="44"/>
          <w:szCs w:val="44"/>
          <w:highlight w:val="none"/>
        </w:rPr>
      </w:pPr>
      <w:r>
        <w:rPr>
          <w:rFonts w:ascii="仿宋" w:hAnsi="仿宋" w:eastAsia="仿宋" w:cs="仿宋"/>
          <w:b/>
          <w:bCs/>
          <w:color w:val="auto"/>
          <w:sz w:val="24"/>
          <w:szCs w:val="21"/>
          <w:highlight w:val="none"/>
        </w:rPr>
        <w:t xml:space="preserve">                       </w:t>
      </w:r>
      <w:r>
        <w:rPr>
          <w:rFonts w:ascii="仿宋" w:hAnsi="仿宋" w:eastAsia="仿宋" w:cs="仿宋"/>
          <w:b/>
          <w:bCs/>
          <w:color w:val="auto"/>
          <w:sz w:val="44"/>
          <w:szCs w:val="44"/>
          <w:highlight w:val="none"/>
        </w:rPr>
        <w:t xml:space="preserve">   </w:t>
      </w:r>
      <w:r/>
    </w:p>
    <w:p>
      <w:pPr>
        <w:ind w:right="0" w:firstLine="480"/>
        <w:spacing w:line="520" w:lineRule="exact"/>
        <w:rPr>
          <w:rFonts w:ascii="仿宋" w:hAnsi="仿宋" w:eastAsia="仿宋" w:cs="仿宋"/>
          <w:b/>
          <w:bCs/>
          <w:color w:val="auto"/>
          <w:sz w:val="24"/>
          <w:highlight w:val="none"/>
        </w:rPr>
      </w:pPr>
      <w:r>
        <w:rPr>
          <w:rFonts w:ascii="仿宋" w:hAnsi="仿宋" w:eastAsia="仿宋" w:cs="仿宋"/>
          <w:bCs/>
          <w:color w:val="auto"/>
          <w:sz w:val="24"/>
          <w:highlight w:val="none"/>
        </w:rPr>
        <w:t xml:space="preserve">我单位参加</w:t>
      </w:r>
      <w:r>
        <w:rPr>
          <w:rFonts w:ascii="仿宋" w:hAnsi="仿宋" w:eastAsia="仿宋" w:cs="仿宋"/>
          <w:bCs/>
          <w:color w:val="auto"/>
          <w:sz w:val="24"/>
          <w:szCs w:val="21"/>
          <w:highlight w:val="none"/>
          <w:u w:val="none"/>
        </w:rPr>
        <w:t xml:space="preserve">________________（</w:t>
      </w:r>
      <w:r>
        <w:rPr>
          <w:rFonts w:ascii="仿宋" w:hAnsi="仿宋" w:eastAsia="仿宋" w:cs="仿宋"/>
          <w:bCs/>
          <w:color w:val="auto"/>
          <w:sz w:val="24"/>
          <w:szCs w:val="21"/>
          <w:highlight w:val="none"/>
        </w:rPr>
        <w:t xml:space="preserve">项目名称），</w:t>
      </w:r>
      <w:r>
        <w:rPr>
          <w:rFonts w:ascii="仿宋" w:hAnsi="仿宋" w:eastAsia="仿宋" w:cs="仿宋"/>
          <w:bCs/>
          <w:color w:val="auto"/>
          <w:sz w:val="24"/>
          <w:szCs w:val="21"/>
          <w:highlight w:val="none"/>
          <w:u w:val="none"/>
        </w:rPr>
        <w:t xml:space="preserve">_________</w:t>
      </w:r>
      <w:r>
        <w:rPr>
          <w:rFonts w:ascii="仿宋" w:hAnsi="仿宋" w:eastAsia="仿宋" w:cs="仿宋"/>
          <w:bCs/>
          <w:color w:val="auto"/>
          <w:sz w:val="24"/>
          <w:szCs w:val="21"/>
          <w:highlight w:val="none"/>
        </w:rPr>
        <w:t xml:space="preserve">（项目编号）投标活动。针对《中华人民共和国政府采购法》第二十二条规定做出如下声明：</w:t>
      </w:r>
      <w:r/>
    </w:p>
    <w:p>
      <w:pPr>
        <w:ind w:right="0" w:firstLine="482"/>
        <w:spacing w:line="520" w:lineRule="exact"/>
        <w:rPr>
          <w:rFonts w:ascii="仿宋" w:hAnsi="仿宋" w:eastAsia="仿宋" w:cs="仿宋"/>
          <w:color w:val="auto"/>
          <w:sz w:val="24"/>
          <w:highlight w:val="none"/>
        </w:rPr>
      </w:pPr>
      <w:r>
        <w:rPr>
          <w:rFonts w:ascii="仿宋" w:hAnsi="仿宋" w:eastAsia="仿宋" w:cs="仿宋"/>
          <w:bCs/>
          <w:color w:val="auto"/>
          <w:sz w:val="24"/>
          <w:szCs w:val="21"/>
          <w:highlight w:val="none"/>
        </w:rPr>
        <w:t xml:space="preserve">1.我单位具有独立承担民事责任的能力；</w:t>
      </w:r>
      <w:r/>
    </w:p>
    <w:p>
      <w:pPr>
        <w:ind w:right="0"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2.我单位具有良好的商业信誉和健全的财务会计制度；</w:t>
      </w:r>
      <w:r/>
    </w:p>
    <w:p>
      <w:pPr>
        <w:ind w:right="0"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3.我单位具有履行合同所必需的设备和专业技术能力；</w:t>
      </w:r>
      <w:r/>
    </w:p>
    <w:p>
      <w:pPr>
        <w:ind w:right="0"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4.我单位有依法缴纳税收和社会保障资金的良好记录；</w:t>
      </w:r>
      <w:r/>
    </w:p>
    <w:p>
      <w:pPr>
        <w:ind w:right="0"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right="0" w:firstLine="482"/>
        <w:spacing w:line="520" w:lineRule="exact"/>
        <w:rPr>
          <w:rFonts w:ascii="仿宋" w:hAnsi="仿宋" w:eastAsia="仿宋" w:cs="仿宋"/>
          <w:color w:val="auto"/>
          <w:sz w:val="24"/>
          <w:highlight w:val="none"/>
        </w:rPr>
      </w:pPr>
      <w:r>
        <w:rPr>
          <w:rFonts w:ascii="仿宋" w:hAnsi="仿宋" w:eastAsia="仿宋" w:cs="仿宋"/>
          <w:color w:val="auto"/>
          <w:sz w:val="24"/>
          <w:highlight w:val="none"/>
        </w:rPr>
        <w:t xml:space="preserve">6.我单位满足法律、行政法规规定的其他条件。</w:t>
      </w:r>
      <w:r/>
    </w:p>
    <w:p>
      <w:pPr>
        <w:ind w:right="0" w:firstLine="482"/>
        <w:spacing w:line="50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50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spacing w:line="50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jc w:val="center"/>
        <w:spacing w:line="4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                                             承诺人名称（</w:t>
      </w:r>
      <w:r>
        <w:rPr>
          <w:rFonts w:ascii="仿宋" w:hAnsi="仿宋" w:eastAsia="仿宋" w:cs="仿宋"/>
          <w:bCs/>
          <w:color w:val="auto"/>
          <w:sz w:val="24"/>
          <w:szCs w:val="21"/>
          <w:highlight w:val="none"/>
          <w:lang w:eastAsia="zh-CN"/>
        </w:rPr>
        <w:t xml:space="preserve">加盖</w:t>
      </w:r>
      <w:r>
        <w:rPr>
          <w:rFonts w:ascii="仿宋" w:hAnsi="仿宋" w:eastAsia="仿宋" w:cs="仿宋"/>
          <w:bCs/>
          <w:color w:val="auto"/>
          <w:sz w:val="24"/>
          <w:szCs w:val="21"/>
          <w:highlight w:val="none"/>
          <w:lang w:val="en-US" w:eastAsia="zh-CN"/>
        </w:rPr>
        <w:t xml:space="preserve">CA电子</w:t>
      </w:r>
      <w:r>
        <w:rPr>
          <w:rFonts w:ascii="仿宋" w:hAnsi="仿宋" w:eastAsia="仿宋" w:cs="仿宋"/>
          <w:bCs/>
          <w:color w:val="auto"/>
          <w:sz w:val="24"/>
          <w:szCs w:val="21"/>
          <w:highlight w:val="none"/>
        </w:rPr>
        <w:t xml:space="preserve">公章）：</w:t>
      </w:r>
      <w:r/>
    </w:p>
    <w:p>
      <w:pPr>
        <w:jc w:val="right"/>
        <w:spacing w:line="4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    </w:t>
      </w:r>
      <w:r/>
    </w:p>
    <w:p>
      <w:pPr>
        <w:jc w:val="right"/>
        <w:spacing w:line="4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t xml:space="preserve">                                 日期：</w:t>
      </w:r>
      <w:r>
        <w:rPr>
          <w:rFonts w:ascii="仿宋" w:hAnsi="仿宋" w:eastAsia="仿宋" w:cs="仿宋"/>
          <w:bCs/>
          <w:color w:val="auto"/>
          <w:sz w:val="24"/>
          <w:szCs w:val="21"/>
          <w:highlight w:val="none"/>
          <w:u w:val="single"/>
          <w:lang w:val="en-US" w:eastAsia="zh-CN"/>
        </w:rPr>
        <w:t xml:space="preserve">      </w:t>
      </w:r>
      <w:r>
        <w:rPr>
          <w:rFonts w:ascii="仿宋" w:hAnsi="仿宋" w:eastAsia="仿宋" w:cs="仿宋"/>
          <w:bCs/>
          <w:color w:val="auto"/>
          <w:sz w:val="24"/>
          <w:szCs w:val="21"/>
          <w:highlight w:val="none"/>
        </w:rPr>
        <w:t xml:space="preserve">年</w:t>
      </w:r>
      <w:r>
        <w:rPr>
          <w:rFonts w:ascii="仿宋" w:hAnsi="仿宋" w:eastAsia="仿宋" w:cs="仿宋"/>
          <w:bCs/>
          <w:color w:val="auto"/>
          <w:sz w:val="24"/>
          <w:szCs w:val="21"/>
          <w:highlight w:val="none"/>
          <w:u w:val="single"/>
        </w:rPr>
        <w:t xml:space="preserve">    </w:t>
      </w:r>
      <w:r>
        <w:rPr>
          <w:rFonts w:ascii="仿宋" w:hAnsi="仿宋" w:eastAsia="仿宋" w:cs="仿宋"/>
          <w:bCs/>
          <w:color w:val="auto"/>
          <w:sz w:val="24"/>
          <w:szCs w:val="21"/>
          <w:highlight w:val="none"/>
        </w:rPr>
        <w:t xml:space="preserve">月</w:t>
      </w:r>
      <w:r>
        <w:rPr>
          <w:rFonts w:ascii="仿宋" w:hAnsi="仿宋" w:eastAsia="仿宋" w:cs="仿宋"/>
          <w:bCs/>
          <w:color w:val="auto"/>
          <w:sz w:val="24"/>
          <w:szCs w:val="21"/>
          <w:highlight w:val="none"/>
          <w:u w:val="single"/>
        </w:rPr>
        <w:t xml:space="preserve">    </w:t>
      </w:r>
      <w:r>
        <w:rPr>
          <w:rFonts w:ascii="仿宋" w:hAnsi="仿宋" w:eastAsia="仿宋" w:cs="仿宋"/>
          <w:bCs/>
          <w:color w:val="auto"/>
          <w:sz w:val="24"/>
          <w:szCs w:val="21"/>
          <w:highlight w:val="none"/>
        </w:rPr>
        <w:t xml:space="preserve">日</w:t>
      </w:r>
      <w:r>
        <w:rPr>
          <w:color w:val="auto"/>
          <w:highlight w:val="none"/>
        </w:rPr>
        <w:br w:type="page" w:clear="all"/>
      </w:r>
      <w:r/>
    </w:p>
    <w:p>
      <w:pPr>
        <w:jc w:val="both"/>
        <w:spacing w:line="560" w:lineRule="exact"/>
        <w:rPr>
          <w:rFonts w:ascii="仿宋" w:hAnsi="仿宋" w:eastAsia="仿宋" w:cs="仿宋"/>
          <w:b/>
          <w:color w:val="auto"/>
          <w:sz w:val="24"/>
          <w:szCs w:val="24"/>
          <w:highlight w:val="none"/>
          <w:lang w:val="en-US" w:eastAsia="zh-CN"/>
        </w:rPr>
      </w:pPr>
      <w:r>
        <w:rPr>
          <w:rFonts w:ascii="仿宋" w:hAnsi="仿宋" w:eastAsia="仿宋" w:cs="仿宋"/>
          <w:b/>
          <w:color w:val="auto"/>
          <w:sz w:val="24"/>
          <w:szCs w:val="24"/>
          <w:highlight w:val="none"/>
          <w:lang w:val="en-US" w:eastAsia="zh-CN"/>
        </w:rPr>
        <w:t xml:space="preserve">附件4            </w:t>
      </w:r>
      <w:r/>
    </w:p>
    <w:p>
      <w:pPr>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法定代表人身份证明</w:t>
      </w:r>
      <w:r/>
    </w:p>
    <w:p>
      <w:pPr>
        <w:spacing w:line="48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right="0" w:firstLine="480"/>
        <w:spacing w:line="48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先生/女士： 现任我单位</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职务，为法定代表人，特此证明。</w:t>
      </w:r>
      <w:r/>
    </w:p>
    <w:p>
      <w:pPr>
        <w:ind w:right="0" w:firstLine="480"/>
        <w:spacing w:line="48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身份证号码：</w:t>
      </w:r>
      <w:r>
        <w:rPr>
          <w:rFonts w:ascii="仿宋" w:hAnsi="仿宋" w:eastAsia="仿宋" w:cs="仿宋"/>
          <w:color w:val="auto"/>
          <w:sz w:val="24"/>
          <w:szCs w:val="24"/>
          <w:highlight w:val="none"/>
          <w:u w:val="single"/>
        </w:rPr>
        <w:t xml:space="preserve">                                               </w:t>
      </w:r>
      <w:r/>
    </w:p>
    <w:p>
      <w:pPr>
        <w:ind w:right="0" w:firstLine="480"/>
        <w:spacing w:line="48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ind w:right="0" w:firstLine="480"/>
        <w:spacing w:line="46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注：提供法定代表人的身份证</w:t>
      </w:r>
      <w:r>
        <w:rPr>
          <w:rFonts w:ascii="仿宋" w:hAnsi="仿宋" w:eastAsia="仿宋" w:cs="仿宋"/>
          <w:b/>
          <w:color w:val="auto"/>
          <w:sz w:val="24"/>
          <w:szCs w:val="24"/>
          <w:highlight w:val="none"/>
          <w:lang w:val="en-US" w:eastAsia="zh-CN"/>
        </w:rPr>
        <w:t xml:space="preserve">扫描件</w:t>
      </w:r>
      <w:r>
        <w:rPr>
          <w:rFonts w:ascii="仿宋" w:hAnsi="仿宋" w:eastAsia="仿宋" w:cs="仿宋"/>
          <w:bCs/>
          <w:color w:val="auto"/>
          <w:sz w:val="24"/>
          <w:szCs w:val="21"/>
          <w:highlight w:val="none"/>
        </w:rPr>
        <w:t xml:space="preserve">（加盖CA电子公章）</w:t>
      </w:r>
      <w:r>
        <w:rPr>
          <w:color w:val="auto"/>
          <w:highlight w:val="none"/>
        </w:rPr>
        <w:br w:type="page" w:clear="all"/>
      </w:r>
      <w:r/>
    </w:p>
    <w:p>
      <w:pPr>
        <w:ind w:right="0"/>
        <w:spacing w:line="460" w:lineRule="exact"/>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附件</w:t>
      </w:r>
      <w:r>
        <w:rPr>
          <w:rFonts w:ascii="仿宋" w:hAnsi="仿宋" w:eastAsia="仿宋" w:cs="仿宋"/>
          <w:b/>
          <w:color w:val="auto"/>
          <w:sz w:val="24"/>
          <w:szCs w:val="21"/>
          <w:highlight w:val="none"/>
          <w:lang w:val="en-US" w:eastAsia="zh-CN"/>
        </w:rPr>
        <w:t xml:space="preserve">5</w:t>
      </w:r>
      <w:r>
        <w:rPr>
          <w:rFonts w:ascii="仿宋" w:hAnsi="仿宋" w:eastAsia="仿宋" w:cs="仿宋"/>
          <w:b/>
          <w:color w:val="auto"/>
          <w:sz w:val="24"/>
          <w:szCs w:val="21"/>
          <w:highlight w:val="none"/>
        </w:rPr>
        <w:t xml:space="preserve">            </w:t>
      </w:r>
      <w:r/>
    </w:p>
    <w:p>
      <w:pPr>
        <w:ind w:right="0"/>
        <w:jc w:val="center"/>
        <w:spacing w:line="460" w:lineRule="exact"/>
        <w:rPr>
          <w:rFonts w:ascii="仿宋" w:hAnsi="仿宋" w:eastAsia="仿宋" w:cs="仿宋"/>
          <w:bCs/>
          <w:color w:val="auto"/>
          <w:sz w:val="24"/>
          <w:szCs w:val="21"/>
          <w:highlight w:val="none"/>
        </w:rPr>
      </w:pPr>
      <w:r>
        <w:rPr>
          <w:rFonts w:ascii="仿宋" w:hAnsi="仿宋" w:eastAsia="仿宋" w:cs="仿宋"/>
          <w:b/>
          <w:color w:val="auto"/>
          <w:sz w:val="24"/>
          <w:szCs w:val="21"/>
          <w:highlight w:val="none"/>
        </w:rPr>
        <w:t xml:space="preserve">法人授权书</w:t>
      </w:r>
      <w:r/>
    </w:p>
    <w:p>
      <w:pPr>
        <w:ind w:right="0" w:firstLine="480"/>
        <w:spacing w:line="240" w:lineRule="auto"/>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本授权书声明：</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（投标人名称）授权</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（被授权人的姓名）为我方就</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号项目采购活动的合法代理人，以本单位名义全权处理一切与该项目采购有关的事务。</w:t>
      </w:r>
      <w:r/>
    </w:p>
    <w:p>
      <w:pPr>
        <w:ind w:right="0" w:firstLine="480"/>
        <w:spacing w:line="240" w:lineRule="auto"/>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本授权书于______年____月____日起生效，特此声明。</w:t>
      </w:r>
      <w:r/>
    </w:p>
    <w:p>
      <w:pPr>
        <w:spacing w:line="240" w:lineRule="auto"/>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    被授权人身份证号码：</w:t>
      </w:r>
      <w:r>
        <w:rPr>
          <w:rFonts w:ascii="仿宋" w:hAnsi="仿宋" w:eastAsia="仿宋" w:cs="仿宋"/>
          <w:color w:val="auto"/>
          <w:sz w:val="24"/>
          <w:szCs w:val="24"/>
          <w:highlight w:val="none"/>
          <w:u w:val="single"/>
        </w:rPr>
        <w:t xml:space="preserve">                              </w:t>
      </w:r>
      <w:r/>
    </w:p>
    <w:p>
      <w:pPr>
        <w:spacing w:line="240" w:lineRule="auto"/>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    被授权人联系电话：（手机）</w:t>
      </w:r>
      <w:r>
        <w:rPr>
          <w:rFonts w:ascii="仿宋" w:hAnsi="仿宋" w:eastAsia="仿宋" w:cs="仿宋"/>
          <w:color w:val="auto"/>
          <w:sz w:val="24"/>
          <w:szCs w:val="24"/>
          <w:highlight w:val="none"/>
          <w:u w:val="single"/>
        </w:rPr>
        <w:t xml:space="preserve">                          </w:t>
      </w:r>
      <w:r/>
    </w:p>
    <w:p>
      <w:pPr>
        <w:ind w:right="0" w:firstLine="480"/>
        <w:spacing w:line="240" w:lineRule="auto"/>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授权单位名称：</w:t>
      </w:r>
      <w:r>
        <w:rPr>
          <w:rFonts w:ascii="仿宋" w:hAnsi="仿宋" w:eastAsia="仿宋" w:cs="仿宋"/>
          <w:color w:val="auto"/>
          <w:sz w:val="24"/>
          <w:szCs w:val="24"/>
          <w:highlight w:val="none"/>
          <w:u w:val="single"/>
        </w:rPr>
        <w:t xml:space="preserve">（加盖CA电子公章）</w:t>
      </w:r>
      <w:r/>
    </w:p>
    <w:p>
      <w:pPr>
        <w:ind w:right="0" w:firstLine="480"/>
        <w:spacing w:line="240" w:lineRule="auto"/>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单位地址：</w:t>
      </w:r>
      <w:r>
        <w:rPr>
          <w:rFonts w:ascii="仿宋" w:hAnsi="仿宋" w:eastAsia="仿宋" w:cs="仿宋"/>
          <w:color w:val="auto"/>
          <w:sz w:val="24"/>
          <w:szCs w:val="24"/>
          <w:highlight w:val="none"/>
          <w:u w:val="single"/>
        </w:rPr>
        <w:t xml:space="preserve">                                         </w:t>
      </w:r>
      <w:r/>
    </w:p>
    <w:p>
      <w:pPr>
        <w:ind w:right="0" w:firstLine="480"/>
        <w:spacing w:line="240" w:lineRule="auto"/>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日期：</w:t>
      </w:r>
      <w:bookmarkStart w:id="7" w:name="_格式3__银行出具的资信证明"/>
      <w:r/>
      <w:bookmarkEnd w:id="7"/>
      <w:r>
        <w:rPr>
          <w:rFonts w:ascii="仿宋" w:hAnsi="仿宋" w:eastAsia="仿宋" w:cs="仿宋"/>
          <w:color w:val="auto"/>
          <w:sz w:val="24"/>
          <w:szCs w:val="24"/>
          <w:highlight w:val="none"/>
          <w:u w:val="single"/>
        </w:rPr>
        <w:t xml:space="preserve">                                         </w:t>
      </w:r>
      <w:r/>
    </w:p>
    <w:p>
      <w:pPr>
        <w:keepLines/>
        <w:keepNext/>
        <w:spacing w:before="260" w:after="260" w:line="415" w:lineRule="auto"/>
        <w:rPr>
          <w:rFonts w:ascii="仿宋" w:hAnsi="仿宋" w:eastAsia="仿宋" w:cs="仿宋"/>
          <w:b/>
          <w:color w:val="auto"/>
          <w:sz w:val="24"/>
          <w:szCs w:val="44"/>
          <w:highlight w:val="none"/>
        </w:rPr>
      </w:pPr>
      <w:r>
        <w:rPr>
          <w:rFonts w:ascii="仿宋" w:hAnsi="仿宋" w:eastAsia="仿宋" w:cs="仿宋"/>
          <w:b/>
          <w:color w:val="auto"/>
          <w:sz w:val="24"/>
          <w:szCs w:val="44"/>
          <w:highlight w:val="none"/>
        </w:rPr>
      </w:r>
      <w:r/>
    </w:p>
    <w:p>
      <w:pPr>
        <w:keepLines/>
        <w:keepNext/>
        <w:spacing w:before="260" w:after="260" w:line="415" w:lineRule="auto"/>
        <w:rPr>
          <w:rFonts w:ascii="仿宋" w:hAnsi="仿宋" w:eastAsia="仿宋" w:cs="仿宋"/>
          <w:b w:val="0"/>
          <w:bCs/>
          <w:color w:val="auto"/>
          <w:sz w:val="24"/>
          <w:szCs w:val="44"/>
          <w:highlight w:val="none"/>
        </w:rPr>
      </w:pPr>
      <w:r>
        <w:rPr>
          <w:rFonts w:ascii="仿宋" w:hAnsi="仿宋" w:eastAsia="仿宋" w:cs="仿宋"/>
          <w:b w:val="0"/>
          <w:bCs/>
          <w:color w:val="auto"/>
          <w:sz w:val="24"/>
          <w:szCs w:val="44"/>
          <w:highlight w:val="none"/>
        </w:rPr>
        <w:t xml:space="preserve">注：提供被授权人身份证</w:t>
      </w:r>
      <w:r>
        <w:rPr>
          <w:rFonts w:ascii="仿宋" w:hAnsi="仿宋" w:eastAsia="仿宋" w:cs="仿宋"/>
          <w:b w:val="0"/>
          <w:bCs/>
          <w:color w:val="auto"/>
          <w:sz w:val="24"/>
          <w:szCs w:val="44"/>
          <w:highlight w:val="none"/>
          <w:lang w:eastAsia="zh-CN"/>
        </w:rPr>
        <w:t xml:space="preserve">扫描</w:t>
      </w:r>
      <w:r>
        <w:rPr>
          <w:rFonts w:ascii="仿宋" w:hAnsi="仿宋" w:eastAsia="仿宋" w:cs="仿宋"/>
          <w:b w:val="0"/>
          <w:bCs/>
          <w:color w:val="auto"/>
          <w:sz w:val="24"/>
          <w:szCs w:val="44"/>
          <w:highlight w:val="none"/>
        </w:rPr>
        <w:t xml:space="preserve">件（加盖CA电子公章）</w:t>
      </w:r>
      <w:r>
        <w:rPr>
          <w:color w:val="auto"/>
          <w:highlight w:val="none"/>
        </w:rPr>
        <w:br w:type="page" w:clear="all"/>
      </w:r>
      <w:r/>
    </w:p>
    <w:p>
      <w:pPr>
        <w:keepLines/>
        <w:keepNext/>
        <w:spacing w:before="260" w:after="260" w:line="415" w:lineRule="auto"/>
        <w:rPr>
          <w:rFonts w:ascii="仿宋" w:hAnsi="仿宋" w:eastAsia="仿宋" w:cs="仿宋"/>
          <w:b/>
          <w:i/>
          <w:color w:val="auto"/>
          <w:sz w:val="32"/>
          <w:szCs w:val="32"/>
          <w:highlight w:val="none"/>
          <w:u w:val="single"/>
        </w:rPr>
      </w:pPr>
      <w:r>
        <w:rPr>
          <w:rFonts w:ascii="仿宋" w:hAnsi="仿宋" w:eastAsia="仿宋" w:cs="仿宋"/>
          <w:b/>
          <w:color w:val="auto"/>
          <w:sz w:val="24"/>
          <w:szCs w:val="21"/>
          <w:highlight w:val="none"/>
        </w:rPr>
        <w:t xml:space="preserve">附件</w:t>
      </w:r>
      <w:r>
        <w:rPr>
          <w:rFonts w:ascii="仿宋" w:hAnsi="仿宋" w:eastAsia="仿宋" w:cs="仿宋"/>
          <w:b/>
          <w:color w:val="auto"/>
          <w:sz w:val="24"/>
          <w:szCs w:val="21"/>
          <w:highlight w:val="none"/>
          <w:lang w:val="en-US" w:eastAsia="zh-CN"/>
        </w:rPr>
        <w:t xml:space="preserve">6</w:t>
      </w:r>
      <w:r>
        <w:rPr>
          <w:rFonts w:ascii="仿宋" w:hAnsi="仿宋" w:eastAsia="仿宋" w:cs="仿宋"/>
          <w:b/>
          <w:color w:val="auto"/>
          <w:sz w:val="24"/>
          <w:szCs w:val="21"/>
          <w:highlight w:val="none"/>
        </w:rPr>
        <w:t xml:space="preserve">                             投标函</w:t>
      </w:r>
      <w:r/>
    </w:p>
    <w:p>
      <w:pPr>
        <w:jc w:val="left"/>
        <w:spacing w:line="420" w:lineRule="exact"/>
        <w:rPr>
          <w:rFonts w:ascii="仿宋" w:hAnsi="仿宋" w:eastAsia="仿宋" w:cs="仿宋"/>
          <w:color w:val="auto"/>
          <w:sz w:val="24"/>
          <w:szCs w:val="21"/>
          <w:highlight w:val="none"/>
          <w:lang w:val="en-US" w:eastAsia="zh-CN"/>
        </w:rPr>
      </w:pPr>
      <w:r>
        <w:rPr>
          <w:rFonts w:ascii="仿宋" w:hAnsi="仿宋" w:eastAsia="仿宋" w:cs="仿宋"/>
          <w:color w:val="auto"/>
          <w:sz w:val="24"/>
          <w:szCs w:val="21"/>
          <w:highlight w:val="none"/>
        </w:rPr>
        <w:t xml:space="preserve">致：</w:t>
      </w:r>
      <w:r>
        <w:rPr>
          <w:rFonts w:ascii="仿宋" w:hAnsi="仿宋" w:eastAsia="仿宋" w:cs="仿宋"/>
          <w:color w:val="auto"/>
          <w:sz w:val="24"/>
          <w:szCs w:val="21"/>
          <w:highlight w:val="none"/>
          <w:lang w:val="en-US" w:eastAsia="zh-CN"/>
        </w:rPr>
        <w:t xml:space="preserve">如东县应急管理局</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根据贵方的</w:t>
      </w:r>
      <w:r>
        <w:rPr>
          <w:rFonts w:ascii="仿宋" w:hAnsi="仿宋" w:eastAsia="仿宋" w:cs="仿宋"/>
          <w:color w:val="auto"/>
          <w:sz w:val="24"/>
          <w:szCs w:val="21"/>
          <w:highlight w:val="none"/>
          <w:u w:val="single"/>
          <w:lang w:val="en-US" w:eastAsia="zh-CN"/>
        </w:rPr>
        <w:t xml:space="preserve">         </w:t>
      </w:r>
      <w:r>
        <w:rPr>
          <w:rFonts w:ascii="仿宋" w:hAnsi="仿宋" w:eastAsia="仿宋" w:cs="仿宋"/>
          <w:color w:val="auto"/>
          <w:sz w:val="24"/>
          <w:szCs w:val="21"/>
          <w:highlight w:val="none"/>
        </w:rPr>
        <w:t xml:space="preserve">号招标文件，正式授权下述</w:t>
      </w:r>
      <w:r>
        <w:rPr>
          <w:rFonts w:ascii="仿宋" w:hAnsi="仿宋" w:eastAsia="仿宋" w:cs="仿宋"/>
          <w:color w:val="auto"/>
          <w:sz w:val="24"/>
          <w:szCs w:val="21"/>
          <w:highlight w:val="none"/>
          <w:lang w:eastAsia="zh-CN"/>
        </w:rPr>
        <w:t xml:space="preserve">被授权</w:t>
      </w:r>
      <w:r>
        <w:rPr>
          <w:rFonts w:ascii="仿宋" w:hAnsi="仿宋" w:eastAsia="仿宋" w:cs="仿宋"/>
          <w:color w:val="auto"/>
          <w:sz w:val="24"/>
          <w:szCs w:val="21"/>
          <w:highlight w:val="none"/>
        </w:rPr>
        <w:t xml:space="preserve">人_____(姓名)代表我方_______（投标人的名称），全权处理本次项目投标的有关事宜。</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据此函，</w:t>
      </w:r>
      <w:r>
        <w:rPr>
          <w:rFonts w:ascii="仿宋" w:hAnsi="仿宋" w:eastAsia="仿宋" w:cs="仿宋"/>
          <w:color w:val="auto"/>
          <w:sz w:val="24"/>
          <w:szCs w:val="21"/>
          <w:highlight w:val="none"/>
          <w:lang w:eastAsia="zh-CN"/>
        </w:rPr>
        <w:t xml:space="preserve">被授权</w:t>
      </w:r>
      <w:r>
        <w:rPr>
          <w:rFonts w:ascii="仿宋" w:hAnsi="仿宋" w:eastAsia="仿宋" w:cs="仿宋"/>
          <w:color w:val="auto"/>
          <w:sz w:val="24"/>
          <w:szCs w:val="21"/>
          <w:highlight w:val="none"/>
        </w:rPr>
        <w:t xml:space="preserve">人_____(姓名)兹宣布同意如下：</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1.按招标文件规定的各项要求，向买方提供所需货物（包含与货物相关的服务）。</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2.我们完全理解贵方不一定将合同授予最低报价的投标人。</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3.我们已详细审核全部招标文件及其有效补充文件，我们知道必须放弃提出含糊不清或误解问题的权利。</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4.我们同意从规定的开标日期起遵循本投标文件，并在规定的投标有效期期满之前均具有约束力。</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5.同意向贵方提供贵方可能另外要求的与投标有关的任何证据或资料，并保证我方已提供和将要提供的文件是真实的、准确的。</w:t>
      </w:r>
      <w:r/>
    </w:p>
    <w:p>
      <w:pPr>
        <w:ind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6.一旦我方中标,我方将根据招标文件的规定，严格履行合同的责任和义务,并保证在招标文件规定的时间完成项目，交付买方验收、使用。</w:t>
      </w:r>
      <w:r/>
    </w:p>
    <w:p>
      <w:pPr>
        <w:ind w:left="425" w:right="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7.与本投标有关的正式通讯地址为：</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地          址：</w:t>
      </w:r>
      <w:r>
        <w:rPr>
          <w:rFonts w:ascii="仿宋" w:hAnsi="仿宋" w:eastAsia="仿宋" w:cs="仿宋"/>
          <w:color w:val="auto"/>
          <w:sz w:val="24"/>
          <w:szCs w:val="21"/>
          <w:highlight w:val="none"/>
          <w:u w:val="single"/>
          <w:lang w:val="en-US" w:eastAsia="zh-CN"/>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邮          编：</w:t>
      </w:r>
      <w:r>
        <w:rPr>
          <w:rFonts w:ascii="仿宋" w:hAnsi="仿宋" w:eastAsia="仿宋" w:cs="仿宋"/>
          <w:color w:val="auto"/>
          <w:sz w:val="24"/>
          <w:szCs w:val="21"/>
          <w:highlight w:val="none"/>
          <w:u w:val="single"/>
          <w:lang w:val="en-US" w:eastAsia="zh-CN"/>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电          话：</w:t>
      </w:r>
      <w:r>
        <w:rPr>
          <w:rFonts w:ascii="仿宋" w:hAnsi="仿宋" w:eastAsia="仿宋" w:cs="仿宋"/>
          <w:color w:val="auto"/>
          <w:sz w:val="24"/>
          <w:szCs w:val="21"/>
          <w:highlight w:val="none"/>
          <w:u w:val="single"/>
          <w:lang w:val="en-US" w:eastAsia="zh-CN"/>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传          真：</w:t>
      </w:r>
      <w:r>
        <w:rPr>
          <w:rFonts w:ascii="仿宋" w:hAnsi="仿宋" w:eastAsia="仿宋" w:cs="仿宋"/>
          <w:color w:val="auto"/>
          <w:sz w:val="24"/>
          <w:szCs w:val="21"/>
          <w:highlight w:val="none"/>
          <w:u w:val="single"/>
          <w:lang w:val="en-US" w:eastAsia="zh-CN"/>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投标人开户行：</w:t>
      </w:r>
      <w:r>
        <w:rPr>
          <w:rFonts w:ascii="仿宋" w:hAnsi="仿宋" w:eastAsia="仿宋" w:cs="仿宋"/>
          <w:color w:val="auto"/>
          <w:sz w:val="24"/>
          <w:szCs w:val="21"/>
          <w:highlight w:val="none"/>
          <w:u w:val="single"/>
          <w:lang w:val="en-US" w:eastAsia="zh-CN"/>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账          号：</w:t>
      </w:r>
      <w:r>
        <w:rPr>
          <w:rFonts w:ascii="仿宋" w:hAnsi="仿宋" w:eastAsia="仿宋" w:cs="仿宋"/>
          <w:color w:val="auto"/>
          <w:sz w:val="24"/>
          <w:szCs w:val="21"/>
          <w:highlight w:val="none"/>
          <w:u w:val="single"/>
          <w:lang w:val="en-US" w:eastAsia="zh-CN"/>
        </w:rPr>
        <w:t xml:space="preserve">                         </w:t>
      </w:r>
      <w:r>
        <w:rPr>
          <w:rFonts w:ascii="仿宋" w:hAnsi="仿宋" w:eastAsia="仿宋" w:cs="仿宋"/>
          <w:color w:val="auto"/>
          <w:sz w:val="24"/>
          <w:szCs w:val="21"/>
          <w:highlight w:val="none"/>
        </w:rPr>
        <w:t xml:space="preserve"> </w:t>
      </w:r>
      <w:r/>
    </w:p>
    <w:p>
      <w:pPr>
        <w:ind w:left="420" w:right="0" w:firstLine="480"/>
        <w:jc w:val="left"/>
        <w:spacing w:line="42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日           期：_____年____月____日</w:t>
      </w:r>
      <w:r/>
    </w:p>
    <w:p>
      <w:pPr>
        <w:ind w:right="0"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right="0"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right="0"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right="0"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right="0" w:firstLine="240"/>
        <w:jc w:val="center"/>
        <w:spacing w:line="560" w:lineRule="exact"/>
        <w:rPr>
          <w:rFonts w:ascii="仿宋" w:hAnsi="仿宋" w:eastAsia="仿宋" w:cs="仿宋"/>
          <w:bCs/>
          <w:color w:val="auto"/>
          <w:sz w:val="24"/>
          <w:szCs w:val="21"/>
          <w:highlight w:val="none"/>
        </w:rPr>
      </w:pPr>
      <w:r>
        <w:rPr>
          <w:rFonts w:ascii="仿宋" w:hAnsi="仿宋" w:eastAsia="仿宋" w:cs="仿宋"/>
          <w:bCs/>
          <w:color w:val="auto"/>
          <w:sz w:val="24"/>
          <w:szCs w:val="21"/>
          <w:highlight w:val="none"/>
        </w:rPr>
      </w:r>
      <w:r/>
    </w:p>
    <w:p>
      <w:pPr>
        <w:ind w:right="0" w:firstLine="241"/>
        <w:jc w:val="center"/>
        <w:spacing w:line="560" w:lineRule="exact"/>
        <w:rPr>
          <w:rFonts w:ascii="仿宋" w:hAnsi="仿宋" w:eastAsia="仿宋" w:cs="仿宋"/>
          <w:b/>
          <w:bCs/>
          <w:color w:val="auto"/>
          <w:sz w:val="24"/>
          <w:szCs w:val="21"/>
          <w:highlight w:val="none"/>
        </w:rPr>
      </w:pPr>
      <w:r>
        <w:rPr>
          <w:color w:val="auto"/>
          <w:highlight w:val="none"/>
        </w:rPr>
        <w:br w:type="page" w:clear="all"/>
      </w:r>
      <w:r/>
    </w:p>
    <w:p>
      <w:pPr>
        <w:ind w:right="0" w:firstLine="241"/>
        <w:jc w:val="both"/>
        <w:spacing w:line="560" w:lineRule="exact"/>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附件</w:t>
      </w:r>
      <w:r>
        <w:rPr>
          <w:rFonts w:ascii="仿宋" w:hAnsi="仿宋" w:eastAsia="仿宋" w:cs="仿宋"/>
          <w:b/>
          <w:color w:val="auto"/>
          <w:sz w:val="24"/>
          <w:szCs w:val="21"/>
          <w:highlight w:val="none"/>
          <w:lang w:val="en-US" w:eastAsia="zh-CN"/>
        </w:rPr>
        <w:t xml:space="preserve">7</w:t>
      </w:r>
      <w:r>
        <w:rPr>
          <w:rFonts w:ascii="仿宋" w:hAnsi="仿宋" w:eastAsia="仿宋" w:cs="仿宋"/>
          <w:b/>
          <w:color w:val="auto"/>
          <w:sz w:val="24"/>
          <w:szCs w:val="21"/>
          <w:highlight w:val="none"/>
        </w:rPr>
        <w:t xml:space="preserve">  </w:t>
      </w:r>
      <w:r/>
    </w:p>
    <w:p>
      <w:pPr>
        <w:jc w:val="center"/>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中小企业声明函（货物）</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本公司（联合体）郑重声明，根据《政府采购促进中小企业发展管理办法》（财库〔202</w:t>
      </w:r>
      <w:r>
        <w:rPr>
          <w:rFonts w:ascii="仿宋" w:hAnsi="仿宋" w:eastAsia="仿宋" w:cs="仿宋"/>
          <w:color w:val="auto"/>
          <w:sz w:val="24"/>
          <w:szCs w:val="24"/>
          <w:highlight w:val="none"/>
          <w:lang w:val="en-US" w:eastAsia="zh-CN"/>
        </w:rPr>
        <w:t xml:space="preserve">0</w:t>
      </w:r>
      <w:r>
        <w:rPr>
          <w:rFonts w:ascii="仿宋" w:hAnsi="仿宋" w:eastAsia="仿宋" w:cs="仿宋"/>
          <w:color w:val="auto"/>
          <w:sz w:val="24"/>
          <w:szCs w:val="24"/>
          <w:highlight w:val="none"/>
        </w:rPr>
        <w:t xml:space="preserve">〕46 号）的规定，本公司</w:t>
      </w:r>
      <w:r>
        <w:rPr>
          <w:rFonts w:ascii="仿宋" w:hAnsi="仿宋" w:eastAsia="仿宋" w:cs="仿宋"/>
          <w:color w:val="auto"/>
          <w:sz w:val="24"/>
          <w:szCs w:val="24"/>
          <w:highlight w:val="none"/>
          <w:u w:val="none"/>
        </w:rPr>
        <w:t xml:space="preserve">（联合体）</w:t>
      </w:r>
      <w:r>
        <w:rPr>
          <w:rFonts w:ascii="仿宋" w:hAnsi="仿宋" w:eastAsia="仿宋" w:cs="仿宋"/>
          <w:color w:val="auto"/>
          <w:sz w:val="24"/>
          <w:szCs w:val="24"/>
          <w:highlight w:val="none"/>
        </w:rPr>
        <w:t xml:space="preserve">参加</w:t>
      </w:r>
      <w:r>
        <w:rPr>
          <w:rFonts w:ascii="仿宋" w:hAnsi="仿宋" w:eastAsia="仿宋" w:cs="仿宋"/>
          <w:color w:val="auto"/>
          <w:sz w:val="24"/>
          <w:szCs w:val="24"/>
          <w:highlight w:val="none"/>
          <w:u w:val="single"/>
        </w:rPr>
        <w:t xml:space="preserve">（单位名称）</w:t>
      </w:r>
      <w:r>
        <w:rPr>
          <w:rFonts w:ascii="仿宋" w:hAnsi="仿宋" w:eastAsia="仿宋" w:cs="仿宋"/>
          <w:color w:val="auto"/>
          <w:sz w:val="24"/>
          <w:szCs w:val="24"/>
          <w:highlight w:val="none"/>
        </w:rPr>
        <w:t xml:space="preserve">的</w:t>
      </w:r>
      <w:r>
        <w:rPr>
          <w:rFonts w:ascii="仿宋" w:hAnsi="仿宋" w:eastAsia="仿宋" w:cs="仿宋"/>
          <w:color w:val="auto"/>
          <w:sz w:val="24"/>
          <w:szCs w:val="24"/>
          <w:highlight w:val="none"/>
          <w:u w:val="single"/>
        </w:rPr>
        <w:t xml:space="preserve">（项目名称）</w:t>
      </w:r>
      <w:r>
        <w:rPr>
          <w:rFonts w:ascii="仿宋" w:hAnsi="仿宋" w:eastAsia="仿宋" w:cs="仿宋"/>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right="0" w:firstLine="360"/>
        <w:spacing w:line="400" w:lineRule="exact"/>
        <w:rPr>
          <w:rFonts w:ascii="仿宋" w:hAnsi="仿宋" w:eastAsia="仿宋" w:cs="仿宋"/>
          <w:i/>
          <w:color w:val="auto"/>
          <w:sz w:val="24"/>
          <w:szCs w:val="24"/>
          <w:highlight w:val="none"/>
          <w:u w:val="single"/>
        </w:rPr>
      </w:pPr>
      <w:r>
        <w:rPr>
          <w:rFonts w:ascii="仿宋" w:hAnsi="仿宋" w:eastAsia="仿宋" w:cs="仿宋"/>
          <w:color w:val="auto"/>
          <w:sz w:val="24"/>
          <w:szCs w:val="24"/>
          <w:highlight w:val="none"/>
        </w:rPr>
        <w:t xml:space="preserve">1.</w:t>
      </w:r>
      <w:r>
        <w:rPr>
          <w:rFonts w:ascii="仿宋" w:hAnsi="仿宋" w:eastAsia="仿宋" w:cs="仿宋"/>
          <w:color w:val="auto"/>
          <w:sz w:val="24"/>
          <w:szCs w:val="24"/>
          <w:highlight w:val="none"/>
          <w:u w:val="single"/>
        </w:rPr>
        <w:t xml:space="preserve">（标的名称）</w:t>
      </w:r>
      <w:r>
        <w:rPr>
          <w:rFonts w:ascii="仿宋" w:hAnsi="仿宋" w:eastAsia="仿宋" w:cs="仿宋"/>
          <w:i/>
          <w:color w:val="auto"/>
          <w:sz w:val="24"/>
          <w:szCs w:val="24"/>
          <w:highlight w:val="none"/>
        </w:rPr>
        <w:t xml:space="preserve">，</w:t>
      </w:r>
      <w:r>
        <w:rPr>
          <w:rFonts w:ascii="仿宋" w:hAnsi="仿宋" w:eastAsia="仿宋" w:cs="仿宋"/>
          <w:color w:val="auto"/>
          <w:sz w:val="24"/>
          <w:szCs w:val="24"/>
          <w:highlight w:val="none"/>
        </w:rPr>
        <w:t xml:space="preserve">属于</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eastAsia="zh-CN"/>
        </w:rPr>
        <w:t xml:space="preserve">（采购文件中明确的所属行业）</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行业；制造商为</w:t>
      </w:r>
      <w:r>
        <w:rPr>
          <w:rFonts w:ascii="仿宋" w:hAnsi="仿宋" w:eastAsia="仿宋" w:cs="仿宋"/>
          <w:color w:val="auto"/>
          <w:sz w:val="24"/>
          <w:szCs w:val="24"/>
          <w:highlight w:val="none"/>
          <w:u w:val="single"/>
        </w:rPr>
        <w:t xml:space="preserve">（企业名称）</w:t>
      </w:r>
      <w:r>
        <w:rPr>
          <w:rFonts w:ascii="仿宋" w:hAnsi="仿宋" w:eastAsia="仿宋" w:cs="仿宋"/>
          <w:color w:val="auto"/>
          <w:sz w:val="24"/>
          <w:szCs w:val="24"/>
          <w:highlight w:val="none"/>
        </w:rPr>
        <w:t xml:space="preserve">，从业人员</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人，营业收入为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rPr>
        <w:t xml:space="preserve">万元，资产总额为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万元，属于</w:t>
      </w:r>
      <w:r>
        <w:rPr>
          <w:rFonts w:ascii="仿宋" w:hAnsi="仿宋" w:eastAsia="仿宋" w:cs="仿宋"/>
          <w:color w:val="auto"/>
          <w:sz w:val="24"/>
          <w:szCs w:val="24"/>
          <w:highlight w:val="none"/>
          <w:u w:val="single"/>
        </w:rPr>
        <w:t xml:space="preserve">（□中型企业 </w:t>
      </w:r>
      <w:r>
        <w:rPr>
          <w:rFonts w:ascii="仿宋" w:hAnsi="仿宋" w:eastAsia="仿宋" w:cs="仿宋"/>
          <w:color w:val="auto"/>
          <w:sz w:val="24"/>
          <w:szCs w:val="24"/>
          <w:highlight w:val="none"/>
          <w:u w:val="single"/>
          <w:lang w:eastAsia="zh-CN"/>
        </w:rPr>
        <w:t xml:space="preserve">□</w:t>
      </w:r>
      <w:r>
        <w:rPr>
          <w:rFonts w:ascii="仿宋" w:hAnsi="仿宋" w:eastAsia="仿宋" w:cs="仿宋"/>
          <w:color w:val="auto"/>
          <w:sz w:val="24"/>
          <w:szCs w:val="24"/>
          <w:highlight w:val="none"/>
          <w:u w:val="single"/>
        </w:rPr>
        <w:t xml:space="preserve">小型企业 </w:t>
      </w:r>
      <w:r>
        <w:rPr>
          <w:rFonts w:ascii="仿宋" w:hAnsi="仿宋" w:eastAsia="仿宋" w:cs="仿宋"/>
          <w:color w:val="auto"/>
          <w:sz w:val="24"/>
          <w:szCs w:val="24"/>
          <w:highlight w:val="none"/>
          <w:u w:val="single"/>
          <w:lang w:eastAsia="zh-CN"/>
        </w:rPr>
        <w:t xml:space="preserve">□</w:t>
      </w:r>
      <w:r>
        <w:rPr>
          <w:rFonts w:ascii="仿宋" w:hAnsi="仿宋" w:eastAsia="仿宋" w:cs="仿宋"/>
          <w:color w:val="auto"/>
          <w:sz w:val="24"/>
          <w:szCs w:val="24"/>
          <w:highlight w:val="none"/>
          <w:u w:val="single"/>
        </w:rPr>
        <w:t xml:space="preserve">微型企业）；</w:t>
      </w:r>
      <w:r/>
    </w:p>
    <w:p>
      <w:pPr>
        <w:ind w:right="0" w:firstLine="360"/>
        <w:spacing w:line="400" w:lineRule="exact"/>
        <w:rPr>
          <w:rFonts w:ascii="仿宋" w:hAnsi="仿宋" w:eastAsia="仿宋" w:cs="仿宋"/>
          <w:i/>
          <w:color w:val="auto"/>
          <w:sz w:val="24"/>
          <w:szCs w:val="24"/>
          <w:highlight w:val="none"/>
          <w:u w:val="single"/>
        </w:rPr>
      </w:pPr>
      <w:r>
        <w:rPr>
          <w:rFonts w:ascii="仿宋" w:hAnsi="仿宋" w:eastAsia="仿宋" w:cs="仿宋"/>
          <w:color w:val="auto"/>
          <w:sz w:val="24"/>
          <w:szCs w:val="24"/>
          <w:highlight w:val="none"/>
        </w:rPr>
        <w:t xml:space="preserve">2.</w:t>
      </w:r>
      <w:r>
        <w:rPr>
          <w:rFonts w:ascii="仿宋" w:hAnsi="仿宋" w:eastAsia="仿宋" w:cs="仿宋"/>
          <w:color w:val="auto"/>
          <w:sz w:val="24"/>
          <w:szCs w:val="24"/>
          <w:highlight w:val="none"/>
          <w:u w:val="single"/>
        </w:rPr>
        <w:t xml:space="preserve">（标的名称）</w:t>
      </w:r>
      <w:r>
        <w:rPr>
          <w:rFonts w:ascii="仿宋" w:hAnsi="仿宋" w:eastAsia="仿宋" w:cs="仿宋"/>
          <w:i/>
          <w:color w:val="auto"/>
          <w:sz w:val="24"/>
          <w:szCs w:val="24"/>
          <w:highlight w:val="none"/>
        </w:rPr>
        <w:t xml:space="preserve">，</w:t>
      </w:r>
      <w:r>
        <w:rPr>
          <w:rFonts w:ascii="仿宋" w:hAnsi="仿宋" w:eastAsia="仿宋" w:cs="仿宋"/>
          <w:color w:val="auto"/>
          <w:sz w:val="24"/>
          <w:szCs w:val="24"/>
          <w:highlight w:val="none"/>
        </w:rPr>
        <w:t xml:space="preserve">属于</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eastAsia="zh-CN"/>
        </w:rPr>
        <w:t xml:space="preserve">（采购文件中明确的所属行业）</w:t>
      </w:r>
      <w:r>
        <w:rPr>
          <w:rFonts w:ascii="仿宋" w:hAnsi="仿宋" w:eastAsia="仿宋" w:cs="仿宋"/>
          <w:color w:val="auto"/>
          <w:sz w:val="24"/>
          <w:szCs w:val="24"/>
          <w:highlight w:val="none"/>
        </w:rPr>
        <w:t xml:space="preserve">行业；制造商为</w:t>
      </w:r>
      <w:r>
        <w:rPr>
          <w:rFonts w:ascii="仿宋" w:hAnsi="仿宋" w:eastAsia="仿宋" w:cs="仿宋"/>
          <w:color w:val="auto"/>
          <w:sz w:val="24"/>
          <w:szCs w:val="24"/>
          <w:highlight w:val="none"/>
          <w:u w:val="single"/>
        </w:rPr>
        <w:t xml:space="preserve">（企业名称）</w:t>
      </w:r>
      <w:r>
        <w:rPr>
          <w:rFonts w:ascii="仿宋" w:hAnsi="仿宋" w:eastAsia="仿宋" w:cs="仿宋"/>
          <w:color w:val="auto"/>
          <w:sz w:val="24"/>
          <w:szCs w:val="24"/>
          <w:highlight w:val="none"/>
        </w:rPr>
        <w:t xml:space="preserve">，从业人员</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人，营业收入为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万元，资产总额为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u w:val="single"/>
          <w:lang w:val="en-US" w:eastAsia="zh-CN"/>
        </w:rPr>
        <w:t xml:space="preserve">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万元，属于</w:t>
      </w:r>
      <w:r>
        <w:rPr>
          <w:rFonts w:ascii="仿宋" w:hAnsi="仿宋" w:eastAsia="仿宋" w:cs="仿宋"/>
          <w:color w:val="auto"/>
          <w:sz w:val="24"/>
          <w:szCs w:val="24"/>
          <w:highlight w:val="none"/>
          <w:u w:val="single"/>
        </w:rPr>
        <w:t xml:space="preserve">（□中型企业 </w:t>
      </w:r>
      <w:r>
        <w:rPr>
          <w:rFonts w:ascii="仿宋" w:hAnsi="仿宋" w:eastAsia="仿宋" w:cs="仿宋"/>
          <w:color w:val="auto"/>
          <w:sz w:val="24"/>
          <w:szCs w:val="24"/>
          <w:highlight w:val="none"/>
          <w:u w:val="single"/>
          <w:lang w:eastAsia="zh-CN"/>
        </w:rPr>
        <w:t xml:space="preserve">□</w:t>
      </w:r>
      <w:r>
        <w:rPr>
          <w:rFonts w:ascii="仿宋" w:hAnsi="仿宋" w:eastAsia="仿宋" w:cs="仿宋"/>
          <w:color w:val="auto"/>
          <w:sz w:val="24"/>
          <w:szCs w:val="24"/>
          <w:highlight w:val="none"/>
          <w:u w:val="single"/>
        </w:rPr>
        <w:t xml:space="preserve">小型企业 □微型企业）；</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right="0" w:firstLine="360"/>
        <w:spacing w:line="400" w:lineRule="exact"/>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本企业对上述声明内容的真实性负责。如有虚假，将依法承担相应责任</w:t>
      </w:r>
      <w:r>
        <w:rPr>
          <w:rFonts w:ascii="仿宋" w:hAnsi="仿宋" w:eastAsia="仿宋" w:cs="仿宋"/>
          <w:color w:val="auto"/>
          <w:sz w:val="24"/>
          <w:szCs w:val="24"/>
          <w:highlight w:val="none"/>
          <w:lang w:eastAsia="zh-CN"/>
        </w:rPr>
        <w:t xml:space="preserve">。</w:t>
      </w:r>
      <w:r/>
    </w:p>
    <w:p>
      <w:pPr>
        <w:ind w:right="720"/>
        <w:spacing w:line="400" w:lineRule="exact"/>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r>
      <w:r/>
    </w:p>
    <w:p>
      <w:pPr>
        <w:ind w:right="180" w:firstLine="360"/>
        <w:jc w:val="right"/>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供应商全称（加盖CA电子公章）：</w:t>
      </w:r>
      <w:r/>
    </w:p>
    <w:p>
      <w:pPr>
        <w:ind w:right="480" w:firstLine="564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日  期：</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备注：</w:t>
      </w:r>
      <w:r/>
    </w:p>
    <w:p>
      <w:pPr>
        <w:ind w:right="0" w:firstLine="480"/>
        <w:spacing w:line="400" w:lineRule="exact"/>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rPr>
        <w:t xml:space="preserve">1</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val="en-US" w:eastAsia="zh-CN"/>
        </w:rPr>
        <w:t xml:space="preserve">如项目类型为“货物”，请按照此格式填写。</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rPr>
        <w:t xml:space="preserve">从业人员、营业收入、资产总额填报上一年度数据，无上一年度数据的新成立企业可不填报。</w:t>
      </w:r>
      <w:r/>
    </w:p>
    <w:p>
      <w:pPr>
        <w:ind w:right="0"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专门面向中小微型企业采购的项目，</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如不提供此声明函，则不能通过资格审查；非专门面向中小微型企业采购的项目，</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如不提供此声明函，价格将不做相应扣除。</w:t>
      </w:r>
      <w:r/>
    </w:p>
    <w:p>
      <w:pPr>
        <w:ind w:right="0" w:firstLine="480"/>
        <w:spacing w:line="4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lang w:eastAsia="zh-CN"/>
        </w:rPr>
        <w:t xml:space="preserve">、投标人</w:t>
      </w:r>
      <w:r>
        <w:rPr>
          <w:rFonts w:ascii="仿宋" w:hAnsi="仿宋" w:eastAsia="仿宋" w:cs="仿宋"/>
          <w:b/>
          <w:bCs/>
          <w:color w:val="auto"/>
          <w:sz w:val="24"/>
          <w:szCs w:val="24"/>
          <w:highlight w:val="none"/>
        </w:rPr>
        <w:t xml:space="preserve">自行勾选</w:t>
      </w:r>
      <w:r>
        <w:rPr>
          <w:rFonts w:ascii="仿宋" w:hAnsi="仿宋" w:eastAsia="仿宋" w:cs="仿宋"/>
          <w:color w:val="auto"/>
          <w:sz w:val="24"/>
          <w:szCs w:val="24"/>
          <w:highlight w:val="none"/>
        </w:rPr>
        <w:t xml:space="preserve">制造商的企业规模类型。</w:t>
      </w:r>
      <w:r/>
    </w:p>
    <w:p>
      <w:pPr>
        <w:ind w:right="0" w:firstLine="480"/>
        <w:spacing w:line="400" w:lineRule="exact"/>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p>
    <w:p>
      <w:pPr>
        <w:ind w:left="540" w:right="0" w:hanging="120"/>
        <w:spacing w:line="400" w:lineRule="exact"/>
        <w:rPr>
          <w:rFonts w:ascii="仿宋" w:hAnsi="仿宋" w:eastAsia="仿宋" w:cs="仿宋"/>
          <w:b/>
          <w:color w:val="auto"/>
          <w:sz w:val="32"/>
          <w:szCs w:val="32"/>
          <w:highlight w:val="none"/>
        </w:rPr>
      </w:pPr>
      <w:r>
        <w:rPr>
          <w:rFonts w:ascii="仿宋" w:hAnsi="仿宋" w:eastAsia="仿宋" w:cs="仿宋"/>
          <w:color w:val="auto"/>
          <w:sz w:val="24"/>
          <w:szCs w:val="24"/>
          <w:highlight w:val="none"/>
        </w:rPr>
        <w:t xml:space="preserve">                                        </w:t>
      </w:r>
      <w:r>
        <w:rPr>
          <w:color w:val="auto"/>
          <w:highlight w:val="none"/>
        </w:rPr>
        <w:br w:type="page" w:clear="all"/>
      </w:r>
      <w:r/>
    </w:p>
    <w:p>
      <w:pPr>
        <w:ind w:right="0" w:firstLine="241"/>
        <w:jc w:val="both"/>
        <w:spacing w:line="560" w:lineRule="exact"/>
        <w:rPr>
          <w:rFonts w:ascii="仿宋" w:hAnsi="仿宋" w:eastAsia="仿宋" w:cs="仿宋"/>
          <w:b/>
          <w:color w:val="auto"/>
          <w:sz w:val="24"/>
          <w:szCs w:val="21"/>
          <w:highlight w:val="none"/>
        </w:rPr>
      </w:pPr>
      <w:r>
        <w:rPr>
          <w:rFonts w:ascii="仿宋" w:hAnsi="仿宋" w:eastAsia="仿宋" w:cs="仿宋"/>
          <w:b/>
          <w:color w:val="auto"/>
          <w:sz w:val="24"/>
          <w:szCs w:val="21"/>
          <w:highlight w:val="none"/>
        </w:rPr>
        <w:t xml:space="preserve">附件</w:t>
      </w:r>
      <w:r>
        <w:rPr>
          <w:rFonts w:ascii="仿宋" w:hAnsi="仿宋" w:eastAsia="仿宋" w:cs="仿宋"/>
          <w:b/>
          <w:color w:val="auto"/>
          <w:sz w:val="24"/>
          <w:szCs w:val="21"/>
          <w:highlight w:val="none"/>
          <w:lang w:val="en-US" w:eastAsia="zh-CN"/>
        </w:rPr>
        <w:t xml:space="preserve">8</w:t>
      </w:r>
      <w:r>
        <w:rPr>
          <w:rFonts w:ascii="仿宋" w:hAnsi="仿宋" w:eastAsia="仿宋" w:cs="仿宋"/>
          <w:b/>
          <w:color w:val="auto"/>
          <w:sz w:val="24"/>
          <w:szCs w:val="21"/>
          <w:highlight w:val="none"/>
        </w:rPr>
        <w:t xml:space="preserve">  </w:t>
      </w:r>
      <w:r/>
    </w:p>
    <w:p>
      <w:pPr>
        <w:ind w:left="0" w:right="0" w:firstLine="0"/>
        <w:jc w:val="center"/>
        <w:spacing w:line="400" w:lineRule="exact"/>
        <w:tabs>
          <w:tab w:val="left" w:pos="0" w:leader="none"/>
        </w:tabs>
        <w:rPr>
          <w:rFonts w:ascii="仿宋" w:hAnsi="仿宋" w:eastAsia="仿宋" w:cs="仿宋"/>
          <w:color w:val="auto"/>
          <w:sz w:val="24"/>
          <w:szCs w:val="21"/>
          <w:highlight w:val="none"/>
        </w:rPr>
      </w:pPr>
      <w:r>
        <w:rPr>
          <w:rFonts w:ascii="仿宋" w:hAnsi="仿宋" w:eastAsia="仿宋" w:cs="仿宋"/>
          <w:b/>
          <w:color w:val="auto"/>
          <w:sz w:val="24"/>
          <w:szCs w:val="24"/>
          <w:highlight w:val="none"/>
        </w:rPr>
        <w:t xml:space="preserve">残疾人福利性单位声明函（货物）</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s="仿宋"/>
          <w:color w:val="auto"/>
          <w:sz w:val="24"/>
          <w:szCs w:val="24"/>
          <w:highlight w:val="none"/>
          <w:u w:val="single"/>
          <w:lang w:val="en-US" w:eastAsia="zh-CN"/>
        </w:rPr>
        <w:t xml:space="preserve">**************</w:t>
      </w:r>
      <w:r>
        <w:rPr>
          <w:rFonts w:ascii="仿宋" w:hAnsi="仿宋" w:eastAsia="仿宋" w:cs="仿宋"/>
          <w:color w:val="auto"/>
          <w:sz w:val="24"/>
          <w:szCs w:val="24"/>
          <w:highlight w:val="none"/>
        </w:rPr>
        <w:t xml:space="preserve">的</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 项目采购活动提供本单位制造的货物，或者提供其他残疾人福利性单位制造的货物（不包括使用非残疾人福利性单位注册商标的货物）。</w:t>
      </w:r>
      <w:r/>
    </w:p>
    <w:p>
      <w:pPr>
        <w:ind w:right="0" w:firstLine="36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本单位对上述声明的真实性负责。如有虚假，将依法承担相应责任。</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备注：</w:t>
      </w:r>
      <w:r/>
    </w:p>
    <w:p>
      <w:pPr>
        <w:ind w:right="0" w:firstLine="480"/>
        <w:spacing w:line="400" w:lineRule="exact"/>
        <w:rPr>
          <w:rFonts w:ascii="仿宋" w:hAnsi="仿宋" w:eastAsia="仿宋" w:cs="仿宋"/>
          <w:color w:val="auto"/>
          <w:sz w:val="24"/>
          <w:szCs w:val="21"/>
          <w:highlight w:val="none"/>
        </w:rPr>
      </w:pPr>
      <w:r>
        <w:rPr>
          <w:rFonts w:ascii="仿宋" w:hAnsi="仿宋" w:eastAsia="仿宋" w:cs="仿宋"/>
          <w:color w:val="auto"/>
          <w:sz w:val="24"/>
          <w:szCs w:val="24"/>
          <w:highlight w:val="none"/>
        </w:rPr>
        <w:t xml:space="preserve">1</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val="en-US" w:eastAsia="zh-CN"/>
        </w:rPr>
        <w:t xml:space="preserve">如项目类型为“货物”，请按照此格式填写。</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1"/>
          <w:highlight w:val="none"/>
        </w:rPr>
        <w:t xml:space="preserve">专门面向中小微型企业采购的项目，</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为残疾人福利性单位并提供本单位制造的货物，或者提供其他残疾人福利性单位制造的货物，必须提供此声明函，否则将不能通过资格审查。</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4"/>
          <w:highlight w:val="none"/>
          <w:lang w:val="en-US" w:eastAsia="zh-CN"/>
        </w:rPr>
        <w:t xml:space="preserve">3</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1"/>
          <w:highlight w:val="none"/>
        </w:rPr>
        <w:t xml:space="preserve">非专门面向中小微型企业采购的项目，</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如不提供此声明函，价格将不做相应扣除。</w:t>
      </w:r>
      <w:r/>
    </w:p>
    <w:p>
      <w:pPr>
        <w:ind w:right="0" w:firstLine="480"/>
        <w:spacing w:line="0" w:lineRule="atLeast"/>
        <w:rPr>
          <w:rFonts w:ascii="仿宋" w:hAnsi="仿宋" w:eastAsia="仿宋" w:cs="仿宋"/>
          <w:color w:val="auto"/>
          <w:sz w:val="24"/>
          <w:szCs w:val="21"/>
          <w:highlight w:val="none"/>
          <w:lang w:eastAsia="zh-CN"/>
        </w:rPr>
      </w:pPr>
      <w:r>
        <w:rPr>
          <w:rFonts w:ascii="仿宋" w:hAnsi="仿宋" w:eastAsia="仿宋" w:cs="仿宋"/>
          <w:color w:val="auto"/>
          <w:sz w:val="24"/>
          <w:szCs w:val="24"/>
          <w:highlight w:val="none"/>
          <w:lang w:val="en-US" w:eastAsia="zh-CN"/>
        </w:rPr>
        <w:t xml:space="preserve">4</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highlight w:val="none"/>
          <w:lang w:eastAsia="zh-CN"/>
        </w:rPr>
        <w:t xml:space="preserve">中标人</w:t>
      </w:r>
      <w:r>
        <w:rPr>
          <w:rFonts w:ascii="仿宋" w:hAnsi="仿宋" w:eastAsia="仿宋" w:cs="仿宋"/>
          <w:color w:val="auto"/>
          <w:sz w:val="24"/>
          <w:szCs w:val="21"/>
          <w:highlight w:val="none"/>
        </w:rPr>
        <w:t xml:space="preserve">为残疾人福利性单位的，此声明函将随</w:t>
      </w:r>
      <w:r>
        <w:rPr>
          <w:rFonts w:ascii="仿宋" w:hAnsi="仿宋" w:eastAsia="仿宋" w:cs="仿宋"/>
          <w:color w:val="auto"/>
          <w:sz w:val="24"/>
          <w:highlight w:val="none"/>
          <w:lang w:eastAsia="zh-CN"/>
        </w:rPr>
        <w:t xml:space="preserve">中标</w:t>
      </w:r>
      <w:r>
        <w:rPr>
          <w:rFonts w:ascii="仿宋" w:hAnsi="仿宋" w:eastAsia="仿宋" w:cs="仿宋"/>
          <w:color w:val="auto"/>
          <w:sz w:val="24"/>
          <w:szCs w:val="21"/>
          <w:highlight w:val="none"/>
        </w:rPr>
        <w:t xml:space="preserve">结果同时公告，接受社会监督</w:t>
      </w:r>
      <w:r>
        <w:rPr>
          <w:rFonts w:ascii="仿宋" w:hAnsi="仿宋" w:eastAsia="仿宋" w:cs="仿宋"/>
          <w:color w:val="auto"/>
          <w:sz w:val="24"/>
          <w:szCs w:val="21"/>
          <w:highlight w:val="none"/>
          <w:lang w:eastAsia="zh-CN"/>
        </w:rPr>
        <w:t xml:space="preserve">。</w:t>
      </w:r>
      <w:r/>
    </w:p>
    <w:p>
      <w:pPr>
        <w:ind w:right="0" w:firstLine="480"/>
        <w:spacing w:line="400" w:lineRule="exact"/>
        <w:rPr>
          <w:rFonts w:ascii="仿宋" w:hAnsi="仿宋" w:eastAsia="仿宋" w:cs="仿宋"/>
          <w:color w:val="auto"/>
          <w:sz w:val="24"/>
          <w:szCs w:val="21"/>
          <w:highlight w:val="none"/>
          <w:lang w:eastAsia="zh-CN"/>
        </w:rPr>
      </w:pPr>
      <w:r>
        <w:rPr>
          <w:rFonts w:ascii="仿宋" w:hAnsi="仿宋" w:eastAsia="仿宋" w:cs="仿宋"/>
          <w:color w:val="auto"/>
          <w:sz w:val="24"/>
          <w:szCs w:val="21"/>
          <w:highlight w:val="none"/>
          <w:lang w:eastAsia="zh-CN"/>
        </w:rPr>
      </w:r>
      <w:r/>
    </w:p>
    <w:p>
      <w:pPr>
        <w:ind w:right="0" w:firstLine="624"/>
        <w:spacing w:line="588" w:lineRule="exact"/>
        <w:rPr>
          <w:rFonts w:ascii="仿宋" w:hAnsi="仿宋" w:eastAsia="仿宋" w:cs="仿宋"/>
          <w:color w:val="auto"/>
          <w:spacing w:val="6"/>
          <w:sz w:val="30"/>
          <w:szCs w:val="30"/>
          <w:highlight w:val="none"/>
        </w:rPr>
      </w:pPr>
      <w:r>
        <w:rPr>
          <w:rFonts w:ascii="仿宋" w:hAnsi="仿宋" w:eastAsia="仿宋" w:cs="仿宋"/>
          <w:color w:val="auto"/>
          <w:spacing w:val="6"/>
          <w:sz w:val="30"/>
          <w:szCs w:val="30"/>
          <w:highlight w:val="none"/>
        </w:rPr>
      </w:r>
      <w:r/>
    </w:p>
    <w:p>
      <w:pPr>
        <w:ind w:right="1559" w:firstLine="624"/>
        <w:jc w:val="center"/>
        <w:spacing w:line="400" w:lineRule="exact"/>
        <w:tabs>
          <w:tab w:val="left" w:pos="4860" w:leader="none"/>
        </w:tabs>
        <w:rPr>
          <w:rFonts w:ascii="仿宋" w:hAnsi="仿宋" w:eastAsia="仿宋" w:cs="仿宋"/>
          <w:color w:val="auto"/>
          <w:sz w:val="24"/>
          <w:szCs w:val="21"/>
          <w:highlight w:val="none"/>
        </w:rPr>
      </w:pPr>
      <w:r>
        <w:rPr>
          <w:rFonts w:ascii="仿宋" w:hAnsi="仿宋" w:eastAsia="仿宋" w:cs="仿宋"/>
          <w:color w:val="auto"/>
          <w:spacing w:val="6"/>
          <w:sz w:val="30"/>
          <w:szCs w:val="30"/>
          <w:highlight w:val="none"/>
        </w:rPr>
        <w:t xml:space="preserve">             </w:t>
      </w:r>
      <w:r>
        <w:rPr>
          <w:rFonts w:ascii="仿宋" w:hAnsi="仿宋" w:eastAsia="仿宋" w:cs="仿宋"/>
          <w:color w:val="auto"/>
          <w:sz w:val="24"/>
          <w:szCs w:val="21"/>
          <w:highlight w:val="none"/>
        </w:rPr>
        <w:t xml:space="preserve">          供应商全称（加盖CA电子公章）：</w:t>
      </w:r>
      <w:r/>
    </w:p>
    <w:p>
      <w:pPr>
        <w:ind w:right="1559" w:firstLine="480"/>
        <w:jc w:val="center"/>
        <w:spacing w:line="400" w:lineRule="exact"/>
        <w:tabs>
          <w:tab w:val="left" w:pos="4860" w:leader="none"/>
        </w:tabs>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        日  期：</w:t>
      </w:r>
      <w:r>
        <w:rPr>
          <w:color w:val="auto"/>
          <w:highlight w:val="none"/>
        </w:rPr>
        <w:br w:type="page" w:clear="all"/>
      </w:r>
      <w:r/>
    </w:p>
    <w:p>
      <w:pPr>
        <w:jc w:val="both"/>
        <w:spacing w:line="420" w:lineRule="exact"/>
        <w:rPr>
          <w:rFonts w:ascii="仿宋" w:hAnsi="仿宋" w:eastAsia="仿宋" w:cs="仿宋"/>
          <w:b/>
          <w:color w:val="auto"/>
          <w:sz w:val="24"/>
          <w:szCs w:val="24"/>
          <w:highlight w:val="none"/>
          <w:lang w:eastAsia="zh-CN"/>
        </w:rPr>
      </w:pPr>
      <w:r>
        <w:rPr>
          <w:rFonts w:ascii="仿宋" w:hAnsi="仿宋" w:eastAsia="仿宋" w:cs="仿宋"/>
          <w:b/>
          <w:color w:val="auto"/>
          <w:sz w:val="24"/>
          <w:szCs w:val="24"/>
          <w:highlight w:val="none"/>
        </w:rPr>
        <w:t xml:space="preserve">附件</w:t>
      </w:r>
      <w:r>
        <w:rPr>
          <w:rFonts w:ascii="仿宋" w:hAnsi="仿宋" w:eastAsia="仿宋" w:cs="仿宋"/>
          <w:b/>
          <w:color w:val="auto"/>
          <w:sz w:val="24"/>
          <w:szCs w:val="24"/>
          <w:highlight w:val="none"/>
          <w:lang w:val="en-US" w:eastAsia="zh-CN"/>
        </w:rPr>
        <w:t xml:space="preserve">9</w:t>
      </w:r>
      <w:r/>
    </w:p>
    <w:p>
      <w:pPr>
        <w:jc w:val="center"/>
        <w:spacing w:line="42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监狱和戒毒企业证明材料</w:t>
      </w:r>
      <w:r/>
    </w:p>
    <w:p>
      <w:pPr>
        <w:ind w:right="0" w:firstLine="495"/>
        <w:spacing w:line="42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42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（格式自拟）</w:t>
      </w:r>
      <w:r/>
    </w:p>
    <w:p>
      <w:pPr>
        <w:ind w:right="0" w:firstLine="495"/>
        <w:spacing w:line="42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备注：</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1、专门面向中小微型企业采购的项目，</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如不提供此</w:t>
      </w:r>
      <w:r>
        <w:rPr>
          <w:rFonts w:ascii="仿宋" w:hAnsi="仿宋" w:eastAsia="仿宋" w:cs="仿宋"/>
          <w:color w:val="auto"/>
          <w:sz w:val="24"/>
          <w:szCs w:val="21"/>
          <w:highlight w:val="none"/>
          <w:lang w:eastAsia="zh-CN"/>
        </w:rPr>
        <w:t xml:space="preserve">证明材料</w:t>
      </w:r>
      <w:r>
        <w:rPr>
          <w:rFonts w:ascii="仿宋" w:hAnsi="仿宋" w:eastAsia="仿宋" w:cs="仿宋"/>
          <w:color w:val="auto"/>
          <w:sz w:val="24"/>
          <w:szCs w:val="21"/>
          <w:highlight w:val="none"/>
        </w:rPr>
        <w:t xml:space="preserve">，则不能通过资格审查；非专门面向中小微型企业采购的项目，</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如不提供此</w:t>
      </w:r>
      <w:r>
        <w:rPr>
          <w:rFonts w:ascii="仿宋" w:hAnsi="仿宋" w:eastAsia="仿宋" w:cs="仿宋"/>
          <w:color w:val="auto"/>
          <w:sz w:val="24"/>
          <w:szCs w:val="21"/>
          <w:highlight w:val="none"/>
          <w:lang w:eastAsia="zh-CN"/>
        </w:rPr>
        <w:t xml:space="preserve">证明材料</w:t>
      </w:r>
      <w:r>
        <w:rPr>
          <w:rFonts w:ascii="仿宋" w:hAnsi="仿宋" w:eastAsia="仿宋" w:cs="仿宋"/>
          <w:color w:val="auto"/>
          <w:sz w:val="24"/>
          <w:szCs w:val="21"/>
          <w:highlight w:val="none"/>
        </w:rPr>
        <w:t xml:space="preserve">，价格将不做相应扣除。</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t xml:space="preserve">2、中标</w:t>
      </w:r>
      <w:r>
        <w:rPr>
          <w:rFonts w:ascii="仿宋" w:hAnsi="仿宋" w:eastAsia="仿宋" w:cs="仿宋"/>
          <w:color w:val="auto"/>
          <w:sz w:val="24"/>
          <w:szCs w:val="21"/>
          <w:highlight w:val="none"/>
          <w:lang w:eastAsia="zh-CN"/>
        </w:rPr>
        <w:t xml:space="preserve">人</w:t>
      </w:r>
      <w:r>
        <w:rPr>
          <w:rFonts w:ascii="仿宋" w:hAnsi="仿宋" w:eastAsia="仿宋" w:cs="仿宋"/>
          <w:color w:val="auto"/>
          <w:sz w:val="24"/>
          <w:szCs w:val="21"/>
          <w:highlight w:val="none"/>
        </w:rPr>
        <w:t xml:space="preserve">为监狱</w:t>
      </w:r>
      <w:r>
        <w:rPr>
          <w:rFonts w:ascii="仿宋" w:hAnsi="仿宋" w:eastAsia="仿宋" w:cs="仿宋"/>
          <w:color w:val="auto"/>
          <w:sz w:val="24"/>
          <w:szCs w:val="21"/>
          <w:highlight w:val="none"/>
          <w:lang w:eastAsia="zh-CN"/>
        </w:rPr>
        <w:t xml:space="preserve">和戒毒</w:t>
      </w:r>
      <w:r>
        <w:rPr>
          <w:rFonts w:ascii="仿宋" w:hAnsi="仿宋" w:eastAsia="仿宋" w:cs="仿宋"/>
          <w:color w:val="auto"/>
          <w:sz w:val="24"/>
          <w:szCs w:val="21"/>
          <w:highlight w:val="none"/>
        </w:rPr>
        <w:t xml:space="preserve">企业的，此</w:t>
      </w:r>
      <w:r>
        <w:rPr>
          <w:rFonts w:ascii="仿宋" w:hAnsi="仿宋" w:eastAsia="仿宋" w:cs="仿宋"/>
          <w:color w:val="auto"/>
          <w:sz w:val="24"/>
          <w:szCs w:val="21"/>
          <w:highlight w:val="none"/>
          <w:lang w:eastAsia="zh-CN"/>
        </w:rPr>
        <w:t xml:space="preserve">证明材料</w:t>
      </w:r>
      <w:r>
        <w:rPr>
          <w:rFonts w:ascii="仿宋" w:hAnsi="仿宋" w:eastAsia="仿宋" w:cs="仿宋"/>
          <w:color w:val="auto"/>
          <w:sz w:val="24"/>
          <w:szCs w:val="21"/>
          <w:highlight w:val="none"/>
        </w:rPr>
        <w:t xml:space="preserve">将随中标结果同时公告，接受社会监督。</w:t>
      </w:r>
      <w:r>
        <w:rPr>
          <w:rFonts w:ascii="仿宋" w:hAnsi="仿宋" w:eastAsia="仿宋" w:cs="仿宋"/>
          <w:color w:val="auto"/>
          <w:sz w:val="24"/>
          <w:szCs w:val="21"/>
          <w:highlight w:val="none"/>
          <w:lang w:eastAsia="zh-CN"/>
        </w:rPr>
        <w:t xml:space="preserve">投标人</w:t>
      </w:r>
      <w:r>
        <w:rPr>
          <w:rFonts w:ascii="仿宋" w:hAnsi="仿宋" w:eastAsia="仿宋" w:cs="仿宋"/>
          <w:color w:val="auto"/>
          <w:sz w:val="24"/>
          <w:szCs w:val="21"/>
          <w:highlight w:val="none"/>
        </w:rPr>
        <w:t xml:space="preserve">提供</w:t>
      </w:r>
      <w:r>
        <w:rPr>
          <w:rFonts w:ascii="仿宋" w:hAnsi="仿宋" w:eastAsia="仿宋" w:cs="仿宋"/>
          <w:color w:val="auto"/>
          <w:sz w:val="24"/>
          <w:szCs w:val="21"/>
          <w:highlight w:val="none"/>
          <w:lang w:eastAsia="zh-CN"/>
        </w:rPr>
        <w:t xml:space="preserve">证明材料</w:t>
      </w:r>
      <w:r>
        <w:rPr>
          <w:rFonts w:ascii="仿宋" w:hAnsi="仿宋" w:eastAsia="仿宋" w:cs="仿宋"/>
          <w:color w:val="auto"/>
          <w:sz w:val="24"/>
          <w:szCs w:val="21"/>
          <w:highlight w:val="none"/>
        </w:rPr>
        <w:t xml:space="preserve">内容不实的，属于提供虚假材料谋取中标、成交，依照《中华人民共和国政府采购法》等国家有关规定追究相应责任。</w:t>
      </w:r>
      <w:r/>
    </w:p>
    <w:p>
      <w:pPr>
        <w:ind w:right="0" w:firstLine="480"/>
        <w:spacing w:line="0" w:lineRule="atLeas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spacing w:line="560" w:lineRule="exact"/>
        <w:rPr>
          <w:rFonts w:ascii="仿宋" w:hAnsi="仿宋" w:eastAsia="仿宋" w:cs="仿宋"/>
          <w:b/>
          <w:color w:val="auto"/>
          <w:sz w:val="32"/>
          <w:szCs w:val="32"/>
          <w:highlight w:val="none"/>
        </w:rPr>
      </w:pPr>
      <w:r>
        <w:rPr>
          <w:color w:val="auto"/>
          <w:highlight w:val="none"/>
        </w:rPr>
        <w:br w:type="page" w:clear="all"/>
      </w:r>
      <w:r/>
    </w:p>
    <w:p>
      <w:pPr>
        <w:jc w:val="both"/>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w:t>
      </w:r>
      <w:r>
        <w:rPr>
          <w:rFonts w:ascii="仿宋" w:hAnsi="仿宋" w:eastAsia="仿宋" w:cs="仿宋"/>
          <w:b/>
          <w:color w:val="auto"/>
          <w:sz w:val="24"/>
          <w:szCs w:val="24"/>
          <w:highlight w:val="none"/>
          <w:lang w:val="en-US" w:eastAsia="zh-CN"/>
        </w:rPr>
        <w:t xml:space="preserve">10</w:t>
      </w:r>
      <w:r>
        <w:rPr>
          <w:rFonts w:ascii="仿宋" w:hAnsi="仿宋" w:eastAsia="仿宋" w:cs="仿宋"/>
          <w:b/>
          <w:color w:val="auto"/>
          <w:sz w:val="24"/>
          <w:szCs w:val="24"/>
          <w:highlight w:val="none"/>
        </w:rPr>
        <w:t xml:space="preserve">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技术要求响应及偏离表</w:t>
      </w:r>
      <w:r/>
    </w:p>
    <w:p>
      <w:pPr>
        <w:ind w:right="0"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（由</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据实填写，表格不够自行添加）</w:t>
      </w:r>
      <w:r/>
    </w:p>
    <w:tbl>
      <w:tblPr>
        <w:tblStyle w:val="724"/>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890"/>
        <w:gridCol w:w="2426"/>
        <w:gridCol w:w="2119"/>
        <w:gridCol w:w="2734"/>
        <w:gridCol w:w="1507"/>
      </w:tblGrid>
      <w:tr>
        <w:trPr>
          <w:trHeight w:val="994"/>
        </w:trPr>
        <w:tc>
          <w:tcPr>
            <w:tcBorders>
              <w:top w:val="single" w:color="000000" w:sz="12" w:space="0"/>
              <w:left w:val="single" w:color="000000" w:sz="12" w:space="0"/>
              <w:bottom w:val="single" w:color="000000" w:sz="6" w:space="0"/>
              <w:right w:val="single" w:color="000000" w:sz="6" w:space="0"/>
            </w:tcBorders>
            <w:tcW w:w="870"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2372"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货物名称</w:t>
            </w:r>
            <w:r/>
          </w:p>
        </w:tc>
        <w:tc>
          <w:tcPr>
            <w:tcBorders>
              <w:top w:val="single" w:color="000000" w:sz="12" w:space="0"/>
              <w:left w:val="single" w:color="000000" w:sz="6" w:space="0"/>
              <w:bottom w:val="single" w:color="000000" w:sz="6" w:space="0"/>
              <w:right w:val="single" w:color="000000" w:sz="6" w:space="0"/>
            </w:tcBorders>
            <w:tcW w:w="2072"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招标</w:t>
            </w:r>
            <w:r>
              <w:rPr>
                <w:rFonts w:ascii="仿宋" w:hAnsi="仿宋" w:eastAsia="仿宋" w:cs="仿宋"/>
                <w:color w:val="auto"/>
                <w:sz w:val="24"/>
                <w:szCs w:val="24"/>
                <w:highlight w:val="none"/>
              </w:rPr>
              <w:t xml:space="preserve">文件要求的技术要求</w:t>
            </w:r>
            <w:r/>
          </w:p>
        </w:tc>
        <w:tc>
          <w:tcPr>
            <w:tcBorders>
              <w:top w:val="single" w:color="000000" w:sz="12" w:space="0"/>
              <w:left w:val="single" w:color="000000" w:sz="6" w:space="0"/>
              <w:bottom w:val="single" w:color="000000" w:sz="6" w:space="0"/>
              <w:right w:val="single" w:color="000000" w:sz="6" w:space="0"/>
            </w:tcBorders>
            <w:tcW w:w="2673"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eastAsia="zh-CN"/>
              </w:rPr>
              <w:t xml:space="preserve">投标</w:t>
            </w:r>
            <w:r>
              <w:rPr>
                <w:rFonts w:ascii="仿宋" w:hAnsi="仿宋" w:eastAsia="仿宋" w:cs="仿宋"/>
                <w:color w:val="auto"/>
                <w:sz w:val="24"/>
                <w:szCs w:val="24"/>
                <w:highlight w:val="none"/>
              </w:rPr>
              <w:t xml:space="preserve">文件响应情况</w:t>
            </w:r>
            <w:r/>
          </w:p>
        </w:tc>
        <w:tc>
          <w:tcPr>
            <w:tcBorders>
              <w:top w:val="single" w:color="000000" w:sz="12" w:space="0"/>
              <w:left w:val="single" w:color="000000" w:sz="6" w:space="0"/>
              <w:bottom w:val="single" w:color="000000" w:sz="6" w:space="0"/>
              <w:right w:val="single" w:color="000000" w:sz="12" w:space="0"/>
            </w:tcBorders>
            <w:tcW w:w="1473"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48"/>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00"/>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870"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附件</w:t>
      </w:r>
      <w:r>
        <w:rPr>
          <w:rFonts w:ascii="仿宋" w:hAnsi="仿宋" w:eastAsia="仿宋" w:cs="仿宋"/>
          <w:color w:val="auto"/>
          <w:sz w:val="24"/>
          <w:szCs w:val="24"/>
          <w:highlight w:val="none"/>
          <w:lang w:val="en-US" w:eastAsia="zh-CN"/>
        </w:rPr>
        <w:t xml:space="preserve">10</w:t>
      </w:r>
      <w:r>
        <w:rPr>
          <w:rFonts w:ascii="仿宋" w:hAnsi="仿宋" w:eastAsia="仿宋" w:cs="仿宋"/>
          <w:color w:val="auto"/>
          <w:sz w:val="24"/>
          <w:szCs w:val="24"/>
          <w:highlight w:val="none"/>
        </w:rPr>
        <w:t xml:space="preserve">-1  证明材料1，证明材料2，……</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备注：</w:t>
      </w:r>
      <w:r/>
    </w:p>
    <w:p>
      <w:pPr>
        <w:numPr>
          <w:ilvl w:val="0"/>
          <w:numId w:val="0"/>
        </w:numPr>
        <w:contextualSpacing/>
        <w:ind w:left="0" w:firstLine="0"/>
        <w:spacing w:before="0" w:after="0" w:line="300" w:lineRule="auto"/>
        <w:rPr>
          <w:rFonts w:ascii="仿宋" w:hAnsi="仿宋" w:eastAsia="仿宋" w:cs="仿宋"/>
          <w:b/>
          <w:bCs/>
          <w:color w:val="auto"/>
          <w:sz w:val="24"/>
          <w:highlight w:val="none"/>
        </w:rPr>
      </w:pPr>
      <w:r>
        <w:rPr>
          <w:rFonts w:ascii="仿宋" w:hAnsi="仿宋" w:eastAsia="仿宋" w:cs="仿宋"/>
          <w:color w:val="auto"/>
          <w:sz w:val="24"/>
          <w:highlight w:val="none"/>
          <w:lang w:val="en-US" w:eastAsia="zh-CN"/>
        </w:rPr>
        <w:t xml:space="preserve">1.</w:t>
      </w:r>
      <w:r>
        <w:rPr>
          <w:rFonts w:ascii="仿宋" w:hAnsi="仿宋" w:eastAsia="仿宋" w:cs="仿宋"/>
          <w:color w:val="auto"/>
          <w:sz w:val="24"/>
          <w:highlight w:val="none"/>
        </w:rPr>
        <w:t xml:space="preserve"> </w:t>
      </w:r>
      <w:r>
        <w:rPr>
          <w:rFonts w:ascii="仿宋" w:hAnsi="仿宋" w:eastAsia="仿宋" w:cs="仿宋"/>
          <w:color w:val="auto"/>
          <w:sz w:val="24"/>
          <w:highlight w:val="none"/>
          <w:lang w:eastAsia="zh-CN"/>
        </w:rPr>
        <w:t xml:space="preserve">投标人</w:t>
      </w:r>
      <w:r>
        <w:rPr>
          <w:rFonts w:ascii="仿宋" w:hAnsi="仿宋" w:eastAsia="仿宋" w:cs="仿宋"/>
          <w:color w:val="auto"/>
          <w:sz w:val="24"/>
          <w:highlight w:val="none"/>
        </w:rPr>
        <w:t xml:space="preserve">提交的</w:t>
      </w:r>
      <w:r>
        <w:rPr>
          <w:rFonts w:ascii="仿宋" w:hAnsi="仿宋" w:eastAsia="仿宋" w:cs="仿宋"/>
          <w:color w:val="auto"/>
          <w:sz w:val="24"/>
          <w:highlight w:val="none"/>
          <w:lang w:eastAsia="zh-CN"/>
        </w:rPr>
        <w:t xml:space="preserve">投标</w:t>
      </w:r>
      <w:r>
        <w:rPr>
          <w:rFonts w:ascii="仿宋" w:hAnsi="仿宋" w:eastAsia="仿宋" w:cs="仿宋"/>
          <w:color w:val="auto"/>
          <w:sz w:val="24"/>
          <w:highlight w:val="none"/>
        </w:rPr>
        <w:t xml:space="preserve">文件中与</w:t>
      </w:r>
      <w:r>
        <w:rPr>
          <w:rFonts w:ascii="仿宋" w:hAnsi="仿宋" w:eastAsia="仿宋" w:cs="仿宋"/>
          <w:color w:val="auto"/>
          <w:sz w:val="24"/>
          <w:highlight w:val="none"/>
          <w:lang w:eastAsia="zh-CN"/>
        </w:rPr>
        <w:t xml:space="preserve">招标</w:t>
      </w:r>
      <w:r>
        <w:rPr>
          <w:rFonts w:ascii="仿宋" w:hAnsi="仿宋" w:eastAsia="仿宋" w:cs="仿宋"/>
          <w:color w:val="auto"/>
          <w:sz w:val="24"/>
          <w:highlight w:val="none"/>
        </w:rPr>
        <w:t xml:space="preserve">文件第</w:t>
      </w:r>
      <w:r>
        <w:rPr>
          <w:rFonts w:ascii="仿宋" w:hAnsi="仿宋" w:eastAsia="仿宋" w:cs="仿宋"/>
          <w:color w:val="auto"/>
          <w:sz w:val="24"/>
          <w:highlight w:val="none"/>
          <w:lang w:val="en-US" w:eastAsia="zh-CN"/>
        </w:rPr>
        <w:t xml:space="preserve">四章</w:t>
      </w:r>
      <w:r>
        <w:rPr>
          <w:rFonts w:ascii="仿宋" w:hAnsi="仿宋" w:eastAsia="仿宋" w:cs="仿宋"/>
          <w:color w:val="auto"/>
          <w:sz w:val="24"/>
          <w:highlight w:val="none"/>
        </w:rPr>
        <w:t xml:space="preserve">“</w:t>
      </w:r>
      <w:r>
        <w:rPr>
          <w:rFonts w:ascii="仿宋" w:hAnsi="仿宋" w:eastAsia="仿宋" w:cs="仿宋"/>
          <w:color w:val="auto"/>
          <w:sz w:val="24"/>
          <w:highlight w:val="none"/>
          <w:lang w:val="en-US" w:eastAsia="zh-CN"/>
        </w:rPr>
        <w:t xml:space="preserve">采购</w:t>
      </w:r>
      <w:r>
        <w:rPr>
          <w:rFonts w:ascii="仿宋" w:hAnsi="仿宋" w:eastAsia="仿宋" w:cs="仿宋"/>
          <w:color w:val="auto"/>
          <w:sz w:val="24"/>
          <w:highlight w:val="none"/>
        </w:rPr>
        <w:t xml:space="preserve">需求”中的技术要求</w:t>
      </w:r>
      <w:r>
        <w:rPr>
          <w:rFonts w:ascii="仿宋" w:hAnsi="仿宋" w:eastAsia="仿宋" w:cs="仿宋"/>
          <w:color w:val="auto"/>
          <w:sz w:val="24"/>
          <w:highlight w:val="none"/>
          <w:lang w:eastAsia="zh-CN"/>
        </w:rPr>
        <w:t xml:space="preserve">（</w:t>
      </w:r>
      <w:r>
        <w:rPr>
          <w:rFonts w:ascii="仿宋" w:hAnsi="仿宋" w:eastAsia="仿宋" w:cs="仿宋"/>
          <w:color w:val="auto"/>
          <w:sz w:val="24"/>
          <w:highlight w:val="none"/>
          <w:lang w:val="en-US" w:eastAsia="zh-CN"/>
        </w:rPr>
        <w:t xml:space="preserve">未加斜体下划线的非实质性内容</w:t>
      </w:r>
      <w:r>
        <w:rPr>
          <w:rFonts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如有偏离的，应逐条填列在偏离表中。</w:t>
      </w:r>
      <w:r>
        <w:rPr>
          <w:rFonts w:ascii="仿宋" w:hAnsi="仿宋" w:eastAsia="仿宋" w:cs="仿宋"/>
          <w:b/>
          <w:bCs/>
          <w:color w:val="auto"/>
          <w:sz w:val="24"/>
          <w:szCs w:val="24"/>
          <w:highlight w:val="none"/>
        </w:rPr>
        <w:t xml:space="preserve">如果</w:t>
      </w:r>
      <w:r>
        <w:rPr>
          <w:rFonts w:ascii="仿宋" w:hAnsi="仿宋" w:eastAsia="仿宋" w:cs="仿宋"/>
          <w:b/>
          <w:bCs/>
          <w:color w:val="auto"/>
          <w:sz w:val="24"/>
          <w:szCs w:val="24"/>
          <w:highlight w:val="none"/>
          <w:lang w:eastAsia="zh-CN"/>
        </w:rPr>
        <w:t xml:space="preserve">招标</w:t>
      </w:r>
      <w:r>
        <w:rPr>
          <w:rFonts w:ascii="仿宋" w:hAnsi="仿宋" w:eastAsia="仿宋" w:cs="仿宋"/>
          <w:b/>
          <w:bCs/>
          <w:color w:val="auto"/>
          <w:sz w:val="24"/>
          <w:szCs w:val="24"/>
          <w:highlight w:val="none"/>
        </w:rPr>
        <w:t xml:space="preserve">文件要求提供证明材料，</w:t>
      </w:r>
      <w:r>
        <w:rPr>
          <w:rFonts w:ascii="仿宋" w:hAnsi="仿宋" w:eastAsia="仿宋" w:cs="仿宋"/>
          <w:b/>
          <w:bCs/>
          <w:color w:val="auto"/>
          <w:sz w:val="24"/>
          <w:szCs w:val="24"/>
          <w:highlight w:val="none"/>
          <w:lang w:eastAsia="zh-CN"/>
        </w:rPr>
        <w:t xml:space="preserve">投标人</w:t>
      </w:r>
      <w:r>
        <w:rPr>
          <w:rFonts w:ascii="仿宋" w:hAnsi="仿宋" w:eastAsia="仿宋" w:cs="仿宋"/>
          <w:b/>
          <w:bCs/>
          <w:color w:val="auto"/>
          <w:sz w:val="24"/>
          <w:szCs w:val="24"/>
          <w:highlight w:val="none"/>
        </w:rPr>
        <w:t xml:space="preserve">需将证明材料列于该表之下</w:t>
      </w:r>
      <w:r>
        <w:rPr>
          <w:rFonts w:hint="eastAsia" w:ascii="仿宋" w:hAnsi="仿宋" w:eastAsia="仿宋" w:cs="仿宋"/>
          <w:b/>
          <w:bCs/>
          <w:color w:val="auto"/>
          <w:sz w:val="24"/>
          <w:szCs w:val="24"/>
          <w:highlight w:val="none"/>
          <w:lang w:eastAsia="zh-CN"/>
        </w:rPr>
        <w:t xml:space="preserve">（打“▲”和文件中另有规定的除外）</w:t>
      </w:r>
      <w:r>
        <w:rPr>
          <w:rFonts w:ascii="仿宋" w:hAnsi="仿宋" w:eastAsia="仿宋" w:cs="仿宋"/>
          <w:b/>
          <w:bCs/>
          <w:color w:val="auto"/>
          <w:sz w:val="24"/>
          <w:szCs w:val="24"/>
          <w:highlight w:val="none"/>
        </w:rPr>
        <w:t xml:space="preserve">。</w:t>
      </w:r>
      <w:r/>
    </w:p>
    <w:p>
      <w:pPr>
        <w:numPr>
          <w:ilvl w:val="0"/>
          <w:numId w:val="0"/>
        </w:numPr>
        <w:contextualSpacing/>
        <w:ind w:left="0" w:firstLine="0"/>
        <w:spacing w:before="0" w:after="0" w:line="300" w:lineRule="auto"/>
        <w:rPr>
          <w:rFonts w:ascii="仿宋" w:hAnsi="仿宋" w:eastAsia="仿宋" w:cs="仿宋"/>
          <w:color w:val="auto"/>
          <w:sz w:val="24"/>
          <w:highlight w:val="none"/>
        </w:rPr>
      </w:pPr>
      <w:r>
        <w:rPr>
          <w:rFonts w:ascii="仿宋" w:hAnsi="仿宋" w:eastAsia="仿宋" w:cs="仿宋"/>
          <w:color w:val="auto"/>
          <w:sz w:val="24"/>
          <w:highlight w:val="none"/>
          <w:lang w:val="en-US" w:eastAsia="zh-CN"/>
        </w:rPr>
        <w:t xml:space="preserve">2.</w:t>
      </w:r>
      <w:r>
        <w:rPr>
          <w:rFonts w:ascii="仿宋" w:hAnsi="仿宋" w:eastAsia="仿宋" w:cs="仿宋"/>
          <w:color w:val="auto"/>
          <w:sz w:val="24"/>
          <w:highlight w:val="none"/>
        </w:rPr>
        <w:t xml:space="preserve">“偏离说明”一栏选择“正偏离”、“无偏离”、“负偏离”进行填写。未填写的内容视为完全响应本</w:t>
      </w:r>
      <w:r>
        <w:rPr>
          <w:rFonts w:ascii="仿宋" w:hAnsi="仿宋" w:eastAsia="仿宋" w:cs="仿宋"/>
          <w:color w:val="auto"/>
          <w:sz w:val="24"/>
          <w:highlight w:val="none"/>
          <w:lang w:eastAsia="zh-CN"/>
        </w:rPr>
        <w:t xml:space="preserve">招标</w:t>
      </w:r>
      <w:r>
        <w:rPr>
          <w:rFonts w:ascii="仿宋" w:hAnsi="仿宋" w:eastAsia="仿宋" w:cs="仿宋"/>
          <w:color w:val="auto"/>
          <w:sz w:val="24"/>
          <w:highlight w:val="none"/>
        </w:rPr>
        <w:t xml:space="preserve">文件要求。正偏离、无偏离的确认和负偏离是否响应</w:t>
      </w:r>
      <w:r>
        <w:rPr>
          <w:rFonts w:ascii="仿宋" w:hAnsi="仿宋" w:eastAsia="仿宋" w:cs="仿宋"/>
          <w:color w:val="auto"/>
          <w:sz w:val="24"/>
          <w:highlight w:val="none"/>
          <w:lang w:eastAsia="zh-CN"/>
        </w:rPr>
        <w:t xml:space="preserve">招标</w:t>
      </w:r>
      <w:r>
        <w:rPr>
          <w:rFonts w:ascii="仿宋" w:hAnsi="仿宋" w:eastAsia="仿宋" w:cs="仿宋"/>
          <w:color w:val="auto"/>
          <w:sz w:val="24"/>
          <w:highlight w:val="none"/>
        </w:rPr>
        <w:t xml:space="preserve">文件，由</w:t>
      </w:r>
      <w:r>
        <w:rPr>
          <w:rFonts w:ascii="仿宋" w:hAnsi="仿宋" w:eastAsia="仿宋" w:cs="仿宋"/>
          <w:color w:val="auto"/>
          <w:sz w:val="24"/>
          <w:highlight w:val="none"/>
          <w:lang w:val="en-US" w:eastAsia="zh-CN"/>
        </w:rPr>
        <w:t xml:space="preserve">评委会</w:t>
      </w:r>
      <w:r>
        <w:rPr>
          <w:rFonts w:ascii="仿宋" w:hAnsi="仿宋" w:eastAsia="仿宋" w:cs="仿宋"/>
          <w:color w:val="auto"/>
          <w:sz w:val="24"/>
          <w:highlight w:val="none"/>
        </w:rPr>
        <w:t xml:space="preserve">认定。</w:t>
      </w:r>
      <w:r/>
    </w:p>
    <w:p>
      <w:pPr>
        <w:pStyle w:val="805"/>
        <w:rPr>
          <w:rFonts w:ascii="仿宋" w:hAnsi="仿宋" w:eastAsia="仿宋" w:cs="仿宋"/>
          <w:color w:val="auto"/>
          <w:sz w:val="24"/>
          <w:highlight w:val="none"/>
        </w:rPr>
      </w:pPr>
      <w:r>
        <w:rPr>
          <w:rFonts w:ascii="仿宋" w:hAnsi="仿宋" w:eastAsia="仿宋" w:cs="仿宋"/>
          <w:color w:val="auto"/>
          <w:sz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color w:val="auto"/>
          <w:highlight w:val="none"/>
        </w:rPr>
        <w:br w:type="page" w:clear="all"/>
      </w:r>
      <w:r/>
    </w:p>
    <w:p>
      <w:pPr>
        <w:jc w:val="both"/>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w:t>
      </w:r>
      <w:r>
        <w:rPr>
          <w:rFonts w:ascii="仿宋" w:hAnsi="仿宋" w:eastAsia="仿宋" w:cs="仿宋"/>
          <w:b/>
          <w:color w:val="auto"/>
          <w:sz w:val="24"/>
          <w:szCs w:val="24"/>
          <w:highlight w:val="none"/>
          <w:lang w:val="en-US" w:eastAsia="zh-CN"/>
        </w:rPr>
        <w:t xml:space="preserve">11</w:t>
      </w:r>
      <w:r>
        <w:rPr>
          <w:rFonts w:ascii="仿宋" w:hAnsi="仿宋" w:eastAsia="仿宋" w:cs="仿宋"/>
          <w:b/>
          <w:color w:val="auto"/>
          <w:sz w:val="24"/>
          <w:szCs w:val="24"/>
          <w:highlight w:val="none"/>
        </w:rPr>
        <w:t xml:space="preserve">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商务要求响应及偏离表</w:t>
      </w:r>
      <w:r/>
    </w:p>
    <w:p>
      <w:pPr>
        <w:ind w:right="0" w:firstLine="480"/>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（由投标人据实填写，表格不够自行添加）</w:t>
      </w:r>
      <w:r/>
    </w:p>
    <w:tbl>
      <w:tblPr>
        <w:tblStyle w:val="724"/>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890"/>
        <w:gridCol w:w="2426"/>
        <w:gridCol w:w="2119"/>
        <w:gridCol w:w="2734"/>
        <w:gridCol w:w="1507"/>
      </w:tblGrid>
      <w:tr>
        <w:trPr>
          <w:trHeight w:val="994"/>
        </w:trPr>
        <w:tc>
          <w:tcPr>
            <w:tcBorders>
              <w:top w:val="single" w:color="000000" w:sz="12" w:space="0"/>
              <w:left w:val="single" w:color="000000" w:sz="12" w:space="0"/>
              <w:bottom w:val="single" w:color="000000" w:sz="6" w:space="0"/>
              <w:right w:val="single" w:color="000000" w:sz="6" w:space="0"/>
            </w:tcBorders>
            <w:tcW w:w="870"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2372"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货物名称</w:t>
            </w:r>
            <w:r/>
          </w:p>
        </w:tc>
        <w:tc>
          <w:tcPr>
            <w:tcBorders>
              <w:top w:val="single" w:color="000000" w:sz="12" w:space="0"/>
              <w:left w:val="single" w:color="000000" w:sz="6" w:space="0"/>
              <w:bottom w:val="single" w:color="000000" w:sz="6" w:space="0"/>
              <w:right w:val="single" w:color="000000" w:sz="6" w:space="0"/>
            </w:tcBorders>
            <w:tcW w:w="2072" w:type="dxa"/>
            <w:vAlign w:val="center"/>
            <w:textDirection w:val="lrTb"/>
            <w:noWrap w:val="false"/>
          </w:tcPr>
          <w:p>
            <w:pPr>
              <w:jc w:val="center"/>
              <w:spacing w:line="340" w:lineRule="exact"/>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rPr>
              <w:t xml:space="preserve">招标文件要求的商务</w:t>
            </w:r>
            <w:r>
              <w:rPr>
                <w:rFonts w:ascii="仿宋" w:hAnsi="仿宋" w:eastAsia="仿宋" w:cs="仿宋"/>
                <w:color w:val="auto"/>
                <w:sz w:val="24"/>
                <w:szCs w:val="24"/>
                <w:highlight w:val="none"/>
                <w:lang w:eastAsia="zh-CN"/>
              </w:rPr>
              <w:t xml:space="preserve">要求</w:t>
            </w:r>
            <w:r/>
          </w:p>
        </w:tc>
        <w:tc>
          <w:tcPr>
            <w:tcBorders>
              <w:top w:val="single" w:color="000000" w:sz="12" w:space="0"/>
              <w:left w:val="single" w:color="000000" w:sz="6" w:space="0"/>
              <w:bottom w:val="single" w:color="000000" w:sz="6" w:space="0"/>
              <w:right w:val="single" w:color="000000" w:sz="6" w:space="0"/>
            </w:tcBorders>
            <w:tcW w:w="2673" w:type="dxa"/>
            <w:vAlign w:val="center"/>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1473"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48"/>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00"/>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870" w:type="dxa"/>
            <w:textDirection w:val="lrTb"/>
            <w:noWrap w:val="false"/>
          </w:tcPr>
          <w:p>
            <w:pPr>
              <w:jc w:val="center"/>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870"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2372"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2072"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673" w:type="dxa"/>
            <w:vAlign w:val="center"/>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12" w:space="0"/>
            </w:tcBorders>
            <w:tcW w:w="1473" w:type="dxa"/>
            <w:textDirection w:val="lrTb"/>
            <w:noWrap w:val="false"/>
          </w:tcPr>
          <w:p>
            <w:pPr>
              <w:jc w:val="left"/>
              <w:spacing w:line="3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附件</w:t>
      </w:r>
      <w:r>
        <w:rPr>
          <w:rFonts w:ascii="仿宋" w:hAnsi="仿宋" w:eastAsia="仿宋" w:cs="仿宋"/>
          <w:color w:val="auto"/>
          <w:sz w:val="24"/>
          <w:szCs w:val="24"/>
          <w:highlight w:val="none"/>
          <w:lang w:val="en-US" w:eastAsia="zh-CN"/>
        </w:rPr>
        <w:t xml:space="preserve">11</w:t>
      </w:r>
      <w:r>
        <w:rPr>
          <w:rFonts w:ascii="仿宋" w:hAnsi="仿宋" w:eastAsia="仿宋" w:cs="仿宋"/>
          <w:color w:val="auto"/>
          <w:sz w:val="24"/>
          <w:szCs w:val="24"/>
          <w:highlight w:val="none"/>
        </w:rPr>
        <w:t xml:space="preserve">-1  证明材料1，证明材料2，……</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备注：</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1.</w:t>
      </w:r>
      <w:r>
        <w:rPr>
          <w:rFonts w:ascii="仿宋" w:hAnsi="仿宋" w:eastAsia="仿宋" w:cs="仿宋"/>
          <w:color w:val="auto"/>
          <w:sz w:val="24"/>
          <w:szCs w:val="24"/>
          <w:highlight w:val="none"/>
        </w:rPr>
        <w:t xml:space="preserve"> </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提交的</w:t>
      </w:r>
      <w:r>
        <w:rPr>
          <w:rFonts w:ascii="仿宋" w:hAnsi="仿宋" w:eastAsia="仿宋" w:cs="仿宋"/>
          <w:color w:val="auto"/>
          <w:sz w:val="24"/>
          <w:szCs w:val="24"/>
          <w:highlight w:val="none"/>
          <w:lang w:eastAsia="zh-CN"/>
        </w:rPr>
        <w:t xml:space="preserve">投标</w:t>
      </w:r>
      <w:r>
        <w:rPr>
          <w:rFonts w:ascii="仿宋" w:hAnsi="仿宋" w:eastAsia="仿宋" w:cs="仿宋"/>
          <w:color w:val="auto"/>
          <w:sz w:val="24"/>
          <w:szCs w:val="24"/>
          <w:highlight w:val="none"/>
        </w:rPr>
        <w:t xml:space="preserve">文件中与</w:t>
      </w:r>
      <w:r>
        <w:rPr>
          <w:rFonts w:ascii="仿宋" w:hAnsi="仿宋" w:eastAsia="仿宋" w:cs="仿宋"/>
          <w:color w:val="auto"/>
          <w:sz w:val="24"/>
          <w:szCs w:val="24"/>
          <w:highlight w:val="none"/>
          <w:lang w:eastAsia="zh-CN"/>
        </w:rPr>
        <w:t xml:space="preserve">招标</w:t>
      </w:r>
      <w:r>
        <w:rPr>
          <w:rFonts w:ascii="仿宋" w:hAnsi="仿宋" w:eastAsia="仿宋" w:cs="仿宋"/>
          <w:color w:val="auto"/>
          <w:sz w:val="24"/>
          <w:szCs w:val="24"/>
          <w:highlight w:val="none"/>
        </w:rPr>
        <w:t xml:space="preserve">文件第</w:t>
      </w:r>
      <w:r>
        <w:rPr>
          <w:rFonts w:ascii="仿宋" w:hAnsi="仿宋" w:eastAsia="仿宋" w:cs="仿宋"/>
          <w:color w:val="auto"/>
          <w:sz w:val="24"/>
          <w:szCs w:val="24"/>
          <w:highlight w:val="none"/>
          <w:lang w:val="en-US" w:eastAsia="zh-CN"/>
        </w:rPr>
        <w:t xml:space="preserve">四章</w:t>
      </w:r>
      <w:r>
        <w:rPr>
          <w:rFonts w:ascii="仿宋" w:hAnsi="仿宋" w:eastAsia="仿宋" w:cs="仿宋"/>
          <w:color w:val="auto"/>
          <w:sz w:val="24"/>
          <w:szCs w:val="24"/>
          <w:highlight w:val="none"/>
        </w:rPr>
        <w:t xml:space="preserve">“</w:t>
      </w:r>
      <w:r>
        <w:rPr>
          <w:rFonts w:ascii="仿宋" w:hAnsi="仿宋" w:eastAsia="仿宋" w:cs="仿宋"/>
          <w:color w:val="auto"/>
          <w:sz w:val="24"/>
          <w:szCs w:val="24"/>
          <w:highlight w:val="none"/>
          <w:lang w:val="en-US" w:eastAsia="zh-CN"/>
        </w:rPr>
        <w:t xml:space="preserve">采购</w:t>
      </w:r>
      <w:r>
        <w:rPr>
          <w:rFonts w:ascii="仿宋" w:hAnsi="仿宋" w:eastAsia="仿宋" w:cs="仿宋"/>
          <w:color w:val="auto"/>
          <w:sz w:val="24"/>
          <w:szCs w:val="24"/>
          <w:highlight w:val="none"/>
        </w:rPr>
        <w:t xml:space="preserve">需求”中的商务要求</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lang w:val="en-US" w:eastAsia="zh-CN"/>
        </w:rPr>
        <w:t xml:space="preserve">未加斜体下划线的非实质性内容</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如有偏离的，应逐条填列在偏离表中。如果</w:t>
      </w:r>
      <w:r>
        <w:rPr>
          <w:rFonts w:ascii="仿宋" w:hAnsi="仿宋" w:eastAsia="仿宋" w:cs="仿宋"/>
          <w:color w:val="auto"/>
          <w:sz w:val="24"/>
          <w:szCs w:val="24"/>
          <w:highlight w:val="none"/>
          <w:lang w:eastAsia="zh-CN"/>
        </w:rPr>
        <w:t xml:space="preserve">招标</w:t>
      </w:r>
      <w:r>
        <w:rPr>
          <w:rFonts w:ascii="仿宋" w:hAnsi="仿宋" w:eastAsia="仿宋" w:cs="仿宋"/>
          <w:color w:val="auto"/>
          <w:sz w:val="24"/>
          <w:szCs w:val="24"/>
          <w:highlight w:val="none"/>
        </w:rPr>
        <w:t xml:space="preserve">文件要求提供证明材料，</w:t>
      </w:r>
      <w:r>
        <w:rPr>
          <w:rFonts w:ascii="仿宋" w:hAnsi="仿宋" w:eastAsia="仿宋" w:cs="仿宋"/>
          <w:color w:val="auto"/>
          <w:sz w:val="24"/>
          <w:szCs w:val="24"/>
          <w:highlight w:val="none"/>
          <w:lang w:eastAsia="zh-CN"/>
        </w:rPr>
        <w:t xml:space="preserve">投标人</w:t>
      </w:r>
      <w:r>
        <w:rPr>
          <w:rFonts w:ascii="仿宋" w:hAnsi="仿宋" w:eastAsia="仿宋" w:cs="仿宋"/>
          <w:color w:val="auto"/>
          <w:sz w:val="24"/>
          <w:szCs w:val="24"/>
          <w:highlight w:val="none"/>
        </w:rPr>
        <w:t xml:space="preserve">需将证明材料列于该表之下。</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2.</w:t>
      </w:r>
      <w:r>
        <w:rPr>
          <w:rFonts w:ascii="仿宋" w:hAnsi="仿宋" w:eastAsia="仿宋" w:cs="仿宋"/>
          <w:color w:val="auto"/>
          <w:sz w:val="24"/>
          <w:szCs w:val="24"/>
          <w:highlight w:val="none"/>
        </w:rPr>
        <w:t xml:space="preserve">“偏离说明”一栏选择“正偏离”、“无偏离”、“负偏离”进行填写。未填写的内容视为完全响应本</w:t>
      </w:r>
      <w:r>
        <w:rPr>
          <w:rFonts w:ascii="仿宋" w:hAnsi="仿宋" w:eastAsia="仿宋" w:cs="仿宋"/>
          <w:color w:val="auto"/>
          <w:sz w:val="24"/>
          <w:szCs w:val="24"/>
          <w:highlight w:val="none"/>
          <w:lang w:eastAsia="zh-CN"/>
        </w:rPr>
        <w:t xml:space="preserve">招标</w:t>
      </w:r>
      <w:r>
        <w:rPr>
          <w:rFonts w:ascii="仿宋" w:hAnsi="仿宋" w:eastAsia="仿宋" w:cs="仿宋"/>
          <w:color w:val="auto"/>
          <w:sz w:val="24"/>
          <w:szCs w:val="24"/>
          <w:highlight w:val="none"/>
        </w:rPr>
        <w:t xml:space="preserve">文件要求。正偏离、无偏离的确认和负偏离是否响应</w:t>
      </w:r>
      <w:r>
        <w:rPr>
          <w:rFonts w:ascii="仿宋" w:hAnsi="仿宋" w:eastAsia="仿宋" w:cs="仿宋"/>
          <w:color w:val="auto"/>
          <w:sz w:val="24"/>
          <w:szCs w:val="24"/>
          <w:highlight w:val="none"/>
          <w:lang w:eastAsia="zh-CN"/>
        </w:rPr>
        <w:t xml:space="preserve">招标</w:t>
      </w:r>
      <w:r>
        <w:rPr>
          <w:rFonts w:ascii="仿宋" w:hAnsi="仿宋" w:eastAsia="仿宋" w:cs="仿宋"/>
          <w:color w:val="auto"/>
          <w:sz w:val="24"/>
          <w:szCs w:val="24"/>
          <w:highlight w:val="none"/>
        </w:rPr>
        <w:t xml:space="preserve">文件，由</w:t>
      </w:r>
      <w:r>
        <w:rPr>
          <w:rFonts w:ascii="仿宋" w:hAnsi="仿宋" w:eastAsia="仿宋" w:cs="仿宋"/>
          <w:color w:val="auto"/>
          <w:sz w:val="24"/>
          <w:szCs w:val="24"/>
          <w:highlight w:val="none"/>
          <w:lang w:val="en-US" w:eastAsia="zh-CN"/>
        </w:rPr>
        <w:t xml:space="preserve">评委会</w:t>
      </w:r>
      <w:r>
        <w:rPr>
          <w:rFonts w:ascii="仿宋" w:hAnsi="仿宋" w:eastAsia="仿宋" w:cs="仿宋"/>
          <w:color w:val="auto"/>
          <w:sz w:val="24"/>
          <w:szCs w:val="24"/>
          <w:highlight w:val="none"/>
        </w:rPr>
        <w:t xml:space="preserve">认定。</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jc w:val="center"/>
        <w:rPr>
          <w:rFonts w:ascii="仿宋" w:hAnsi="仿宋" w:eastAsia="仿宋" w:cs="仿宋"/>
          <w:b/>
          <w:color w:val="auto"/>
          <w:sz w:val="24"/>
          <w:szCs w:val="24"/>
          <w:highlight w:val="none"/>
        </w:rPr>
      </w:pPr>
      <w:r>
        <w:rPr>
          <w:color w:val="auto"/>
          <w:highlight w:val="none"/>
        </w:rPr>
        <w:br w:type="page" w:clear="all"/>
      </w:r>
      <w:r/>
    </w:p>
    <w:p>
      <w:pPr>
        <w:jc w:val="lef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附件12 </w:t>
      </w:r>
      <w:r/>
    </w:p>
    <w:p>
      <w:pPr>
        <w:jc w:val="center"/>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实质性要求响应及偏离表</w:t>
      </w:r>
      <w:r/>
    </w:p>
    <w:tbl>
      <w:tblPr>
        <w:tblStyle w:val="724"/>
        <w:tblW w:w="9133" w:type="dxa"/>
        <w:jc w:val="center"/>
        <w:tblLayout w:type="fixed"/>
        <w:tblCellMar>
          <w:left w:w="108" w:type="dxa"/>
          <w:top w:w="0" w:type="dxa"/>
          <w:right w:w="108" w:type="dxa"/>
          <w:bottom w:w="0" w:type="dxa"/>
        </w:tblCellMar>
        <w:tblLook w:val="04A0" w:firstRow="1" w:lastRow="0" w:firstColumn="1" w:lastColumn="0" w:noHBand="0" w:noVBand="1"/>
      </w:tblPr>
      <w:tblGrid>
        <w:gridCol w:w="545"/>
        <w:gridCol w:w="3951"/>
        <w:gridCol w:w="2975"/>
        <w:gridCol w:w="1662"/>
      </w:tblGrid>
      <w:tr>
        <w:trPr>
          <w:cantSplit/>
          <w:jc w:val="center"/>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951"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lang w:eastAsia="zh-CN"/>
              </w:rPr>
              <w:t xml:space="preserve">招标文件</w:t>
            </w:r>
            <w:r>
              <w:rPr>
                <w:rFonts w:ascii="仿宋" w:hAnsi="仿宋" w:eastAsia="仿宋" w:cs="仿宋"/>
                <w:color w:val="auto"/>
                <w:sz w:val="24"/>
                <w:szCs w:val="24"/>
                <w:highlight w:val="none"/>
              </w:rPr>
              <w:t xml:space="preserve">技术要求和商务要求中的实质性要求</w:t>
            </w:r>
            <w:r>
              <w:rPr>
                <w:rFonts w:ascii="仿宋" w:hAnsi="仿宋" w:eastAsia="仿宋" w:cs="仿宋"/>
                <w:i/>
                <w:color w:val="auto"/>
                <w:sz w:val="24"/>
                <w:szCs w:val="24"/>
                <w:highlight w:val="none"/>
                <w:u w:val="single"/>
              </w:rPr>
              <w:t xml:space="preserve">（加斜体下划线内容）</w:t>
            </w:r>
            <w:r/>
          </w:p>
        </w:tc>
        <w:tc>
          <w:tcPr>
            <w:tcBorders>
              <w:top w:val="single" w:color="000000" w:sz="4" w:space="0"/>
              <w:left w:val="single" w:color="000000" w:sz="4" w:space="0"/>
              <w:bottom w:val="single" w:color="000000" w:sz="4" w:space="0"/>
              <w:right w:val="single" w:color="000000" w:sz="4" w:space="0"/>
            </w:tcBorders>
            <w:tcW w:w="2975"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正偏离</w:t>
            </w:r>
            <w:r>
              <w:rPr>
                <w:rFonts w:ascii="仿宋" w:hAnsi="仿宋" w:eastAsia="仿宋" w:cs="仿宋"/>
                <w:color w:val="auto"/>
                <w:sz w:val="24"/>
                <w:szCs w:val="24"/>
                <w:highlight w:val="none"/>
                <w:lang w:eastAsia="zh-CN"/>
              </w:rPr>
              <w:t xml:space="preserve">、</w:t>
            </w:r>
            <w:r>
              <w:rPr>
                <w:rFonts w:ascii="仿宋" w:hAnsi="仿宋" w:eastAsia="仿宋" w:cs="仿宋"/>
                <w:color w:val="auto"/>
                <w:sz w:val="24"/>
                <w:szCs w:val="24"/>
                <w:highlight w:val="none"/>
              </w:rPr>
              <w:t xml:space="preserve">无偏离、负偏离</w:t>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951"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75"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2"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951"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75"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2"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951" w:type="dxa"/>
            <w:vAlign w:val="center"/>
            <w:textDirection w:val="lrTb"/>
            <w:noWrap w:val="false"/>
          </w:tcPr>
          <w:p>
            <w:pPr>
              <w:jc w:val="center"/>
              <w:spacing w:line="0" w:lineRule="atLeas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975"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62" w:type="dxa"/>
            <w:textDirection w:val="lrTb"/>
            <w:noWrap w:val="false"/>
          </w:tcPr>
          <w:p>
            <w:pPr>
              <w:jc w:val="cente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附件12-1 证明材料1，证明材料2，……</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备注：</w:t>
      </w:r>
      <w:r/>
    </w:p>
    <w:p>
      <w:pPr>
        <w:spacing w:line="400" w:lineRule="exact"/>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1.供应商必须对技术要求和商务要求中的实质性要求（加斜体下划线内容）做出明确响应，未填写的内容视为完全响应本采购文件实质性要求。</w:t>
      </w:r>
      <w:r/>
    </w:p>
    <w:p>
      <w:pPr>
        <w:spacing w:line="400" w:lineRule="exact"/>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2.如果采购文件要求提供证明材料，供应商必须将证明材料列于该表之下，否则作无效响应处理。</w:t>
      </w:r>
      <w:r/>
    </w:p>
    <w:p>
      <w:pPr>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jc w:val="center"/>
        <w:rPr>
          <w:rFonts w:ascii="仿宋" w:hAnsi="仿宋" w:eastAsia="仿宋" w:cs="仿宋"/>
          <w:b/>
          <w:color w:val="auto"/>
          <w:sz w:val="24"/>
          <w:szCs w:val="24"/>
          <w:highlight w:val="none"/>
          <w:lang w:eastAsia="zh-CN"/>
        </w:rPr>
      </w:pPr>
      <w:r>
        <w:rPr>
          <w:color w:val="auto"/>
          <w:highlight w:val="none"/>
        </w:rPr>
        <w:br w:type="page" w:clear="all"/>
      </w:r>
      <w:r/>
    </w:p>
    <w:p>
      <w:pPr>
        <w:jc w:val="left"/>
        <w:rPr>
          <w:rFonts w:ascii="仿宋" w:hAnsi="仿宋" w:eastAsia="仿宋" w:cs="仿宋"/>
          <w:b/>
          <w:color w:val="auto"/>
          <w:sz w:val="24"/>
          <w:szCs w:val="24"/>
          <w:highlight w:val="none"/>
          <w:lang w:val="en-US" w:eastAsia="zh-CN"/>
        </w:rPr>
      </w:pPr>
      <w:r>
        <w:rPr>
          <w:rFonts w:ascii="仿宋" w:hAnsi="仿宋" w:eastAsia="仿宋" w:cs="仿宋"/>
          <w:b/>
          <w:color w:val="auto"/>
          <w:sz w:val="24"/>
          <w:szCs w:val="24"/>
          <w:highlight w:val="none"/>
          <w:lang w:eastAsia="zh-CN"/>
        </w:rPr>
        <w:t xml:space="preserve">附件</w:t>
      </w:r>
      <w:r>
        <w:rPr>
          <w:rFonts w:ascii="仿宋" w:hAnsi="仿宋" w:eastAsia="仿宋" w:cs="仿宋"/>
          <w:b/>
          <w:color w:val="auto"/>
          <w:sz w:val="24"/>
          <w:szCs w:val="24"/>
          <w:highlight w:val="none"/>
          <w:lang w:val="en-US" w:eastAsia="zh-CN"/>
        </w:rPr>
        <w:t xml:space="preserve">13</w:t>
      </w:r>
      <w:r/>
    </w:p>
    <w:p>
      <w:pPr>
        <w:jc w:val="center"/>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t xml:space="preserve">质疑函范本</w:t>
      </w:r>
      <w:r/>
    </w:p>
    <w:p>
      <w:pPr>
        <w:spacing w:before="290" w:after="0"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一、质疑供应商基本信息</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质疑供应商：</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地址：</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邮编：</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联系人：</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联系电话：</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授权代表：</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联系电话：</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地址： </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邮编：</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二、质疑项目基本情况</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质疑项目的名称：</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质疑项目的编号：</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包号：</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采购人名称：</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采购文件获取日期：</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三、质疑事项具体内容</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质疑事项1：</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事实依据：</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法律依据：</w:t>
      </w: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t xml:space="preserve">                                                                           </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质疑事项2</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w:t>
      </w:r>
      <w:r/>
    </w:p>
    <w:p>
      <w:pPr>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 xml:space="preserve">四、与质疑事项相关的质疑请求</w:t>
      </w:r>
      <w:r/>
    </w:p>
    <w:p>
      <w:pPr>
        <w:spacing w:line="360" w:lineRule="auto"/>
        <w:rPr>
          <w:rFonts w:ascii="仿宋" w:hAnsi="仿宋" w:eastAsia="仿宋" w:cs="仿宋"/>
          <w:color w:val="auto"/>
          <w:sz w:val="24"/>
          <w:szCs w:val="24"/>
          <w:highlight w:val="none"/>
          <w:u w:val="single"/>
        </w:rPr>
      </w:pPr>
      <w:r>
        <w:rPr>
          <w:rFonts w:ascii="仿宋" w:hAnsi="仿宋" w:eastAsia="仿宋" w:cs="仿宋"/>
          <w:color w:val="auto"/>
          <w:sz w:val="24"/>
          <w:szCs w:val="24"/>
          <w:highlight w:val="none"/>
        </w:rPr>
        <w:t xml:space="preserve">请求：</w:t>
      </w:r>
      <w:r>
        <w:rPr>
          <w:rFonts w:ascii="仿宋" w:hAnsi="仿宋" w:eastAsia="仿宋" w:cs="仿宋"/>
          <w:color w:val="auto"/>
          <w:sz w:val="24"/>
          <w:szCs w:val="24"/>
          <w:highlight w:val="none"/>
          <w:u w:val="single"/>
        </w:rPr>
        <w:t xml:space="preserve">                                                                     </w:t>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签字(签章)：                   公章：                      </w:t>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日期：    </w:t>
      </w:r>
      <w:r/>
    </w:p>
    <w:p>
      <w:pPr>
        <w:spacing w:line="40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t xml:space="preserve">质疑函制作说明：</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1.供应商提出质疑时，应提交质疑函和必要的证明材料。</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2.质疑供应商若委托代理人进行质疑的，质疑函应按要求列明“授权代表”的有关内容，并在附件中提交由质疑</w:t>
      </w:r>
      <w:r>
        <w:rPr>
          <w:rFonts w:ascii="仿宋" w:hAnsi="仿宋" w:eastAsia="仿宋" w:cs="仿宋"/>
          <w:color w:val="auto"/>
          <w:sz w:val="24"/>
          <w:szCs w:val="24"/>
          <w:highlight w:val="none"/>
        </w:rPr>
        <w:t xml:space="preserve">供应商签署的授权委托书。授权委托书应载明代理人的姓名或者名称、代理事项、具体权限、期限和相关事项。</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3.质疑供应商若对项目的某一分包进行质疑，质疑函中应列明具体分包号。</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4.质疑函的质疑事项应具体、明确，并有必要的事实依据和法律依据。</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5.质疑函的质疑请求应与质疑事项相关。</w:t>
      </w:r>
      <w:r/>
    </w:p>
    <w:p>
      <w:pPr>
        <w:ind w:right="0" w:firstLine="480"/>
        <w:jc w:val="left"/>
        <w:spacing w:line="400" w:lineRule="exact"/>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right="0"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right="0" w:firstLine="42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8"/>
          <w:szCs w:val="28"/>
          <w:highlight w:val="none"/>
          <w:lang w:val="en-US" w:eastAsia="zh-CN" w:bidi="ar"/>
        </w:rPr>
      </w:pPr>
      <w:r>
        <w:rPr>
          <w:rFonts w:ascii="仿宋" w:hAnsi="仿宋" w:eastAsia="仿宋" w:cs="仿宋"/>
          <w:color w:val="auto"/>
          <w:sz w:val="28"/>
          <w:szCs w:val="28"/>
          <w:highlight w:val="none"/>
          <w:lang w:val="en-US" w:eastAsia="zh-CN" w:bidi="ar"/>
        </w:rPr>
        <w:br w:type="page" w:clear="all"/>
      </w:r>
      <w:r/>
    </w:p>
    <w:p>
      <w:pPr>
        <w:jc w:val="both"/>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附件</w:t>
      </w:r>
      <w:r>
        <w:rPr>
          <w:rFonts w:hint="eastAsia" w:ascii="仿宋" w:hAnsi="仿宋" w:eastAsia="仿宋" w:cs="仿宋"/>
          <w:b/>
          <w:color w:val="auto"/>
          <w:sz w:val="28"/>
          <w:szCs w:val="28"/>
          <w:highlight w:val="none"/>
          <w:lang w:val="en-US" w:eastAsia="zh-CN"/>
        </w:rPr>
        <w:t xml:space="preserve">14</w:t>
      </w:r>
      <w:r>
        <w:rPr>
          <w:rFonts w:hint="eastAsia" w:ascii="仿宋" w:hAnsi="仿宋" w:eastAsia="仿宋" w:cs="仿宋"/>
          <w:b/>
          <w:color w:val="auto"/>
          <w:sz w:val="28"/>
          <w:szCs w:val="28"/>
          <w:highlight w:val="none"/>
        </w:rPr>
        <w:t xml:space="preserve"> </w:t>
      </w:r>
      <w:r/>
    </w:p>
    <w:p>
      <w:pPr>
        <w:jc w:val="center"/>
        <w:rPr>
          <w:rFonts w:hint="eastAsia" w:ascii="仿宋" w:hAnsi="仿宋" w:eastAsia="仿宋" w:cs="仿宋"/>
          <w:color w:val="auto"/>
          <w:sz w:val="24"/>
          <w:szCs w:val="24"/>
          <w:highlight w:val="none"/>
        </w:rPr>
      </w:pPr>
      <w:r>
        <w:rPr>
          <w:rFonts w:hint="eastAsia" w:ascii="仿宋" w:hAnsi="仿宋" w:eastAsia="仿宋" w:cs="仿宋"/>
          <w:b/>
          <w:color w:val="auto"/>
          <w:sz w:val="28"/>
          <w:szCs w:val="28"/>
          <w:highlight w:val="none"/>
        </w:rPr>
        <w:t xml:space="preserve">关于符合本国产品标准的声明函（采购包号：**）</w:t>
      </w:r>
      <w:r/>
    </w:p>
    <w:p>
      <w:pPr>
        <w:pStyle w:val="802"/>
        <w:ind w:firstLine="420"/>
        <w:spacing w:before="0" w:beforeAutospacing="0" w:after="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rPr>
      </w:r>
      <w:r/>
    </w:p>
    <w:p>
      <w:pPr>
        <w:pStyle w:val="802"/>
        <w:ind w:firstLine="420"/>
        <w:spacing w:before="0" w:beforeAutospacing="0" w:after="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2"/>
        <w:ind w:firstLine="420"/>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4445" t="4445" r="10795" b="7620"/>
                <wp:wrapNone/>
                <wp:docPr id="2" name="任意多边形 2"/>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4976495</wp:posOffset>
                </wp:positionH>
                <wp:positionV relativeFrom="paragraph">
                  <wp:posOffset>309880</wp:posOffset>
                </wp:positionV>
                <wp:extent cx="196215" cy="97790"/>
                <wp:effectExtent l="4445" t="4445" r="8890" b="12065"/>
                <wp:wrapNone/>
                <wp:docPr id="3" name="任意多边形 5"/>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3109595</wp:posOffset>
                </wp:positionH>
                <wp:positionV relativeFrom="paragraph">
                  <wp:posOffset>511175</wp:posOffset>
                </wp:positionV>
                <wp:extent cx="816610" cy="147320"/>
                <wp:effectExtent l="4445" t="4445" r="7620" b="10160"/>
                <wp:wrapNone/>
                <wp:docPr id="4" name="任意多边形 6"/>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4445" t="4445" r="12065" b="12065"/>
                <wp:wrapNone/>
                <wp:docPr id="5" name="任意多边形 7"/>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4445" t="4445" r="8890" b="8255"/>
                <wp:wrapNone/>
                <wp:docPr id="6" name="任意多边形 8"/>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4445" t="5080" r="5080" b="8255"/>
                <wp:wrapNone/>
                <wp:docPr id="7" name="任意多边形 9"/>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4445" t="4445" r="7620" b="6350"/>
                <wp:wrapNone/>
                <wp:docPr id="8" name="任意多边形 10"/>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4445" t="4445" r="7620" b="5080"/>
                <wp:wrapNone/>
                <wp:docPr id="9" name="任意多边形 11"/>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auto"/>
          <w:highlight w:val="none"/>
          <w:shd w:val="clear" w:color="auto" w:fill="ffffff"/>
        </w:rPr>
        <w:t xml:space="preserve">1.</w:t>
      </w:r>
      <w:r>
        <w:rPr>
          <w:rStyle w:val="848"/>
          <w:rFonts w:hint="eastAsia" w:ascii="仿宋" w:hAnsi="仿宋" w:eastAsia="仿宋" w:cs="仿宋"/>
          <w:i w:val="0"/>
          <w:color w:val="auto"/>
          <w:highlight w:val="none"/>
          <w:u w:val="single"/>
          <w:shd w:val="clear" w:color="auto" w:fill="ffffff"/>
        </w:rPr>
        <w:t xml:space="preserve">（产品名称1）</w:t>
      </w:r>
      <w:r>
        <w:rPr>
          <w:rStyle w:val="848"/>
          <w:rFonts w:hint="eastAsia" w:ascii="仿宋" w:hAnsi="仿宋" w:eastAsia="仿宋" w:cs="仿宋"/>
          <w:i w:val="0"/>
          <w:color w:val="auto"/>
          <w:highlight w:val="none"/>
          <w:shd w:val="clear" w:color="auto" w:fill="ffffff"/>
          <w:vertAlign w:val="superscript"/>
        </w:rPr>
        <w:t xml:space="preserve">1</w:t>
      </w:r>
      <w:r>
        <w:rPr>
          <w:rFonts w:hint="eastAsia" w:ascii="仿宋" w:hAnsi="仿宋" w:eastAsia="仿宋" w:cs="仿宋"/>
          <w:color w:val="auto"/>
          <w:highlight w:val="none"/>
          <w:shd w:val="clear" w:color="auto" w:fill="ffffff"/>
        </w:rPr>
        <w:t xml:space="preserve">，生产厂为</w:t>
      </w:r>
      <w:r>
        <w:rPr>
          <w:rStyle w:val="848"/>
          <w:rFonts w:hint="eastAsia" w:ascii="仿宋" w:hAnsi="仿宋" w:eastAsia="仿宋" w:cs="仿宋"/>
          <w:i w:val="0"/>
          <w:color w:val="auto"/>
          <w:highlight w:val="none"/>
          <w:u w:val="single"/>
          <w:shd w:val="clear" w:color="auto" w:fill="ffffff"/>
        </w:rPr>
        <w:t xml:space="preserve">（厂名）</w:t>
      </w:r>
      <w:r>
        <w:rPr>
          <w:rStyle w:val="848"/>
          <w:rFonts w:hint="eastAsia" w:ascii="仿宋" w:hAnsi="仿宋" w:eastAsia="仿宋" w:cs="仿宋"/>
          <w:i w:val="0"/>
          <w:color w:val="auto"/>
          <w:highlight w:val="none"/>
          <w:shd w:val="clear" w:color="auto" w:fill="ffffff"/>
          <w:vertAlign w:val="superscript"/>
        </w:rPr>
        <w:t xml:space="preserve">2</w:t>
      </w:r>
      <w:r>
        <w:rPr>
          <w:rFonts w:hint="eastAsia" w:ascii="仿宋" w:hAnsi="仿宋" w:eastAsia="仿宋" w:cs="仿宋"/>
          <w:color w:val="auto"/>
          <w:highlight w:val="none"/>
          <w:shd w:val="clear" w:color="auto" w:fill="ffffff"/>
        </w:rPr>
        <w:t xml:space="preserve">，厂址为</w:t>
      </w:r>
      <w:r>
        <w:rPr>
          <w:rStyle w:val="848"/>
          <w:rFonts w:hint="eastAsia" w:ascii="仿宋" w:hAnsi="仿宋" w:eastAsia="仿宋" w:cs="仿宋"/>
          <w:i w:val="0"/>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Fonts w:hint="eastAsia" w:ascii="仿宋" w:hAnsi="仿宋" w:eastAsia="仿宋" w:cs="仿宋"/>
          <w:color w:val="auto"/>
          <w:highlight w:val="none"/>
          <w:u w:val="single"/>
          <w:shd w:val="clear" w:color="auto" w:fill="ffffff"/>
        </w:rPr>
        <w:t xml:space="preserve"> </w:t>
      </w:r>
      <w:r>
        <w:rPr>
          <w:rStyle w:val="848"/>
          <w:rFonts w:hint="eastAsia" w:ascii="仿宋" w:hAnsi="仿宋" w:eastAsia="仿宋" w:cs="仿宋"/>
          <w:i w:val="0"/>
          <w:color w:val="auto"/>
          <w:highlight w:val="none"/>
          <w:u w:val="single"/>
          <w:shd w:val="clear" w:color="auto" w:fill="ffffff"/>
        </w:rPr>
        <w:t xml:space="preserve">（产品名称1） </w:t>
      </w:r>
      <w:r>
        <w:rPr>
          <w:rFonts w:hint="eastAsia" w:ascii="仿宋" w:hAnsi="仿宋" w:eastAsia="仿宋" w:cs="仿宋"/>
          <w:color w:val="auto"/>
          <w:highlight w:val="none"/>
          <w:shd w:val="clear" w:color="auto" w:fill="ffffff"/>
        </w:rPr>
        <w:t xml:space="preserve">的中国境内生产的组件成本占比≥</w:t>
      </w:r>
      <w:r>
        <w:rPr>
          <w:rStyle w:val="848"/>
          <w:rFonts w:hint="eastAsia" w:ascii="仿宋" w:hAnsi="仿宋" w:eastAsia="仿宋" w:cs="仿宋"/>
          <w:i w:val="0"/>
          <w:color w:val="auto"/>
          <w:highlight w:val="none"/>
          <w:u w:val="single"/>
          <w:shd w:val="clear" w:color="auto" w:fill="ffffff"/>
        </w:rPr>
        <w:t xml:space="preserve">（规定比例）</w:t>
      </w:r>
      <w:r>
        <w:rPr>
          <w:rStyle w:val="848"/>
          <w:rFonts w:hint="eastAsia" w:ascii="仿宋" w:hAnsi="仿宋" w:eastAsia="仿宋" w:cs="仿宋"/>
          <w:i w:val="0"/>
          <w:color w:val="auto"/>
          <w:highlight w:val="none"/>
          <w:shd w:val="clear" w:color="auto" w:fill="ffffff"/>
          <w:vertAlign w:val="superscript"/>
        </w:rPr>
        <w:t xml:space="preserve">3</w:t>
      </w:r>
      <w:r>
        <w:rPr>
          <w:rFonts w:hint="eastAsia" w:ascii="仿宋" w:hAnsi="仿宋" w:eastAsia="仿宋" w:cs="仿宋"/>
          <w:color w:val="auto"/>
          <w:highlight w:val="none"/>
          <w:shd w:val="clear" w:color="auto" w:fill="ffffff"/>
        </w:rPr>
        <w:t xml:space="preserve">。</w:t>
      </w:r>
      <w:r>
        <w:rPr>
          <w:rStyle w:val="848"/>
          <w:rFonts w:hint="eastAsia" w:ascii="仿宋" w:hAnsi="仿宋" w:eastAsia="仿宋" w:cs="仿宋"/>
          <w:i w:val="0"/>
          <w:color w:val="auto"/>
          <w:highlight w:val="none"/>
          <w:u w:val="single"/>
          <w:shd w:val="clear" w:color="auto" w:fill="ffffff"/>
        </w:rPr>
        <w:t xml:space="preserve">（产品名称1）</w:t>
      </w:r>
      <w:r>
        <w:rPr>
          <w:rFonts w:hint="eastAsia" w:ascii="仿宋" w:hAnsi="仿宋" w:eastAsia="仿宋" w:cs="仿宋"/>
          <w:color w:val="auto"/>
          <w:highlight w:val="none"/>
          <w:shd w:val="clear" w:color="auto" w:fill="ffffff"/>
        </w:rPr>
        <w:t xml:space="preserve">的</w:t>
      </w:r>
      <w:r>
        <w:rPr>
          <w:rStyle w:val="848"/>
          <w:rFonts w:hint="eastAsia" w:ascii="仿宋" w:hAnsi="仿宋" w:eastAsia="仿宋" w:cs="仿宋"/>
          <w:i w:val="0"/>
          <w:color w:val="auto"/>
          <w:highlight w:val="none"/>
          <w:u w:val="single"/>
          <w:shd w:val="clear" w:color="auto" w:fill="ffffff"/>
        </w:rPr>
        <w:t xml:space="preserve">（关键组件）</w:t>
      </w:r>
      <w:r>
        <w:rPr>
          <w:rStyle w:val="848"/>
          <w:rFonts w:hint="eastAsia" w:ascii="仿宋" w:hAnsi="仿宋" w:eastAsia="仿宋" w:cs="仿宋"/>
          <w:i w:val="0"/>
          <w:color w:val="auto"/>
          <w:highlight w:val="none"/>
          <w:shd w:val="clear" w:color="auto" w:fill="ffffff"/>
          <w:vertAlign w:val="superscript"/>
        </w:rPr>
        <w:t xml:space="preserve">4</w:t>
      </w:r>
      <w:r>
        <w:rPr>
          <w:rFonts w:hint="eastAsia" w:ascii="仿宋" w:hAnsi="仿宋" w:eastAsia="仿宋" w:cs="仿宋"/>
          <w:color w:val="auto"/>
          <w:highlight w:val="none"/>
          <w:shd w:val="clear" w:color="auto" w:fill="ffffff"/>
        </w:rPr>
        <w:t xml:space="preserve">在中国境内生产。</w:t>
      </w:r>
      <w:r>
        <w:rPr>
          <w:rStyle w:val="848"/>
          <w:rFonts w:hint="eastAsia" w:ascii="仿宋" w:hAnsi="仿宋" w:eastAsia="仿宋" w:cs="仿宋"/>
          <w:i w:val="0"/>
          <w:color w:val="auto"/>
          <w:highlight w:val="none"/>
          <w:u w:val="single"/>
          <w:shd w:val="clear" w:color="auto" w:fill="ffffff"/>
        </w:rPr>
        <w:t xml:space="preserve">（产品名称1）</w:t>
      </w:r>
      <w:r>
        <w:rPr>
          <w:rFonts w:hint="eastAsia" w:ascii="仿宋" w:hAnsi="仿宋" w:eastAsia="仿宋" w:cs="仿宋"/>
          <w:color w:val="auto"/>
          <w:highlight w:val="none"/>
          <w:shd w:val="clear" w:color="auto" w:fill="ffffff"/>
        </w:rPr>
        <w:t xml:space="preserve">的</w:t>
      </w:r>
      <w:r>
        <w:rPr>
          <w:rStyle w:val="848"/>
          <w:rFonts w:hint="eastAsia" w:ascii="仿宋" w:hAnsi="仿宋" w:eastAsia="仿宋" w:cs="仿宋"/>
          <w:i w:val="0"/>
          <w:color w:val="auto"/>
          <w:highlight w:val="none"/>
          <w:u w:val="single"/>
          <w:shd w:val="clear" w:color="auto" w:fill="ffffff"/>
        </w:rPr>
        <w:t xml:space="preserve">（关键工序）</w:t>
      </w:r>
      <w:r>
        <w:rPr>
          <w:rStyle w:val="848"/>
          <w:rFonts w:hint="eastAsia" w:ascii="仿宋" w:hAnsi="仿宋" w:eastAsia="仿宋" w:cs="仿宋"/>
          <w:i w:val="0"/>
          <w:color w:val="auto"/>
          <w:highlight w:val="none"/>
          <w:shd w:val="clear" w:color="auto" w:fill="ffffff"/>
          <w:vertAlign w:val="superscript"/>
        </w:rPr>
        <w:t xml:space="preserve">5</w:t>
      </w:r>
      <w:r>
        <w:rPr>
          <w:rFonts w:hint="eastAsia" w:ascii="仿宋" w:hAnsi="仿宋" w:eastAsia="仿宋" w:cs="仿宋"/>
          <w:color w:val="auto"/>
          <w:highlight w:val="none"/>
          <w:shd w:val="clear" w:color="auto" w:fill="ffffff"/>
        </w:rPr>
        <w:t xml:space="preserve">在中国境内完成。</w:t>
      </w:r>
      <w:r/>
    </w:p>
    <w:p>
      <w:pPr>
        <w:pStyle w:val="802"/>
        <w:ind w:firstLine="420"/>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4445" t="4445" r="9525" b="10160"/>
                <wp:wrapNone/>
                <wp:docPr id="10" name="任意多边形 12"/>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4445" t="5080" r="8890" b="6350"/>
                <wp:wrapNone/>
                <wp:docPr id="11" name="任意多边形 13"/>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4445" t="4445" r="8890" b="13335"/>
                <wp:wrapNone/>
                <wp:docPr id="12" name="任意多边形 14"/>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4445" t="4445" r="10795" b="12065"/>
                <wp:wrapNone/>
                <wp:docPr id="13" name="任意多边形 15"/>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1734185</wp:posOffset>
                </wp:positionH>
                <wp:positionV relativeFrom="paragraph">
                  <wp:posOffset>483235</wp:posOffset>
                </wp:positionV>
                <wp:extent cx="908685" cy="140970"/>
                <wp:effectExtent l="4445" t="4445" r="10795" b="6985"/>
                <wp:wrapNone/>
                <wp:docPr id="14" name="任意多边形 16"/>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2914015</wp:posOffset>
                </wp:positionH>
                <wp:positionV relativeFrom="paragraph">
                  <wp:posOffset>511810</wp:posOffset>
                </wp:positionV>
                <wp:extent cx="821690" cy="102870"/>
                <wp:effectExtent l="4445" t="4445" r="12065" b="6985"/>
                <wp:wrapNone/>
                <wp:docPr id="15" name="任意多边形 17"/>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3615690</wp:posOffset>
                </wp:positionH>
                <wp:positionV relativeFrom="paragraph">
                  <wp:posOffset>277495</wp:posOffset>
                </wp:positionV>
                <wp:extent cx="849630" cy="120015"/>
                <wp:effectExtent l="4445" t="5080" r="12700" b="8255"/>
                <wp:wrapNone/>
                <wp:docPr id="16" name="任意多边形 18"/>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2554605</wp:posOffset>
                </wp:positionH>
                <wp:positionV relativeFrom="paragraph">
                  <wp:posOffset>271780</wp:posOffset>
                </wp:positionV>
                <wp:extent cx="843915" cy="125730"/>
                <wp:effectExtent l="4445" t="4445" r="8890" b="12700"/>
                <wp:wrapNone/>
                <wp:docPr id="17" name="任意多边形 19"/>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auto"/>
          <w:highlight w:val="none"/>
          <w:shd w:val="clear" w:color="auto" w:fill="ffffff"/>
        </w:rPr>
        <w:t xml:space="preserve">2.</w:t>
      </w:r>
      <w:r>
        <w:rPr>
          <w:rStyle w:val="848"/>
          <w:rFonts w:hint="eastAsia" w:ascii="仿宋" w:hAnsi="仿宋" w:eastAsia="仿宋" w:cs="仿宋"/>
          <w:i w:val="0"/>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，生产厂为</w:t>
      </w:r>
      <w:r>
        <w:rPr>
          <w:rStyle w:val="848"/>
          <w:rFonts w:hint="eastAsia" w:ascii="仿宋" w:hAnsi="仿宋" w:eastAsia="仿宋" w:cs="仿宋"/>
          <w:i w:val="0"/>
          <w:color w:val="auto"/>
          <w:highlight w:val="none"/>
          <w:u w:val="single"/>
          <w:shd w:val="clear" w:color="auto" w:fill="ffffff"/>
        </w:rPr>
        <w:t xml:space="preserve">（厂名）</w:t>
      </w:r>
      <w:r>
        <w:rPr>
          <w:rFonts w:hint="eastAsia" w:ascii="仿宋" w:hAnsi="仿宋" w:eastAsia="仿宋" w:cs="仿宋"/>
          <w:color w:val="auto"/>
          <w:highlight w:val="none"/>
          <w:shd w:val="clear" w:color="auto" w:fill="ffffff"/>
        </w:rPr>
        <w:t xml:space="preserve">，厂址为</w:t>
      </w:r>
      <w:r>
        <w:rPr>
          <w:rStyle w:val="848"/>
          <w:rFonts w:hint="eastAsia" w:ascii="仿宋" w:hAnsi="仿宋" w:eastAsia="仿宋" w:cs="仿宋"/>
          <w:i w:val="0"/>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Style w:val="848"/>
          <w:rFonts w:hint="eastAsia" w:ascii="仿宋" w:hAnsi="仿宋" w:eastAsia="仿宋" w:cs="仿宋"/>
          <w:i w:val="0"/>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的中国境内生产的组件成本占比≥</w:t>
      </w:r>
      <w:r>
        <w:rPr>
          <w:rStyle w:val="848"/>
          <w:rFonts w:hint="eastAsia" w:ascii="仿宋" w:hAnsi="仿宋" w:eastAsia="仿宋" w:cs="仿宋"/>
          <w:i w:val="0"/>
          <w:color w:val="auto"/>
          <w:highlight w:val="none"/>
          <w:u w:val="single"/>
          <w:shd w:val="clear" w:color="auto" w:fill="ffffff"/>
        </w:rPr>
        <w:t xml:space="preserve">（规定比例）</w:t>
      </w:r>
      <w:r>
        <w:rPr>
          <w:rFonts w:hint="eastAsia" w:ascii="仿宋" w:hAnsi="仿宋" w:eastAsia="仿宋" w:cs="仿宋"/>
          <w:color w:val="auto"/>
          <w:highlight w:val="none"/>
          <w:shd w:val="clear" w:color="auto" w:fill="ffffff"/>
        </w:rPr>
        <w:t xml:space="preserve">。</w:t>
      </w:r>
      <w:r>
        <w:rPr>
          <w:rStyle w:val="848"/>
          <w:rFonts w:hint="eastAsia" w:ascii="仿宋" w:hAnsi="仿宋" w:eastAsia="仿宋" w:cs="仿宋"/>
          <w:i w:val="0"/>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的</w:t>
      </w:r>
      <w:r>
        <w:rPr>
          <w:rStyle w:val="848"/>
          <w:rFonts w:hint="eastAsia" w:ascii="仿宋" w:hAnsi="仿宋" w:eastAsia="仿宋" w:cs="仿宋"/>
          <w:i w:val="0"/>
          <w:color w:val="auto"/>
          <w:highlight w:val="none"/>
          <w:u w:val="single"/>
          <w:shd w:val="clear" w:color="auto" w:fill="ffffff"/>
        </w:rPr>
        <w:t xml:space="preserve">（关键组件）</w:t>
      </w:r>
      <w:r>
        <w:rPr>
          <w:rFonts w:hint="eastAsia" w:ascii="仿宋" w:hAnsi="仿宋" w:eastAsia="仿宋" w:cs="仿宋"/>
          <w:color w:val="auto"/>
          <w:highlight w:val="none"/>
          <w:shd w:val="clear" w:color="auto" w:fill="ffffff"/>
        </w:rPr>
        <w:t xml:space="preserve">在中国境内生产。</w:t>
      </w:r>
      <w:r>
        <w:rPr>
          <w:rStyle w:val="848"/>
          <w:rFonts w:hint="eastAsia" w:ascii="仿宋" w:hAnsi="仿宋" w:eastAsia="仿宋" w:cs="仿宋"/>
          <w:i w:val="0"/>
          <w:color w:val="auto"/>
          <w:highlight w:val="none"/>
          <w:u w:val="single"/>
          <w:shd w:val="clear" w:color="auto" w:fill="ffffff"/>
        </w:rPr>
        <w:t xml:space="preserve">（产品名称1）</w:t>
      </w:r>
      <w:r>
        <w:rPr>
          <w:rFonts w:hint="eastAsia" w:ascii="仿宋" w:hAnsi="仿宋" w:eastAsia="仿宋" w:cs="仿宋"/>
          <w:color w:val="auto"/>
          <w:highlight w:val="none"/>
          <w:shd w:val="clear" w:color="auto" w:fill="ffffff"/>
        </w:rPr>
        <w:t xml:space="preserve">的</w:t>
      </w:r>
      <w:r>
        <w:rPr>
          <w:rStyle w:val="848"/>
          <w:rFonts w:hint="eastAsia" w:ascii="仿宋" w:hAnsi="仿宋" w:eastAsia="仿宋" w:cs="仿宋"/>
          <w:i w:val="0"/>
          <w:color w:val="auto"/>
          <w:highlight w:val="none"/>
          <w:u w:val="single"/>
          <w:shd w:val="clear" w:color="auto" w:fill="ffffff"/>
        </w:rPr>
        <w:t xml:space="preserve">（关键工序）</w:t>
      </w:r>
      <w:r>
        <w:rPr>
          <w:rFonts w:hint="eastAsia" w:ascii="仿宋" w:hAnsi="仿宋" w:eastAsia="仿宋" w:cs="仿宋"/>
          <w:color w:val="auto"/>
          <w:highlight w:val="none"/>
          <w:shd w:val="clear" w:color="auto" w:fill="ffffff"/>
        </w:rPr>
        <w:t xml:space="preserve">在中国境内完成。</w:t>
      </w:r>
      <w:r/>
    </w:p>
    <w:p>
      <w:pPr>
        <w:pStyle w:val="802"/>
        <w:ind w:firstLine="420"/>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w:t>
      </w:r>
      <w:r/>
    </w:p>
    <w:p>
      <w:pPr>
        <w:pStyle w:val="802"/>
        <w:ind w:firstLine="420"/>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本公司（单位）对上述声明内容的真实性负责。如有虚假，愿承担相应法律责任。</w:t>
      </w:r>
      <w:r/>
    </w:p>
    <w:p>
      <w:pPr>
        <w:pStyle w:val="802"/>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rPr>
      </w:r>
      <w:r/>
    </w:p>
    <w:p>
      <w:pPr>
        <w:pStyle w:val="802"/>
        <w:ind w:right="480" w:firstLine="3720"/>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公司（单位）名称（盖章）：　        </w:t>
      </w:r>
      <w:r/>
    </w:p>
    <w:p>
      <w:pPr>
        <w:pStyle w:val="802"/>
        <w:jc w:val="center"/>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                                日期：　   年　  月　  日         </w:t>
      </w:r>
      <w:r/>
    </w:p>
    <w:p>
      <w:pPr>
        <w:pStyle w:val="802"/>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__________________</w:t>
      </w:r>
      <w:r/>
    </w:p>
    <w:p>
      <w:pPr>
        <w:pStyle w:val="802"/>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1.产品如有型号，请在“产品名称”栏一并填写。</w:t>
      </w:r>
      <w:r/>
    </w:p>
    <w:p>
      <w:pPr>
        <w:pStyle w:val="802"/>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2.生产厂名与厂址应与生产厂营业执照载明的相关信息保持一致。</w:t>
      </w:r>
      <w:r/>
    </w:p>
    <w:p>
      <w:pPr>
        <w:pStyle w:val="802"/>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3.该产品的中国境内生产的组件成本占比相关要求实施前，“规定比例”栏可不填，下同。</w:t>
      </w:r>
      <w:r/>
    </w:p>
    <w:p>
      <w:pPr>
        <w:pStyle w:val="802"/>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4.该产品的关键组件要求实施前，“关键组件”栏可不填，下同。</w:t>
      </w:r>
      <w:r/>
    </w:p>
    <w:p>
      <w:pPr>
        <w:pStyle w:val="802"/>
        <w:spacing w:before="30" w:beforeAutospacing="0" w:after="30" w:afterAutospacing="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5.该产品的关键工序要求实施前，“关键工序”栏可不填，下同。</w:t>
      </w:r>
      <w:r/>
    </w:p>
    <w:p>
      <w:pPr>
        <w:pStyle w:val="802"/>
        <w:spacing w:before="30" w:beforeAutospacing="0" w:after="30" w:afterAutospacing="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6.用斜线划除的地方无需填写。</w:t>
      </w:r>
      <w:r/>
    </w:p>
    <w:p>
      <w:pPr>
        <w:rPr>
          <w:rFonts w:ascii="仿宋" w:hAnsi="仿宋" w:eastAsia="仿宋" w:cs="仿宋"/>
          <w:color w:val="auto"/>
          <w:sz w:val="28"/>
          <w:szCs w:val="28"/>
          <w:highlight w:val="none"/>
          <w:lang w:val="en-US" w:eastAsia="zh-CN" w:bidi="ar"/>
        </w:rPr>
      </w:pPr>
      <w:r>
        <w:rPr>
          <w:rFonts w:ascii="仿宋" w:hAnsi="仿宋" w:eastAsia="仿宋" w:cs="仿宋"/>
          <w:color w:val="auto"/>
          <w:sz w:val="28"/>
          <w:szCs w:val="28"/>
          <w:highlight w:val="none"/>
          <w:lang w:val="en-US" w:eastAsia="zh-CN" w:bidi="ar"/>
        </w:rPr>
        <w:br w:type="page" w:clear="all"/>
      </w:r>
      <w:r/>
    </w:p>
    <w:p>
      <w:pPr>
        <w:jc w:val="left"/>
        <w:keepLines w:val="0"/>
        <w:keepNext w:val="0"/>
        <w:pageBreakBefore w:val="0"/>
        <w:spacing w:line="700" w:lineRule="exact"/>
        <w:widowControl/>
        <w:rPr>
          <w:rFonts w:hint="default" w:ascii="仿宋" w:hAnsi="仿宋" w:eastAsia="仿宋" w:cs="仿宋"/>
          <w:color w:val="auto"/>
          <w:sz w:val="28"/>
          <w:szCs w:val="28"/>
          <w:highlight w:val="none"/>
          <w:lang w:val="en-US" w:eastAsia="zh-CN" w:bidi="ar"/>
        </w:rPr>
        <w:suppressLineNumbers w:val="0"/>
      </w:pPr>
      <w:r>
        <w:rPr>
          <w:rFonts w:ascii="仿宋" w:hAnsi="仿宋" w:eastAsia="仿宋" w:cs="仿宋"/>
          <w:color w:val="auto"/>
          <w:sz w:val="28"/>
          <w:szCs w:val="28"/>
          <w:highlight w:val="none"/>
          <w:lang w:val="en-US" w:eastAsia="zh-CN" w:bidi="ar"/>
        </w:rPr>
        <w:t xml:space="preserve">附件</w:t>
      </w:r>
      <w:r>
        <w:rPr>
          <w:rFonts w:hint="eastAsia" w:ascii="仿宋" w:hAnsi="仿宋" w:eastAsia="仿宋" w:cs="仿宋"/>
          <w:color w:val="auto"/>
          <w:sz w:val="28"/>
          <w:szCs w:val="28"/>
          <w:highlight w:val="none"/>
          <w:lang w:val="en-US" w:eastAsia="zh-CN" w:bidi="ar"/>
        </w:rPr>
        <w:t xml:space="preserve">15</w:t>
      </w:r>
      <w:r/>
    </w:p>
    <w:p>
      <w:pPr>
        <w:jc w:val="center"/>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t xml:space="preserve">办理政采贷和履约保函（保险）告知函</w:t>
      </w:r>
      <w:r/>
    </w:p>
    <w:p>
      <w:pPr>
        <w:rPr>
          <w:rFonts w:ascii="Times New Roman" w:hAnsi="Times New Roman" w:eastAsia="仿宋_GB2312;仿宋" w:cs="Times New Roman"/>
          <w:b/>
          <w:bCs/>
          <w:color w:val="auto"/>
          <w:sz w:val="32"/>
          <w:szCs w:val="28"/>
          <w:highlight w:val="none"/>
        </w:rPr>
      </w:pPr>
      <w:r>
        <w:rPr>
          <w:rFonts w:ascii="Times New Roman" w:hAnsi="Times New Roman" w:eastAsia="仿宋_GB2312;仿宋" w:cs="Times New Roman"/>
          <w:b/>
          <w:bCs/>
          <w:color w:val="auto"/>
          <w:sz w:val="32"/>
          <w:szCs w:val="28"/>
          <w:highlight w:val="none"/>
        </w:rPr>
      </w:r>
      <w:r/>
    </w:p>
    <w:p>
      <w:pPr>
        <w:ind w:right="0" w:firstLine="480"/>
        <w:jc w:val="left"/>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各政府采购供应商：</w:t>
      </w:r>
      <w:r/>
    </w:p>
    <w:p>
      <w:pPr>
        <w:ind w:right="0" w:firstLine="480"/>
        <w:jc w:val="left"/>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欢迎贵公司参与南通市政府采购活动！</w:t>
      </w:r>
      <w:r/>
    </w:p>
    <w:p>
      <w:pPr>
        <w:ind w:right="0" w:firstLine="480"/>
        <w:jc w:val="left"/>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right="0" w:firstLine="480"/>
        <w:jc w:val="left"/>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w:t>
      </w:r>
      <w:r>
        <w:rPr>
          <w:rFonts w:ascii="仿宋" w:hAnsi="仿宋" w:eastAsia="仿宋" w:cs="仿宋"/>
          <w:color w:val="auto"/>
          <w:sz w:val="24"/>
          <w:szCs w:val="24"/>
          <w:highlight w:val="none"/>
          <w:lang w:val="en-US" w:eastAsia="zh-CN"/>
        </w:rPr>
        <w:t xml:space="preserve">57</w:t>
      </w:r>
      <w:r>
        <w:rPr>
          <w:rFonts w:ascii="仿宋" w:hAnsi="仿宋" w:eastAsia="仿宋" w:cs="仿宋"/>
          <w:color w:val="auto"/>
          <w:sz w:val="24"/>
          <w:szCs w:val="24"/>
          <w:highlight w:val="none"/>
        </w:rPr>
        <w:t xml:space="preserve">号）和《关于深入开展南通市政府采购线上合同信用融资业务的通知》（通财购〔2022〕68号），按照双方自愿的原则提供便捷、优惠的服务。</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color w:val="auto"/>
          <w:highlight w:val="none"/>
        </w:rPr>
      </w:pPr>
      <w:r>
        <w:rPr>
          <w:rFonts w:ascii="仿宋" w:hAnsi="仿宋" w:eastAsia="仿宋" w:cs="仿宋"/>
          <w:color w:val="auto"/>
          <w:highlight w:val="none"/>
        </w:rPr>
      </w:r>
      <w:r/>
    </w:p>
    <w:p>
      <w:pPr>
        <w:contextualSpacing/>
        <w:spacing w:before="0" w:after="0"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contextualSpacing/>
        <w:ind w:right="0" w:firstLine="562"/>
        <w:spacing w:before="0" w:after="0"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spacing w:line="360" w:lineRule="auto"/>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spacing w:line="360" w:lineRule="auto"/>
        <w:rPr>
          <w:rFonts w:ascii="仿宋" w:hAnsi="仿宋" w:eastAsia="仿宋" w:cs="仿宋"/>
          <w:color w:val="auto"/>
          <w:highlight w:val="none"/>
        </w:rPr>
      </w:pPr>
      <w:r>
        <w:rPr>
          <w:rFonts w:ascii="仿宋" w:hAnsi="仿宋" w:eastAsia="仿宋" w:cs="仿宋"/>
          <w:color w:val="auto"/>
          <w:highlight w:val="none"/>
        </w:rPr>
      </w:r>
      <w:r/>
    </w:p>
    <w:sectPr>
      <w:headerReference w:type="default" r:id="rId11"/>
      <w:headerReference w:type="first" r:id="rId12"/>
      <w:footerReference w:type="default" r:id="rId15"/>
      <w:footerReference w:type="first" r:id="rId16"/>
      <w:footnotePr/>
      <w:endnotePr/>
      <w:type w:val="nextPage"/>
      <w:pgSz w:w="11906" w:h="16838" w:orient="portrait"/>
      <w:pgMar w:top="1418" w:right="1081"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Tahoma">
    <w:panose1 w:val="020B0604030504040204"/>
  </w:font>
  <w:font w:name="方正小标宋_GBK;微软雅黑">
    <w:panose1 w:val="020B0503020202020204"/>
  </w:font>
  <w:font w:name="Noto Sans CJK SC">
    <w:panose1 w:val="020B0503020202020204"/>
  </w:font>
  <w:font w:name="Wingdings">
    <w:panose1 w:val="05000000000000000000"/>
  </w:font>
  <w:font w:name="Liberation Sans">
    <w:panose1 w:val="020B0604020202020204"/>
  </w:font>
  <w:font w:name="Calibri">
    <w:panose1 w:val="020F0502020204030204"/>
  </w:font>
  <w:font w:name="仿宋_GB2312;仿宋">
    <w:panose1 w:val="02010609060101010101"/>
  </w:font>
  <w:font w:name="Lohit Devanagari">
    <w:panose1 w:val="020B0600000000000000"/>
  </w:font>
  <w:font w:name="Courier New">
    <w:panose1 w:val="02070309020205020404"/>
  </w:font>
  <w:font w:name="方正黑体_GBK;微软雅黑">
    <w:panose1 w:val="020B0503020202020204"/>
  </w:font>
  <w:font w:name="Verdana">
    <w:panose1 w:val="020B0604030504040204"/>
  </w:font>
  <w:font w:name="黑体">
    <w:panose1 w:val="02010609060101010101"/>
  </w:font>
  <w:font w:name="幼圆;宋体">
    <w:panose1 w:val="02010509060101010101"/>
  </w:font>
  <w:font w:name="楷体_GB2312;楷体">
    <w:panose1 w:val="02010609060101010101"/>
  </w:font>
  <w:font w:name="Arial">
    <w:panose1 w:val="020B0604020202020204"/>
  </w:font>
  <w:font w:name="Arial Unicode MS;宋体">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rPr>
        <w:rFonts w:eastAsia="Times New Roman"/>
        <w:b/>
        <w:i/>
        <w:sz w:val="20"/>
      </w:rPr>
    </w:pPr>
    <w:r>
      <w:rPr>
        <w:rFonts w:eastAsia="Times New Roman"/>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rPr>
        <w:rFonts w:eastAsia="Times New Roman"/>
        <w:b/>
        <w:i/>
        <w:sz w:val="20"/>
      </w:rPr>
    </w:pPr>
    <w:r>
      <w:rPr>
        <w:rFonts w:eastAsia="Times New Roman"/>
        <w:b/>
        <w:i/>
        <w:sz w:val="20"/>
      </w:rPr>
      <w:t xml:space="preserve"> </w:t>
    </w:r>
    <w:r>
      <mc:AlternateContent>
        <mc:Choice Requires="wpg">
          <w:drawing>
            <wp:anchor xmlns:wp="http://schemas.openxmlformats.org/drawingml/2006/wordprocessingDrawing" xmlns:wp14="http://schemas.microsoft.com/office/word/2010/wordprocessingDrawing" distT="0" distB="0" distL="114935" distR="114935" simplePos="0" relativeHeight="251661312" behindDoc="1" locked="0" layoutInCell="0" allowOverlap="1">
              <wp:simplePos x="0" y="0"/>
              <wp:positionH relativeFrom="margin">
                <wp:align>center</wp:align>
              </wp:positionH>
              <wp:positionV relativeFrom="paragraph">
                <wp:posOffset>635</wp:posOffset>
              </wp:positionV>
              <wp:extent cx="132080" cy="156845"/>
              <wp:effectExtent l="0" t="0" r="0" b="0"/>
              <wp:wrapNone/>
              <wp:docPr id="1" name="Frame2"/>
              <wp:cNvGraphicFramePr/>
              <a:graphic xmlns:a="http://schemas.openxmlformats.org/drawingml/2006/main">
                <a:graphicData uri="http://schemas.microsoft.com/office/word/2010/wordprocessingShape">
                  <wps:wsp>
                    <wps:cNvPr id="0" name=""/>
                    <wps:cNvSpPr txBox="1"/>
                    <wps:spPr bwMode="auto">
                      <a:xfrm>
                        <a:off x="0" y="0"/>
                        <a:ext cx="132080" cy="156845"/>
                      </a:xfrm>
                      <a:prstGeom prst="rect">
                        <a:avLst/>
                      </a:prstGeom>
                      <a:solidFill>
                        <a:srgbClr val="FFFFFF">
                          <a:alpha val="0"/>
                        </a:srgbClr>
                      </a:solidFill>
                    </wps:spPr>
                    <wps:txbx>
                      <w:txbxContent>
                        <w:p>
                          <w:pPr>
                            <w:pStyle w:val="735"/>
                            <w:rPr>
                              <w:rFonts w:ascii="宋体" w:hAnsi="宋体" w:cs="宋体"/>
                            </w:rPr>
                          </w:pPr>
                          <w:r>
                            <w:rPr>
                              <w:rFonts w:ascii="宋体" w:hAnsi="宋体" w:cs="宋体"/>
                            </w:rPr>
                            <w:fldChar w:fldCharType="begin"/>
                          </w:r>
                          <w:r>
                            <w:rPr>
                              <w:rFonts w:ascii="宋体" w:hAnsi="宋体" w:cs="宋体"/>
                            </w:rPr>
                            <w:instrText xml:space="preserve"> PAGE </w:instrText>
                          </w:r>
                          <w:r>
                            <w:rPr>
                              <w:rFonts w:ascii="宋体" w:hAnsi="宋体" w:cs="宋体"/>
                            </w:rPr>
                            <w:fldChar w:fldCharType="separate"/>
                          </w:r>
                          <w:r>
                            <w:rPr>
                              <w:rFonts w:ascii="宋体" w:hAnsi="宋体" w:cs="宋体"/>
                            </w:rPr>
                            <w:t xml:space="preserve">55</w:t>
                          </w:r>
                          <w:r>
                            <w:rPr>
                              <w:rFonts w:ascii="宋体" w:hAnsi="宋体" w:cs="宋体"/>
                            </w:rPr>
                            <w:fldChar w:fldCharType="end"/>
                          </w:r>
                          <w:r/>
                        </w:p>
                      </w:txbxContent>
                    </wps:txbx>
                    <wps:bodyPr lIns="635" tIns="635" rIns="635" bIns="635" anchor="t">
                      <a:spAutoFit/>
                    </wps:bodyPr>
                  </wps:wsp>
                </a:graphicData>
              </a:graphic>
            </wp:anchor>
          </w:drawing>
        </mc:Choice>
        <mc:Fallback>
          <w:pict>
            <v:shape id="shape 0" o:spid="_x0000_s0" o:spt="202" type="#_x0000_t202" style="position:absolute;z-index:-251661312;o:allowoverlap:true;o:allowincell:false;mso-position-horizontal-relative:margin;mso-position-horizontal:center;mso-position-vertical-relative:text;margin-top:0.0pt;mso-position-vertical:absolute;width:10.4pt;height:12.3pt;mso-wrap-distance-left:9.0pt;mso-wrap-distance-top:0.0pt;mso-wrap-distance-right:9.0pt;mso-wrap-distance-bottom:0.0pt;v-text-anchor:top;visibility:visible;" fillcolor="#FFFFFF">
              <v:fill opacity="100f"/>
              <v:textbox inset="0,0,0,0">
                <w:txbxContent>
                  <w:p>
                    <w:pPr>
                      <w:pStyle w:val="735"/>
                      <w:rPr>
                        <w:rFonts w:ascii="宋体" w:hAnsi="宋体" w:cs="宋体"/>
                      </w:rPr>
                    </w:pPr>
                    <w:r>
                      <w:rPr>
                        <w:rFonts w:ascii="宋体" w:hAnsi="宋体" w:cs="宋体"/>
                      </w:rPr>
                      <w:fldChar w:fldCharType="begin"/>
                    </w:r>
                    <w:r>
                      <w:rPr>
                        <w:rFonts w:ascii="宋体" w:hAnsi="宋体" w:cs="宋体"/>
                      </w:rPr>
                      <w:instrText xml:space="preserve"> PAGE </w:instrText>
                    </w:r>
                    <w:r>
                      <w:rPr>
                        <w:rFonts w:ascii="宋体" w:hAnsi="宋体" w:cs="宋体"/>
                      </w:rPr>
                      <w:fldChar w:fldCharType="separate"/>
                    </w:r>
                    <w:r>
                      <w:rPr>
                        <w:rFonts w:ascii="宋体" w:hAnsi="宋体" w:cs="宋体"/>
                      </w:rPr>
                      <w:t xml:space="preserve">55</w:t>
                    </w:r>
                    <w:r>
                      <w:rPr>
                        <w:rFonts w:ascii="宋体" w:hAnsi="宋体" w:cs="宋体"/>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09"/>
      <w:isLgl w:val="false"/>
      <w:suff w:val="tab"/>
      <w:lvlText w:val="附录%1."/>
      <w:lvlJc w:val="left"/>
      <w:pPr>
        <w:ind w:left="907" w:hanging="907"/>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1400" w:hanging="420"/>
        <w:tabs>
          <w:tab w:val="left" w:pos="1400" w:leader="none"/>
        </w:tabs>
      </w:pPr>
      <w:rPr>
        <w:rFonts w:hint="default" w:ascii="Wingdings" w:hAnsi="Wingdings"/>
        <w:color w:val="auto"/>
      </w:rPr>
    </w:lvl>
    <w:lvl w:ilvl="1">
      <w:start w:val="1"/>
      <w:numFmt w:val="bullet"/>
      <w:isLgl w:val="false"/>
      <w:suff w:val="tab"/>
      <w:lvlText w:val=""/>
      <w:lvlJc w:val="left"/>
      <w:pPr>
        <w:ind w:left="1820" w:hanging="420"/>
        <w:tabs>
          <w:tab w:val="left" w:pos="1820" w:leader="none"/>
        </w:tabs>
      </w:pPr>
      <w:rPr>
        <w:rFonts w:hint="default" w:ascii="Wingdings" w:hAnsi="Wingdings"/>
      </w:rPr>
    </w:lvl>
    <w:lvl w:ilvl="2">
      <w:start w:val="1"/>
      <w:numFmt w:val="bullet"/>
      <w:isLgl w:val="false"/>
      <w:suff w:val="tab"/>
      <w:lvlText w:val=""/>
      <w:lvlJc w:val="left"/>
      <w:pPr>
        <w:ind w:left="2240" w:hanging="420"/>
        <w:tabs>
          <w:tab w:val="left" w:pos="2240" w:leader="none"/>
        </w:tabs>
      </w:pPr>
      <w:rPr>
        <w:rFonts w:hint="default" w:ascii="Wingdings" w:hAnsi="Wingdings"/>
      </w:rPr>
    </w:lvl>
    <w:lvl w:ilvl="3">
      <w:start w:val="1"/>
      <w:numFmt w:val="bullet"/>
      <w:isLgl w:val="false"/>
      <w:suff w:val="tab"/>
      <w:lvlText w:val=""/>
      <w:lvlJc w:val="left"/>
      <w:pPr>
        <w:ind w:left="2660" w:hanging="420"/>
        <w:tabs>
          <w:tab w:val="left" w:pos="2660" w:leader="none"/>
        </w:tabs>
      </w:pPr>
      <w:rPr>
        <w:rFonts w:hint="default" w:ascii="Wingdings" w:hAnsi="Wingdings"/>
      </w:rPr>
    </w:lvl>
    <w:lvl w:ilvl="4">
      <w:start w:val="1"/>
      <w:numFmt w:val="bullet"/>
      <w:isLgl w:val="false"/>
      <w:suff w:val="tab"/>
      <w:lvlText w:val=""/>
      <w:lvlJc w:val="left"/>
      <w:pPr>
        <w:ind w:left="3080" w:hanging="420"/>
        <w:tabs>
          <w:tab w:val="left" w:pos="3080" w:leader="none"/>
        </w:tabs>
      </w:pPr>
      <w:rPr>
        <w:rFonts w:hint="default" w:ascii="Wingdings" w:hAnsi="Wingdings"/>
      </w:rPr>
    </w:lvl>
    <w:lvl w:ilvl="5">
      <w:start w:val="1"/>
      <w:numFmt w:val="bullet"/>
      <w:isLgl w:val="false"/>
      <w:suff w:val="tab"/>
      <w:lvlText w:val=""/>
      <w:lvlJc w:val="left"/>
      <w:pPr>
        <w:ind w:left="3500" w:hanging="420"/>
        <w:tabs>
          <w:tab w:val="left" w:pos="3500" w:leader="none"/>
        </w:tabs>
      </w:pPr>
      <w:rPr>
        <w:rFonts w:hint="default" w:ascii="Wingdings" w:hAnsi="Wingdings"/>
      </w:rPr>
    </w:lvl>
    <w:lvl w:ilvl="6">
      <w:start w:val="1"/>
      <w:numFmt w:val="bullet"/>
      <w:isLgl w:val="false"/>
      <w:suff w:val="tab"/>
      <w:lvlText w:val=""/>
      <w:lvlJc w:val="left"/>
      <w:pPr>
        <w:ind w:left="3920" w:hanging="420"/>
        <w:tabs>
          <w:tab w:val="left" w:pos="3920" w:leader="none"/>
        </w:tabs>
      </w:pPr>
      <w:rPr>
        <w:rFonts w:hint="default" w:ascii="Wingdings" w:hAnsi="Wingdings"/>
      </w:rPr>
    </w:lvl>
    <w:lvl w:ilvl="7">
      <w:start w:val="1"/>
      <w:numFmt w:val="bullet"/>
      <w:isLgl w:val="false"/>
      <w:suff w:val="tab"/>
      <w:lvlText w:val=""/>
      <w:lvlJc w:val="left"/>
      <w:pPr>
        <w:ind w:left="4340" w:hanging="420"/>
        <w:tabs>
          <w:tab w:val="left" w:pos="4340" w:leader="none"/>
        </w:tabs>
      </w:pPr>
      <w:rPr>
        <w:rFonts w:hint="default" w:ascii="Wingdings" w:hAnsi="Wingdings"/>
      </w:rPr>
    </w:lvl>
    <w:lvl w:ilvl="8">
      <w:start w:val="1"/>
      <w:numFmt w:val="bullet"/>
      <w:isLgl w:val="false"/>
      <w:suff w:val="tab"/>
      <w:lvlText w:val=""/>
      <w:lvlJc w:val="left"/>
      <w:pPr>
        <w:ind w:left="4760" w:hanging="420"/>
        <w:tabs>
          <w:tab w:val="left" w:pos="4760" w:leader="none"/>
        </w:tabs>
      </w:pPr>
      <w:rPr>
        <w:rFonts w:hint="default" w:ascii="Wingdings" w:hAnsi="Wingdings"/>
      </w:rPr>
    </w:lvl>
  </w:abstractNum>
  <w:abstractNum w:abstractNumId="2">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none"/>
      <w:pStyle w:val="719"/>
      <w:isLgl w:val="false"/>
      <w:suff w:val="nothing"/>
      <w:lvlText w:val=""/>
      <w:lvlJc w:val="left"/>
      <w:pPr>
        <w:ind w:left="0" w:firstLine="0"/>
        <w:tabs>
          <w:tab w:val="left" w:pos="0" w:leader="none"/>
        </w:tabs>
      </w:pPr>
    </w:lvl>
    <w:lvl w:ilvl="6">
      <w:start w:val="1"/>
      <w:numFmt w:val="none"/>
      <w:pStyle w:val="720"/>
      <w:isLgl w:val="false"/>
      <w:suff w:val="nothing"/>
      <w:lvlText w:val=""/>
      <w:lvlJc w:val="left"/>
      <w:pPr>
        <w:ind w:left="0" w:firstLine="0"/>
        <w:tabs>
          <w:tab w:val="left" w:pos="0" w:leader="none"/>
        </w:tabs>
      </w:pPr>
    </w:lvl>
    <w:lvl w:ilvl="7">
      <w:start w:val="1"/>
      <w:numFmt w:val="none"/>
      <w:pStyle w:val="721"/>
      <w:isLgl w:val="false"/>
      <w:suff w:val="nothing"/>
      <w:lvlText w:val=""/>
      <w:lvlJc w:val="left"/>
      <w:pPr>
        <w:ind w:left="0" w:firstLine="0"/>
        <w:tabs>
          <w:tab w:val="left" w:pos="0" w:leader="none"/>
        </w:tabs>
      </w:pPr>
    </w:lvl>
    <w:lvl w:ilvl="8">
      <w:start w:val="1"/>
      <w:numFmt w:val="none"/>
      <w:pStyle w:val="722"/>
      <w:isLgl w:val="false"/>
      <w:suff w:val="nothing"/>
      <w:lvlText w:val=""/>
      <w:lvlJc w:val="left"/>
      <w:pPr>
        <w:ind w:left="0" w:firstLine="0"/>
        <w:tabs>
          <w:tab w:val="left" w:pos="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25"/>
      <w:isLgl w:val="false"/>
      <w:suff w:val="tab"/>
      <w:lvlText w:val="%1."/>
      <w:lvlJc w:val="left"/>
      <w:pPr>
        <w:ind w:left="709" w:hanging="709"/>
        <w:tabs>
          <w:tab w:val="left" w:pos="0" w:leader="none"/>
        </w:tabs>
      </w:pPr>
    </w:lvl>
    <w:lvl w:ilvl="1">
      <w:start w:val="1"/>
      <w:numFmt w:val="decimal"/>
      <w:isLgl w:val="false"/>
      <w:suff w:val="tab"/>
      <w:lvlText w:val="%1.%2"/>
      <w:lvlJc w:val="left"/>
      <w:pPr>
        <w:ind w:left="709" w:hanging="709"/>
        <w:tabs>
          <w:tab w:val="left" w:pos="0" w:leader="none"/>
        </w:tabs>
      </w:pPr>
    </w:lvl>
    <w:lvl w:ilvl="2">
      <w:start w:val="1"/>
      <w:numFmt w:val="decimal"/>
      <w:isLgl w:val="false"/>
      <w:suff w:val="tab"/>
      <w:lvlText w:val="%1.%2.%3."/>
      <w:lvlJc w:val="left"/>
      <w:pPr>
        <w:ind w:left="425" w:hanging="425"/>
        <w:tabs>
          <w:tab w:val="left" w:pos="0" w:leader="none"/>
        </w:tabs>
      </w:pPr>
    </w:lvl>
    <w:lvl w:ilvl="3">
      <w:start w:val="1"/>
      <w:numFmt w:val="decimal"/>
      <w:isLgl w:val="false"/>
      <w:suff w:val="tab"/>
      <w:lvlText w:val="%1.%2.%3.%4."/>
      <w:lvlJc w:val="left"/>
      <w:pPr>
        <w:ind w:left="851" w:hanging="851"/>
        <w:tabs>
          <w:tab w:val="left" w:pos="0" w:leader="none"/>
        </w:tabs>
      </w:pPr>
    </w:lvl>
    <w:lvl w:ilvl="4">
      <w:start w:val="1"/>
      <w:numFmt w:val="decimal"/>
      <w:isLgl w:val="false"/>
      <w:suff w:val="tab"/>
      <w:lvlText w:val="%1.%2.%3.%4.%5."/>
      <w:lvlJc w:val="left"/>
      <w:pPr>
        <w:ind w:left="992" w:hanging="992"/>
        <w:tabs>
          <w:tab w:val="left" w:pos="0" w:leader="none"/>
        </w:tabs>
      </w:pPr>
    </w:lvl>
    <w:lvl w:ilvl="5">
      <w:start w:val="1"/>
      <w:numFmt w:val="decimal"/>
      <w:isLgl w:val="false"/>
      <w:suff w:val="tab"/>
      <w:lvlText w:val="%1.%2.%3.%4.%5.%6."/>
      <w:lvlJc w:val="left"/>
      <w:pPr>
        <w:ind w:left="1134" w:hanging="1134"/>
        <w:tabs>
          <w:tab w:val="left" w:pos="0" w:leader="none"/>
        </w:tabs>
      </w:pPr>
    </w:lvl>
    <w:lvl w:ilvl="6">
      <w:start w:val="1"/>
      <w:numFmt w:val="decimal"/>
      <w:isLgl w:val="false"/>
      <w:suff w:val="tab"/>
      <w:lvlText w:val="%1.%2.%3.%4.%5.%6.%7."/>
      <w:lvlJc w:val="left"/>
      <w:pPr>
        <w:ind w:left="1276" w:hanging="1276"/>
        <w:tabs>
          <w:tab w:val="left" w:pos="0" w:leader="none"/>
        </w:tabs>
      </w:pPr>
    </w:lvl>
    <w:lvl w:ilvl="7">
      <w:start w:val="1"/>
      <w:numFmt w:val="decimal"/>
      <w:isLgl w:val="false"/>
      <w:suff w:val="tab"/>
      <w:lvlText w:val="%1.%2.%3.%4.%5.%6.%7.%8."/>
      <w:lvlJc w:val="left"/>
      <w:pPr>
        <w:ind w:left="1418" w:hanging="1418"/>
        <w:tabs>
          <w:tab w:val="left" w:pos="0" w:leader="none"/>
        </w:tabs>
      </w:pPr>
    </w:lvl>
    <w:lvl w:ilvl="8">
      <w:start w:val="1"/>
      <w:numFmt w:val="decimal"/>
      <w:isLgl w:val="false"/>
      <w:suff w:val="tab"/>
      <w:lvlText w:val="%1.%2.%3.%4.%5.%6.%7.%8.%9."/>
      <w:lvlJc w:val="left"/>
      <w:pPr>
        <w:ind w:left="1559" w:hanging="1559"/>
        <w:tabs>
          <w:tab w:val="left" w:pos="0" w:leader="none"/>
        </w:tabs>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3"/>
    <w:link w:val="714"/>
    <w:uiPriority w:val="9"/>
    <w:rPr>
      <w:rFonts w:ascii="Arial" w:hAnsi="Arial" w:eastAsia="Arial" w:cs="Arial"/>
      <w:sz w:val="40"/>
      <w:szCs w:val="40"/>
    </w:rPr>
  </w:style>
  <w:style w:type="character" w:styleId="15">
    <w:name w:val="Heading 2 Char"/>
    <w:basedOn w:val="723"/>
    <w:link w:val="715"/>
    <w:uiPriority w:val="9"/>
    <w:rPr>
      <w:rFonts w:ascii="Arial" w:hAnsi="Arial" w:eastAsia="Arial" w:cs="Arial"/>
      <w:sz w:val="34"/>
    </w:rPr>
  </w:style>
  <w:style w:type="character" w:styleId="17">
    <w:name w:val="Heading 3 Char"/>
    <w:basedOn w:val="723"/>
    <w:link w:val="716"/>
    <w:uiPriority w:val="9"/>
    <w:rPr>
      <w:rFonts w:ascii="Arial" w:hAnsi="Arial" w:eastAsia="Arial" w:cs="Arial"/>
      <w:sz w:val="30"/>
      <w:szCs w:val="30"/>
    </w:rPr>
  </w:style>
  <w:style w:type="character" w:styleId="19">
    <w:name w:val="Heading 4 Char"/>
    <w:basedOn w:val="723"/>
    <w:link w:val="717"/>
    <w:uiPriority w:val="9"/>
    <w:rPr>
      <w:rFonts w:ascii="Arial" w:hAnsi="Arial" w:eastAsia="Arial" w:cs="Arial"/>
      <w:b/>
      <w:bCs/>
      <w:sz w:val="26"/>
      <w:szCs w:val="26"/>
    </w:rPr>
  </w:style>
  <w:style w:type="character" w:styleId="21">
    <w:name w:val="Heading 5 Char"/>
    <w:basedOn w:val="723"/>
    <w:link w:val="718"/>
    <w:uiPriority w:val="9"/>
    <w:rPr>
      <w:rFonts w:ascii="Arial" w:hAnsi="Arial" w:eastAsia="Arial" w:cs="Arial"/>
      <w:b/>
      <w:bCs/>
      <w:sz w:val="24"/>
      <w:szCs w:val="24"/>
    </w:rPr>
  </w:style>
  <w:style w:type="character" w:styleId="23">
    <w:name w:val="Heading 6 Char"/>
    <w:basedOn w:val="723"/>
    <w:link w:val="719"/>
    <w:uiPriority w:val="9"/>
    <w:rPr>
      <w:rFonts w:ascii="Arial" w:hAnsi="Arial" w:eastAsia="Arial" w:cs="Arial"/>
      <w:b/>
      <w:bCs/>
      <w:sz w:val="22"/>
      <w:szCs w:val="22"/>
    </w:rPr>
  </w:style>
  <w:style w:type="character" w:styleId="25">
    <w:name w:val="Heading 7 Char"/>
    <w:basedOn w:val="723"/>
    <w:link w:val="720"/>
    <w:uiPriority w:val="9"/>
    <w:rPr>
      <w:rFonts w:ascii="Arial" w:hAnsi="Arial" w:eastAsia="Arial" w:cs="Arial"/>
      <w:b/>
      <w:bCs/>
      <w:i/>
      <w:iCs/>
      <w:sz w:val="22"/>
      <w:szCs w:val="22"/>
    </w:rPr>
  </w:style>
  <w:style w:type="character" w:styleId="27">
    <w:name w:val="Heading 8 Char"/>
    <w:basedOn w:val="723"/>
    <w:link w:val="721"/>
    <w:uiPriority w:val="9"/>
    <w:rPr>
      <w:rFonts w:ascii="Arial" w:hAnsi="Arial" w:eastAsia="Arial" w:cs="Arial"/>
      <w:i/>
      <w:iCs/>
      <w:sz w:val="22"/>
      <w:szCs w:val="22"/>
    </w:rPr>
  </w:style>
  <w:style w:type="character" w:styleId="29">
    <w:name w:val="Heading 9 Char"/>
    <w:basedOn w:val="723"/>
    <w:link w:val="722"/>
    <w:uiPriority w:val="9"/>
    <w:rPr>
      <w:rFonts w:ascii="Arial" w:hAnsi="Arial" w:eastAsia="Arial" w:cs="Arial"/>
      <w:i/>
      <w:iCs/>
      <w:sz w:val="21"/>
      <w:szCs w:val="21"/>
    </w:rPr>
  </w:style>
  <w:style w:type="paragraph" w:styleId="30">
    <w:name w:val="List Paragraph"/>
    <w:basedOn w:val="71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3"/>
    <w:next w:val="713"/>
    <w:link w:val="34"/>
    <w:uiPriority w:val="10"/>
    <w:qFormat/>
    <w:pPr>
      <w:contextualSpacing/>
      <w:spacing w:before="300" w:after="200"/>
    </w:pPr>
    <w:rPr>
      <w:sz w:val="48"/>
      <w:szCs w:val="48"/>
    </w:rPr>
  </w:style>
  <w:style w:type="character" w:styleId="34">
    <w:name w:val="Title Char"/>
    <w:basedOn w:val="723"/>
    <w:link w:val="33"/>
    <w:uiPriority w:val="10"/>
    <w:rPr>
      <w:sz w:val="48"/>
      <w:szCs w:val="48"/>
    </w:rPr>
  </w:style>
  <w:style w:type="paragraph" w:styleId="35">
    <w:name w:val="Subtitle"/>
    <w:basedOn w:val="713"/>
    <w:next w:val="713"/>
    <w:link w:val="36"/>
    <w:uiPriority w:val="11"/>
    <w:qFormat/>
    <w:pPr>
      <w:spacing w:before="200" w:after="200"/>
    </w:pPr>
    <w:rPr>
      <w:sz w:val="24"/>
      <w:szCs w:val="24"/>
    </w:rPr>
  </w:style>
  <w:style w:type="character" w:styleId="36">
    <w:name w:val="Subtitle Char"/>
    <w:basedOn w:val="723"/>
    <w:link w:val="35"/>
    <w:uiPriority w:val="11"/>
    <w:rPr>
      <w:sz w:val="24"/>
      <w:szCs w:val="24"/>
    </w:rPr>
  </w:style>
  <w:style w:type="paragraph" w:styleId="37">
    <w:name w:val="Quote"/>
    <w:basedOn w:val="713"/>
    <w:next w:val="713"/>
    <w:link w:val="38"/>
    <w:uiPriority w:val="29"/>
    <w:qFormat/>
    <w:pPr>
      <w:ind w:left="720" w:right="720"/>
    </w:pPr>
    <w:rPr>
      <w:i/>
    </w:rPr>
  </w:style>
  <w:style w:type="character" w:styleId="38">
    <w:name w:val="Quote Char"/>
    <w:link w:val="37"/>
    <w:uiPriority w:val="29"/>
    <w:rPr>
      <w:i/>
    </w:rPr>
  </w:style>
  <w:style w:type="paragraph" w:styleId="39">
    <w:name w:val="Intense Quote"/>
    <w:basedOn w:val="713"/>
    <w:next w:val="7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3"/>
    <w:link w:val="736"/>
    <w:uiPriority w:val="99"/>
  </w:style>
  <w:style w:type="character" w:styleId="44">
    <w:name w:val="Footer Char"/>
    <w:basedOn w:val="723"/>
    <w:link w:val="735"/>
    <w:uiPriority w:val="99"/>
  </w:style>
  <w:style w:type="character" w:styleId="46">
    <w:name w:val="Caption Char"/>
    <w:basedOn w:val="727"/>
    <w:link w:val="735"/>
    <w:uiPriority w:val="99"/>
  </w:style>
  <w:style w:type="table" w:styleId="47">
    <w:name w:val="Table Grid"/>
    <w:basedOn w:val="72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c3fdba" w:themeFill="accent1" w:themeFillTint="34"/>
      </w:tcPr>
    </w:tblStylePr>
    <w:tblStylePr w:type="band1Vert">
      <w:rPr>
        <w:rFonts w:ascii="Arial" w:hAnsi="Arial"/>
        <w:color w:val="404040"/>
        <w:sz w:val="22"/>
      </w:rPr>
      <w:tcPr>
        <w:shd w:val="clear" w:color="ffffff" w:themeColor="accent1" w:themeTint="34" w:fill="c3fdba"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bce7fd" w:themeFill="accent2" w:themeFillTint="32"/>
      </w:tcPr>
    </w:tblStylePr>
    <w:tblStylePr w:type="band1Vert">
      <w:rPr>
        <w:rFonts w:ascii="Arial" w:hAnsi="Arial"/>
        <w:color w:val="404040"/>
        <w:sz w:val="22"/>
      </w:rPr>
      <w:tcPr>
        <w:shd w:val="clear" w:color="ffffff" w:themeColor="accent2" w:themeTint="32" w:fill="bce7fd"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dd2ba" w:themeFill="accent3" w:themeFillTint="34"/>
      </w:tcPr>
    </w:tblStylePr>
    <w:tblStylePr w:type="band1Vert">
      <w:rPr>
        <w:rFonts w:ascii="Arial" w:hAnsi="Arial"/>
        <w:color w:val="404040"/>
        <w:sz w:val="22"/>
      </w:rPr>
      <w:tcPr>
        <w:shd w:val="clear" w:color="ffffff" w:themeColor="accent3" w:themeTint="34" w:fill="fdd2ba"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3bafd" w:themeFill="accent4" w:themeFillTint="34"/>
      </w:tcPr>
    </w:tblStylePr>
    <w:tblStylePr w:type="band1Vert">
      <w:rPr>
        <w:rFonts w:ascii="Arial" w:hAnsi="Arial"/>
        <w:color w:val="404040"/>
        <w:sz w:val="22"/>
      </w:rPr>
      <w:tcPr>
        <w:shd w:val="clear" w:color="ffffff" w:themeColor="accent4" w:themeTint="34" w:fill="f3bafd"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fefbf" w:themeFill="accent5" w:themeFillTint="34"/>
      </w:tcPr>
    </w:tblStylePr>
    <w:tblStylePr w:type="band1Vert">
      <w:rPr>
        <w:rFonts w:ascii="Arial" w:hAnsi="Arial"/>
        <w:color w:val="404040"/>
        <w:sz w:val="22"/>
      </w:rPr>
      <w:tcPr>
        <w:shd w:val="clear" w:color="ffffff" w:themeColor="accent5" w:themeTint="34" w:fill="ffefbf"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7cccc" w:themeFill="accent6" w:themeFillTint="34"/>
      </w:tcPr>
    </w:tblStylePr>
    <w:tblStylePr w:type="band1Vert">
      <w:rPr>
        <w:rFonts w:ascii="Arial" w:hAnsi="Arial"/>
        <w:color w:val="404040"/>
        <w:sz w:val="22"/>
      </w:rPr>
      <w:tcPr>
        <w:shd w:val="clear" w:color="ffffff" w:themeColor="accent6" w:themeTint="34" w:fill="f7cccc"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c3fdba" w:themeFill="accent1" w:themeFillTint="34"/>
      </w:tcPr>
    </w:tblStylePr>
    <w:tblStylePr w:type="band1Vert">
      <w:rPr>
        <w:rFonts w:ascii="Arial" w:hAnsi="Arial"/>
        <w:color w:val="404040"/>
        <w:sz w:val="22"/>
      </w:rPr>
      <w:tcPr>
        <w:shd w:val="clear" w:color="ffffff" w:themeColor="accent1" w:themeTint="34" w:fill="c3fdba"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bce7fd" w:themeFill="accent2" w:themeFillTint="32"/>
      </w:tcPr>
    </w:tblStylePr>
    <w:tblStylePr w:type="band1Vert">
      <w:rPr>
        <w:rFonts w:ascii="Arial" w:hAnsi="Arial"/>
        <w:color w:val="404040"/>
        <w:sz w:val="22"/>
      </w:rPr>
      <w:tcPr>
        <w:shd w:val="clear" w:color="ffffff" w:themeColor="accent2" w:themeTint="32" w:fill="bce7fd"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dd2ba" w:themeFill="accent3" w:themeFillTint="34"/>
      </w:tcPr>
    </w:tblStylePr>
    <w:tblStylePr w:type="band1Vert">
      <w:rPr>
        <w:rFonts w:ascii="Arial" w:hAnsi="Arial"/>
        <w:color w:val="404040"/>
        <w:sz w:val="22"/>
      </w:rPr>
      <w:tcPr>
        <w:shd w:val="clear" w:color="ffffff" w:themeColor="accent3" w:themeTint="34" w:fill="fdd2ba"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3bafd" w:themeFill="accent4" w:themeFillTint="34"/>
      </w:tcPr>
    </w:tblStylePr>
    <w:tblStylePr w:type="band1Vert">
      <w:rPr>
        <w:rFonts w:ascii="Arial" w:hAnsi="Arial"/>
        <w:color w:val="404040"/>
        <w:sz w:val="22"/>
      </w:rPr>
      <w:tcPr>
        <w:shd w:val="clear" w:color="ffffff" w:themeColor="accent4" w:themeTint="34" w:fill="f3bafd"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fefbf" w:themeFill="accent5" w:themeFillTint="34"/>
      </w:tcPr>
    </w:tblStylePr>
    <w:tblStylePr w:type="band1Vert">
      <w:rPr>
        <w:rFonts w:ascii="Arial" w:hAnsi="Arial"/>
        <w:color w:val="404040"/>
        <w:sz w:val="22"/>
      </w:rPr>
      <w:tcPr>
        <w:shd w:val="clear" w:color="ffffff" w:themeColor="accent5" w:themeTint="34" w:fill="ffefbf"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7cccc" w:themeFill="accent6" w:themeFillTint="34"/>
      </w:tcPr>
    </w:tblStylePr>
    <w:tblStylePr w:type="band1Vert">
      <w:rPr>
        <w:rFonts w:ascii="Arial" w:hAnsi="Arial"/>
        <w:color w:val="404040"/>
        <w:sz w:val="22"/>
      </w:rPr>
      <w:tcPr>
        <w:shd w:val="clear" w:color="ffffff" w:themeColor="accent6" w:themeTint="34" w:fill="f7cccc"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5fdbc" w:themeFill="accent1" w:themeFillTint="32"/>
      </w:tcPr>
    </w:tblStylePr>
    <w:tblStylePr w:type="band1Vert">
      <w:rPr>
        <w:rFonts w:ascii="Arial" w:hAnsi="Arial"/>
        <w:color w:val="404040"/>
        <w:sz w:val="22"/>
      </w:rPr>
      <w:tcPr>
        <w:shd w:val="clear" w:color="ffffff" w:themeColor="accent1" w:themeTint="32" w:fill="c5fdbc"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ebe03"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bce7fd" w:themeFill="accent2" w:themeFillTint="32"/>
      </w:tcPr>
    </w:tblStylePr>
    <w:tblStylePr w:type="band1Vert">
      <w:rPr>
        <w:rFonts w:ascii="Arial" w:hAnsi="Arial"/>
        <w:color w:val="404040"/>
        <w:sz w:val="22"/>
      </w:rPr>
      <w:tcPr>
        <w:shd w:val="clear" w:color="ffffff" w:themeColor="accent2" w:themeTint="32" w:fill="bce7fd"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36b8fb"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dd2ba" w:themeFill="accent3" w:themeFillTint="34"/>
      </w:tcPr>
    </w:tblStylePr>
    <w:tblStylePr w:type="band1Vert">
      <w:rPr>
        <w:rFonts w:ascii="Arial" w:hAnsi="Arial"/>
        <w:color w:val="404040"/>
        <w:sz w:val="22"/>
      </w:rPr>
      <w:tcPr>
        <w:shd w:val="clear" w:color="ffffff" w:themeColor="accent3" w:themeTint="34" w:fill="fdd2ba"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43c0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3bafd" w:themeFill="accent4" w:themeFillTint="34"/>
      </w:tcPr>
    </w:tblStylePr>
    <w:tblStylePr w:type="band1Vert">
      <w:rPr>
        <w:rFonts w:ascii="Arial" w:hAnsi="Arial"/>
        <w:color w:val="404040"/>
        <w:sz w:val="22"/>
      </w:rPr>
      <w:tcPr>
        <w:shd w:val="clear" w:color="ffffff" w:themeColor="accent4" w:themeTint="34" w:fill="f3bafd"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dc33fa"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fefbf" w:themeFill="accent5" w:themeFillTint="34"/>
      </w:tcPr>
    </w:tblStylePr>
    <w:tblStylePr w:type="band1Vert">
      <w:rPr>
        <w:rFonts w:ascii="Arial" w:hAnsi="Arial"/>
        <w:color w:val="404040"/>
        <w:sz w:val="22"/>
      </w:rPr>
      <w:tcPr>
        <w:shd w:val="clear" w:color="ffffff" w:themeColor="accent5" w:themeTint="34" w:fill="ffefbf"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c99c00"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7cccc" w:themeFill="accent6" w:themeFillTint="34"/>
      </w:tcPr>
    </w:tblStylePr>
    <w:tblStylePr w:type="band1Vert">
      <w:rPr>
        <w:rFonts w:ascii="Arial" w:hAnsi="Arial"/>
        <w:color w:val="404040"/>
        <w:sz w:val="22"/>
      </w:rPr>
      <w:tcPr>
        <w:shd w:val="clear" w:color="ffffff" w:themeColor="accent6" w:themeTint="34" w:fill="f7cccc"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c9211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c3fdba" w:themeFill="accent1" w:themeFillTint="34"/>
    </w:tblPr>
    <w:tblStylePr w:type="band1Horz">
      <w:tcPr>
        <w:shd w:val="clear" w:color="ffffff" w:themeColor="accent1" w:themeTint="75" w:fill="79fb64" w:themeFill="accent1" w:themeFillTint="75"/>
      </w:tcPr>
    </w:tblStylePr>
    <w:tblStylePr w:type="band1Vert">
      <w:tcPr>
        <w:shd w:val="clear" w:color="ffffff" w:themeColor="accent1" w:themeTint="75" w:fill="79fb64" w:themeFill="accent1" w:themeFillTint="75"/>
      </w:tcPr>
    </w:tblStylePr>
    <w:tblStylePr w:type="firstCol">
      <w:rPr>
        <w:rFonts w:ascii="Arial" w:hAnsi="Arial"/>
        <w:b/>
        <w:color w:val="ffffff"/>
        <w:sz w:val="22"/>
      </w:rPr>
      <w:tcPr>
        <w:shd w:val="clear" w:color="ffffff" w:themeColor="accent1" w:fill="18a303" w:themeFill="accent1"/>
      </w:tcPr>
    </w:tblStylePr>
    <w:tblStylePr w:type="firstRow">
      <w:rPr>
        <w:rFonts w:ascii="Arial" w:hAnsi="Arial"/>
        <w:b/>
        <w:color w:val="ffffff"/>
        <w:sz w:val="22"/>
      </w:rPr>
      <w:tcPr>
        <w:shd w:val="clear" w:color="ffffff" w:themeColor="accent1" w:fill="18a303" w:themeFill="accent1"/>
      </w:tcPr>
    </w:tblStylePr>
    <w:tblStylePr w:type="lastCol">
      <w:rPr>
        <w:rFonts w:ascii="Arial" w:hAnsi="Arial"/>
        <w:b/>
        <w:color w:val="ffffff"/>
        <w:sz w:val="22"/>
      </w:rPr>
      <w:tcPr>
        <w:shd w:val="clear" w:color="ffffff" w:themeColor="accent1" w:fill="18a303" w:themeFill="accent1"/>
      </w:tcPr>
    </w:tblStylePr>
    <w:tblStylePr w:type="lastRow">
      <w:rPr>
        <w:rFonts w:ascii="Arial" w:hAnsi="Arial"/>
        <w:b/>
        <w:color w:val="ffffff"/>
        <w:sz w:val="22"/>
      </w:rPr>
      <w:tcPr>
        <w:shd w:val="clear" w:color="ffffff" w:themeColor="accent1" w:fill="18a303" w:themeFill="accent1"/>
        <w:tcBorders>
          <w:top w:val="single" w:color="000000" w:themeColor="light1" w:sz="4" w:space="0"/>
        </w:tcBorders>
      </w:tcPr>
    </w:tblStylePr>
  </w:style>
  <w:style w:type="table" w:styleId="84">
    <w:name w:val="Grid Table 5 Dark - Accent 2"/>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bce7fd" w:themeFill="accent2" w:themeFillTint="32"/>
    </w:tblPr>
    <w:tblStylePr w:type="band1Horz">
      <w:tcPr>
        <w:shd w:val="clear" w:color="ffffff" w:themeColor="accent2" w:themeTint="75" w:fill="64c8fb" w:themeFill="accent2" w:themeFillTint="75"/>
      </w:tcPr>
    </w:tblStylePr>
    <w:tblStylePr w:type="band1Vert">
      <w:tcPr>
        <w:shd w:val="clear" w:color="ffffff" w:themeColor="accent2" w:themeTint="75" w:fill="64c8fb" w:themeFill="accent2" w:themeFillTint="75"/>
      </w:tcPr>
    </w:tblStylePr>
    <w:tblStylePr w:type="firstCol">
      <w:rPr>
        <w:rFonts w:ascii="Arial" w:hAnsi="Arial"/>
        <w:b/>
        <w:color w:val="ffffff"/>
        <w:sz w:val="22"/>
      </w:rPr>
      <w:tcPr>
        <w:shd w:val="clear" w:color="ffffff" w:themeColor="accent2" w:fill="0369a3" w:themeFill="accent2"/>
      </w:tcPr>
    </w:tblStylePr>
    <w:tblStylePr w:type="firstRow">
      <w:rPr>
        <w:rFonts w:ascii="Arial" w:hAnsi="Arial"/>
        <w:b/>
        <w:color w:val="ffffff"/>
        <w:sz w:val="22"/>
      </w:rPr>
      <w:tcPr>
        <w:shd w:val="clear" w:color="ffffff" w:themeColor="accent2" w:fill="0369a3" w:themeFill="accent2"/>
      </w:tcPr>
    </w:tblStylePr>
    <w:tblStylePr w:type="lastCol">
      <w:rPr>
        <w:rFonts w:ascii="Arial" w:hAnsi="Arial"/>
        <w:b/>
        <w:color w:val="ffffff"/>
        <w:sz w:val="22"/>
      </w:rPr>
      <w:tcPr>
        <w:shd w:val="clear" w:color="ffffff" w:themeColor="accent2" w:fill="0369a3" w:themeFill="accent2"/>
      </w:tcPr>
    </w:tblStylePr>
    <w:tblStylePr w:type="lastRow">
      <w:rPr>
        <w:rFonts w:ascii="Arial" w:hAnsi="Arial"/>
        <w:b/>
        <w:color w:val="ffffff"/>
        <w:sz w:val="22"/>
      </w:rPr>
      <w:tcPr>
        <w:shd w:val="clear" w:color="ffffff" w:themeColor="accent2" w:fill="0369a3" w:themeFill="accent2"/>
        <w:tcBorders>
          <w:top w:val="single" w:color="000000" w:themeColor="light1" w:sz="4" w:space="0"/>
        </w:tcBorders>
      </w:tcPr>
    </w:tblStylePr>
  </w:style>
  <w:style w:type="table" w:styleId="85">
    <w:name w:val="Grid Table 5 Dark - Accent 3"/>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dd2ba" w:themeFill="accent3" w:themeFillTint="34"/>
    </w:tblPr>
    <w:tblStylePr w:type="band1Horz">
      <w:tcPr>
        <w:shd w:val="clear" w:color="ffffff" w:themeColor="accent3" w:themeTint="75" w:fill="fb9964" w:themeFill="accent3" w:themeFillTint="75"/>
      </w:tcPr>
    </w:tblStylePr>
    <w:tblStylePr w:type="band1Vert">
      <w:tcPr>
        <w:shd w:val="clear" w:color="ffffff" w:themeColor="accent3" w:themeTint="75" w:fill="fb9964" w:themeFill="accent3" w:themeFillTint="75"/>
      </w:tcPr>
    </w:tblStylePr>
    <w:tblStylePr w:type="firstCol">
      <w:rPr>
        <w:rFonts w:ascii="Arial" w:hAnsi="Arial"/>
        <w:b/>
        <w:color w:val="ffffff"/>
        <w:sz w:val="22"/>
      </w:rPr>
      <w:tcPr>
        <w:shd w:val="clear" w:color="ffffff" w:themeColor="accent3" w:fill="a33e03" w:themeFill="accent3"/>
      </w:tcPr>
    </w:tblStylePr>
    <w:tblStylePr w:type="firstRow">
      <w:rPr>
        <w:rFonts w:ascii="Arial" w:hAnsi="Arial"/>
        <w:b/>
        <w:color w:val="ffffff"/>
        <w:sz w:val="22"/>
      </w:rPr>
      <w:tcPr>
        <w:shd w:val="clear" w:color="ffffff" w:themeColor="accent3" w:fill="a33e03" w:themeFill="accent3"/>
      </w:tcPr>
    </w:tblStylePr>
    <w:tblStylePr w:type="lastCol">
      <w:rPr>
        <w:rFonts w:ascii="Arial" w:hAnsi="Arial"/>
        <w:b/>
        <w:color w:val="ffffff"/>
        <w:sz w:val="22"/>
      </w:rPr>
      <w:tcPr>
        <w:shd w:val="clear" w:color="ffffff" w:themeColor="accent3" w:fill="a33e03" w:themeFill="accent3"/>
      </w:tcPr>
    </w:tblStylePr>
    <w:tblStylePr w:type="lastRow">
      <w:rPr>
        <w:rFonts w:ascii="Arial" w:hAnsi="Arial"/>
        <w:b/>
        <w:color w:val="ffffff"/>
        <w:sz w:val="22"/>
      </w:rPr>
      <w:tcPr>
        <w:shd w:val="clear" w:color="ffffff" w:themeColor="accent3" w:fill="a33e03" w:themeFill="accent3"/>
        <w:tcBorders>
          <w:top w:val="single" w:color="000000" w:themeColor="light1" w:sz="4" w:space="0"/>
        </w:tcBorders>
      </w:tcPr>
    </w:tblStylePr>
  </w:style>
  <w:style w:type="table" w:styleId="86">
    <w:name w:val="Grid Table 5 Dark- Accent 4"/>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3bafd" w:themeFill="accent4" w:themeFillTint="34"/>
    </w:tblPr>
    <w:tblStylePr w:type="band1Horz">
      <w:tcPr>
        <w:shd w:val="clear" w:color="ffffff" w:themeColor="accent4" w:themeTint="75" w:fill="e464fb" w:themeFill="accent4" w:themeFillTint="75"/>
      </w:tcPr>
    </w:tblStylePr>
    <w:tblStylePr w:type="band1Vert">
      <w:tcPr>
        <w:shd w:val="clear" w:color="ffffff" w:themeColor="accent4" w:themeTint="75" w:fill="e464fb" w:themeFill="accent4" w:themeFillTint="75"/>
      </w:tcPr>
    </w:tblStylePr>
    <w:tblStylePr w:type="firstCol">
      <w:rPr>
        <w:rFonts w:ascii="Arial" w:hAnsi="Arial"/>
        <w:b/>
        <w:color w:val="ffffff"/>
        <w:sz w:val="22"/>
      </w:rPr>
      <w:tcPr>
        <w:shd w:val="clear" w:color="ffffff" w:themeColor="accent4" w:fill="8e03a3" w:themeFill="accent4"/>
      </w:tcPr>
    </w:tblStylePr>
    <w:tblStylePr w:type="firstRow">
      <w:rPr>
        <w:rFonts w:ascii="Arial" w:hAnsi="Arial"/>
        <w:b/>
        <w:color w:val="ffffff"/>
        <w:sz w:val="22"/>
      </w:rPr>
      <w:tcPr>
        <w:shd w:val="clear" w:color="ffffff" w:themeColor="accent4" w:fill="8e03a3" w:themeFill="accent4"/>
      </w:tcPr>
    </w:tblStylePr>
    <w:tblStylePr w:type="lastCol">
      <w:rPr>
        <w:rFonts w:ascii="Arial" w:hAnsi="Arial"/>
        <w:b/>
        <w:color w:val="ffffff"/>
        <w:sz w:val="22"/>
      </w:rPr>
      <w:tcPr>
        <w:shd w:val="clear" w:color="ffffff" w:themeColor="accent4" w:fill="8e03a3" w:themeFill="accent4"/>
      </w:tcPr>
    </w:tblStylePr>
    <w:tblStylePr w:type="lastRow">
      <w:rPr>
        <w:rFonts w:ascii="Arial" w:hAnsi="Arial"/>
        <w:b/>
        <w:color w:val="ffffff"/>
        <w:sz w:val="22"/>
      </w:rPr>
      <w:tcPr>
        <w:shd w:val="clear" w:color="ffffff" w:themeColor="accent4" w:fill="8e03a3" w:themeFill="accent4"/>
        <w:tcBorders>
          <w:top w:val="single" w:color="000000" w:themeColor="light1" w:sz="4" w:space="0"/>
        </w:tcBorders>
      </w:tcPr>
    </w:tblStylePr>
  </w:style>
  <w:style w:type="table" w:styleId="87">
    <w:name w:val="Grid Table 5 Dark - Accent 5"/>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fefbf" w:themeFill="accent5" w:themeFillTint="34"/>
    </w:tblPr>
    <w:tblStylePr w:type="band1Horz">
      <w:tcPr>
        <w:shd w:val="clear" w:color="ffffff" w:themeColor="accent5" w:themeTint="75" w:fill="ffdb71" w:themeFill="accent5" w:themeFillTint="75"/>
      </w:tcPr>
    </w:tblStylePr>
    <w:tblStylePr w:type="band1Vert">
      <w:tcPr>
        <w:shd w:val="clear" w:color="ffffff" w:themeColor="accent5" w:themeTint="75" w:fill="ffdb71" w:themeFill="accent5" w:themeFillTint="75"/>
      </w:tcPr>
    </w:tblStylePr>
    <w:tblStylePr w:type="firstCol">
      <w:rPr>
        <w:rFonts w:ascii="Arial" w:hAnsi="Arial"/>
        <w:b/>
        <w:color w:val="ffffff"/>
        <w:sz w:val="22"/>
      </w:rPr>
      <w:tcPr>
        <w:shd w:val="clear" w:color="ffffff" w:themeColor="accent5" w:fill="c99c00" w:themeFill="accent5"/>
      </w:tcPr>
    </w:tblStylePr>
    <w:tblStylePr w:type="firstRow">
      <w:rPr>
        <w:rFonts w:ascii="Arial" w:hAnsi="Arial"/>
        <w:b/>
        <w:color w:val="ffffff"/>
        <w:sz w:val="22"/>
      </w:rPr>
      <w:tcPr>
        <w:shd w:val="clear" w:color="ffffff" w:themeColor="accent5" w:fill="c99c00" w:themeFill="accent5"/>
      </w:tcPr>
    </w:tblStylePr>
    <w:tblStylePr w:type="lastCol">
      <w:rPr>
        <w:rFonts w:ascii="Arial" w:hAnsi="Arial"/>
        <w:b/>
        <w:color w:val="ffffff"/>
        <w:sz w:val="22"/>
      </w:rPr>
      <w:tcPr>
        <w:shd w:val="clear" w:color="ffffff" w:themeColor="accent5" w:fill="c99c00" w:themeFill="accent5"/>
      </w:tcPr>
    </w:tblStylePr>
    <w:tblStylePr w:type="lastRow">
      <w:rPr>
        <w:rFonts w:ascii="Arial" w:hAnsi="Arial"/>
        <w:b/>
        <w:color w:val="ffffff"/>
        <w:sz w:val="22"/>
      </w:rPr>
      <w:tcPr>
        <w:shd w:val="clear" w:color="ffffff" w:themeColor="accent5" w:fill="c99c00" w:themeFill="accent5"/>
        <w:tcBorders>
          <w:top w:val="single" w:color="000000" w:themeColor="light1" w:sz="4" w:space="0"/>
        </w:tcBorders>
      </w:tcPr>
    </w:tblStylePr>
  </w:style>
  <w:style w:type="table" w:styleId="88">
    <w:name w:val="Grid Table 5 Dark - Accent 6"/>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7cccc" w:themeFill="accent6" w:themeFillTint="34"/>
    </w:tblPr>
    <w:tblStylePr w:type="band1Horz">
      <w:tcPr>
        <w:shd w:val="clear" w:color="ffffff" w:themeColor="accent6" w:themeTint="75" w:fill="ee8f8f" w:themeFill="accent6" w:themeFillTint="75"/>
      </w:tcPr>
    </w:tblStylePr>
    <w:tblStylePr w:type="band1Vert">
      <w:tcPr>
        <w:shd w:val="clear" w:color="ffffff" w:themeColor="accent6" w:themeTint="75" w:fill="ee8f8f" w:themeFill="accent6" w:themeFillTint="75"/>
      </w:tcPr>
    </w:tblStylePr>
    <w:tblStylePr w:type="firstCol">
      <w:rPr>
        <w:rFonts w:ascii="Arial" w:hAnsi="Arial"/>
        <w:b/>
        <w:color w:val="ffffff"/>
        <w:sz w:val="22"/>
      </w:rPr>
      <w:tcPr>
        <w:shd w:val="clear" w:color="ffffff" w:themeColor="accent6" w:fill="c9211e" w:themeFill="accent6"/>
      </w:tcPr>
    </w:tblStylePr>
    <w:tblStylePr w:type="firstRow">
      <w:rPr>
        <w:rFonts w:ascii="Arial" w:hAnsi="Arial"/>
        <w:b/>
        <w:color w:val="ffffff"/>
        <w:sz w:val="22"/>
      </w:rPr>
      <w:tcPr>
        <w:shd w:val="clear" w:color="ffffff" w:themeColor="accent6" w:fill="c9211e" w:themeFill="accent6"/>
      </w:tcPr>
    </w:tblStylePr>
    <w:tblStylePr w:type="lastCol">
      <w:rPr>
        <w:rFonts w:ascii="Arial" w:hAnsi="Arial"/>
        <w:b/>
        <w:color w:val="ffffff"/>
        <w:sz w:val="22"/>
      </w:rPr>
      <w:tcPr>
        <w:shd w:val="clear" w:color="ffffff" w:themeColor="accent6" w:fill="c9211e" w:themeFill="accent6"/>
      </w:tcPr>
    </w:tblStylePr>
    <w:tblStylePr w:type="lastRow">
      <w:rPr>
        <w:rFonts w:ascii="Arial" w:hAnsi="Arial"/>
        <w:b/>
        <w:color w:val="ffffff"/>
        <w:sz w:val="22"/>
      </w:rPr>
      <w:tcPr>
        <w:shd w:val="clear" w:color="ffffff" w:themeColor="accent6" w:fill="c9211e" w:themeFill="accent6"/>
        <w:tcBorders>
          <w:top w:val="single" w:color="000000" w:themeColor="light1" w:sz="4" w:space="0"/>
        </w:tcBorders>
      </w:tcPr>
    </w:tblStylePr>
  </w:style>
  <w:style w:type="table" w:styleId="89">
    <w:name w:val="Grid Table 6 Colorful"/>
    <w:basedOn w:val="7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c3fdba" w:themeFill="accent1" w:themeFillTint="34"/>
      </w:tcPr>
    </w:tblStylePr>
    <w:tblStylePr w:type="band1Vert">
      <w:tcPr>
        <w:shd w:val="clear" w:color="ffffff" w:themeColor="accent1" w:themeTint="34" w:fill="c3fdba" w:themeFill="accent1" w:themeFillTint="34"/>
      </w:tcPr>
    </w:tblStylePr>
    <w:tblStylePr w:type="band2Horz">
      <w:rPr>
        <w:rFonts w:ascii="Arial" w:hAnsi="Arial"/>
        <w:color w:val="404040" w:themeColor="accent1" w:themeTint="80" w:themeShade="95"/>
        <w:sz w:val="22"/>
      </w:rPr>
    </w:tblStylePr>
    <w:tblStylePr w:type="firstCol">
      <w:rPr>
        <w:b/>
        <w:color w:val="1ebf04" w:themeColor="accent1" w:themeTint="80" w:themeShade="95"/>
      </w:rPr>
    </w:tblStylePr>
    <w:tblStylePr w:type="firstRow">
      <w:rPr>
        <w:b/>
        <w:color w:val="1ebf04" w:themeColor="accent1" w:themeTint="80" w:themeShade="95"/>
      </w:rPr>
      <w:tcPr>
        <w:tcBorders>
          <w:bottom w:val="single" w:color="000000" w:themeColor="accent1" w:themeTint="80" w:sz="12" w:space="0"/>
        </w:tcBorders>
      </w:tcPr>
    </w:tblStylePr>
    <w:tblStylePr w:type="lastCol">
      <w:rPr>
        <w:b/>
        <w:color w:val="1ebf04" w:themeColor="accent1" w:themeTint="80" w:themeShade="95"/>
      </w:rPr>
    </w:tblStylePr>
    <w:tblStylePr w:type="lastRow">
      <w:rPr>
        <w:b/>
        <w:color w:val="1ebf04"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bce7fd" w:themeFill="accent2" w:themeFillTint="32"/>
      </w:tcPr>
    </w:tblStylePr>
    <w:tblStylePr w:type="band1Vert">
      <w:tcPr>
        <w:shd w:val="clear" w:color="ffffff" w:themeColor="accent2" w:themeTint="32" w:fill="bce7fd" w:themeFill="accent2" w:themeFillTint="32"/>
      </w:tcPr>
    </w:tblStylePr>
    <w:tblStylePr w:type="band2Horz">
      <w:rPr>
        <w:rFonts w:ascii="Arial" w:hAnsi="Arial"/>
        <w:color w:val="404040" w:themeColor="accent2" w:themeTint="97" w:themeShade="95"/>
        <w:sz w:val="22"/>
      </w:rPr>
    </w:tblStylePr>
    <w:tblStylePr w:type="firstCol">
      <w:rPr>
        <w:b/>
        <w:color w:val="0378ae" w:themeColor="accent2" w:themeTint="97" w:themeShade="95"/>
      </w:rPr>
    </w:tblStylePr>
    <w:tblStylePr w:type="firstRow">
      <w:rPr>
        <w:b/>
        <w:color w:val="0378ae" w:themeColor="accent2" w:themeTint="97" w:themeShade="95"/>
      </w:rPr>
      <w:tcPr>
        <w:tcBorders>
          <w:bottom w:val="single" w:color="000000" w:themeColor="accent2" w:themeTint="97" w:sz="12" w:space="0"/>
        </w:tcBorders>
      </w:tcPr>
    </w:tblStylePr>
    <w:tblStylePr w:type="lastCol">
      <w:rPr>
        <w:b/>
        <w:color w:val="0378ae" w:themeColor="accent2" w:themeTint="97" w:themeShade="95"/>
      </w:rPr>
    </w:tblStylePr>
    <w:tblStylePr w:type="lastRow">
      <w:rPr>
        <w:b/>
        <w:color w:val="0378ae"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dd2ba" w:themeFill="accent3" w:themeFillTint="34"/>
      </w:tcPr>
    </w:tblStylePr>
    <w:tblStylePr w:type="band1Vert">
      <w:tcPr>
        <w:shd w:val="clear" w:color="ffffff" w:themeColor="accent3" w:themeTint="34" w:fill="fdd2ba" w:themeFill="accent3" w:themeFillTint="34"/>
      </w:tcPr>
    </w:tblStylePr>
    <w:tblStylePr w:type="band2Horz">
      <w:rPr>
        <w:rFonts w:ascii="Arial" w:hAnsi="Arial"/>
        <w:color w:val="404040" w:themeColor="accent3" w:themeTint="FE" w:themeShade="95"/>
        <w:sz w:val="22"/>
      </w:rPr>
    </w:tblStylePr>
    <w:tblStylePr w:type="firstCol">
      <w:rPr>
        <w:b/>
        <w:color w:val="5e2201" w:themeColor="accent3" w:themeTint="FE" w:themeShade="95"/>
      </w:rPr>
    </w:tblStylePr>
    <w:tblStylePr w:type="firstRow">
      <w:rPr>
        <w:b/>
        <w:color w:val="5e2201" w:themeColor="accent3" w:themeTint="FE" w:themeShade="95"/>
      </w:rPr>
      <w:tcPr>
        <w:tcBorders>
          <w:bottom w:val="single" w:color="000000" w:themeColor="accent3" w:themeTint="FE" w:sz="12" w:space="0"/>
        </w:tcBorders>
      </w:tcPr>
    </w:tblStylePr>
    <w:tblStylePr w:type="lastCol">
      <w:rPr>
        <w:b/>
        <w:color w:val="5e2201" w:themeColor="accent3" w:themeTint="FE" w:themeShade="95"/>
      </w:rPr>
    </w:tblStylePr>
    <w:tblStylePr w:type="lastRow">
      <w:rPr>
        <w:b/>
        <w:color w:val="5e22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3bafd" w:themeFill="accent4" w:themeFillTint="34"/>
      </w:tcPr>
    </w:tblStylePr>
    <w:tblStylePr w:type="band1Vert">
      <w:tcPr>
        <w:shd w:val="clear" w:color="ffffff" w:themeColor="accent4" w:themeTint="34" w:fill="f3bafd" w:themeFill="accent4" w:themeFillTint="34"/>
      </w:tcPr>
    </w:tblStylePr>
    <w:tblStylePr w:type="band2Horz">
      <w:rPr>
        <w:rFonts w:ascii="Arial" w:hAnsi="Arial"/>
        <w:color w:val="404040" w:themeColor="accent4" w:themeTint="9A" w:themeShade="95"/>
        <w:sz w:val="22"/>
      </w:rPr>
    </w:tblStylePr>
    <w:tblStylePr w:type="firstCol">
      <w:rPr>
        <w:b/>
        <w:color w:val="9104ab" w:themeColor="accent4" w:themeTint="9A" w:themeShade="95"/>
      </w:rPr>
    </w:tblStylePr>
    <w:tblStylePr w:type="firstRow">
      <w:rPr>
        <w:b/>
        <w:color w:val="9104ab" w:themeColor="accent4" w:themeTint="9A" w:themeShade="95"/>
      </w:rPr>
      <w:tcPr>
        <w:tcBorders>
          <w:bottom w:val="single" w:color="000000" w:themeColor="accent4" w:themeTint="9A" w:sz="12" w:space="0"/>
        </w:tcBorders>
      </w:tcPr>
    </w:tblStylePr>
    <w:tblStylePr w:type="lastCol">
      <w:rPr>
        <w:b/>
        <w:color w:val="9104ab" w:themeColor="accent4" w:themeTint="9A" w:themeShade="95"/>
      </w:rPr>
    </w:tblStylePr>
    <w:tblStylePr w:type="lastRow">
      <w:rPr>
        <w:b/>
        <w:color w:val="9104ab"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fefbf" w:themeFill="accent5" w:themeFillTint="34"/>
      </w:tcPr>
    </w:tblStylePr>
    <w:tblStylePr w:type="band1Vert">
      <w:tcPr>
        <w:shd w:val="clear" w:color="ffffff" w:themeColor="accent5" w:themeTint="34" w:fill="ffefbf" w:themeFill="accent5" w:themeFillTint="34"/>
      </w:tcPr>
    </w:tblStylePr>
    <w:tblStylePr w:type="band2Horz">
      <w:rPr>
        <w:rFonts w:ascii="Arial" w:hAnsi="Arial"/>
        <w:color w:val="404040" w:themeColor="accent5" w:themeShade="95"/>
        <w:sz w:val="22"/>
      </w:rPr>
    </w:tblStylePr>
    <w:tblStylePr w:type="firstCol">
      <w:rPr>
        <w:b/>
        <w:color w:val="745700" w:themeColor="accent5" w:themeShade="95"/>
      </w:rPr>
    </w:tblStylePr>
    <w:tblStylePr w:type="firstRow">
      <w:rPr>
        <w:b/>
        <w:color w:val="745700" w:themeColor="accent5" w:themeShade="95"/>
      </w:rPr>
      <w:tcPr>
        <w:tcBorders>
          <w:bottom w:val="single" w:color="000000" w:themeColor="accent5" w:sz="12" w:space="0"/>
        </w:tcBorders>
      </w:tcPr>
    </w:tblStylePr>
    <w:tblStylePr w:type="lastCol">
      <w:rPr>
        <w:b/>
        <w:color w:val="745700" w:themeColor="accent5" w:themeShade="95"/>
      </w:rPr>
    </w:tblStylePr>
    <w:tblStylePr w:type="lastRow">
      <w:rPr>
        <w:b/>
        <w:color w:val="745700"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7cccc" w:themeFill="accent6" w:themeFillTint="34"/>
      </w:tcPr>
    </w:tblStylePr>
    <w:tblStylePr w:type="band1Vert">
      <w:tcPr>
        <w:shd w:val="clear" w:color="ffffff" w:themeColor="accent6" w:themeTint="34" w:fill="f7cccc" w:themeFill="accent6" w:themeFillTint="34"/>
      </w:tcPr>
    </w:tblStylePr>
    <w:tblStylePr w:type="band2Horz">
      <w:rPr>
        <w:rFonts w:ascii="Arial" w:hAnsi="Arial"/>
        <w:color w:val="404040" w:themeColor="accent5" w:themeShade="95"/>
        <w:sz w:val="22"/>
      </w:rPr>
    </w:tblStylePr>
    <w:tblStylePr w:type="firstCol">
      <w:rPr>
        <w:b/>
        <w:color w:val="745700" w:themeColor="accent5" w:themeShade="95"/>
      </w:rPr>
    </w:tblStylePr>
    <w:tblStylePr w:type="firstRow">
      <w:rPr>
        <w:b/>
        <w:color w:val="745700" w:themeColor="accent5" w:themeShade="95"/>
      </w:rPr>
      <w:tcPr>
        <w:tcBorders>
          <w:bottom w:val="single" w:color="000000" w:themeColor="accent6" w:sz="12" w:space="0"/>
        </w:tcBorders>
      </w:tcPr>
    </w:tblStylePr>
    <w:tblStylePr w:type="lastCol">
      <w:rPr>
        <w:b/>
        <w:color w:val="745700" w:themeColor="accent5" w:themeShade="95"/>
      </w:rPr>
    </w:tblStylePr>
    <w:tblStylePr w:type="lastRow">
      <w:rPr>
        <w:b/>
        <w:color w:val="745700" w:themeColor="accent5" w:themeShade="95"/>
      </w:rPr>
    </w:tblStylePr>
    <w:tblStylePr w:type="wholeTable">
      <w:rPr>
        <w:rFonts w:ascii="Arial" w:hAnsi="Arial"/>
        <w:color w:val="404040" w:themeColor="accent5" w:themeShade="95"/>
        <w:sz w:val="22"/>
      </w:rPr>
    </w:tblStylePr>
  </w:style>
  <w:style w:type="table" w:styleId="96">
    <w:name w:val="Grid Table 7 Colorful"/>
    <w:basedOn w:val="7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ebf04" w:themeColor="accent1" w:themeTint="80" w:themeShade="95"/>
        <w:sz w:val="22"/>
      </w:rPr>
      <w:tcPr>
        <w:shd w:val="clear" w:color="ffffff" w:themeColor="accent1" w:themeTint="34" w:fill="c3fdba" w:themeFill="accent1" w:themeFillTint="34"/>
      </w:tcPr>
    </w:tblStylePr>
    <w:tblStylePr w:type="band1Vert">
      <w:tcPr>
        <w:shd w:val="clear" w:color="ffffff" w:themeColor="accent1" w:themeTint="34" w:fill="c3fdba" w:themeFill="accent1" w:themeFillTint="34"/>
      </w:tcPr>
    </w:tblStylePr>
    <w:tblStylePr w:type="band2Horz">
      <w:rPr>
        <w:rFonts w:ascii="Arial" w:hAnsi="Arial"/>
        <w:color w:val="1ebf04" w:themeColor="accent1" w:themeTint="80" w:themeShade="95"/>
        <w:sz w:val="22"/>
      </w:rPr>
    </w:tblStylePr>
    <w:tblStylePr w:type="firstCol">
      <w:rPr>
        <w:rFonts w:ascii="Arial" w:hAnsi="Arial"/>
        <w:i/>
        <w:color w:val="1ebf04"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1ebf04"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1ebf04"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1ebf04"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0378ae" w:themeColor="accent2" w:themeTint="97" w:themeShade="95"/>
        <w:sz w:val="22"/>
      </w:rPr>
      <w:tcPr>
        <w:shd w:val="clear" w:color="ffffff" w:themeColor="accent2" w:themeTint="32" w:fill="bce7fd" w:themeFill="accent2" w:themeFillTint="32"/>
      </w:tcPr>
    </w:tblStylePr>
    <w:tblStylePr w:type="band1Vert">
      <w:tcPr>
        <w:shd w:val="clear" w:color="ffffff" w:themeColor="accent2" w:themeTint="32" w:fill="bce7fd" w:themeFill="accent2" w:themeFillTint="32"/>
      </w:tcPr>
    </w:tblStylePr>
    <w:tblStylePr w:type="band2Horz">
      <w:rPr>
        <w:rFonts w:ascii="Arial" w:hAnsi="Arial"/>
        <w:color w:val="0378ae" w:themeColor="accent2" w:themeTint="97" w:themeShade="95"/>
        <w:sz w:val="22"/>
      </w:rPr>
    </w:tblStylePr>
    <w:tblStylePr w:type="firstCol">
      <w:rPr>
        <w:rFonts w:ascii="Arial" w:hAnsi="Arial"/>
        <w:i/>
        <w:color w:val="0378ae"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0378ae"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0378ae"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0378ae"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e2201" w:themeColor="accent3" w:themeTint="FE" w:themeShade="95"/>
        <w:sz w:val="22"/>
      </w:rPr>
      <w:tcPr>
        <w:shd w:val="clear" w:color="ffffff" w:themeColor="accent3" w:themeTint="34" w:fill="fdd2ba" w:themeFill="accent3" w:themeFillTint="34"/>
      </w:tcPr>
    </w:tblStylePr>
    <w:tblStylePr w:type="band1Vert">
      <w:tcPr>
        <w:shd w:val="clear" w:color="ffffff" w:themeColor="accent3" w:themeTint="34" w:fill="fdd2ba" w:themeFill="accent3" w:themeFillTint="34"/>
      </w:tcPr>
    </w:tblStylePr>
    <w:tblStylePr w:type="band2Horz">
      <w:rPr>
        <w:rFonts w:ascii="Arial" w:hAnsi="Arial"/>
        <w:color w:val="5e2201" w:themeColor="accent3" w:themeTint="FE" w:themeShade="95"/>
        <w:sz w:val="22"/>
      </w:rPr>
    </w:tblStylePr>
    <w:tblStylePr w:type="firstCol">
      <w:rPr>
        <w:rFonts w:ascii="Arial" w:hAnsi="Arial"/>
        <w:i/>
        <w:color w:val="5e22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e22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e22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e22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9104ab" w:themeColor="accent4" w:themeTint="9A" w:themeShade="95"/>
        <w:sz w:val="22"/>
      </w:rPr>
      <w:tcPr>
        <w:shd w:val="clear" w:color="ffffff" w:themeColor="accent4" w:themeTint="34" w:fill="f3bafd" w:themeFill="accent4" w:themeFillTint="34"/>
      </w:tcPr>
    </w:tblStylePr>
    <w:tblStylePr w:type="band1Vert">
      <w:tcPr>
        <w:shd w:val="clear" w:color="ffffff" w:themeColor="accent4" w:themeTint="34" w:fill="f3bafd" w:themeFill="accent4" w:themeFillTint="34"/>
      </w:tcPr>
    </w:tblStylePr>
    <w:tblStylePr w:type="band2Horz">
      <w:rPr>
        <w:rFonts w:ascii="Arial" w:hAnsi="Arial"/>
        <w:color w:val="9104ab" w:themeColor="accent4" w:themeTint="9A" w:themeShade="95"/>
        <w:sz w:val="22"/>
      </w:rPr>
    </w:tblStylePr>
    <w:tblStylePr w:type="firstCol">
      <w:rPr>
        <w:rFonts w:ascii="Arial" w:hAnsi="Arial"/>
        <w:i/>
        <w:color w:val="9104ab"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9104ab"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9104ab"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9104ab"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745700" w:themeColor="accent5" w:themeShade="95"/>
        <w:sz w:val="22"/>
      </w:rPr>
      <w:tcPr>
        <w:shd w:val="clear" w:color="ffffff" w:themeColor="accent5" w:themeTint="34" w:fill="ffefbf" w:themeFill="accent5" w:themeFillTint="34"/>
      </w:tcPr>
    </w:tblStylePr>
    <w:tblStylePr w:type="band1Vert">
      <w:tcPr>
        <w:shd w:val="clear" w:color="ffffff" w:themeColor="accent5" w:themeTint="34" w:fill="ffefbf" w:themeFill="accent5" w:themeFillTint="34"/>
      </w:tcPr>
    </w:tblStylePr>
    <w:tblStylePr w:type="band2Horz">
      <w:rPr>
        <w:rFonts w:ascii="Arial" w:hAnsi="Arial"/>
        <w:color w:val="745700" w:themeColor="accent5" w:themeShade="95"/>
        <w:sz w:val="22"/>
      </w:rPr>
    </w:tblStylePr>
    <w:tblStylePr w:type="firstCol">
      <w:rPr>
        <w:rFonts w:ascii="Arial" w:hAnsi="Arial"/>
        <w:i/>
        <w:color w:val="745700"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745700"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745700"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745700"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741111" w:themeColor="accent6" w:themeShade="95"/>
        <w:sz w:val="22"/>
      </w:rPr>
      <w:tcPr>
        <w:shd w:val="clear" w:color="ffffff" w:themeColor="accent6" w:themeTint="34" w:fill="f7cccc" w:themeFill="accent6" w:themeFillTint="34"/>
      </w:tcPr>
    </w:tblStylePr>
    <w:tblStylePr w:type="band1Vert">
      <w:tcPr>
        <w:shd w:val="clear" w:color="ffffff" w:themeColor="accent6" w:themeTint="34" w:fill="f7cccc" w:themeFill="accent6" w:themeFillTint="34"/>
      </w:tcPr>
    </w:tblStylePr>
    <w:tblStylePr w:type="band2Horz">
      <w:rPr>
        <w:rFonts w:ascii="Arial" w:hAnsi="Arial"/>
        <w:color w:val="741111" w:themeColor="accent6" w:themeShade="95"/>
        <w:sz w:val="22"/>
      </w:rPr>
    </w:tblStylePr>
    <w:tblStylePr w:type="firstCol">
      <w:rPr>
        <w:rFonts w:ascii="Arial" w:hAnsi="Arial"/>
        <w:i/>
        <w:color w:val="741111"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741111"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741111"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741111"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4"/>
    <w:uiPriority w:val="99"/>
    <w:pPr>
      <w:spacing w:after="0" w:line="240" w:lineRule="auto"/>
    </w:pPr>
    <w:tblPr>
      <w:tblStyleRowBandSize w:val="1"/>
      <w:tblStyleColBandSize w:val="1"/>
      <w:tblInd w:w="0" w:type="dxa"/>
    </w:tblPr>
    <w:tblStylePr w:type="band1Horz">
      <w:tcPr>
        <w:shd w:val="clear" w:color="ffffff" w:themeColor="accent1" w:themeTint="40" w:fill="b6fdaa" w:themeFill="accent1" w:themeFillTint="40"/>
      </w:tcPr>
    </w:tblStylePr>
    <w:tblStylePr w:type="band1Vert">
      <w:tcPr>
        <w:shd w:val="clear" w:color="ffffff" w:themeColor="accent1" w:themeTint="40" w:fill="b6fdaa"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4"/>
    <w:uiPriority w:val="99"/>
    <w:pPr>
      <w:spacing w:after="0" w:line="240" w:lineRule="auto"/>
    </w:pPr>
    <w:tblPr>
      <w:tblStyleRowBandSize w:val="1"/>
      <w:tblStyleColBandSize w:val="1"/>
      <w:tblInd w:w="0" w:type="dxa"/>
    </w:tblPr>
    <w:tblStylePr w:type="band1Horz">
      <w:tcPr>
        <w:shd w:val="clear" w:color="ffffff" w:themeColor="accent2" w:themeTint="40" w:fill="aae1fd" w:themeFill="accent2" w:themeFillTint="40"/>
      </w:tcPr>
    </w:tblStylePr>
    <w:tblStylePr w:type="band1Vert">
      <w:tcPr>
        <w:shd w:val="clear" w:color="ffffff" w:themeColor="accent2" w:themeTint="40" w:fill="aae1fd"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4"/>
    <w:uiPriority w:val="99"/>
    <w:pPr>
      <w:spacing w:after="0" w:line="240" w:lineRule="auto"/>
    </w:pPr>
    <w:tblPr>
      <w:tblStyleRowBandSize w:val="1"/>
      <w:tblStyleColBandSize w:val="1"/>
      <w:tblInd w:w="0" w:type="dxa"/>
    </w:tblPr>
    <w:tblStylePr w:type="band1Horz">
      <w:tcPr>
        <w:shd w:val="clear" w:color="ffffff" w:themeColor="accent3" w:themeTint="40" w:fill="fdc7aa" w:themeFill="accent3" w:themeFillTint="40"/>
      </w:tcPr>
    </w:tblStylePr>
    <w:tblStylePr w:type="band1Vert">
      <w:tcPr>
        <w:shd w:val="clear" w:color="ffffff" w:themeColor="accent3" w:themeTint="40" w:fill="fdc7aa"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4"/>
    <w:uiPriority w:val="99"/>
    <w:pPr>
      <w:spacing w:after="0" w:line="240" w:lineRule="auto"/>
    </w:pPr>
    <w:tblPr>
      <w:tblStyleRowBandSize w:val="1"/>
      <w:tblStyleColBandSize w:val="1"/>
      <w:tblInd w:w="0" w:type="dxa"/>
    </w:tblPr>
    <w:tblStylePr w:type="band1Horz">
      <w:tcPr>
        <w:shd w:val="clear" w:color="ffffff" w:themeColor="accent4" w:themeTint="40" w:fill="f0aafd" w:themeFill="accent4" w:themeFillTint="40"/>
      </w:tcPr>
    </w:tblStylePr>
    <w:tblStylePr w:type="band1Vert">
      <w:tcPr>
        <w:shd w:val="clear" w:color="ffffff" w:themeColor="accent4" w:themeTint="40" w:fill="f0aafd"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4"/>
    <w:uiPriority w:val="99"/>
    <w:pPr>
      <w:spacing w:after="0" w:line="240" w:lineRule="auto"/>
    </w:pPr>
    <w:tblPr>
      <w:tblStyleRowBandSize w:val="1"/>
      <w:tblStyleColBandSize w:val="1"/>
      <w:tblInd w:w="0" w:type="dxa"/>
    </w:tblPr>
    <w:tblStylePr w:type="band1Horz">
      <w:tcPr>
        <w:shd w:val="clear" w:color="ffffff" w:themeColor="accent5" w:themeTint="40" w:fill="ffebb1" w:themeFill="accent5" w:themeFillTint="40"/>
      </w:tcPr>
    </w:tblStylePr>
    <w:tblStylePr w:type="band1Vert">
      <w:tcPr>
        <w:shd w:val="clear" w:color="ffffff" w:themeColor="accent5" w:themeTint="40" w:fill="ffebb1"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4"/>
    <w:uiPriority w:val="99"/>
    <w:pPr>
      <w:spacing w:after="0" w:line="240" w:lineRule="auto"/>
    </w:pPr>
    <w:tblPr>
      <w:tblStyleRowBandSize w:val="1"/>
      <w:tblStyleColBandSize w:val="1"/>
      <w:tblInd w:w="0" w:type="dxa"/>
    </w:tblPr>
    <w:tblStylePr w:type="band1Horz">
      <w:tcPr>
        <w:shd w:val="clear" w:color="ffffff" w:themeColor="accent6" w:themeTint="40" w:fill="f5c2c2" w:themeFill="accent6" w:themeFillTint="40"/>
      </w:tcPr>
    </w:tblStylePr>
    <w:tblStylePr w:type="band1Vert">
      <w:tcPr>
        <w:shd w:val="clear" w:color="ffffff" w:themeColor="accent6" w:themeTint="40" w:fill="f5c2c2"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6fdaa" w:themeFill="accent1" w:themeFillTint="40"/>
      </w:tcPr>
    </w:tblStylePr>
    <w:tblStylePr w:type="band1Vert">
      <w:rPr>
        <w:rFonts w:ascii="Arial" w:hAnsi="Arial"/>
        <w:color w:val="404040"/>
        <w:sz w:val="22"/>
      </w:rPr>
      <w:tcPr>
        <w:shd w:val="clear" w:color="ffffff" w:themeColor="accent1" w:themeTint="40" w:fill="b6fdaa"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aae1fd" w:themeFill="accent2" w:themeFillTint="40"/>
      </w:tcPr>
    </w:tblStylePr>
    <w:tblStylePr w:type="band1Vert">
      <w:rPr>
        <w:rFonts w:ascii="Arial" w:hAnsi="Arial"/>
        <w:color w:val="404040"/>
        <w:sz w:val="22"/>
      </w:rPr>
      <w:tcPr>
        <w:shd w:val="clear" w:color="ffffff" w:themeColor="accent2" w:themeTint="40" w:fill="aae1fd"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dc7aa" w:themeFill="accent3" w:themeFillTint="40"/>
      </w:tcPr>
    </w:tblStylePr>
    <w:tblStylePr w:type="band1Vert">
      <w:rPr>
        <w:rFonts w:ascii="Arial" w:hAnsi="Arial"/>
        <w:color w:val="404040"/>
        <w:sz w:val="22"/>
      </w:rPr>
      <w:tcPr>
        <w:shd w:val="clear" w:color="ffffff" w:themeColor="accent3" w:themeTint="40" w:fill="fdc7aa"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0aafd" w:themeFill="accent4" w:themeFillTint="40"/>
      </w:tcPr>
    </w:tblStylePr>
    <w:tblStylePr w:type="band1Vert">
      <w:rPr>
        <w:rFonts w:ascii="Arial" w:hAnsi="Arial"/>
        <w:color w:val="404040"/>
        <w:sz w:val="22"/>
      </w:rPr>
      <w:tcPr>
        <w:shd w:val="clear" w:color="ffffff" w:themeColor="accent4" w:themeTint="40" w:fill="f0aafd"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ffebb1" w:themeFill="accent5" w:themeFillTint="40"/>
      </w:tcPr>
    </w:tblStylePr>
    <w:tblStylePr w:type="band1Vert">
      <w:rPr>
        <w:rFonts w:ascii="Arial" w:hAnsi="Arial"/>
        <w:color w:val="404040"/>
        <w:sz w:val="22"/>
      </w:rPr>
      <w:tcPr>
        <w:shd w:val="clear" w:color="ffffff" w:themeColor="accent5" w:themeTint="40" w:fill="ffebb1"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5c2c2" w:themeFill="accent6" w:themeFillTint="40"/>
      </w:tcPr>
    </w:tblStylePr>
    <w:tblStylePr w:type="band1Vert">
      <w:rPr>
        <w:rFonts w:ascii="Arial" w:hAnsi="Arial"/>
        <w:color w:val="404040"/>
        <w:sz w:val="22"/>
      </w:rPr>
      <w:tcPr>
        <w:shd w:val="clear" w:color="ffffff" w:themeColor="accent6" w:themeTint="40" w:fill="f5c2c2"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8a303" w:themeFill="accent1"/>
      </w:tcPr>
    </w:tblStylePr>
    <w:tblStylePr w:type="lastCol">
      <w:rPr>
        <w:b/>
        <w:color w:val="404040"/>
      </w:rPr>
    </w:tblStylePr>
    <w:tblStylePr w:type="lastRow">
      <w:rPr>
        <w:b/>
        <w:color w:val="404040"/>
      </w:rPr>
    </w:tblStylePr>
  </w:style>
  <w:style w:type="table" w:styleId="119">
    <w:name w:val="List Table 3 - Accent 2"/>
    <w:basedOn w:val="7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36b8fb" w:themeFill="accent2" w:themeFillTint="97"/>
      </w:tcPr>
    </w:tblStylePr>
    <w:tblStylePr w:type="lastCol">
      <w:rPr>
        <w:b/>
        <w:color w:val="404040"/>
      </w:rPr>
    </w:tblStylePr>
    <w:tblStylePr w:type="lastRow">
      <w:rPr>
        <w:b/>
        <w:color w:val="404040"/>
      </w:rPr>
    </w:tblStylePr>
  </w:style>
  <w:style w:type="table" w:styleId="120">
    <w:name w:val="List Table 3 - Accent 3"/>
    <w:basedOn w:val="7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a7a35" w:themeFill="accent3" w:themeFillTint="98"/>
      </w:tcPr>
    </w:tblStylePr>
    <w:tblStylePr w:type="lastCol">
      <w:rPr>
        <w:b/>
        <w:color w:val="404040"/>
      </w:rPr>
    </w:tblStylePr>
    <w:tblStylePr w:type="lastRow">
      <w:rPr>
        <w:b/>
        <w:color w:val="404040"/>
      </w:rPr>
    </w:tblStylePr>
  </w:style>
  <w:style w:type="table" w:styleId="121">
    <w:name w:val="List Table 3 - Accent 4"/>
    <w:basedOn w:val="7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dc33fa" w:themeFill="accent4" w:themeFillTint="9A"/>
      </w:tcPr>
    </w:tblStylePr>
    <w:tblStylePr w:type="lastCol">
      <w:rPr>
        <w:b/>
        <w:color w:val="404040"/>
      </w:rPr>
    </w:tblStylePr>
    <w:tblStylePr w:type="lastRow">
      <w:rPr>
        <w:b/>
        <w:color w:val="404040"/>
      </w:rPr>
    </w:tblStylePr>
  </w:style>
  <w:style w:type="table" w:styleId="122">
    <w:name w:val="List Table 3 - Accent 5"/>
    <w:basedOn w:val="7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ffd042" w:themeFill="accent5" w:themeFillTint="9A"/>
      </w:tcPr>
    </w:tblStylePr>
    <w:tblStylePr w:type="lastCol">
      <w:rPr>
        <w:b/>
        <w:color w:val="404040"/>
      </w:rPr>
    </w:tblStylePr>
    <w:tblStylePr w:type="lastRow">
      <w:rPr>
        <w:b/>
        <w:color w:val="404040"/>
      </w:rPr>
    </w:tblStylePr>
  </w:style>
  <w:style w:type="table" w:styleId="123">
    <w:name w:val="List Table 3 - Accent 6"/>
    <w:basedOn w:val="7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96e6e" w:themeFill="accent6" w:themeFillTint="98"/>
      </w:tcPr>
    </w:tblStylePr>
    <w:tblStylePr w:type="lastCol">
      <w:rPr>
        <w:b/>
        <w:color w:val="404040"/>
      </w:rPr>
    </w:tblStylePr>
    <w:tblStylePr w:type="lastRow">
      <w:rPr>
        <w:b/>
        <w:color w:val="404040"/>
      </w:rPr>
    </w:tblStylePr>
  </w:style>
  <w:style w:type="table" w:styleId="124">
    <w:name w:val="List Table 4"/>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6fdaa" w:themeFill="accent1" w:themeFillTint="40"/>
      </w:tcPr>
    </w:tblStylePr>
    <w:tblStylePr w:type="band1Vert">
      <w:rPr>
        <w:rFonts w:ascii="Arial" w:hAnsi="Arial"/>
        <w:color w:val="404040"/>
        <w:sz w:val="22"/>
      </w:rPr>
      <w:tcPr>
        <w:shd w:val="clear" w:color="ffffff" w:themeColor="accent1" w:themeTint="40" w:fill="b6fdaa"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8a303" w:themeFill="accent1"/>
      </w:tcPr>
    </w:tblStylePr>
    <w:tblStylePr w:type="lastCol">
      <w:rPr>
        <w:b/>
        <w:color w:val="404040"/>
      </w:rPr>
    </w:tblStylePr>
    <w:tblStylePr w:type="lastRow">
      <w:rPr>
        <w:b/>
        <w:color w:val="404040"/>
      </w:rPr>
    </w:tblStylePr>
  </w:style>
  <w:style w:type="table" w:styleId="126">
    <w:name w:val="List Table 4 - Accent 2"/>
    <w:basedOn w:val="7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aae1fd" w:themeFill="accent2" w:themeFillTint="40"/>
      </w:tcPr>
    </w:tblStylePr>
    <w:tblStylePr w:type="band1Vert">
      <w:rPr>
        <w:rFonts w:ascii="Arial" w:hAnsi="Arial"/>
        <w:color w:val="404040"/>
        <w:sz w:val="22"/>
      </w:rPr>
      <w:tcPr>
        <w:shd w:val="clear" w:color="ffffff" w:themeColor="accent2" w:themeTint="40" w:fill="aae1fd"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0369a3" w:themeFill="accent2"/>
      </w:tcPr>
    </w:tblStylePr>
    <w:tblStylePr w:type="lastCol">
      <w:rPr>
        <w:b/>
        <w:color w:val="404040"/>
      </w:rPr>
    </w:tblStylePr>
    <w:tblStylePr w:type="lastRow">
      <w:rPr>
        <w:b/>
        <w:color w:val="404040"/>
      </w:rPr>
    </w:tblStylePr>
  </w:style>
  <w:style w:type="table" w:styleId="127">
    <w:name w:val="List Table 4 - Accent 3"/>
    <w:basedOn w:val="7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dc7aa" w:themeFill="accent3" w:themeFillTint="40"/>
      </w:tcPr>
    </w:tblStylePr>
    <w:tblStylePr w:type="band1Vert">
      <w:rPr>
        <w:rFonts w:ascii="Arial" w:hAnsi="Arial"/>
        <w:color w:val="404040"/>
        <w:sz w:val="22"/>
      </w:rPr>
      <w:tcPr>
        <w:shd w:val="clear" w:color="ffffff" w:themeColor="accent3" w:themeTint="40" w:fill="fdc7aa"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33e03" w:themeFill="accent3"/>
      </w:tcPr>
    </w:tblStylePr>
    <w:tblStylePr w:type="lastCol">
      <w:rPr>
        <w:b/>
        <w:color w:val="404040"/>
      </w:rPr>
    </w:tblStylePr>
    <w:tblStylePr w:type="lastRow">
      <w:rPr>
        <w:b/>
        <w:color w:val="404040"/>
      </w:rPr>
    </w:tblStylePr>
  </w:style>
  <w:style w:type="table" w:styleId="128">
    <w:name w:val="List Table 4 - Accent 4"/>
    <w:basedOn w:val="7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0aafd" w:themeFill="accent4" w:themeFillTint="40"/>
      </w:tcPr>
    </w:tblStylePr>
    <w:tblStylePr w:type="band1Vert">
      <w:rPr>
        <w:rFonts w:ascii="Arial" w:hAnsi="Arial"/>
        <w:color w:val="404040"/>
        <w:sz w:val="22"/>
      </w:rPr>
      <w:tcPr>
        <w:shd w:val="clear" w:color="ffffff" w:themeColor="accent4" w:themeTint="40" w:fill="f0aafd"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e03a3" w:themeFill="accent4"/>
      </w:tcPr>
    </w:tblStylePr>
    <w:tblStylePr w:type="lastCol">
      <w:rPr>
        <w:b/>
        <w:color w:val="404040"/>
      </w:rPr>
    </w:tblStylePr>
    <w:tblStylePr w:type="lastRow">
      <w:rPr>
        <w:b/>
        <w:color w:val="404040"/>
      </w:rPr>
    </w:tblStylePr>
  </w:style>
  <w:style w:type="table" w:styleId="129">
    <w:name w:val="List Table 4 - Accent 5"/>
    <w:basedOn w:val="7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ffebb1" w:themeFill="accent5" w:themeFillTint="40"/>
      </w:tcPr>
    </w:tblStylePr>
    <w:tblStylePr w:type="band1Vert">
      <w:rPr>
        <w:rFonts w:ascii="Arial" w:hAnsi="Arial"/>
        <w:color w:val="404040"/>
        <w:sz w:val="22"/>
      </w:rPr>
      <w:tcPr>
        <w:shd w:val="clear" w:color="ffffff" w:themeColor="accent5" w:themeTint="40" w:fill="ffebb1"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c99c00" w:themeFill="accent5"/>
      </w:tcPr>
    </w:tblStylePr>
    <w:tblStylePr w:type="lastCol">
      <w:rPr>
        <w:b/>
        <w:color w:val="404040"/>
      </w:rPr>
    </w:tblStylePr>
    <w:tblStylePr w:type="lastRow">
      <w:rPr>
        <w:b/>
        <w:color w:val="404040"/>
      </w:rPr>
    </w:tblStylePr>
  </w:style>
  <w:style w:type="table" w:styleId="130">
    <w:name w:val="List Table 4 - Accent 6"/>
    <w:basedOn w:val="7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5c2c2" w:themeFill="accent6" w:themeFillTint="40"/>
      </w:tcPr>
    </w:tblStylePr>
    <w:tblStylePr w:type="band1Vert">
      <w:rPr>
        <w:rFonts w:ascii="Arial" w:hAnsi="Arial"/>
        <w:color w:val="404040"/>
        <w:sz w:val="22"/>
      </w:rPr>
      <w:tcPr>
        <w:shd w:val="clear" w:color="ffffff" w:themeColor="accent6" w:themeTint="40" w:fill="f5c2c2"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c9211e" w:themeFill="accent6"/>
      </w:tcPr>
    </w:tblStylePr>
    <w:tblStylePr w:type="lastCol">
      <w:rPr>
        <w:b/>
        <w:color w:val="404040"/>
      </w:rPr>
    </w:tblStylePr>
    <w:tblStylePr w:type="lastRow">
      <w:rPr>
        <w:b/>
        <w:color w:val="404040"/>
      </w:rPr>
    </w:tblStylePr>
  </w:style>
  <w:style w:type="table" w:styleId="131">
    <w:name w:val="List Table 5 Dark"/>
    <w:basedOn w:val="7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8a303" w:themeFill="accent1"/>
    </w:tblPr>
    <w:tblStylePr w:type="band1Horz">
      <w:tcPr>
        <w:shd w:val="clear" w:color="ffffff" w:themeColor="accent1" w:fill="18a303" w:themeFill="accent1"/>
        <w:tcBorders>
          <w:top w:val="single" w:color="000000" w:themeColor="light1" w:sz="4" w:space="0"/>
          <w:bottom w:val="single" w:color="000000" w:themeColor="light1" w:sz="4" w:space="0"/>
        </w:tcBorders>
      </w:tcPr>
    </w:tblStylePr>
    <w:tblStylePr w:type="band1Vert">
      <w:tcPr>
        <w:shd w:val="clear" w:color="ffffff" w:themeColor="accent1" w:fill="18a303" w:themeFill="accent1"/>
        <w:tcBorders>
          <w:left w:val="single" w:color="000000" w:themeColor="light1" w:sz="4" w:space="0"/>
          <w:right w:val="single" w:color="000000" w:themeColor="light1" w:sz="4" w:space="0"/>
        </w:tcBorders>
      </w:tcPr>
    </w:tblStylePr>
    <w:tblStylePr w:type="band2Horz">
      <w:tcPr>
        <w:shd w:val="clear" w:color="ffffff" w:themeColor="accent1" w:fill="18a303"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8a303"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36b8fb" w:themeFill="accent2" w:themeFillTint="97"/>
    </w:tblPr>
    <w:tblStylePr w:type="band1Horz">
      <w:tcPr>
        <w:shd w:val="clear" w:color="ffffff" w:themeColor="accent2" w:themeTint="97" w:fill="36b8fb"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36b8fb"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36b8fb"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36b8fb"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a7a35" w:themeFill="accent3" w:themeFillTint="98"/>
    </w:tblPr>
    <w:tblStylePr w:type="band1Horz">
      <w:tcPr>
        <w:shd w:val="clear" w:color="ffffff" w:themeColor="accent3" w:themeTint="98" w:fill="fa7a35"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a7a35"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a7a35"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a7a35"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dc33fa" w:themeFill="accent4" w:themeFillTint="9A"/>
    </w:tblPr>
    <w:tblStylePr w:type="band1Horz">
      <w:tcPr>
        <w:shd w:val="clear" w:color="ffffff" w:themeColor="accent4" w:themeTint="9A" w:fill="dc33fa"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dc33fa"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dc33fa"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dc33fa"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ffd042" w:themeFill="accent5" w:themeFillTint="9A"/>
    </w:tblPr>
    <w:tblStylePr w:type="band1Horz">
      <w:tcPr>
        <w:shd w:val="clear" w:color="ffffff" w:themeColor="accent5" w:themeTint="9A" w:fill="ffd042"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ffd042"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ffd042"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ffd042"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96e6e" w:themeFill="accent6" w:themeFillTint="98"/>
    </w:tblPr>
    <w:tblStylePr w:type="band1Horz">
      <w:tcPr>
        <w:shd w:val="clear" w:color="ffffff" w:themeColor="accent6" w:themeTint="98" w:fill="e96e6e"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96e6e"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96e6e"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96e6e"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6fdaa" w:themeFill="accent1" w:themeFillTint="40"/>
      </w:tcPr>
    </w:tblStylePr>
    <w:tblStylePr w:type="band1Vert">
      <w:tcPr>
        <w:shd w:val="clear" w:color="ffffff" w:themeColor="accent1" w:themeTint="40" w:fill="b6fdaa" w:themeFill="accent1" w:themeFillTint="40"/>
      </w:tcPr>
    </w:tblStylePr>
    <w:tblStylePr w:type="band2Horz">
      <w:rPr>
        <w:rFonts w:ascii="Arial" w:hAnsi="Arial"/>
        <w:color w:val="404040" w:themeColor="accent1" w:themeShade="95"/>
        <w:sz w:val="22"/>
      </w:rPr>
    </w:tblStylePr>
    <w:tblStylePr w:type="firstCol">
      <w:rPr>
        <w:b/>
        <w:color w:val="0e5e01" w:themeColor="accent1" w:themeShade="95"/>
      </w:rPr>
    </w:tblStylePr>
    <w:tblStylePr w:type="firstRow">
      <w:rPr>
        <w:b/>
        <w:color w:val="0e5e01" w:themeColor="accent1" w:themeShade="95"/>
      </w:rPr>
      <w:tcPr>
        <w:tcBorders>
          <w:bottom w:val="single" w:color="000000" w:themeColor="accent1" w:sz="4" w:space="0"/>
        </w:tcBorders>
      </w:tcPr>
    </w:tblStylePr>
    <w:tblStylePr w:type="lastCol">
      <w:rPr>
        <w:b/>
        <w:color w:val="0e5e01" w:themeColor="accent1" w:themeShade="95"/>
      </w:rPr>
    </w:tblStylePr>
    <w:tblStylePr w:type="lastRow">
      <w:rPr>
        <w:b/>
        <w:color w:val="0e5e01" w:themeColor="accent1" w:themeShade="95"/>
      </w:rPr>
      <w:tcPr>
        <w:tcBorders>
          <w:top w:val="single" w:color="000000" w:themeColor="accent1" w:sz="4" w:space="0"/>
        </w:tcBorders>
      </w:tcPr>
    </w:tblStylePr>
  </w:style>
  <w:style w:type="table" w:styleId="140">
    <w:name w:val="List Table 6 Colorful - Accent 2"/>
    <w:basedOn w:val="7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aae1fd" w:themeFill="accent2" w:themeFillTint="40"/>
      </w:tcPr>
    </w:tblStylePr>
    <w:tblStylePr w:type="band1Vert">
      <w:tcPr>
        <w:shd w:val="clear" w:color="ffffff" w:themeColor="accent2" w:themeTint="40" w:fill="aae1fd" w:themeFill="accent2" w:themeFillTint="40"/>
      </w:tcPr>
    </w:tblStylePr>
    <w:tblStylePr w:type="band2Horz">
      <w:rPr>
        <w:rFonts w:ascii="Arial" w:hAnsi="Arial"/>
        <w:color w:val="404040" w:themeColor="accent2" w:themeTint="97" w:themeShade="95"/>
        <w:sz w:val="22"/>
      </w:rPr>
    </w:tblStylePr>
    <w:tblStylePr w:type="firstCol">
      <w:rPr>
        <w:b/>
        <w:color w:val="0378ae" w:themeColor="accent2" w:themeTint="97" w:themeShade="95"/>
      </w:rPr>
    </w:tblStylePr>
    <w:tblStylePr w:type="firstRow">
      <w:rPr>
        <w:b/>
        <w:color w:val="0378ae" w:themeColor="accent2" w:themeTint="97" w:themeShade="95"/>
      </w:rPr>
      <w:tcPr>
        <w:tcBorders>
          <w:bottom w:val="single" w:color="000000" w:themeColor="accent2" w:themeTint="97" w:sz="4" w:space="0"/>
        </w:tcBorders>
      </w:tcPr>
    </w:tblStylePr>
    <w:tblStylePr w:type="lastCol">
      <w:rPr>
        <w:b/>
        <w:color w:val="0378ae" w:themeColor="accent2" w:themeTint="97" w:themeShade="95"/>
      </w:rPr>
    </w:tblStylePr>
    <w:tblStylePr w:type="lastRow">
      <w:rPr>
        <w:b/>
        <w:color w:val="0378ae" w:themeColor="accent2" w:themeTint="97" w:themeShade="95"/>
      </w:rPr>
      <w:tcPr>
        <w:tcBorders>
          <w:top w:val="single" w:color="000000" w:themeColor="accent2" w:themeTint="97" w:sz="4" w:space="0"/>
        </w:tcBorders>
      </w:tcPr>
    </w:tblStylePr>
  </w:style>
  <w:style w:type="table" w:styleId="141">
    <w:name w:val="List Table 6 Colorful - Accent 3"/>
    <w:basedOn w:val="7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dc7aa" w:themeFill="accent3" w:themeFillTint="40"/>
      </w:tcPr>
    </w:tblStylePr>
    <w:tblStylePr w:type="band1Vert">
      <w:tcPr>
        <w:shd w:val="clear" w:color="ffffff" w:themeColor="accent3" w:themeTint="40" w:fill="fdc7aa" w:themeFill="accent3" w:themeFillTint="40"/>
      </w:tcPr>
    </w:tblStylePr>
    <w:tblStylePr w:type="band2Horz">
      <w:rPr>
        <w:rFonts w:ascii="Arial" w:hAnsi="Arial"/>
        <w:color w:val="404040" w:themeColor="accent3" w:themeTint="98" w:themeShade="95"/>
        <w:sz w:val="22"/>
      </w:rPr>
    </w:tblStylePr>
    <w:tblStylePr w:type="firstCol">
      <w:rPr>
        <w:b/>
        <w:color w:val="ab3b04" w:themeColor="accent3" w:themeTint="98" w:themeShade="95"/>
      </w:rPr>
    </w:tblStylePr>
    <w:tblStylePr w:type="firstRow">
      <w:rPr>
        <w:b/>
        <w:color w:val="ab3b04" w:themeColor="accent3" w:themeTint="98" w:themeShade="95"/>
      </w:rPr>
      <w:tcPr>
        <w:tcBorders>
          <w:bottom w:val="single" w:color="000000" w:themeColor="accent3" w:themeTint="98" w:sz="4" w:space="0"/>
        </w:tcBorders>
      </w:tcPr>
    </w:tblStylePr>
    <w:tblStylePr w:type="lastCol">
      <w:rPr>
        <w:b/>
        <w:color w:val="ab3b04" w:themeColor="accent3" w:themeTint="98" w:themeShade="95"/>
      </w:rPr>
    </w:tblStylePr>
    <w:tblStylePr w:type="lastRow">
      <w:rPr>
        <w:b/>
        <w:color w:val="ab3b04" w:themeColor="accent3" w:themeTint="98" w:themeShade="95"/>
      </w:rPr>
      <w:tcPr>
        <w:tcBorders>
          <w:top w:val="single" w:color="000000" w:themeColor="accent3" w:themeTint="98" w:sz="4" w:space="0"/>
        </w:tcBorders>
      </w:tcPr>
    </w:tblStylePr>
  </w:style>
  <w:style w:type="table" w:styleId="142">
    <w:name w:val="List Table 6 Colorful - Accent 4"/>
    <w:basedOn w:val="7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0aafd" w:themeFill="accent4" w:themeFillTint="40"/>
      </w:tcPr>
    </w:tblStylePr>
    <w:tblStylePr w:type="band1Vert">
      <w:tcPr>
        <w:shd w:val="clear" w:color="ffffff" w:themeColor="accent4" w:themeTint="40" w:fill="f0aafd" w:themeFill="accent4" w:themeFillTint="40"/>
      </w:tcPr>
    </w:tblStylePr>
    <w:tblStylePr w:type="band2Horz">
      <w:rPr>
        <w:rFonts w:ascii="Arial" w:hAnsi="Arial"/>
        <w:color w:val="404040" w:themeColor="accent4" w:themeTint="9A" w:themeShade="95"/>
        <w:sz w:val="22"/>
      </w:rPr>
    </w:tblStylePr>
    <w:tblStylePr w:type="firstCol">
      <w:rPr>
        <w:b/>
        <w:color w:val="9104ab" w:themeColor="accent4" w:themeTint="9A" w:themeShade="95"/>
      </w:rPr>
    </w:tblStylePr>
    <w:tblStylePr w:type="firstRow">
      <w:rPr>
        <w:b/>
        <w:color w:val="9104ab" w:themeColor="accent4" w:themeTint="9A" w:themeShade="95"/>
      </w:rPr>
      <w:tcPr>
        <w:tcBorders>
          <w:bottom w:val="single" w:color="000000" w:themeColor="accent4" w:themeTint="9A" w:sz="4" w:space="0"/>
        </w:tcBorders>
      </w:tcPr>
    </w:tblStylePr>
    <w:tblStylePr w:type="lastCol">
      <w:rPr>
        <w:b/>
        <w:color w:val="9104ab" w:themeColor="accent4" w:themeTint="9A" w:themeShade="95"/>
      </w:rPr>
    </w:tblStylePr>
    <w:tblStylePr w:type="lastRow">
      <w:rPr>
        <w:b/>
        <w:color w:val="9104ab" w:themeColor="accent4" w:themeTint="9A" w:themeShade="95"/>
      </w:rPr>
      <w:tcPr>
        <w:tcBorders>
          <w:top w:val="single" w:color="000000" w:themeColor="accent4" w:themeTint="9A" w:sz="4" w:space="0"/>
        </w:tcBorders>
      </w:tcPr>
    </w:tblStylePr>
  </w:style>
  <w:style w:type="table" w:styleId="143">
    <w:name w:val="List Table 6 Colorful - Accent 5"/>
    <w:basedOn w:val="7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ffebb1" w:themeFill="accent5" w:themeFillTint="40"/>
      </w:tcPr>
    </w:tblStylePr>
    <w:tblStylePr w:type="band1Vert">
      <w:tcPr>
        <w:shd w:val="clear" w:color="ffffff" w:themeColor="accent5" w:themeTint="40" w:fill="ffebb1" w:themeFill="accent5" w:themeFillTint="40"/>
      </w:tcPr>
    </w:tblStylePr>
    <w:tblStylePr w:type="band2Horz">
      <w:rPr>
        <w:rFonts w:ascii="Arial" w:hAnsi="Arial"/>
        <w:color w:val="404040" w:themeColor="accent5" w:themeTint="9A" w:themeShade="95"/>
        <w:sz w:val="22"/>
      </w:rPr>
    </w:tblStylePr>
    <w:tblStylePr w:type="firstCol">
      <w:rPr>
        <w:b/>
        <w:color w:val="ba8700" w:themeColor="accent5" w:themeTint="9A" w:themeShade="95"/>
      </w:rPr>
    </w:tblStylePr>
    <w:tblStylePr w:type="firstRow">
      <w:rPr>
        <w:b/>
        <w:color w:val="ba8700" w:themeColor="accent5" w:themeTint="9A" w:themeShade="95"/>
      </w:rPr>
      <w:tcPr>
        <w:tcBorders>
          <w:bottom w:val="single" w:color="000000" w:themeColor="accent5" w:themeTint="9A" w:sz="4" w:space="0"/>
        </w:tcBorders>
      </w:tcPr>
    </w:tblStylePr>
    <w:tblStylePr w:type="lastCol">
      <w:rPr>
        <w:b/>
        <w:color w:val="ba8700" w:themeColor="accent5" w:themeTint="9A" w:themeShade="95"/>
      </w:rPr>
    </w:tblStylePr>
    <w:tblStylePr w:type="lastRow">
      <w:rPr>
        <w:b/>
        <w:color w:val="ba8700" w:themeColor="accent5" w:themeTint="9A" w:themeShade="95"/>
      </w:rPr>
      <w:tcPr>
        <w:tcBorders>
          <w:top w:val="single" w:color="000000" w:themeColor="accent5" w:themeTint="9A" w:sz="4" w:space="0"/>
        </w:tcBorders>
      </w:tcPr>
    </w:tblStylePr>
  </w:style>
  <w:style w:type="table" w:styleId="144">
    <w:name w:val="List Table 6 Colorful - Accent 6"/>
    <w:basedOn w:val="7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5c2c2" w:themeFill="accent6" w:themeFillTint="40"/>
      </w:tcPr>
    </w:tblStylePr>
    <w:tblStylePr w:type="band1Vert">
      <w:tcPr>
        <w:shd w:val="clear" w:color="ffffff" w:themeColor="accent6" w:themeTint="40" w:fill="f5c2c2" w:themeFill="accent6" w:themeFillTint="40"/>
      </w:tcPr>
    </w:tblStylePr>
    <w:tblStylePr w:type="band2Horz">
      <w:rPr>
        <w:rFonts w:ascii="Arial" w:hAnsi="Arial"/>
        <w:color w:val="404040" w:themeColor="accent6" w:themeTint="98" w:themeShade="95"/>
        <w:sz w:val="22"/>
      </w:rPr>
    </w:tblStylePr>
    <w:tblStylePr w:type="firstCol">
      <w:rPr>
        <w:b/>
        <w:color w:val="ad1a1a" w:themeColor="accent6" w:themeTint="98" w:themeShade="95"/>
      </w:rPr>
    </w:tblStylePr>
    <w:tblStylePr w:type="firstRow">
      <w:rPr>
        <w:b/>
        <w:color w:val="ad1a1a" w:themeColor="accent6" w:themeTint="98" w:themeShade="95"/>
      </w:rPr>
      <w:tcPr>
        <w:tcBorders>
          <w:bottom w:val="single" w:color="000000" w:themeColor="accent6" w:themeTint="98" w:sz="4" w:space="0"/>
        </w:tcBorders>
      </w:tcPr>
    </w:tblStylePr>
    <w:tblStylePr w:type="lastCol">
      <w:rPr>
        <w:b/>
        <w:color w:val="ad1a1a" w:themeColor="accent6" w:themeTint="98" w:themeShade="95"/>
      </w:rPr>
    </w:tblStylePr>
    <w:tblStylePr w:type="lastRow">
      <w:rPr>
        <w:b/>
        <w:color w:val="ad1a1a" w:themeColor="accent6" w:themeTint="98" w:themeShade="95"/>
      </w:rPr>
      <w:tcPr>
        <w:tcBorders>
          <w:top w:val="single" w:color="000000" w:themeColor="accent6" w:themeTint="98" w:sz="4" w:space="0"/>
        </w:tcBorders>
      </w:tcPr>
    </w:tblStylePr>
  </w:style>
  <w:style w:type="table" w:styleId="145">
    <w:name w:val="List Table 7 Colorful"/>
    <w:basedOn w:val="7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e5e01" w:themeColor="accent1" w:themeShade="95"/>
        <w:sz w:val="22"/>
      </w:rPr>
      <w:tcPr>
        <w:shd w:val="clear" w:color="ffffff" w:themeColor="accent1" w:themeTint="40" w:fill="b6fdaa" w:themeFill="accent1" w:themeFillTint="40"/>
      </w:tcPr>
    </w:tblStylePr>
    <w:tblStylePr w:type="band1Vert">
      <w:tcPr>
        <w:shd w:val="clear" w:color="ffffff" w:themeColor="accent1" w:themeTint="40" w:fill="b6fdaa" w:themeFill="accent1" w:themeFillTint="40"/>
      </w:tcPr>
    </w:tblStylePr>
    <w:tblStylePr w:type="band2Horz">
      <w:rPr>
        <w:rFonts w:ascii="Arial" w:hAnsi="Arial"/>
        <w:color w:val="0e5e01" w:themeColor="accent1" w:themeShade="95"/>
        <w:sz w:val="22"/>
      </w:rPr>
    </w:tblStylePr>
    <w:tblStylePr w:type="firstCol">
      <w:rPr>
        <w:rFonts w:ascii="Arial" w:hAnsi="Arial"/>
        <w:i/>
        <w:color w:val="0e5e0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0e5e0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0e5e0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0e5e0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0e5e01" w:themeColor="accent1" w:themeShade="95"/>
        <w:sz w:val="22"/>
      </w:rPr>
    </w:tblStylePr>
  </w:style>
  <w:style w:type="table" w:styleId="147">
    <w:name w:val="List Table 7 Colorful - Accent 2"/>
    <w:basedOn w:val="7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0378ae" w:themeColor="accent2" w:themeTint="97" w:themeShade="95"/>
        <w:sz w:val="22"/>
      </w:rPr>
      <w:tcPr>
        <w:shd w:val="clear" w:color="ffffff" w:themeColor="accent2" w:themeTint="40" w:fill="aae1fd" w:themeFill="accent2" w:themeFillTint="40"/>
      </w:tcPr>
    </w:tblStylePr>
    <w:tblStylePr w:type="band1Vert">
      <w:tcPr>
        <w:shd w:val="clear" w:color="ffffff" w:themeColor="accent2" w:themeTint="40" w:fill="aae1fd" w:themeFill="accent2" w:themeFillTint="40"/>
      </w:tcPr>
    </w:tblStylePr>
    <w:tblStylePr w:type="band2Horz">
      <w:rPr>
        <w:rFonts w:ascii="Arial" w:hAnsi="Arial"/>
        <w:color w:val="0378ae" w:themeColor="accent2" w:themeTint="97" w:themeShade="95"/>
        <w:sz w:val="22"/>
      </w:rPr>
    </w:tblStylePr>
    <w:tblStylePr w:type="firstCol">
      <w:rPr>
        <w:rFonts w:ascii="Arial" w:hAnsi="Arial"/>
        <w:i/>
        <w:color w:val="0378ae"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0378ae"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0378ae"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0378ae"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0378ae" w:themeColor="accent2" w:themeTint="97" w:themeShade="95"/>
        <w:sz w:val="22"/>
      </w:rPr>
    </w:tblStylePr>
  </w:style>
  <w:style w:type="table" w:styleId="148">
    <w:name w:val="List Table 7 Colorful - Accent 3"/>
    <w:basedOn w:val="7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ab3b04" w:themeColor="accent3" w:themeTint="98" w:themeShade="95"/>
        <w:sz w:val="22"/>
      </w:rPr>
      <w:tcPr>
        <w:shd w:val="clear" w:color="ffffff" w:themeColor="accent3" w:themeTint="40" w:fill="fdc7aa" w:themeFill="accent3" w:themeFillTint="40"/>
      </w:tcPr>
    </w:tblStylePr>
    <w:tblStylePr w:type="band1Vert">
      <w:tcPr>
        <w:shd w:val="clear" w:color="ffffff" w:themeColor="accent3" w:themeTint="40" w:fill="fdc7aa" w:themeFill="accent3" w:themeFillTint="40"/>
      </w:tcPr>
    </w:tblStylePr>
    <w:tblStylePr w:type="band2Horz">
      <w:rPr>
        <w:rFonts w:ascii="Arial" w:hAnsi="Arial"/>
        <w:color w:val="ab3b04" w:themeColor="accent3" w:themeTint="98" w:themeShade="95"/>
        <w:sz w:val="22"/>
      </w:rPr>
    </w:tblStylePr>
    <w:tblStylePr w:type="firstCol">
      <w:rPr>
        <w:rFonts w:ascii="Arial" w:hAnsi="Arial"/>
        <w:i/>
        <w:color w:val="ab3b04"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ab3b04"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ab3b04"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ab3b04"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ab3b04" w:themeColor="accent3" w:themeTint="98" w:themeShade="95"/>
        <w:sz w:val="22"/>
      </w:rPr>
    </w:tblStylePr>
  </w:style>
  <w:style w:type="table" w:styleId="149">
    <w:name w:val="List Table 7 Colorful - Accent 4"/>
    <w:basedOn w:val="7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9104ab" w:themeColor="accent4" w:themeTint="9A" w:themeShade="95"/>
        <w:sz w:val="22"/>
      </w:rPr>
      <w:tcPr>
        <w:shd w:val="clear" w:color="ffffff" w:themeColor="accent4" w:themeTint="40" w:fill="f0aafd" w:themeFill="accent4" w:themeFillTint="40"/>
      </w:tcPr>
    </w:tblStylePr>
    <w:tblStylePr w:type="band1Vert">
      <w:tcPr>
        <w:shd w:val="clear" w:color="ffffff" w:themeColor="accent4" w:themeTint="40" w:fill="f0aafd" w:themeFill="accent4" w:themeFillTint="40"/>
      </w:tcPr>
    </w:tblStylePr>
    <w:tblStylePr w:type="band2Horz">
      <w:rPr>
        <w:rFonts w:ascii="Arial" w:hAnsi="Arial"/>
        <w:color w:val="9104ab" w:themeColor="accent4" w:themeTint="9A" w:themeShade="95"/>
        <w:sz w:val="22"/>
      </w:rPr>
    </w:tblStylePr>
    <w:tblStylePr w:type="firstCol">
      <w:rPr>
        <w:rFonts w:ascii="Arial" w:hAnsi="Arial"/>
        <w:i/>
        <w:color w:val="9104ab"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9104ab"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9104ab"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9104ab"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9104ab" w:themeColor="accent4" w:themeTint="9A" w:themeShade="95"/>
        <w:sz w:val="22"/>
      </w:rPr>
    </w:tblStylePr>
  </w:style>
  <w:style w:type="table" w:styleId="150">
    <w:name w:val="List Table 7 Colorful - Accent 5"/>
    <w:basedOn w:val="7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ba8700" w:themeColor="accent5" w:themeTint="9A" w:themeShade="95"/>
        <w:sz w:val="22"/>
      </w:rPr>
      <w:tcPr>
        <w:shd w:val="clear" w:color="ffffff" w:themeColor="accent5" w:themeTint="40" w:fill="ffebb1" w:themeFill="accent5" w:themeFillTint="40"/>
      </w:tcPr>
    </w:tblStylePr>
    <w:tblStylePr w:type="band1Vert">
      <w:tcPr>
        <w:shd w:val="clear" w:color="ffffff" w:themeColor="accent5" w:themeTint="40" w:fill="ffebb1" w:themeFill="accent5" w:themeFillTint="40"/>
      </w:tcPr>
    </w:tblStylePr>
    <w:tblStylePr w:type="band2Horz">
      <w:rPr>
        <w:rFonts w:ascii="Arial" w:hAnsi="Arial"/>
        <w:color w:val="ba8700" w:themeColor="accent5" w:themeTint="9A" w:themeShade="95"/>
        <w:sz w:val="22"/>
      </w:rPr>
    </w:tblStylePr>
    <w:tblStylePr w:type="firstCol">
      <w:rPr>
        <w:rFonts w:ascii="Arial" w:hAnsi="Arial"/>
        <w:i/>
        <w:color w:val="ba870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ba870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ba870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ba870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ba8700" w:themeColor="accent5" w:themeTint="9A" w:themeShade="95"/>
        <w:sz w:val="22"/>
      </w:rPr>
    </w:tblStylePr>
  </w:style>
  <w:style w:type="table" w:styleId="151">
    <w:name w:val="List Table 7 Colorful - Accent 6"/>
    <w:basedOn w:val="7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ad1a1a" w:themeColor="accent6" w:themeTint="98" w:themeShade="95"/>
        <w:sz w:val="22"/>
      </w:rPr>
      <w:tcPr>
        <w:shd w:val="clear" w:color="ffffff" w:themeColor="accent6" w:themeTint="40" w:fill="f5c2c2" w:themeFill="accent6" w:themeFillTint="40"/>
      </w:tcPr>
    </w:tblStylePr>
    <w:tblStylePr w:type="band1Vert">
      <w:tcPr>
        <w:shd w:val="clear" w:color="ffffff" w:themeColor="accent6" w:themeTint="40" w:fill="f5c2c2" w:themeFill="accent6" w:themeFillTint="40"/>
      </w:tcPr>
    </w:tblStylePr>
    <w:tblStylePr w:type="band2Horz">
      <w:rPr>
        <w:rFonts w:ascii="Arial" w:hAnsi="Arial"/>
        <w:color w:val="ad1a1a" w:themeColor="accent6" w:themeTint="98" w:themeShade="95"/>
        <w:sz w:val="22"/>
      </w:rPr>
    </w:tblStylePr>
    <w:tblStylePr w:type="firstCol">
      <w:rPr>
        <w:rFonts w:ascii="Arial" w:hAnsi="Arial"/>
        <w:i/>
        <w:color w:val="ad1a1a"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ad1a1a"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ad1a1a"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ad1a1a"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ad1a1a" w:themeColor="accent6" w:themeTint="98" w:themeShade="95"/>
        <w:sz w:val="22"/>
      </w:rPr>
    </w:tblStylePr>
  </w:style>
  <w:style w:type="table" w:styleId="152">
    <w:name w:val="Lined - Accent"/>
    <w:basedOn w:val="7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a3fc95" w:themeFill="accent1" w:themeFillTint="50"/>
      </w:tcPr>
    </w:tblStylePr>
    <w:tblStylePr w:type="band2Vert">
      <w:rPr>
        <w:rFonts w:ascii="Arial" w:hAnsi="Arial"/>
        <w:color w:val="404040"/>
        <w:sz w:val="22"/>
      </w:rPr>
      <w:tcPr>
        <w:shd w:val="clear" w:color="ffffff" w:themeColor="accent1" w:themeTint="50" w:fill="a3fc95" w:themeFill="accent1" w:themeFillTint="50"/>
      </w:tcPr>
    </w:tblStylePr>
    <w:tblStylePr w:type="firstCol">
      <w:rPr>
        <w:rFonts w:ascii="Arial" w:hAnsi="Arial"/>
        <w:color w:val="f2f2f2"/>
        <w:sz w:val="22"/>
      </w:rPr>
      <w:tcPr>
        <w:shd w:val="clear" w:color="ffffff" w:themeColor="accent1" w:themeTint="EA" w:fill="1ebe03" w:themeFill="accent1" w:themeFillTint="EA"/>
      </w:tcPr>
    </w:tblStylePr>
    <w:tblStylePr w:type="firstRow">
      <w:rPr>
        <w:rFonts w:ascii="Arial" w:hAnsi="Arial"/>
        <w:color w:val="f2f2f2"/>
        <w:sz w:val="22"/>
      </w:rPr>
      <w:tcPr>
        <w:shd w:val="clear" w:color="ffffff" w:themeColor="accent1" w:themeTint="EA" w:fill="1ebe03" w:themeFill="accent1" w:themeFillTint="EA"/>
      </w:tcPr>
    </w:tblStylePr>
    <w:tblStylePr w:type="lastCol">
      <w:rPr>
        <w:rFonts w:ascii="Arial" w:hAnsi="Arial"/>
        <w:color w:val="f2f2f2"/>
        <w:sz w:val="22"/>
      </w:rPr>
      <w:tcPr>
        <w:shd w:val="clear" w:color="ffffff" w:themeColor="accent1" w:themeTint="EA" w:fill="1ebe03" w:themeFill="accent1" w:themeFillTint="EA"/>
      </w:tcPr>
    </w:tblStylePr>
    <w:tblStylePr w:type="lastRow">
      <w:rPr>
        <w:rFonts w:ascii="Arial" w:hAnsi="Arial"/>
        <w:color w:val="f2f2f2"/>
        <w:sz w:val="22"/>
      </w:rPr>
      <w:tcPr>
        <w:shd w:val="clear" w:color="ffffff" w:themeColor="accent1" w:themeTint="EA" w:fill="1ebe03" w:themeFill="accent1" w:themeFillTint="EA"/>
      </w:tcPr>
    </w:tblStylePr>
  </w:style>
  <w:style w:type="table" w:styleId="154">
    <w:name w:val="Lined - Accent 2"/>
    <w:basedOn w:val="7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bce7fd" w:themeFill="accent2" w:themeFillTint="32"/>
      </w:tcPr>
    </w:tblStylePr>
    <w:tblStylePr w:type="band2Vert">
      <w:rPr>
        <w:rFonts w:ascii="Arial" w:hAnsi="Arial"/>
        <w:color w:val="404040"/>
        <w:sz w:val="22"/>
      </w:rPr>
      <w:tcPr>
        <w:shd w:val="clear" w:color="ffffff" w:themeColor="accent2" w:themeTint="32" w:fill="bce7fd" w:themeFill="accent2" w:themeFillTint="32"/>
      </w:tcPr>
    </w:tblStylePr>
    <w:tblStylePr w:type="firstCol">
      <w:rPr>
        <w:rFonts w:ascii="Arial" w:hAnsi="Arial"/>
        <w:color w:val="f2f2f2"/>
        <w:sz w:val="22"/>
      </w:rPr>
      <w:tcPr>
        <w:shd w:val="clear" w:color="ffffff" w:themeColor="accent2" w:themeTint="97" w:fill="36b8fb" w:themeFill="accent2" w:themeFillTint="97"/>
      </w:tcPr>
    </w:tblStylePr>
    <w:tblStylePr w:type="firstRow">
      <w:rPr>
        <w:rFonts w:ascii="Arial" w:hAnsi="Arial"/>
        <w:color w:val="f2f2f2"/>
        <w:sz w:val="22"/>
      </w:rPr>
      <w:tcPr>
        <w:shd w:val="clear" w:color="ffffff" w:themeColor="accent2" w:themeTint="97" w:fill="36b8fb" w:themeFill="accent2" w:themeFillTint="97"/>
      </w:tcPr>
    </w:tblStylePr>
    <w:tblStylePr w:type="lastCol">
      <w:rPr>
        <w:rFonts w:ascii="Arial" w:hAnsi="Arial"/>
        <w:color w:val="f2f2f2"/>
        <w:sz w:val="22"/>
      </w:rPr>
      <w:tcPr>
        <w:shd w:val="clear" w:color="ffffff" w:themeColor="accent2" w:themeTint="97" w:fill="36b8fb" w:themeFill="accent2" w:themeFillTint="97"/>
      </w:tcPr>
    </w:tblStylePr>
    <w:tblStylePr w:type="lastRow">
      <w:rPr>
        <w:rFonts w:ascii="Arial" w:hAnsi="Arial"/>
        <w:color w:val="f2f2f2"/>
        <w:sz w:val="22"/>
      </w:rPr>
      <w:tcPr>
        <w:shd w:val="clear" w:color="ffffff" w:themeColor="accent2" w:themeTint="97" w:fill="36b8fb" w:themeFill="accent2" w:themeFillTint="97"/>
      </w:tcPr>
    </w:tblStylePr>
  </w:style>
  <w:style w:type="table" w:styleId="155">
    <w:name w:val="Lined - Accent 3"/>
    <w:basedOn w:val="7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dd2ba" w:themeFill="accent3" w:themeFillTint="34"/>
      </w:tcPr>
    </w:tblStylePr>
    <w:tblStylePr w:type="band2Vert">
      <w:rPr>
        <w:rFonts w:ascii="Arial" w:hAnsi="Arial"/>
        <w:color w:val="404040"/>
        <w:sz w:val="22"/>
      </w:rPr>
      <w:tcPr>
        <w:shd w:val="clear" w:color="ffffff" w:themeColor="accent3" w:themeTint="34" w:fill="fdd2ba" w:themeFill="accent3" w:themeFillTint="34"/>
      </w:tcPr>
    </w:tblStylePr>
    <w:tblStylePr w:type="firstCol">
      <w:rPr>
        <w:rFonts w:ascii="Arial" w:hAnsi="Arial"/>
        <w:color w:val="f2f2f2"/>
        <w:sz w:val="22"/>
      </w:rPr>
      <w:tcPr>
        <w:shd w:val="clear" w:color="ffffff" w:themeColor="accent3" w:themeTint="FE" w:fill="a43c03" w:themeFill="accent3" w:themeFillTint="FE"/>
      </w:tcPr>
    </w:tblStylePr>
    <w:tblStylePr w:type="firstRow">
      <w:rPr>
        <w:rFonts w:ascii="Arial" w:hAnsi="Arial"/>
        <w:color w:val="f2f2f2"/>
        <w:sz w:val="22"/>
      </w:rPr>
      <w:tcPr>
        <w:shd w:val="clear" w:color="ffffff" w:themeColor="accent3" w:themeTint="FE" w:fill="a43c03" w:themeFill="accent3" w:themeFillTint="FE"/>
      </w:tcPr>
    </w:tblStylePr>
    <w:tblStylePr w:type="lastCol">
      <w:rPr>
        <w:rFonts w:ascii="Arial" w:hAnsi="Arial"/>
        <w:color w:val="f2f2f2"/>
        <w:sz w:val="22"/>
      </w:rPr>
      <w:tcPr>
        <w:shd w:val="clear" w:color="ffffff" w:themeColor="accent3" w:themeTint="FE" w:fill="a43c03" w:themeFill="accent3" w:themeFillTint="FE"/>
      </w:tcPr>
    </w:tblStylePr>
    <w:tblStylePr w:type="lastRow">
      <w:rPr>
        <w:rFonts w:ascii="Arial" w:hAnsi="Arial"/>
        <w:color w:val="f2f2f2"/>
        <w:sz w:val="22"/>
      </w:rPr>
      <w:tcPr>
        <w:shd w:val="clear" w:color="ffffff" w:themeColor="accent3" w:themeTint="FE" w:fill="a43c03" w:themeFill="accent3" w:themeFillTint="FE"/>
      </w:tcPr>
    </w:tblStylePr>
  </w:style>
  <w:style w:type="table" w:styleId="156">
    <w:name w:val="Lined - Accent 4"/>
    <w:basedOn w:val="7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3bafd" w:themeFill="accent4" w:themeFillTint="34"/>
      </w:tcPr>
    </w:tblStylePr>
    <w:tblStylePr w:type="band2Vert">
      <w:rPr>
        <w:rFonts w:ascii="Arial" w:hAnsi="Arial"/>
        <w:color w:val="404040"/>
        <w:sz w:val="22"/>
      </w:rPr>
      <w:tcPr>
        <w:shd w:val="clear" w:color="ffffff" w:themeColor="accent4" w:themeTint="34" w:fill="f3bafd" w:themeFill="accent4" w:themeFillTint="34"/>
      </w:tcPr>
    </w:tblStylePr>
    <w:tblStylePr w:type="firstCol">
      <w:rPr>
        <w:rFonts w:ascii="Arial" w:hAnsi="Arial"/>
        <w:color w:val="f2f2f2"/>
        <w:sz w:val="22"/>
      </w:rPr>
      <w:tcPr>
        <w:shd w:val="clear" w:color="ffffff" w:themeColor="accent4" w:themeTint="9A" w:fill="dc33fa" w:themeFill="accent4" w:themeFillTint="9A"/>
      </w:tcPr>
    </w:tblStylePr>
    <w:tblStylePr w:type="firstRow">
      <w:rPr>
        <w:rFonts w:ascii="Arial" w:hAnsi="Arial"/>
        <w:color w:val="f2f2f2"/>
        <w:sz w:val="22"/>
      </w:rPr>
      <w:tcPr>
        <w:shd w:val="clear" w:color="ffffff" w:themeColor="accent4" w:themeTint="9A" w:fill="dc33fa" w:themeFill="accent4" w:themeFillTint="9A"/>
      </w:tcPr>
    </w:tblStylePr>
    <w:tblStylePr w:type="lastCol">
      <w:rPr>
        <w:rFonts w:ascii="Arial" w:hAnsi="Arial"/>
        <w:color w:val="f2f2f2"/>
        <w:sz w:val="22"/>
      </w:rPr>
      <w:tcPr>
        <w:shd w:val="clear" w:color="ffffff" w:themeColor="accent4" w:themeTint="9A" w:fill="dc33fa" w:themeFill="accent4" w:themeFillTint="9A"/>
      </w:tcPr>
    </w:tblStylePr>
    <w:tblStylePr w:type="lastRow">
      <w:rPr>
        <w:rFonts w:ascii="Arial" w:hAnsi="Arial"/>
        <w:color w:val="f2f2f2"/>
        <w:sz w:val="22"/>
      </w:rPr>
      <w:tcPr>
        <w:shd w:val="clear" w:color="ffffff" w:themeColor="accent4" w:themeTint="9A" w:fill="dc33fa" w:themeFill="accent4" w:themeFillTint="9A"/>
      </w:tcPr>
    </w:tblStylePr>
  </w:style>
  <w:style w:type="table" w:styleId="157">
    <w:name w:val="Lined - Accent 5"/>
    <w:basedOn w:val="7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fefbf" w:themeFill="accent5" w:themeFillTint="34"/>
      </w:tcPr>
    </w:tblStylePr>
    <w:tblStylePr w:type="band2Vert">
      <w:rPr>
        <w:rFonts w:ascii="Arial" w:hAnsi="Arial"/>
        <w:color w:val="404040"/>
        <w:sz w:val="22"/>
      </w:rPr>
      <w:tcPr>
        <w:shd w:val="clear" w:color="ffffff" w:themeColor="accent5" w:themeTint="34" w:fill="ffefbf" w:themeFill="accent5" w:themeFillTint="34"/>
      </w:tcPr>
    </w:tblStylePr>
    <w:tblStylePr w:type="firstCol">
      <w:rPr>
        <w:rFonts w:ascii="Arial" w:hAnsi="Arial"/>
        <w:color w:val="f2f2f2"/>
        <w:sz w:val="22"/>
      </w:rPr>
      <w:tcPr>
        <w:shd w:val="clear" w:color="ffffff" w:themeColor="accent5" w:fill="c99c00" w:themeFill="accent5"/>
      </w:tcPr>
    </w:tblStylePr>
    <w:tblStylePr w:type="firstRow">
      <w:rPr>
        <w:rFonts w:ascii="Arial" w:hAnsi="Arial"/>
        <w:color w:val="f2f2f2"/>
        <w:sz w:val="22"/>
      </w:rPr>
      <w:tcPr>
        <w:shd w:val="clear" w:color="ffffff" w:themeColor="accent5" w:fill="c99c00" w:themeFill="accent5"/>
      </w:tcPr>
    </w:tblStylePr>
    <w:tblStylePr w:type="lastCol">
      <w:rPr>
        <w:rFonts w:ascii="Arial" w:hAnsi="Arial"/>
        <w:color w:val="f2f2f2"/>
        <w:sz w:val="22"/>
      </w:rPr>
      <w:tcPr>
        <w:shd w:val="clear" w:color="ffffff" w:themeColor="accent5" w:fill="c99c00" w:themeFill="accent5"/>
      </w:tcPr>
    </w:tblStylePr>
    <w:tblStylePr w:type="lastRow">
      <w:rPr>
        <w:rFonts w:ascii="Arial" w:hAnsi="Arial"/>
        <w:color w:val="f2f2f2"/>
        <w:sz w:val="22"/>
      </w:rPr>
      <w:tcPr>
        <w:shd w:val="clear" w:color="ffffff" w:themeColor="accent5" w:fill="c99c00" w:themeFill="accent5"/>
      </w:tcPr>
    </w:tblStylePr>
  </w:style>
  <w:style w:type="table" w:styleId="158">
    <w:name w:val="Lined - Accent 6"/>
    <w:basedOn w:val="7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7cccc" w:themeFill="accent6" w:themeFillTint="34"/>
      </w:tcPr>
    </w:tblStylePr>
    <w:tblStylePr w:type="band2Vert">
      <w:rPr>
        <w:rFonts w:ascii="Arial" w:hAnsi="Arial"/>
        <w:color w:val="404040"/>
        <w:sz w:val="22"/>
      </w:rPr>
      <w:tcPr>
        <w:shd w:val="clear" w:color="ffffff" w:themeColor="accent6" w:themeTint="34" w:fill="f7cccc" w:themeFill="accent6" w:themeFillTint="34"/>
      </w:tcPr>
    </w:tblStylePr>
    <w:tblStylePr w:type="firstCol">
      <w:rPr>
        <w:rFonts w:ascii="Arial" w:hAnsi="Arial"/>
        <w:color w:val="f2f2f2"/>
        <w:sz w:val="22"/>
      </w:rPr>
      <w:tcPr>
        <w:shd w:val="clear" w:color="ffffff" w:themeColor="accent6" w:fill="c9211e" w:themeFill="accent6"/>
      </w:tcPr>
    </w:tblStylePr>
    <w:tblStylePr w:type="firstRow">
      <w:rPr>
        <w:rFonts w:ascii="Arial" w:hAnsi="Arial"/>
        <w:color w:val="f2f2f2"/>
        <w:sz w:val="22"/>
      </w:rPr>
      <w:tcPr>
        <w:shd w:val="clear" w:color="ffffff" w:themeColor="accent6" w:fill="c9211e" w:themeFill="accent6"/>
      </w:tcPr>
    </w:tblStylePr>
    <w:tblStylePr w:type="lastCol">
      <w:rPr>
        <w:rFonts w:ascii="Arial" w:hAnsi="Arial"/>
        <w:color w:val="f2f2f2"/>
        <w:sz w:val="22"/>
      </w:rPr>
      <w:tcPr>
        <w:shd w:val="clear" w:color="ffffff" w:themeColor="accent6" w:fill="c9211e" w:themeFill="accent6"/>
      </w:tcPr>
    </w:tblStylePr>
    <w:tblStylePr w:type="lastRow">
      <w:rPr>
        <w:rFonts w:ascii="Arial" w:hAnsi="Arial"/>
        <w:color w:val="f2f2f2"/>
        <w:sz w:val="22"/>
      </w:rPr>
      <w:tcPr>
        <w:shd w:val="clear" w:color="ffffff" w:themeColor="accent6" w:fill="c9211e" w:themeFill="accent6"/>
      </w:tcPr>
    </w:tblStylePr>
  </w:style>
  <w:style w:type="table" w:styleId="159">
    <w:name w:val="Bordered &amp; Lined - Accent"/>
    <w:basedOn w:val="7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a3fc95" w:themeFill="accent1" w:themeFillTint="50"/>
      </w:tcPr>
    </w:tblStylePr>
    <w:tblStylePr w:type="band2Vert">
      <w:rPr>
        <w:rFonts w:ascii="Arial" w:hAnsi="Arial"/>
        <w:color w:val="404040"/>
        <w:sz w:val="22"/>
      </w:rPr>
      <w:tcPr>
        <w:shd w:val="clear" w:color="ffffff" w:themeColor="accent1" w:themeTint="50" w:fill="a3fc95" w:themeFill="accent1" w:themeFillTint="50"/>
      </w:tcPr>
    </w:tblStylePr>
    <w:tblStylePr w:type="firstCol">
      <w:rPr>
        <w:rFonts w:ascii="Arial" w:hAnsi="Arial"/>
        <w:color w:val="f2f2f2"/>
        <w:sz w:val="22"/>
      </w:rPr>
      <w:tcPr>
        <w:shd w:val="clear" w:color="ffffff" w:themeColor="accent1" w:themeTint="EA" w:fill="1ebe03" w:themeFill="accent1" w:themeFillTint="EA"/>
      </w:tcPr>
    </w:tblStylePr>
    <w:tblStylePr w:type="firstRow">
      <w:rPr>
        <w:rFonts w:ascii="Arial" w:hAnsi="Arial"/>
        <w:color w:val="f2f2f2"/>
        <w:sz w:val="22"/>
      </w:rPr>
      <w:tcPr>
        <w:shd w:val="clear" w:color="ffffff" w:themeColor="accent1" w:themeTint="EA" w:fill="1ebe03" w:themeFill="accent1" w:themeFillTint="EA"/>
      </w:tcPr>
    </w:tblStylePr>
    <w:tblStylePr w:type="lastCol">
      <w:rPr>
        <w:rFonts w:ascii="Arial" w:hAnsi="Arial"/>
        <w:color w:val="f2f2f2"/>
        <w:sz w:val="22"/>
      </w:rPr>
      <w:tcPr>
        <w:shd w:val="clear" w:color="ffffff" w:themeColor="accent1" w:themeTint="EA" w:fill="1ebe03" w:themeFill="accent1" w:themeFillTint="EA"/>
      </w:tcPr>
    </w:tblStylePr>
    <w:tblStylePr w:type="lastRow">
      <w:rPr>
        <w:rFonts w:ascii="Arial" w:hAnsi="Arial"/>
        <w:color w:val="f2f2f2"/>
        <w:sz w:val="22"/>
      </w:rPr>
      <w:tcPr>
        <w:shd w:val="clear" w:color="ffffff" w:themeColor="accent1" w:themeTint="EA" w:fill="1ebe03" w:themeFill="accent1" w:themeFillTint="EA"/>
      </w:tcPr>
    </w:tblStylePr>
  </w:style>
  <w:style w:type="table" w:styleId="161">
    <w:name w:val="Bordered &amp; Lined - Accent 2"/>
    <w:basedOn w:val="7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bce7fd" w:themeFill="accent2" w:themeFillTint="32"/>
      </w:tcPr>
    </w:tblStylePr>
    <w:tblStylePr w:type="band2Vert">
      <w:rPr>
        <w:rFonts w:ascii="Arial" w:hAnsi="Arial"/>
        <w:color w:val="404040"/>
        <w:sz w:val="22"/>
      </w:rPr>
      <w:tcPr>
        <w:shd w:val="clear" w:color="ffffff" w:themeColor="accent2" w:themeTint="32" w:fill="bce7fd" w:themeFill="accent2" w:themeFillTint="32"/>
      </w:tcPr>
    </w:tblStylePr>
    <w:tblStylePr w:type="firstCol">
      <w:rPr>
        <w:rFonts w:ascii="Arial" w:hAnsi="Arial"/>
        <w:color w:val="f2f2f2"/>
        <w:sz w:val="22"/>
      </w:rPr>
      <w:tcPr>
        <w:shd w:val="clear" w:color="ffffff" w:themeColor="accent2" w:themeTint="97" w:fill="36b8fb" w:themeFill="accent2" w:themeFillTint="97"/>
      </w:tcPr>
    </w:tblStylePr>
    <w:tblStylePr w:type="firstRow">
      <w:rPr>
        <w:rFonts w:ascii="Arial" w:hAnsi="Arial"/>
        <w:color w:val="f2f2f2"/>
        <w:sz w:val="22"/>
      </w:rPr>
      <w:tcPr>
        <w:shd w:val="clear" w:color="ffffff" w:themeColor="accent2" w:themeTint="97" w:fill="36b8fb" w:themeFill="accent2" w:themeFillTint="97"/>
      </w:tcPr>
    </w:tblStylePr>
    <w:tblStylePr w:type="lastCol">
      <w:rPr>
        <w:rFonts w:ascii="Arial" w:hAnsi="Arial"/>
        <w:color w:val="f2f2f2"/>
        <w:sz w:val="22"/>
      </w:rPr>
      <w:tcPr>
        <w:shd w:val="clear" w:color="ffffff" w:themeColor="accent2" w:themeTint="97" w:fill="36b8fb" w:themeFill="accent2" w:themeFillTint="97"/>
      </w:tcPr>
    </w:tblStylePr>
    <w:tblStylePr w:type="lastRow">
      <w:rPr>
        <w:rFonts w:ascii="Arial" w:hAnsi="Arial"/>
        <w:color w:val="f2f2f2"/>
        <w:sz w:val="22"/>
      </w:rPr>
      <w:tcPr>
        <w:shd w:val="clear" w:color="ffffff" w:themeColor="accent2" w:themeTint="97" w:fill="36b8fb" w:themeFill="accent2" w:themeFillTint="97"/>
      </w:tcPr>
    </w:tblStylePr>
  </w:style>
  <w:style w:type="table" w:styleId="162">
    <w:name w:val="Bordered &amp; Lined - Accent 3"/>
    <w:basedOn w:val="7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dd2ba" w:themeFill="accent3" w:themeFillTint="34"/>
      </w:tcPr>
    </w:tblStylePr>
    <w:tblStylePr w:type="band2Vert">
      <w:rPr>
        <w:rFonts w:ascii="Arial" w:hAnsi="Arial"/>
        <w:color w:val="404040"/>
        <w:sz w:val="22"/>
      </w:rPr>
      <w:tcPr>
        <w:shd w:val="clear" w:color="ffffff" w:themeColor="accent3" w:themeTint="34" w:fill="fdd2ba" w:themeFill="accent3" w:themeFillTint="34"/>
      </w:tcPr>
    </w:tblStylePr>
    <w:tblStylePr w:type="firstCol">
      <w:rPr>
        <w:rFonts w:ascii="Arial" w:hAnsi="Arial"/>
        <w:color w:val="f2f2f2"/>
        <w:sz w:val="22"/>
      </w:rPr>
      <w:tcPr>
        <w:shd w:val="clear" w:color="ffffff" w:themeColor="accent3" w:themeTint="FE" w:fill="a43c03" w:themeFill="accent3" w:themeFillTint="FE"/>
      </w:tcPr>
    </w:tblStylePr>
    <w:tblStylePr w:type="firstRow">
      <w:rPr>
        <w:rFonts w:ascii="Arial" w:hAnsi="Arial"/>
        <w:color w:val="f2f2f2"/>
        <w:sz w:val="22"/>
      </w:rPr>
      <w:tcPr>
        <w:shd w:val="clear" w:color="ffffff" w:themeColor="accent3" w:themeTint="FE" w:fill="a43c03" w:themeFill="accent3" w:themeFillTint="FE"/>
      </w:tcPr>
    </w:tblStylePr>
    <w:tblStylePr w:type="lastCol">
      <w:rPr>
        <w:rFonts w:ascii="Arial" w:hAnsi="Arial"/>
        <w:color w:val="f2f2f2"/>
        <w:sz w:val="22"/>
      </w:rPr>
      <w:tcPr>
        <w:shd w:val="clear" w:color="ffffff" w:themeColor="accent3" w:themeTint="FE" w:fill="a43c03" w:themeFill="accent3" w:themeFillTint="FE"/>
      </w:tcPr>
    </w:tblStylePr>
    <w:tblStylePr w:type="lastRow">
      <w:rPr>
        <w:rFonts w:ascii="Arial" w:hAnsi="Arial"/>
        <w:color w:val="f2f2f2"/>
        <w:sz w:val="22"/>
      </w:rPr>
      <w:tcPr>
        <w:shd w:val="clear" w:color="ffffff" w:themeColor="accent3" w:themeTint="FE" w:fill="a43c03" w:themeFill="accent3" w:themeFillTint="FE"/>
      </w:tcPr>
    </w:tblStylePr>
  </w:style>
  <w:style w:type="table" w:styleId="163">
    <w:name w:val="Bordered &amp; Lined - Accent 4"/>
    <w:basedOn w:val="7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3bafd" w:themeFill="accent4" w:themeFillTint="34"/>
      </w:tcPr>
    </w:tblStylePr>
    <w:tblStylePr w:type="band2Vert">
      <w:rPr>
        <w:rFonts w:ascii="Arial" w:hAnsi="Arial"/>
        <w:color w:val="404040"/>
        <w:sz w:val="22"/>
      </w:rPr>
      <w:tcPr>
        <w:shd w:val="clear" w:color="ffffff" w:themeColor="accent4" w:themeTint="34" w:fill="f3bafd" w:themeFill="accent4" w:themeFillTint="34"/>
      </w:tcPr>
    </w:tblStylePr>
    <w:tblStylePr w:type="firstCol">
      <w:rPr>
        <w:rFonts w:ascii="Arial" w:hAnsi="Arial"/>
        <w:color w:val="f2f2f2"/>
        <w:sz w:val="22"/>
      </w:rPr>
      <w:tcPr>
        <w:shd w:val="clear" w:color="ffffff" w:themeColor="accent4" w:themeTint="9A" w:fill="dc33fa" w:themeFill="accent4" w:themeFillTint="9A"/>
      </w:tcPr>
    </w:tblStylePr>
    <w:tblStylePr w:type="firstRow">
      <w:rPr>
        <w:rFonts w:ascii="Arial" w:hAnsi="Arial"/>
        <w:color w:val="f2f2f2"/>
        <w:sz w:val="22"/>
      </w:rPr>
      <w:tcPr>
        <w:shd w:val="clear" w:color="ffffff" w:themeColor="accent4" w:themeTint="9A" w:fill="dc33fa" w:themeFill="accent4" w:themeFillTint="9A"/>
      </w:tcPr>
    </w:tblStylePr>
    <w:tblStylePr w:type="lastCol">
      <w:rPr>
        <w:rFonts w:ascii="Arial" w:hAnsi="Arial"/>
        <w:color w:val="f2f2f2"/>
        <w:sz w:val="22"/>
      </w:rPr>
      <w:tcPr>
        <w:shd w:val="clear" w:color="ffffff" w:themeColor="accent4" w:themeTint="9A" w:fill="dc33fa" w:themeFill="accent4" w:themeFillTint="9A"/>
      </w:tcPr>
    </w:tblStylePr>
    <w:tblStylePr w:type="lastRow">
      <w:rPr>
        <w:rFonts w:ascii="Arial" w:hAnsi="Arial"/>
        <w:color w:val="f2f2f2"/>
        <w:sz w:val="22"/>
      </w:rPr>
      <w:tcPr>
        <w:shd w:val="clear" w:color="ffffff" w:themeColor="accent4" w:themeTint="9A" w:fill="dc33fa" w:themeFill="accent4" w:themeFillTint="9A"/>
      </w:tcPr>
    </w:tblStylePr>
  </w:style>
  <w:style w:type="table" w:styleId="164">
    <w:name w:val="Bordered &amp; Lined - Accent 5"/>
    <w:basedOn w:val="7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fefbf" w:themeFill="accent5" w:themeFillTint="34"/>
      </w:tcPr>
    </w:tblStylePr>
    <w:tblStylePr w:type="band2Vert">
      <w:rPr>
        <w:rFonts w:ascii="Arial" w:hAnsi="Arial"/>
        <w:color w:val="404040"/>
        <w:sz w:val="22"/>
      </w:rPr>
      <w:tcPr>
        <w:shd w:val="clear" w:color="ffffff" w:themeColor="accent5" w:themeTint="34" w:fill="ffefbf" w:themeFill="accent5" w:themeFillTint="34"/>
      </w:tcPr>
    </w:tblStylePr>
    <w:tblStylePr w:type="firstCol">
      <w:rPr>
        <w:rFonts w:ascii="Arial" w:hAnsi="Arial"/>
        <w:color w:val="f2f2f2"/>
        <w:sz w:val="22"/>
      </w:rPr>
      <w:tcPr>
        <w:shd w:val="clear" w:color="ffffff" w:themeColor="accent5" w:fill="c99c00" w:themeFill="accent5"/>
      </w:tcPr>
    </w:tblStylePr>
    <w:tblStylePr w:type="firstRow">
      <w:rPr>
        <w:rFonts w:ascii="Arial" w:hAnsi="Arial"/>
        <w:color w:val="f2f2f2"/>
        <w:sz w:val="22"/>
      </w:rPr>
      <w:tcPr>
        <w:shd w:val="clear" w:color="ffffff" w:themeColor="accent5" w:fill="c99c00" w:themeFill="accent5"/>
      </w:tcPr>
    </w:tblStylePr>
    <w:tblStylePr w:type="lastCol">
      <w:rPr>
        <w:rFonts w:ascii="Arial" w:hAnsi="Arial"/>
        <w:color w:val="f2f2f2"/>
        <w:sz w:val="22"/>
      </w:rPr>
      <w:tcPr>
        <w:shd w:val="clear" w:color="ffffff" w:themeColor="accent5" w:fill="c99c00" w:themeFill="accent5"/>
      </w:tcPr>
    </w:tblStylePr>
    <w:tblStylePr w:type="lastRow">
      <w:rPr>
        <w:rFonts w:ascii="Arial" w:hAnsi="Arial"/>
        <w:color w:val="f2f2f2"/>
        <w:sz w:val="22"/>
      </w:rPr>
      <w:tcPr>
        <w:shd w:val="clear" w:color="ffffff" w:themeColor="accent5" w:fill="c99c00" w:themeFill="accent5"/>
      </w:tcPr>
    </w:tblStylePr>
  </w:style>
  <w:style w:type="table" w:styleId="165">
    <w:name w:val="Bordered &amp; Lined - Accent 6"/>
    <w:basedOn w:val="7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7cccc" w:themeFill="accent6" w:themeFillTint="34"/>
      </w:tcPr>
    </w:tblStylePr>
    <w:tblStylePr w:type="band2Vert">
      <w:rPr>
        <w:rFonts w:ascii="Arial" w:hAnsi="Arial"/>
        <w:color w:val="404040"/>
        <w:sz w:val="22"/>
      </w:rPr>
      <w:tcPr>
        <w:shd w:val="clear" w:color="ffffff" w:themeColor="accent6" w:themeTint="34" w:fill="f7cccc" w:themeFill="accent6" w:themeFillTint="34"/>
      </w:tcPr>
    </w:tblStylePr>
    <w:tblStylePr w:type="firstCol">
      <w:rPr>
        <w:rFonts w:ascii="Arial" w:hAnsi="Arial"/>
        <w:color w:val="f2f2f2"/>
        <w:sz w:val="22"/>
      </w:rPr>
      <w:tcPr>
        <w:shd w:val="clear" w:color="ffffff" w:themeColor="accent6" w:fill="c9211e" w:themeFill="accent6"/>
      </w:tcPr>
    </w:tblStylePr>
    <w:tblStylePr w:type="firstRow">
      <w:rPr>
        <w:rFonts w:ascii="Arial" w:hAnsi="Arial"/>
        <w:color w:val="f2f2f2"/>
        <w:sz w:val="22"/>
      </w:rPr>
      <w:tcPr>
        <w:shd w:val="clear" w:color="ffffff" w:themeColor="accent6" w:fill="c9211e" w:themeFill="accent6"/>
      </w:tcPr>
    </w:tblStylePr>
    <w:tblStylePr w:type="lastCol">
      <w:rPr>
        <w:rFonts w:ascii="Arial" w:hAnsi="Arial"/>
        <w:color w:val="f2f2f2"/>
        <w:sz w:val="22"/>
      </w:rPr>
      <w:tcPr>
        <w:shd w:val="clear" w:color="ffffff" w:themeColor="accent6" w:fill="c9211e" w:themeFill="accent6"/>
      </w:tcPr>
    </w:tblStylePr>
    <w:tblStylePr w:type="lastRow">
      <w:rPr>
        <w:rFonts w:ascii="Arial" w:hAnsi="Arial"/>
        <w:color w:val="f2f2f2"/>
        <w:sz w:val="22"/>
      </w:rPr>
      <w:tcPr>
        <w:shd w:val="clear" w:color="ffffff" w:themeColor="accent6" w:fill="c9211e" w:themeFill="accent6"/>
      </w:tcPr>
    </w:tblStylePr>
  </w:style>
  <w:style w:type="table" w:styleId="166">
    <w:name w:val="Bordered"/>
    <w:basedOn w:val="7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40"/>
    <w:uiPriority w:val="99"/>
    <w:rPr>
      <w:sz w:val="18"/>
    </w:rPr>
  </w:style>
  <w:style w:type="character" w:styleId="176">
    <w:name w:val="footnote reference"/>
    <w:basedOn w:val="723"/>
    <w:uiPriority w:val="99"/>
    <w:unhideWhenUsed/>
    <w:rPr>
      <w:vertAlign w:val="superscript"/>
    </w:rPr>
  </w:style>
  <w:style w:type="paragraph" w:styleId="177">
    <w:name w:val="endnote text"/>
    <w:basedOn w:val="7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3"/>
    <w:uiPriority w:val="99"/>
    <w:semiHidden/>
    <w:unhideWhenUsed/>
    <w:rPr>
      <w:vertAlign w:val="superscript"/>
    </w:rPr>
  </w:style>
  <w:style w:type="paragraph" w:styleId="189">
    <w:name w:val="TOC Heading"/>
    <w:uiPriority w:val="39"/>
    <w:unhideWhenUsed/>
  </w:style>
  <w:style w:type="paragraph" w:styleId="190">
    <w:name w:val="table of figures"/>
    <w:basedOn w:val="713"/>
    <w:next w:val="713"/>
    <w:uiPriority w:val="99"/>
    <w:unhideWhenUsed/>
    <w:pPr>
      <w:spacing w:after="0" w:afterAutospacing="0"/>
    </w:pPr>
  </w:style>
  <w:style w:type="paragraph" w:styleId="713" w:default="1">
    <w:name w:val="Normal"/>
    <w:link w:val="848"/>
    <w:uiPriority w:val="0"/>
    <w:qFormat/>
    <w:pPr>
      <w:jc w:val="both"/>
      <w:widowControl w:val="off"/>
    </w:pPr>
    <w:rPr>
      <w:rFonts w:ascii="Times New Roman" w:hAnsi="Times New Roman" w:eastAsia="宋体" w:cs="Times New Roman"/>
      <w:color w:val="auto"/>
      <w:sz w:val="21"/>
      <w:szCs w:val="22"/>
      <w:lang w:val="en-US" w:eastAsia="zh-CN" w:bidi="ar-SA"/>
    </w:rPr>
  </w:style>
  <w:style w:type="paragraph" w:styleId="714">
    <w:name w:val="Heading 1"/>
    <w:basedOn w:val="713"/>
    <w:next w:val="713"/>
    <w:uiPriority w:val="0"/>
    <w:qFormat/>
    <w:pPr>
      <w:jc w:val="center"/>
      <w:keepNext/>
      <w:outlineLvl w:val="0"/>
    </w:pPr>
    <w:rPr>
      <w:rFonts w:ascii="楷体_GB2312;楷体" w:hAnsi="楷体_GB2312;楷体" w:eastAsia="楷体_GB2312;楷体" w:cs="Times New Roman"/>
      <w:sz w:val="28"/>
      <w:szCs w:val="28"/>
    </w:rPr>
  </w:style>
  <w:style w:type="paragraph" w:styleId="715">
    <w:name w:val="Heading 2"/>
    <w:basedOn w:val="713"/>
    <w:next w:val="725"/>
    <w:uiPriority w:val="0"/>
    <w:qFormat/>
    <w:pPr>
      <w:jc w:val="center"/>
      <w:keepLines/>
      <w:keepNext/>
      <w:spacing w:before="260" w:after="260" w:line="415" w:lineRule="auto"/>
      <w:outlineLvl w:val="1"/>
    </w:pPr>
    <w:rPr>
      <w:rFonts w:ascii="Arial" w:hAnsi="Arial" w:eastAsia="幼圆;宋体" w:cs="Arial"/>
      <w:b/>
      <w:bCs/>
      <w:sz w:val="44"/>
      <w:szCs w:val="44"/>
    </w:rPr>
  </w:style>
  <w:style w:type="paragraph" w:styleId="716">
    <w:name w:val="Heading 3"/>
    <w:basedOn w:val="713"/>
    <w:next w:val="725"/>
    <w:uiPriority w:val="0"/>
    <w:qFormat/>
    <w:pPr>
      <w:keepLines/>
      <w:keepNext/>
      <w:spacing w:before="260" w:after="260" w:line="415" w:lineRule="auto"/>
      <w:outlineLvl w:val="2"/>
    </w:pPr>
    <w:rPr>
      <w:rFonts w:ascii="Times New Roman" w:hAnsi="Times New Roman" w:eastAsia="宋体" w:cs="Times New Roman"/>
      <w:b/>
      <w:bCs/>
      <w:sz w:val="32"/>
      <w:szCs w:val="32"/>
    </w:rPr>
  </w:style>
  <w:style w:type="paragraph" w:styleId="717">
    <w:name w:val="Heading 4"/>
    <w:basedOn w:val="713"/>
    <w:next w:val="713"/>
    <w:uiPriority w:val="0"/>
    <w:qFormat/>
    <w:pPr>
      <w:keepLines/>
      <w:keepNext/>
      <w:spacing w:before="280" w:after="290" w:line="374" w:lineRule="auto"/>
      <w:outlineLvl w:val="3"/>
    </w:pPr>
    <w:rPr>
      <w:rFonts w:ascii="Arial" w:hAnsi="Arial" w:eastAsia="黑体" w:cs="Arial"/>
      <w:b/>
      <w:bCs/>
      <w:sz w:val="28"/>
      <w:szCs w:val="28"/>
    </w:rPr>
  </w:style>
  <w:style w:type="paragraph" w:styleId="718">
    <w:name w:val="Heading 5"/>
    <w:basedOn w:val="713"/>
    <w:next w:val="725"/>
    <w:uiPriority w:val="0"/>
    <w:qFormat/>
    <w:pPr>
      <w:keepNext/>
      <w:outlineLvl w:val="4"/>
    </w:pPr>
    <w:rPr>
      <w:rFonts w:ascii="宋体" w:hAnsi="宋体" w:eastAsia="宋体" w:cs="Times New Roman"/>
      <w:color w:val="000000"/>
      <w:sz w:val="28"/>
      <w:szCs w:val="28"/>
    </w:rPr>
  </w:style>
  <w:style w:type="paragraph" w:styleId="719">
    <w:name w:val="Heading 6"/>
    <w:basedOn w:val="713"/>
    <w:next w:val="713"/>
    <w:uiPriority w:val="0"/>
    <w:qFormat/>
    <w:pPr>
      <w:numPr>
        <w:ilvl w:val="5"/>
        <w:numId w:val="1"/>
      </w:numPr>
      <w:keepLines/>
      <w:keepNext/>
      <w:spacing w:before="240" w:after="64" w:line="319" w:lineRule="auto"/>
      <w:outlineLvl w:val="5"/>
    </w:pPr>
    <w:rPr>
      <w:rFonts w:ascii="Arial" w:hAnsi="Arial" w:eastAsia="黑体" w:cs="Times New Roman"/>
      <w:b/>
      <w:bCs/>
      <w:sz w:val="24"/>
      <w:szCs w:val="24"/>
    </w:rPr>
  </w:style>
  <w:style w:type="paragraph" w:styleId="720">
    <w:name w:val="Heading 7"/>
    <w:basedOn w:val="713"/>
    <w:next w:val="713"/>
    <w:uiPriority w:val="0"/>
    <w:qFormat/>
    <w:pPr>
      <w:numPr>
        <w:ilvl w:val="6"/>
        <w:numId w:val="1"/>
      </w:numPr>
      <w:keepLines/>
      <w:keepNext/>
      <w:spacing w:before="240" w:after="64" w:line="319" w:lineRule="auto"/>
      <w:outlineLvl w:val="6"/>
    </w:pPr>
    <w:rPr>
      <w:rFonts w:ascii="Times New Roman" w:hAnsi="Times New Roman" w:eastAsia="宋体" w:cs="Times New Roman"/>
      <w:b/>
      <w:bCs/>
      <w:sz w:val="24"/>
      <w:szCs w:val="24"/>
    </w:rPr>
  </w:style>
  <w:style w:type="paragraph" w:styleId="721">
    <w:name w:val="Heading 8"/>
    <w:basedOn w:val="713"/>
    <w:next w:val="713"/>
    <w:uiPriority w:val="0"/>
    <w:qFormat/>
    <w:pPr>
      <w:numPr>
        <w:ilvl w:val="7"/>
        <w:numId w:val="1"/>
      </w:numPr>
      <w:keepLines/>
      <w:keepNext/>
      <w:spacing w:before="240" w:after="64" w:line="319" w:lineRule="auto"/>
      <w:outlineLvl w:val="7"/>
    </w:pPr>
    <w:rPr>
      <w:rFonts w:ascii="Arial" w:hAnsi="Arial" w:eastAsia="黑体" w:cs="Times New Roman"/>
      <w:sz w:val="24"/>
      <w:szCs w:val="24"/>
    </w:rPr>
  </w:style>
  <w:style w:type="paragraph" w:styleId="722">
    <w:name w:val="Heading 9"/>
    <w:basedOn w:val="713"/>
    <w:next w:val="713"/>
    <w:uiPriority w:val="0"/>
    <w:qFormat/>
    <w:pPr>
      <w:numPr>
        <w:ilvl w:val="8"/>
        <w:numId w:val="1"/>
      </w:numPr>
      <w:keepLines/>
      <w:keepNext/>
      <w:spacing w:before="240" w:after="64" w:line="319" w:lineRule="auto"/>
      <w:outlineLvl w:val="8"/>
    </w:pPr>
    <w:rPr>
      <w:rFonts w:ascii="Arial" w:hAnsi="Arial" w:eastAsia="黑体" w:cs="Times New Roman"/>
      <w:szCs w:val="21"/>
    </w:rPr>
  </w:style>
  <w:style w:type="character" w:styleId="723" w:default="1">
    <w:name w:val="Default Paragraph Font"/>
    <w:uiPriority w:val="0"/>
    <w:semiHidden/>
    <w:qFormat/>
  </w:style>
  <w:style w:type="table" w:styleId="724" w:default="1">
    <w:name w:val="Normal Table"/>
    <w:uiPriority w:val="0"/>
    <w:semiHidden/>
    <w:qFormat/>
    <w:tblPr>
      <w:tblCellMar>
        <w:left w:w="108" w:type="dxa"/>
        <w:top w:w="0" w:type="dxa"/>
        <w:right w:w="108" w:type="dxa"/>
        <w:bottom w:w="0" w:type="dxa"/>
      </w:tblCellMar>
    </w:tblPr>
  </w:style>
  <w:style w:type="paragraph" w:styleId="725" w:customStyle="1">
    <w:name w:val="正文缩进11"/>
    <w:basedOn w:val="713"/>
    <w:uiPriority w:val="0"/>
    <w:qFormat/>
    <w:pPr>
      <w:ind w:left="0" w:right="0" w:firstLine="420"/>
    </w:pPr>
    <w:rPr>
      <w:szCs w:val="21"/>
    </w:rPr>
  </w:style>
  <w:style w:type="paragraph" w:styleId="726">
    <w:name w:val="toc 7"/>
    <w:basedOn w:val="713"/>
    <w:next w:val="713"/>
    <w:uiPriority w:val="0"/>
    <w:qFormat/>
    <w:pPr>
      <w:ind w:left="1260" w:right="0" w:firstLine="0"/>
      <w:jc w:val="left"/>
    </w:pPr>
    <w:rPr>
      <w:rFonts w:ascii="Times New Roman" w:hAnsi="Times New Roman" w:eastAsia="宋体" w:cs="Times New Roman"/>
      <w:szCs w:val="21"/>
    </w:rPr>
  </w:style>
  <w:style w:type="paragraph" w:styleId="727">
    <w:name w:val="Caption"/>
    <w:basedOn w:val="713"/>
    <w:next w:val="713"/>
    <w:uiPriority w:val="0"/>
    <w:qFormat/>
    <w:pPr>
      <w:spacing w:before="120" w:after="120"/>
      <w:suppressLineNumbers/>
    </w:pPr>
    <w:rPr>
      <w:rFonts w:cs="Lohit Devanagari"/>
      <w:i/>
      <w:iCs/>
      <w:sz w:val="24"/>
      <w:szCs w:val="24"/>
    </w:rPr>
  </w:style>
  <w:style w:type="paragraph" w:styleId="728">
    <w:name w:val="annotation text"/>
    <w:basedOn w:val="713"/>
    <w:uiPriority w:val="0"/>
    <w:qFormat/>
    <w:pPr>
      <w:jc w:val="left"/>
    </w:pPr>
  </w:style>
  <w:style w:type="paragraph" w:styleId="729">
    <w:name w:val="Body Text"/>
    <w:basedOn w:val="713"/>
    <w:next w:val="713"/>
    <w:uiPriority w:val="0"/>
    <w:qFormat/>
    <w:rPr>
      <w:rFonts w:ascii="楷体_GB2312;楷体" w:hAnsi="楷体_GB2312;楷体" w:eastAsia="楷体_GB2312;楷体" w:cs="Times New Roman"/>
      <w:sz w:val="28"/>
      <w:szCs w:val="28"/>
    </w:rPr>
  </w:style>
  <w:style w:type="paragraph" w:styleId="730">
    <w:name w:val="Body Text Indent"/>
    <w:basedOn w:val="713"/>
    <w:next w:val="731"/>
    <w:uiPriority w:val="0"/>
    <w:qFormat/>
    <w:pPr>
      <w:ind w:left="420" w:right="0" w:firstLine="0"/>
      <w:spacing w:before="0" w:after="120"/>
    </w:pPr>
  </w:style>
  <w:style w:type="paragraph" w:styleId="731">
    <w:name w:val="envelope return"/>
    <w:basedOn w:val="713"/>
    <w:uiPriority w:val="0"/>
    <w:qFormat/>
    <w:rPr>
      <w:rFonts w:ascii="Arial" w:hAnsi="Arial" w:cs="Arial"/>
    </w:rPr>
  </w:style>
  <w:style w:type="paragraph" w:styleId="732">
    <w:name w:val="toc 5"/>
    <w:basedOn w:val="713"/>
    <w:next w:val="713"/>
    <w:uiPriority w:val="0"/>
    <w:qFormat/>
    <w:pPr>
      <w:ind w:left="840" w:right="0" w:firstLine="0"/>
      <w:jc w:val="left"/>
    </w:pPr>
    <w:rPr>
      <w:rFonts w:ascii="Times New Roman" w:hAnsi="Times New Roman" w:eastAsia="宋体" w:cs="Times New Roman"/>
      <w:szCs w:val="21"/>
    </w:rPr>
  </w:style>
  <w:style w:type="paragraph" w:styleId="733">
    <w:name w:val="toc 3"/>
    <w:basedOn w:val="713"/>
    <w:next w:val="713"/>
    <w:uiPriority w:val="0"/>
    <w:qFormat/>
    <w:pPr>
      <w:ind w:left="420" w:right="0" w:firstLine="0"/>
      <w:jc w:val="left"/>
    </w:pPr>
    <w:rPr>
      <w:rFonts w:ascii="Times New Roman" w:hAnsi="Times New Roman" w:eastAsia="宋体" w:cs="Times New Roman"/>
      <w:i/>
      <w:iCs/>
      <w:szCs w:val="24"/>
    </w:rPr>
  </w:style>
  <w:style w:type="paragraph" w:styleId="734">
    <w:name w:val="toc 8"/>
    <w:basedOn w:val="713"/>
    <w:next w:val="713"/>
    <w:uiPriority w:val="0"/>
    <w:qFormat/>
    <w:pPr>
      <w:ind w:left="1470" w:right="0" w:firstLine="0"/>
      <w:jc w:val="left"/>
    </w:pPr>
    <w:rPr>
      <w:rFonts w:ascii="Times New Roman" w:hAnsi="Times New Roman" w:eastAsia="宋体" w:cs="Times New Roman"/>
      <w:szCs w:val="21"/>
    </w:rPr>
  </w:style>
  <w:style w:type="paragraph" w:styleId="735">
    <w:name w:val="Footer"/>
    <w:basedOn w:val="71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36">
    <w:name w:val="Header"/>
    <w:basedOn w:val="71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37">
    <w:name w:val="toc 1"/>
    <w:basedOn w:val="713"/>
    <w:next w:val="713"/>
    <w:uiPriority w:val="0"/>
    <w:qFormat/>
    <w:pPr>
      <w:jc w:val="left"/>
      <w:spacing w:before="120" w:after="120" w:line="400" w:lineRule="exact"/>
      <w:tabs>
        <w:tab w:val="right" w:pos="8720" w:leader="dot"/>
      </w:tabs>
    </w:pPr>
    <w:rPr>
      <w:rFonts w:ascii="宋体" w:hAnsi="宋体" w:eastAsia="宋体" w:cs="Times New Roman"/>
      <w:caps/>
      <w:sz w:val="24"/>
      <w:szCs w:val="24"/>
      <w:lang w:val="en-US" w:eastAsia="en-US"/>
    </w:rPr>
  </w:style>
  <w:style w:type="paragraph" w:styleId="738">
    <w:name w:val="toc 4"/>
    <w:basedOn w:val="713"/>
    <w:next w:val="713"/>
    <w:uiPriority w:val="0"/>
    <w:qFormat/>
    <w:pPr>
      <w:ind w:left="630" w:right="0" w:firstLine="0"/>
      <w:jc w:val="left"/>
    </w:pPr>
    <w:rPr>
      <w:rFonts w:ascii="Times New Roman" w:hAnsi="Times New Roman" w:eastAsia="宋体" w:cs="Times New Roman"/>
      <w:szCs w:val="21"/>
    </w:rPr>
  </w:style>
  <w:style w:type="paragraph" w:styleId="739">
    <w:name w:val="List"/>
    <w:basedOn w:val="713"/>
    <w:uiPriority w:val="0"/>
    <w:qFormat/>
    <w:pPr>
      <w:ind w:left="200" w:right="0" w:hanging="200"/>
    </w:pPr>
    <w:rPr>
      <w:rFonts w:ascii="Times New Roman" w:hAnsi="Times New Roman" w:eastAsia="宋体" w:cs="Times New Roman"/>
      <w:szCs w:val="21"/>
    </w:rPr>
  </w:style>
  <w:style w:type="paragraph" w:styleId="740">
    <w:name w:val="footnote text"/>
    <w:basedOn w:val="713"/>
    <w:uiPriority w:val="0"/>
    <w:qFormat/>
    <w:pPr>
      <w:jc w:val="left"/>
    </w:pPr>
    <w:rPr>
      <w:sz w:val="18"/>
      <w:szCs w:val="18"/>
    </w:rPr>
  </w:style>
  <w:style w:type="paragraph" w:styleId="741">
    <w:name w:val="toc 6"/>
    <w:basedOn w:val="713"/>
    <w:next w:val="713"/>
    <w:uiPriority w:val="0"/>
    <w:qFormat/>
    <w:pPr>
      <w:ind w:left="1050" w:right="0" w:firstLine="0"/>
      <w:jc w:val="left"/>
    </w:pPr>
    <w:rPr>
      <w:rFonts w:ascii="Times New Roman" w:hAnsi="Times New Roman" w:eastAsia="宋体" w:cs="Times New Roman"/>
      <w:szCs w:val="21"/>
    </w:rPr>
  </w:style>
  <w:style w:type="paragraph" w:styleId="742">
    <w:name w:val="toc 2"/>
    <w:basedOn w:val="713"/>
    <w:next w:val="713"/>
    <w:uiPriority w:val="0"/>
    <w:qFormat/>
    <w:pPr>
      <w:ind w:left="210" w:right="0" w:firstLine="0"/>
      <w:jc w:val="left"/>
    </w:pPr>
    <w:rPr>
      <w:rFonts w:ascii="Times New Roman" w:hAnsi="Times New Roman" w:eastAsia="宋体" w:cs="Times New Roman"/>
      <w:smallCaps/>
      <w:szCs w:val="24"/>
    </w:rPr>
  </w:style>
  <w:style w:type="paragraph" w:styleId="743">
    <w:name w:val="toc 9"/>
    <w:basedOn w:val="713"/>
    <w:next w:val="713"/>
    <w:uiPriority w:val="0"/>
    <w:qFormat/>
    <w:pPr>
      <w:ind w:left="1680" w:right="0" w:firstLine="0"/>
      <w:jc w:val="left"/>
    </w:pPr>
    <w:rPr>
      <w:rFonts w:ascii="Times New Roman" w:hAnsi="Times New Roman" w:eastAsia="宋体" w:cs="Times New Roman"/>
      <w:szCs w:val="21"/>
    </w:rPr>
  </w:style>
  <w:style w:type="paragraph" w:styleId="744">
    <w:name w:val="index 1"/>
    <w:basedOn w:val="713"/>
    <w:next w:val="713"/>
    <w:uiPriority w:val="0"/>
    <w:qFormat/>
    <w:pPr>
      <w:spacing w:line="240" w:lineRule="atLeast"/>
    </w:pPr>
    <w:rPr>
      <w:rFonts w:ascii="Times New Roman" w:hAnsi="Times New Roman" w:eastAsia="宋体" w:cs="Times New Roman"/>
      <w:b/>
      <w:bCs/>
      <w:szCs w:val="21"/>
    </w:rPr>
  </w:style>
  <w:style w:type="character" w:styleId="745">
    <w:name w:val="Strong"/>
    <w:basedOn w:val="746"/>
    <w:uiPriority w:val="0"/>
    <w:qFormat/>
    <w:rPr>
      <w:b/>
      <w:bCs/>
    </w:rPr>
  </w:style>
  <w:style w:type="character" w:styleId="746" w:customStyle="1">
    <w:name w:val="默认段落字体1"/>
    <w:link w:val="713"/>
    <w:uiPriority w:val="0"/>
    <w:qFormat/>
  </w:style>
  <w:style w:type="character" w:styleId="747">
    <w:name w:val="page number"/>
    <w:uiPriority w:val="0"/>
    <w:qFormat/>
  </w:style>
  <w:style w:type="character" w:styleId="748">
    <w:name w:val="FollowedHyperlink"/>
    <w:uiPriority w:val="0"/>
    <w:qFormat/>
    <w:rPr>
      <w:color w:val="800080"/>
      <w:u w:val="single"/>
    </w:rPr>
  </w:style>
  <w:style w:type="character" w:styleId="749">
    <w:name w:val="Hyperlink"/>
    <w:uiPriority w:val="0"/>
    <w:qFormat/>
    <w:rPr>
      <w:color w:val="0000ff"/>
      <w:u w:val="single"/>
    </w:rPr>
  </w:style>
  <w:style w:type="character" w:styleId="750" w:customStyle="1">
    <w:name w:val="WW8Num1z0"/>
    <w:uiPriority w:val="0"/>
    <w:qFormat/>
  </w:style>
  <w:style w:type="character" w:styleId="751" w:customStyle="1">
    <w:name w:val="WW8Num2z0"/>
    <w:uiPriority w:val="0"/>
    <w:qFormat/>
  </w:style>
  <w:style w:type="character" w:styleId="752" w:customStyle="1">
    <w:name w:val="WW8Num4z0"/>
    <w:uiPriority w:val="0"/>
    <w:qFormat/>
  </w:style>
  <w:style w:type="character" w:styleId="753" w:customStyle="1">
    <w:name w:val="标题 1 Char"/>
    <w:uiPriority w:val="0"/>
    <w:qFormat/>
    <w:rPr>
      <w:rFonts w:ascii="楷体_GB2312;楷体" w:hAnsi="楷体_GB2312;楷体" w:eastAsia="楷体_GB2312;楷体" w:cs="Times New Roman"/>
      <w:sz w:val="28"/>
      <w:szCs w:val="28"/>
    </w:rPr>
  </w:style>
  <w:style w:type="character" w:styleId="754" w:customStyle="1">
    <w:name w:val="标题 2 Char"/>
    <w:uiPriority w:val="0"/>
    <w:qFormat/>
    <w:rPr>
      <w:rFonts w:ascii="Arial" w:hAnsi="Arial" w:eastAsia="幼圆;宋体" w:cs="Arial"/>
      <w:b/>
      <w:bCs/>
      <w:sz w:val="44"/>
      <w:szCs w:val="44"/>
    </w:rPr>
  </w:style>
  <w:style w:type="character" w:styleId="755" w:customStyle="1">
    <w:name w:val="正文缩进 Char"/>
    <w:uiPriority w:val="0"/>
    <w:qFormat/>
    <w:rPr>
      <w:szCs w:val="21"/>
    </w:rPr>
  </w:style>
  <w:style w:type="character" w:styleId="756" w:customStyle="1">
    <w:name w:val="标题 3 Char"/>
    <w:uiPriority w:val="0"/>
    <w:qFormat/>
    <w:rPr>
      <w:rFonts w:ascii="Times New Roman" w:hAnsi="Times New Roman" w:eastAsia="宋体" w:cs="Times New Roman"/>
      <w:b/>
      <w:bCs/>
      <w:sz w:val="32"/>
      <w:szCs w:val="32"/>
    </w:rPr>
  </w:style>
  <w:style w:type="character" w:styleId="757" w:customStyle="1">
    <w:name w:val="标题 4 Char"/>
    <w:uiPriority w:val="0"/>
    <w:qFormat/>
    <w:rPr>
      <w:rFonts w:ascii="Arial" w:hAnsi="Arial" w:eastAsia="黑体" w:cs="Arial"/>
      <w:b/>
      <w:bCs/>
      <w:sz w:val="28"/>
      <w:szCs w:val="28"/>
    </w:rPr>
  </w:style>
  <w:style w:type="character" w:styleId="758" w:customStyle="1">
    <w:name w:val="标题 5 Char"/>
    <w:uiPriority w:val="0"/>
    <w:qFormat/>
    <w:rPr>
      <w:rFonts w:ascii="宋体" w:hAnsi="宋体" w:eastAsia="宋体" w:cs="Times New Roman"/>
      <w:color w:val="000000"/>
      <w:sz w:val="28"/>
      <w:szCs w:val="28"/>
    </w:rPr>
  </w:style>
  <w:style w:type="character" w:styleId="759" w:customStyle="1">
    <w:name w:val="标题 6 Char"/>
    <w:uiPriority w:val="0"/>
    <w:qFormat/>
    <w:rPr>
      <w:rFonts w:ascii="Arial" w:hAnsi="Arial" w:eastAsia="黑体" w:cs="Times New Roman"/>
      <w:b/>
      <w:bCs/>
      <w:sz w:val="24"/>
      <w:szCs w:val="24"/>
    </w:rPr>
  </w:style>
  <w:style w:type="character" w:styleId="760" w:customStyle="1">
    <w:name w:val="标题 7 Char"/>
    <w:uiPriority w:val="0"/>
    <w:qFormat/>
    <w:rPr>
      <w:rFonts w:ascii="Times New Roman" w:hAnsi="Times New Roman" w:eastAsia="宋体" w:cs="Times New Roman"/>
      <w:b/>
      <w:bCs/>
      <w:sz w:val="24"/>
      <w:szCs w:val="24"/>
    </w:rPr>
  </w:style>
  <w:style w:type="character" w:styleId="761" w:customStyle="1">
    <w:name w:val="标题 8 Char"/>
    <w:uiPriority w:val="0"/>
    <w:qFormat/>
    <w:rPr>
      <w:rFonts w:ascii="Arial" w:hAnsi="Arial" w:eastAsia="黑体" w:cs="Times New Roman"/>
      <w:sz w:val="24"/>
      <w:szCs w:val="24"/>
    </w:rPr>
  </w:style>
  <w:style w:type="character" w:styleId="762" w:customStyle="1">
    <w:name w:val="标题 9 Char"/>
    <w:uiPriority w:val="0"/>
    <w:qFormat/>
    <w:rPr>
      <w:rFonts w:ascii="Arial" w:hAnsi="Arial" w:eastAsia="黑体" w:cs="Times New Roman"/>
      <w:szCs w:val="21"/>
    </w:rPr>
  </w:style>
  <w:style w:type="character" w:styleId="763" w:customStyle="1">
    <w:name w:val="文档结构图 Char"/>
    <w:uiPriority w:val="0"/>
    <w:qFormat/>
    <w:rPr>
      <w:rFonts w:ascii="Times New Roman" w:hAnsi="Times New Roman" w:eastAsia="宋体" w:cs="Times New Roman"/>
      <w:szCs w:val="21"/>
      <w:shd w:val="clear" w:color="auto" w:fill="000080"/>
    </w:rPr>
  </w:style>
  <w:style w:type="character" w:styleId="764" w:customStyle="1">
    <w:name w:val="批注文字 Char"/>
    <w:basedOn w:val="746"/>
    <w:uiPriority w:val="0"/>
    <w:qFormat/>
  </w:style>
  <w:style w:type="character" w:styleId="765" w:customStyle="1">
    <w:name w:val="正文文本 3 Char"/>
    <w:uiPriority w:val="0"/>
    <w:qFormat/>
    <w:rPr>
      <w:rFonts w:ascii="仿宋_GB2312;仿宋" w:hAnsi="仿宋_GB2312;仿宋" w:eastAsia="仿宋_GB2312;仿宋" w:cs="Times New Roman"/>
      <w:sz w:val="32"/>
      <w:szCs w:val="32"/>
    </w:rPr>
  </w:style>
  <w:style w:type="character" w:styleId="766" w:customStyle="1">
    <w:name w:val="正文文本 Char"/>
    <w:uiPriority w:val="0"/>
    <w:qFormat/>
    <w:rPr>
      <w:rFonts w:ascii="楷体_GB2312;楷体" w:hAnsi="楷体_GB2312;楷体" w:eastAsia="楷体_GB2312;楷体" w:cs="Times New Roman"/>
      <w:sz w:val="28"/>
      <w:szCs w:val="28"/>
    </w:rPr>
  </w:style>
  <w:style w:type="character" w:styleId="767" w:customStyle="1">
    <w:name w:val="正文文本缩进 Char"/>
    <w:basedOn w:val="746"/>
    <w:uiPriority w:val="0"/>
    <w:qFormat/>
  </w:style>
  <w:style w:type="character" w:styleId="768" w:customStyle="1">
    <w:name w:val="纯文本 Char"/>
    <w:uiPriority w:val="0"/>
    <w:qFormat/>
    <w:rPr>
      <w:rFonts w:ascii="宋体" w:hAnsi="宋体" w:eastAsia="宋体" w:cs="Courier New"/>
      <w:szCs w:val="21"/>
    </w:rPr>
  </w:style>
  <w:style w:type="character" w:styleId="769" w:customStyle="1">
    <w:name w:val="日期 Char"/>
    <w:uiPriority w:val="0"/>
    <w:qFormat/>
    <w:rPr>
      <w:rFonts w:ascii="Times New Roman" w:hAnsi="Times New Roman" w:eastAsia="宋体" w:cs="Times New Roman"/>
      <w:sz w:val="24"/>
      <w:szCs w:val="24"/>
    </w:rPr>
  </w:style>
  <w:style w:type="character" w:styleId="770" w:customStyle="1">
    <w:name w:val="正文文本缩进 2 Char"/>
    <w:uiPriority w:val="0"/>
    <w:qFormat/>
    <w:rPr>
      <w:rFonts w:ascii="Arial" w:hAnsi="Arial" w:eastAsia="仿宋_GB2312;仿宋" w:cs="Arial"/>
      <w:sz w:val="32"/>
      <w:szCs w:val="32"/>
    </w:rPr>
  </w:style>
  <w:style w:type="character" w:styleId="771" w:customStyle="1">
    <w:name w:val="批注框文本 Char"/>
    <w:uiPriority w:val="0"/>
    <w:qFormat/>
    <w:rPr>
      <w:rFonts w:ascii="Times New Roman" w:hAnsi="Times New Roman" w:eastAsia="宋体" w:cs="Times New Roman"/>
      <w:sz w:val="18"/>
      <w:szCs w:val="18"/>
    </w:rPr>
  </w:style>
  <w:style w:type="character" w:styleId="772" w:customStyle="1">
    <w:name w:val="页脚 Char"/>
    <w:uiPriority w:val="0"/>
    <w:qFormat/>
    <w:rPr>
      <w:rFonts w:ascii="Times New Roman" w:hAnsi="Times New Roman" w:eastAsia="宋体" w:cs="Times New Roman"/>
      <w:sz w:val="18"/>
      <w:szCs w:val="18"/>
    </w:rPr>
  </w:style>
  <w:style w:type="character" w:styleId="773" w:customStyle="1">
    <w:name w:val="页眉 Char"/>
    <w:uiPriority w:val="0"/>
    <w:qFormat/>
    <w:rPr>
      <w:rFonts w:ascii="Times New Roman" w:hAnsi="Times New Roman" w:eastAsia="宋体" w:cs="Times New Roman"/>
      <w:sz w:val="18"/>
      <w:szCs w:val="18"/>
    </w:rPr>
  </w:style>
  <w:style w:type="character" w:styleId="774" w:customStyle="1">
    <w:name w:val="正文文本缩进 3 Char"/>
    <w:uiPriority w:val="0"/>
    <w:qFormat/>
    <w:rPr>
      <w:rFonts w:ascii="Arial" w:hAnsi="Arial" w:eastAsia="仿宋_GB2312;仿宋" w:cs="Arial"/>
      <w:color w:val="ffff00"/>
      <w:sz w:val="32"/>
      <w:szCs w:val="32"/>
    </w:rPr>
  </w:style>
  <w:style w:type="character" w:styleId="775" w:customStyle="1">
    <w:name w:val="正文文本 2 Char"/>
    <w:uiPriority w:val="0"/>
    <w:qFormat/>
    <w:rPr>
      <w:rFonts w:ascii="楷体_GB2312;楷体" w:hAnsi="楷体_GB2312;楷体" w:eastAsia="楷体_GB2312;楷体" w:cs="Times New Roman"/>
      <w:sz w:val="28"/>
      <w:szCs w:val="28"/>
    </w:rPr>
  </w:style>
  <w:style w:type="character" w:styleId="776" w:customStyle="1">
    <w:name w:val="批注主题 Char"/>
    <w:uiPriority w:val="0"/>
    <w:qFormat/>
    <w:rPr>
      <w:rFonts w:ascii="Times New Roman" w:hAnsi="Times New Roman" w:eastAsia="宋体" w:cs="Times New Roman"/>
      <w:b/>
      <w:bCs/>
      <w:szCs w:val="21"/>
    </w:rPr>
  </w:style>
  <w:style w:type="character" w:styleId="777" w:customStyle="1">
    <w:name w:val="正文首行缩进 Char"/>
    <w:uiPriority w:val="0"/>
    <w:qFormat/>
    <w:rPr>
      <w:rFonts w:ascii="仿宋_GB2312;仿宋" w:hAnsi="仿宋_GB2312;仿宋" w:eastAsia="仿宋_GB2312;仿宋" w:cs="Times New Roman"/>
      <w:sz w:val="30"/>
      <w:szCs w:val="30"/>
    </w:rPr>
  </w:style>
  <w:style w:type="character" w:styleId="778" w:customStyle="1">
    <w:name w:val="正文首行缩进 2 Char"/>
    <w:uiPriority w:val="0"/>
    <w:qFormat/>
    <w:rPr>
      <w:rFonts w:ascii="宋体" w:hAnsi="宋体" w:eastAsia="宋体" w:cs="Times New Roman"/>
      <w:szCs w:val="20"/>
    </w:rPr>
  </w:style>
  <w:style w:type="character" w:styleId="779" w:customStyle="1">
    <w:name w:val="批注引用1"/>
    <w:uiPriority w:val="0"/>
    <w:qFormat/>
    <w:rPr>
      <w:sz w:val="21"/>
      <w:szCs w:val="21"/>
    </w:rPr>
  </w:style>
  <w:style w:type="character" w:styleId="780" w:customStyle="1">
    <w:name w:val="font5 Char"/>
    <w:uiPriority w:val="0"/>
    <w:qFormat/>
    <w:rPr>
      <w:rFonts w:ascii="宋体" w:hAnsi="宋体" w:eastAsia="宋体" w:cs="宋体"/>
      <w:sz w:val="28"/>
      <w:szCs w:val="28"/>
      <w:lang w:val="en-US" w:eastAsia="zh-CN" w:bidi="ar-SA"/>
    </w:rPr>
  </w:style>
  <w:style w:type="character" w:styleId="781" w:customStyle="1">
    <w:name w:val="二级目录 Char"/>
    <w:uiPriority w:val="0"/>
    <w:qFormat/>
    <w:rPr>
      <w:b/>
      <w:sz w:val="30"/>
      <w:szCs w:val="28"/>
    </w:rPr>
  </w:style>
  <w:style w:type="character" w:styleId="782" w:customStyle="1">
    <w:name w:val="列出段落 Char"/>
    <w:uiPriority w:val="0"/>
    <w:qFormat/>
    <w:rPr>
      <w:rFonts w:ascii="Calibri" w:hAnsi="Calibri" w:cs="Calibri"/>
      <w:sz w:val="24"/>
      <w:szCs w:val="24"/>
      <w:lang w:eastAsia="en-US" w:bidi="en-US"/>
    </w:rPr>
  </w:style>
  <w:style w:type="character" w:styleId="783" w:customStyle="1">
    <w:name w:val="font11"/>
    <w:basedOn w:val="746"/>
    <w:uiPriority w:val="0"/>
    <w:qFormat/>
    <w:rPr>
      <w:rFonts w:ascii="宋体" w:hAnsi="宋体" w:eastAsia="宋体" w:cs="宋体"/>
      <w:color w:val="000000"/>
      <w:sz w:val="28"/>
      <w:szCs w:val="28"/>
      <w:u w:val="none"/>
    </w:rPr>
  </w:style>
  <w:style w:type="character" w:styleId="784" w:customStyle="1">
    <w:name w:val="font91"/>
    <w:basedOn w:val="746"/>
    <w:uiPriority w:val="0"/>
    <w:qFormat/>
    <w:rPr>
      <w:rFonts w:ascii="宋体" w:hAnsi="宋体" w:eastAsia="宋体" w:cs="宋体"/>
      <w:color w:val="000000"/>
      <w:sz w:val="28"/>
      <w:szCs w:val="28"/>
      <w:u w:val="none"/>
    </w:rPr>
  </w:style>
  <w:style w:type="character" w:styleId="785" w:customStyle="1">
    <w:name w:val="font81"/>
    <w:basedOn w:val="746"/>
    <w:uiPriority w:val="0"/>
    <w:qFormat/>
    <w:rPr>
      <w:rFonts w:ascii="宋体" w:hAnsi="宋体" w:eastAsia="宋体" w:cs="宋体"/>
      <w:color w:val="ff0000"/>
      <w:sz w:val="28"/>
      <w:szCs w:val="28"/>
      <w:u w:val="none"/>
    </w:rPr>
  </w:style>
  <w:style w:type="character" w:styleId="786" w:customStyle="1">
    <w:name w:val="Index Link"/>
    <w:uiPriority w:val="0"/>
    <w:qFormat/>
  </w:style>
  <w:style w:type="paragraph" w:styleId="787" w:customStyle="1">
    <w:name w:val="Heading"/>
    <w:basedOn w:val="713"/>
    <w:next w:val="729"/>
    <w:uiPriority w:val="0"/>
    <w:qFormat/>
    <w:pPr>
      <w:keepNext/>
      <w:spacing w:before="240" w:after="120"/>
    </w:pPr>
    <w:rPr>
      <w:rFonts w:ascii="Liberation Sans" w:hAnsi="Liberation Sans" w:eastAsia="Noto Sans CJK SC" w:cs="Lohit Devanagari"/>
      <w:sz w:val="28"/>
      <w:szCs w:val="28"/>
    </w:rPr>
  </w:style>
  <w:style w:type="paragraph" w:styleId="788" w:customStyle="1">
    <w:name w:val="Index"/>
    <w:basedOn w:val="713"/>
    <w:uiPriority w:val="0"/>
    <w:qFormat/>
    <w:pPr>
      <w:suppressLineNumbers/>
    </w:pPr>
    <w:rPr>
      <w:rFonts w:cs="Lohit Devanagari"/>
    </w:rPr>
  </w:style>
  <w:style w:type="paragraph" w:styleId="789" w:customStyle="1">
    <w:name w:val="列表 31"/>
    <w:basedOn w:val="713"/>
    <w:uiPriority w:val="0"/>
    <w:qFormat/>
    <w:pPr>
      <w:ind w:left="100" w:right="0" w:hanging="200"/>
    </w:pPr>
    <w:rPr>
      <w:rFonts w:ascii="Times New Roman" w:hAnsi="Times New Roman" w:eastAsia="宋体" w:cs="Times New Roman"/>
      <w:szCs w:val="21"/>
    </w:rPr>
  </w:style>
  <w:style w:type="paragraph" w:styleId="790" w:customStyle="1">
    <w:name w:val="文档结构图1"/>
    <w:basedOn w:val="713"/>
    <w:uiPriority w:val="0"/>
    <w:qFormat/>
    <w:pPr>
      <w:shd w:val="clear" w:color="auto" w:fill="000080"/>
    </w:pPr>
    <w:rPr>
      <w:rFonts w:ascii="Times New Roman" w:hAnsi="Times New Roman" w:eastAsia="宋体" w:cs="Times New Roman"/>
      <w:szCs w:val="21"/>
    </w:rPr>
  </w:style>
  <w:style w:type="paragraph" w:styleId="791" w:customStyle="1">
    <w:name w:val="批注文字1"/>
    <w:basedOn w:val="713"/>
    <w:uiPriority w:val="0"/>
    <w:qFormat/>
    <w:pPr>
      <w:jc w:val="left"/>
    </w:pPr>
  </w:style>
  <w:style w:type="paragraph" w:styleId="792" w:customStyle="1">
    <w:name w:val="正文文本 31"/>
    <w:basedOn w:val="713"/>
    <w:uiPriority w:val="0"/>
    <w:qFormat/>
    <w:rPr>
      <w:rFonts w:ascii="仿宋_GB2312;仿宋" w:hAnsi="仿宋_GB2312;仿宋" w:eastAsia="仿宋_GB2312;仿宋" w:cs="Times New Roman"/>
      <w:sz w:val="32"/>
      <w:szCs w:val="32"/>
    </w:rPr>
  </w:style>
  <w:style w:type="paragraph" w:styleId="793" w:customStyle="1">
    <w:name w:val="列表 21"/>
    <w:basedOn w:val="713"/>
    <w:uiPriority w:val="0"/>
    <w:qFormat/>
    <w:pPr>
      <w:ind w:left="100" w:right="0" w:hanging="200"/>
    </w:pPr>
    <w:rPr>
      <w:rFonts w:ascii="Times New Roman" w:hAnsi="Times New Roman" w:eastAsia="宋体" w:cs="Times New Roman"/>
      <w:szCs w:val="21"/>
    </w:rPr>
  </w:style>
  <w:style w:type="paragraph" w:styleId="794" w:customStyle="1">
    <w:name w:val="纯文本1"/>
    <w:basedOn w:val="713"/>
    <w:uiPriority w:val="0"/>
    <w:qFormat/>
    <w:rPr>
      <w:rFonts w:ascii="宋体" w:hAnsi="宋体" w:eastAsia="宋体" w:cs="Courier New"/>
      <w:szCs w:val="21"/>
    </w:rPr>
  </w:style>
  <w:style w:type="paragraph" w:styleId="795" w:customStyle="1">
    <w:name w:val="日期1"/>
    <w:basedOn w:val="713"/>
    <w:next w:val="713"/>
    <w:uiPriority w:val="0"/>
    <w:qFormat/>
    <w:rPr>
      <w:rFonts w:ascii="Times New Roman" w:hAnsi="Times New Roman" w:eastAsia="宋体" w:cs="Times New Roman"/>
      <w:sz w:val="24"/>
      <w:szCs w:val="24"/>
    </w:rPr>
  </w:style>
  <w:style w:type="paragraph" w:styleId="796" w:customStyle="1">
    <w:name w:val="正文文本缩进 21"/>
    <w:basedOn w:val="713"/>
    <w:uiPriority w:val="0"/>
    <w:qFormat/>
    <w:pPr>
      <w:ind w:left="630" w:right="0" w:firstLine="645"/>
    </w:pPr>
    <w:rPr>
      <w:rFonts w:ascii="Arial" w:hAnsi="Arial" w:eastAsia="仿宋_GB2312;仿宋" w:cs="Arial"/>
      <w:sz w:val="32"/>
      <w:szCs w:val="32"/>
    </w:rPr>
  </w:style>
  <w:style w:type="paragraph" w:styleId="797" w:customStyle="1">
    <w:name w:val="批注框文本1"/>
    <w:basedOn w:val="713"/>
    <w:uiPriority w:val="0"/>
    <w:qFormat/>
    <w:rPr>
      <w:rFonts w:ascii="Times New Roman" w:hAnsi="Times New Roman" w:eastAsia="宋体" w:cs="Times New Roman"/>
      <w:sz w:val="18"/>
      <w:szCs w:val="18"/>
    </w:rPr>
  </w:style>
  <w:style w:type="paragraph" w:styleId="798" w:customStyle="1">
    <w:name w:val="Header and Footer"/>
    <w:basedOn w:val="713"/>
    <w:uiPriority w:val="0"/>
    <w:qFormat/>
    <w:pPr>
      <w:tabs>
        <w:tab w:val="center" w:pos="4819" w:leader="none"/>
        <w:tab w:val="right" w:pos="9638" w:leader="none"/>
      </w:tabs>
      <w:suppressLineNumbers/>
    </w:pPr>
  </w:style>
  <w:style w:type="paragraph" w:styleId="799" w:customStyle="1">
    <w:name w:val="正文文本缩进 31"/>
    <w:basedOn w:val="713"/>
    <w:uiPriority w:val="0"/>
    <w:qFormat/>
    <w:pPr>
      <w:ind w:left="645" w:right="0" w:firstLine="645"/>
    </w:pPr>
    <w:rPr>
      <w:rFonts w:ascii="Arial" w:hAnsi="Arial" w:eastAsia="仿宋_GB2312;仿宋" w:cs="Arial"/>
      <w:color w:val="ffff00"/>
      <w:sz w:val="32"/>
      <w:szCs w:val="32"/>
    </w:rPr>
  </w:style>
  <w:style w:type="paragraph" w:styleId="800" w:customStyle="1">
    <w:name w:val="图表目录1"/>
    <w:basedOn w:val="713"/>
    <w:next w:val="713"/>
    <w:uiPriority w:val="0"/>
    <w:qFormat/>
    <w:pPr>
      <w:ind w:left="840" w:right="0" w:hanging="420"/>
    </w:pPr>
    <w:rPr>
      <w:rFonts w:ascii="Times New Roman" w:hAnsi="Times New Roman" w:eastAsia="宋体" w:cs="Times New Roman"/>
      <w:szCs w:val="21"/>
    </w:rPr>
  </w:style>
  <w:style w:type="paragraph" w:styleId="801" w:customStyle="1">
    <w:name w:val="正文文本 21"/>
    <w:basedOn w:val="713"/>
    <w:uiPriority w:val="0"/>
    <w:qFormat/>
    <w:pPr>
      <w:jc w:val="center"/>
      <w:widowControl/>
    </w:pPr>
    <w:rPr>
      <w:rFonts w:ascii="楷体_GB2312;楷体" w:hAnsi="楷体_GB2312;楷体" w:eastAsia="楷体_GB2312;楷体" w:cs="Times New Roman"/>
      <w:sz w:val="28"/>
      <w:szCs w:val="28"/>
    </w:rPr>
  </w:style>
  <w:style w:type="paragraph" w:styleId="802" w:customStyle="1">
    <w:name w:val="普通(网站)1"/>
    <w:basedOn w:val="713"/>
    <w:uiPriority w:val="0"/>
    <w:qFormat/>
    <w:pPr>
      <w:jc w:val="left"/>
      <w:spacing w:before="100" w:after="100"/>
      <w:widowControl/>
    </w:pPr>
    <w:rPr>
      <w:rFonts w:ascii="宋体" w:hAnsi="宋体" w:eastAsia="宋体" w:cs="宋体"/>
      <w:sz w:val="24"/>
      <w:szCs w:val="24"/>
    </w:rPr>
  </w:style>
  <w:style w:type="paragraph" w:styleId="803" w:customStyle="1">
    <w:name w:val="批注主题1"/>
    <w:basedOn w:val="791"/>
    <w:next w:val="791"/>
    <w:uiPriority w:val="0"/>
    <w:qFormat/>
    <w:rPr>
      <w:rFonts w:ascii="Times New Roman" w:hAnsi="Times New Roman" w:eastAsia="宋体" w:cs="Times New Roman"/>
      <w:b/>
      <w:bCs/>
      <w:szCs w:val="21"/>
    </w:rPr>
  </w:style>
  <w:style w:type="paragraph" w:styleId="804" w:customStyle="1">
    <w:name w:val="正文首行缩进1"/>
    <w:basedOn w:val="729"/>
    <w:uiPriority w:val="0"/>
    <w:qFormat/>
    <w:pPr>
      <w:ind w:left="0" w:right="0" w:firstLine="200"/>
      <w:spacing w:line="360" w:lineRule="auto"/>
    </w:pPr>
    <w:rPr>
      <w:rFonts w:ascii="仿宋_GB2312;仿宋" w:hAnsi="仿宋_GB2312;仿宋" w:eastAsia="仿宋_GB2312;仿宋" w:cs="Times New Roman"/>
      <w:sz w:val="30"/>
      <w:szCs w:val="30"/>
    </w:rPr>
  </w:style>
  <w:style w:type="paragraph" w:styleId="805" w:customStyle="1">
    <w:name w:val="正文首行缩进 21"/>
    <w:basedOn w:val="730"/>
    <w:next w:val="713"/>
    <w:uiPriority w:val="0"/>
    <w:qFormat/>
    <w:pPr>
      <w:ind w:left="0" w:right="0" w:firstLine="420"/>
      <w:spacing w:before="0" w:after="0" w:line="360" w:lineRule="auto"/>
    </w:pPr>
    <w:rPr>
      <w:rFonts w:ascii="宋体" w:hAnsi="宋体" w:eastAsia="宋体" w:cs="Times New Roman"/>
      <w:szCs w:val="20"/>
    </w:rPr>
  </w:style>
  <w:style w:type="paragraph" w:styleId="806" w:customStyle="1">
    <w:name w:val="正文文本1"/>
    <w:basedOn w:val="713"/>
    <w:next w:val="713"/>
    <w:uiPriority w:val="0"/>
    <w:qFormat/>
    <w:rPr>
      <w:rFonts w:ascii="楷体_GB2312;楷体" w:hAnsi="楷体_GB2312;楷体" w:eastAsia="楷体_GB2312;楷体" w:cs="Arial"/>
      <w:sz w:val="28"/>
      <w:szCs w:val="28"/>
      <w:lang w:val="en-US" w:eastAsia="en-US"/>
    </w:rPr>
  </w:style>
  <w:style w:type="paragraph" w:styleId="807" w:customStyle="1">
    <w:name w:val="正文首行缩进11"/>
    <w:basedOn w:val="806"/>
    <w:uiPriority w:val="0"/>
    <w:qFormat/>
    <w:pPr>
      <w:ind w:left="0" w:right="0" w:firstLine="200"/>
      <w:spacing w:line="360" w:lineRule="auto"/>
    </w:pPr>
    <w:rPr>
      <w:rFonts w:ascii="仿宋_GB2312;仿宋" w:hAnsi="仿宋_GB2312;仿宋" w:eastAsia="仿宋_GB2312;仿宋" w:cs="Times New Roman"/>
      <w:sz w:val="30"/>
      <w:szCs w:val="30"/>
    </w:rPr>
  </w:style>
  <w:style w:type="paragraph" w:styleId="808"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809" w:customStyle="1">
    <w:name w:val="二级目录"/>
    <w:next w:val="713"/>
    <w:uiPriority w:val="0"/>
    <w:qFormat/>
    <w:pPr>
      <w:numPr>
        <w:ilvl w:val="0"/>
        <w:numId w:val="2"/>
      </w:numPr>
      <w:widowControl/>
      <w:tabs>
        <w:tab w:val="left" w:pos="907" w:leader="none"/>
        <w:tab w:val="left" w:pos="1145" w:leader="none"/>
      </w:tabs>
      <w:outlineLvl w:val="1"/>
    </w:pPr>
    <w:rPr>
      <w:rFonts w:ascii="Times New Roman" w:hAnsi="Times New Roman" w:eastAsia="宋体" w:cs="Times New Roman"/>
      <w:b/>
      <w:color w:val="auto"/>
      <w:sz w:val="30"/>
      <w:szCs w:val="28"/>
      <w:lang w:val="en-US" w:eastAsia="zh-CN" w:bidi="ar-SA"/>
    </w:rPr>
  </w:style>
  <w:style w:type="paragraph" w:styleId="810" w:customStyle="1">
    <w:name w:val="列出段落1"/>
    <w:basedOn w:val="713"/>
    <w:uiPriority w:val="0"/>
    <w:qFormat/>
    <w:pPr>
      <w:contextualSpacing/>
      <w:ind w:left="720" w:right="0" w:firstLine="0"/>
      <w:jc w:val="left"/>
      <w:spacing w:before="0" w:after="0"/>
      <w:widowControl/>
    </w:pPr>
    <w:rPr>
      <w:rFonts w:ascii="Calibri" w:hAnsi="Calibri" w:cs="Calibri"/>
      <w:sz w:val="24"/>
      <w:szCs w:val="24"/>
      <w:lang w:eastAsia="en-US" w:bidi="en-US"/>
    </w:rPr>
  </w:style>
  <w:style w:type="paragraph" w:styleId="811" w:customStyle="1">
    <w:name w:val="Body Text(ch)"/>
    <w:basedOn w:val="713"/>
    <w:next w:val="729"/>
    <w:uiPriority w:val="0"/>
    <w:qFormat/>
    <w:pPr>
      <w:spacing w:before="0" w:after="120"/>
    </w:pPr>
    <w:rPr>
      <w:rFonts w:ascii="宋体" w:hAnsi="宋体" w:eastAsia="宋体" w:cs="Times New Roman"/>
      <w:bCs/>
      <w:iCs/>
      <w:szCs w:val="24"/>
    </w:rPr>
  </w:style>
  <w:style w:type="paragraph" w:styleId="812" w:customStyle="1">
    <w:name w:val="xl27"/>
    <w:basedOn w:val="713"/>
    <w:uiPriority w:val="0"/>
    <w:qFormat/>
    <w:pPr>
      <w:jc w:val="center"/>
      <w:spacing w:before="100" w:after="100"/>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3" w:customStyle="1">
    <w:name w:val="xl26"/>
    <w:basedOn w:val="713"/>
    <w:uiPriority w:val="0"/>
    <w:qFormat/>
    <w:pPr>
      <w:jc w:val="left"/>
      <w:spacing w:before="100" w:after="100"/>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4" w:customStyle="1">
    <w:name w:val="Char"/>
    <w:basedOn w:val="713"/>
    <w:uiPriority w:val="0"/>
    <w:qFormat/>
    <w:pPr>
      <w:ind w:left="0" w:right="0" w:firstLine="200"/>
      <w:tabs>
        <w:tab w:val="left" w:pos="360" w:leader="none"/>
      </w:tabs>
    </w:pPr>
    <w:rPr>
      <w:rFonts w:ascii="Times New Roman" w:hAnsi="Times New Roman" w:eastAsia="宋体" w:cs="Times New Roman"/>
      <w:sz w:val="28"/>
      <w:szCs w:val="30"/>
    </w:rPr>
  </w:style>
  <w:style w:type="paragraph" w:styleId="815" w:customStyle="1">
    <w:name w:val=" Char"/>
    <w:basedOn w:val="790"/>
    <w:uiPriority w:val="0"/>
    <w:qFormat/>
    <w:rPr>
      <w:rFonts w:ascii="Tahoma" w:hAnsi="Tahoma" w:cs="Tahoma"/>
      <w:sz w:val="24"/>
      <w:szCs w:val="24"/>
    </w:rPr>
  </w:style>
  <w:style w:type="paragraph" w:styleId="816" w:customStyle="1">
    <w:name w:val="普通正文"/>
    <w:basedOn w:val="713"/>
    <w:uiPriority w:val="0"/>
    <w:qFormat/>
    <w:pPr>
      <w:ind w:left="0" w:right="0" w:firstLine="480"/>
      <w:jc w:val="left"/>
      <w:spacing w:before="120" w:after="120" w:line="360" w:lineRule="auto"/>
    </w:pPr>
    <w:rPr>
      <w:rFonts w:ascii="Arial" w:hAnsi="Arial" w:eastAsia="宋体" w:cs="Times New Roman"/>
      <w:sz w:val="24"/>
      <w:szCs w:val="24"/>
    </w:rPr>
  </w:style>
  <w:style w:type="paragraph" w:styleId="817" w:customStyle="1">
    <w:name w:val="table_lines"/>
    <w:basedOn w:val="713"/>
    <w:uiPriority w:val="0"/>
    <w:qFormat/>
    <w:pPr>
      <w:jc w:val="left"/>
      <w:widowControl/>
    </w:pPr>
    <w:rPr>
      <w:rFonts w:ascii="Times New Roman" w:hAnsi="Times New Roman" w:eastAsia="宋体" w:cs="Times New Roman"/>
      <w:sz w:val="20"/>
      <w:szCs w:val="20"/>
      <w:lang w:val="de-DE" w:eastAsia="de-DE"/>
    </w:rPr>
  </w:style>
  <w:style w:type="paragraph" w:styleId="818" w:customStyle="1">
    <w:name w:val="附录1"/>
    <w:uiPriority w:val="0"/>
    <w:qFormat/>
    <w:pPr>
      <w:numPr>
        <w:ilvl w:val="0"/>
        <w:numId w:val="2"/>
      </w:numPr>
      <w:spacing w:before="240" w:after="0" w:line="600" w:lineRule="atLeast"/>
      <w:widowControl/>
      <w:tabs>
        <w:tab w:val="left" w:pos="907" w:leader="none"/>
      </w:tabs>
    </w:pPr>
    <w:rPr>
      <w:rFonts w:ascii="Times New Roman" w:hAnsi="Times New Roman" w:eastAsia="宋体" w:cs="Times New Roman"/>
      <w:b/>
      <w:i/>
      <w:color w:val="auto"/>
      <w:sz w:val="28"/>
      <w:szCs w:val="20"/>
      <w:lang w:val="en-US" w:eastAsia="zh-CN" w:bidi="ar-SA"/>
    </w:rPr>
  </w:style>
  <w:style w:type="paragraph" w:styleId="819" w:customStyle="1">
    <w:name w:val="font7"/>
    <w:basedOn w:val="713"/>
    <w:uiPriority w:val="0"/>
    <w:qFormat/>
    <w:pPr>
      <w:jc w:val="left"/>
      <w:spacing w:before="100" w:after="100"/>
      <w:widowControl/>
    </w:pPr>
    <w:rPr>
      <w:rFonts w:ascii="宋体" w:hAnsi="宋体" w:eastAsia="宋体" w:cs="Times New Roman"/>
      <w:sz w:val="18"/>
      <w:szCs w:val="18"/>
    </w:rPr>
  </w:style>
  <w:style w:type="paragraph" w:styleId="820" w:customStyle="1">
    <w:name w:val=" Char Char Char Char"/>
    <w:basedOn w:val="790"/>
    <w:uiPriority w:val="0"/>
    <w:qFormat/>
    <w:pPr>
      <w:spacing w:line="360" w:lineRule="auto"/>
    </w:pPr>
    <w:rPr>
      <w:rFonts w:ascii="Tahoma" w:hAnsi="Tahoma" w:cs="Tahoma"/>
      <w:sz w:val="24"/>
      <w:szCs w:val="24"/>
    </w:rPr>
  </w:style>
  <w:style w:type="paragraph" w:styleId="821" w:customStyle="1">
    <w:name w:val="列出段落"/>
    <w:basedOn w:val="713"/>
    <w:uiPriority w:val="0"/>
    <w:qFormat/>
    <w:pPr>
      <w:contextualSpacing/>
      <w:ind w:left="720" w:right="0" w:firstLine="0"/>
      <w:jc w:val="left"/>
      <w:spacing w:before="0" w:after="0"/>
      <w:widowControl/>
    </w:pPr>
    <w:rPr>
      <w:rFonts w:ascii="Calibri" w:hAnsi="Calibri" w:eastAsia="宋体" w:cs="Times New Roman"/>
      <w:sz w:val="24"/>
      <w:szCs w:val="24"/>
      <w:lang w:eastAsia="en-US" w:bidi="en-US"/>
    </w:rPr>
  </w:style>
  <w:style w:type="paragraph" w:styleId="822" w:customStyle="1">
    <w:name w:val="4"/>
    <w:basedOn w:val="713"/>
    <w:next w:val="799"/>
    <w:uiPriority w:val="0"/>
    <w:qFormat/>
    <w:pPr>
      <w:ind w:left="0" w:right="0" w:firstLine="420"/>
      <w:spacing w:line="360" w:lineRule="auto"/>
    </w:pPr>
    <w:rPr>
      <w:rFonts w:ascii="Times New Roman" w:hAnsi="Times New Roman" w:eastAsia="宋体" w:cs="Times New Roman"/>
      <w:color w:val="ff0000"/>
      <w:sz w:val="24"/>
      <w:szCs w:val="24"/>
    </w:rPr>
  </w:style>
  <w:style w:type="paragraph" w:styleId="823" w:customStyle="1">
    <w:name w:val="普通 (Web)"/>
    <w:basedOn w:val="713"/>
    <w:uiPriority w:val="0"/>
    <w:qFormat/>
    <w:pPr>
      <w:jc w:val="left"/>
      <w:spacing w:before="100" w:after="100"/>
      <w:widowControl/>
    </w:pPr>
    <w:rPr>
      <w:rFonts w:ascii="宋体" w:hAnsi="宋体" w:eastAsia="宋体" w:cs="Times New Roman"/>
      <w:sz w:val="24"/>
      <w:szCs w:val="24"/>
    </w:rPr>
  </w:style>
  <w:style w:type="paragraph" w:styleId="824" w:customStyle="1">
    <w:name w:val=" Char Char Char Char Char Char Char Char Char Char"/>
    <w:basedOn w:val="713"/>
    <w:uiPriority w:val="0"/>
    <w:qFormat/>
    <w:pPr>
      <w:spacing w:line="360" w:lineRule="auto"/>
    </w:pPr>
    <w:rPr>
      <w:rFonts w:ascii="Times New Roman" w:hAnsi="Times New Roman" w:eastAsia="宋体" w:cs="Times New Roman"/>
      <w:sz w:val="24"/>
      <w:szCs w:val="20"/>
    </w:rPr>
  </w:style>
  <w:style w:type="paragraph" w:styleId="825" w:customStyle="1">
    <w:name w:val="样式1"/>
    <w:basedOn w:val="713"/>
    <w:uiPriority w:val="0"/>
    <w:qFormat/>
    <w:pPr>
      <w:numPr>
        <w:ilvl w:val="0"/>
        <w:numId w:val="3"/>
      </w:numPr>
      <w:tabs>
        <w:tab w:val="left" w:pos="709" w:leader="none"/>
      </w:tabs>
    </w:pPr>
    <w:rPr>
      <w:rFonts w:ascii="宋体" w:hAnsi="宋体" w:eastAsia="宋体" w:cs="Times New Roman"/>
      <w:szCs w:val="21"/>
    </w:rPr>
  </w:style>
  <w:style w:type="paragraph" w:styleId="826" w:customStyle="1">
    <w:name w:val="font6"/>
    <w:basedOn w:val="713"/>
    <w:uiPriority w:val="0"/>
    <w:qFormat/>
    <w:pPr>
      <w:jc w:val="left"/>
      <w:spacing w:before="100" w:after="100"/>
      <w:widowControl/>
    </w:pPr>
    <w:rPr>
      <w:rFonts w:ascii="宋体" w:hAnsi="宋体" w:eastAsia="宋体" w:cs="Times New Roman"/>
      <w:sz w:val="28"/>
      <w:szCs w:val="28"/>
      <w:u w:val="single"/>
    </w:rPr>
  </w:style>
  <w:style w:type="paragraph" w:styleId="827" w:customStyle="1">
    <w:name w:val="xl25"/>
    <w:basedOn w:val="713"/>
    <w:uiPriority w:val="0"/>
    <w:qFormat/>
    <w:pPr>
      <w:jc w:val="center"/>
      <w:spacing w:before="100" w:after="100"/>
      <w:widowControl/>
    </w:pPr>
    <w:rPr>
      <w:rFonts w:ascii="Arial Unicode MS;宋体" w:hAnsi="Arial Unicode MS;宋体" w:eastAsia="Arial Unicode MS;宋体" w:cs="Arial Unicode MS;宋体"/>
      <w:sz w:val="24"/>
      <w:szCs w:val="24"/>
    </w:rPr>
  </w:style>
  <w:style w:type="paragraph" w:styleId="828" w:customStyle="1">
    <w:name w:val="图标"/>
    <w:basedOn w:val="713"/>
    <w:next w:val="713"/>
    <w:uiPriority w:val="0"/>
    <w:qFormat/>
    <w:pPr>
      <w:ind w:left="840" w:right="0" w:hanging="420"/>
      <w:jc w:val="center"/>
      <w:spacing w:before="120" w:after="120" w:line="320" w:lineRule="atLeast"/>
      <w:tabs>
        <w:tab w:val="left" w:pos="567" w:leader="none"/>
        <w:tab w:val="left" w:pos="840" w:leader="none"/>
      </w:tabs>
    </w:pPr>
    <w:rPr>
      <w:rFonts w:ascii="Times New Roman" w:hAnsi="Times New Roman" w:eastAsia="仿宋_GB2312;仿宋" w:cs="Times New Roman"/>
      <w:sz w:val="24"/>
      <w:szCs w:val="20"/>
    </w:rPr>
  </w:style>
  <w:style w:type="paragraph" w:styleId="829" w:customStyle="1">
    <w:name w:val="标题3"/>
    <w:basedOn w:val="713"/>
    <w:next w:val="713"/>
    <w:uiPriority w:val="0"/>
    <w:qFormat/>
    <w:pPr>
      <w:ind w:left="0" w:right="0" w:firstLine="624"/>
      <w:spacing w:line="590" w:lineRule="atLeast"/>
    </w:pPr>
    <w:rPr>
      <w:rFonts w:ascii="方正黑体_GBK;微软雅黑" w:hAnsi="方正黑体_GBK;微软雅黑" w:eastAsia="方正黑体_GBK;微软雅黑" w:cs="Times New Roman"/>
      <w:sz w:val="32"/>
      <w:szCs w:val="32"/>
    </w:rPr>
  </w:style>
  <w:style w:type="paragraph" w:styleId="830" w:customStyle="1">
    <w:name w:val="xl24"/>
    <w:basedOn w:val="713"/>
    <w:uiPriority w:val="0"/>
    <w:qFormat/>
    <w:pPr>
      <w:jc w:val="center"/>
      <w:spacing w:before="100" w:after="100"/>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1" w:customStyle="1">
    <w:name w:val="xl29"/>
    <w:basedOn w:val="713"/>
    <w:uiPriority w:val="0"/>
    <w:qFormat/>
    <w:pPr>
      <w:jc w:val="left"/>
      <w:spacing w:before="100" w:after="100"/>
      <w:widowControl/>
      <w:pBdr>
        <w:left w:val="single" w:color="000000" w:sz="4" w:space="0"/>
        <w:bottom w:val="single" w:color="000000" w:sz="4" w:space="0"/>
      </w:pBdr>
    </w:pPr>
    <w:rPr>
      <w:rFonts w:ascii="宋体" w:hAnsi="宋体" w:eastAsia="宋体" w:cs="Times New Roman"/>
      <w:sz w:val="24"/>
      <w:szCs w:val="24"/>
    </w:rPr>
  </w:style>
  <w:style w:type="paragraph" w:styleId="832" w:customStyle="1">
    <w:name w:val="Char Char Char Char Char Char Char Char"/>
    <w:basedOn w:val="713"/>
    <w:uiPriority w:val="0"/>
    <w:qFormat/>
    <w:pPr>
      <w:jc w:val="left"/>
      <w:spacing w:before="0" w:after="160" w:line="240" w:lineRule="exact"/>
      <w:widowControl/>
    </w:pPr>
    <w:rPr>
      <w:rFonts w:ascii="Verdana" w:hAnsi="Verdana" w:eastAsia="宋体" w:cs="Times New Roman"/>
      <w:sz w:val="20"/>
      <w:szCs w:val="20"/>
      <w:lang w:eastAsia="en-US"/>
    </w:rPr>
  </w:style>
  <w:style w:type="paragraph" w:styleId="833" w:customStyle="1">
    <w:name w:val="xl28"/>
    <w:basedOn w:val="713"/>
    <w:uiPriority w:val="0"/>
    <w:qFormat/>
    <w:pPr>
      <w:jc w:val="left"/>
      <w:spacing w:before="100" w:after="100"/>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34" w:customStyle="1">
    <w:name w:val=" Char Char Char Char Char Char Char Char"/>
    <w:basedOn w:val="713"/>
    <w:uiPriority w:val="0"/>
    <w:qFormat/>
    <w:pPr>
      <w:jc w:val="left"/>
      <w:spacing w:before="0" w:after="160" w:line="240" w:lineRule="exact"/>
      <w:widowControl/>
    </w:pPr>
    <w:rPr>
      <w:rFonts w:ascii="Verdana" w:hAnsi="Verdana" w:eastAsia="宋体" w:cs="Times New Roman"/>
      <w:sz w:val="20"/>
      <w:szCs w:val="20"/>
      <w:lang w:eastAsia="en-US"/>
    </w:rPr>
  </w:style>
  <w:style w:type="paragraph" w:styleId="835" w:customStyle="1">
    <w:name w:val="xl30"/>
    <w:basedOn w:val="713"/>
    <w:uiPriority w:val="0"/>
    <w:qFormat/>
    <w:pPr>
      <w:jc w:val="center"/>
      <w:spacing w:before="100" w:after="100"/>
      <w:widowControl/>
    </w:pPr>
    <w:rPr>
      <w:rFonts w:ascii="宋体" w:hAnsi="宋体" w:eastAsia="宋体" w:cs="Times New Roman"/>
      <w:b/>
      <w:bCs/>
      <w:sz w:val="36"/>
      <w:szCs w:val="36"/>
    </w:rPr>
  </w:style>
  <w:style w:type="paragraph" w:styleId="836" w:customStyle="1">
    <w:name w:val="Char Char Char Char"/>
    <w:basedOn w:val="790"/>
    <w:uiPriority w:val="0"/>
    <w:qFormat/>
    <w:pPr>
      <w:spacing w:line="360" w:lineRule="auto"/>
    </w:pPr>
    <w:rPr>
      <w:rFonts w:ascii="Tahoma" w:hAnsi="Tahoma" w:cs="Tahoma"/>
      <w:sz w:val="24"/>
      <w:szCs w:val="24"/>
    </w:rPr>
  </w:style>
  <w:style w:type="paragraph" w:styleId="837" w:customStyle="1">
    <w:name w:val="table_1stline"/>
    <w:basedOn w:val="713"/>
    <w:uiPriority w:val="0"/>
    <w:qFormat/>
    <w:pPr>
      <w:jc w:val="left"/>
      <w:spacing w:before="120" w:after="0"/>
      <w:widowControl/>
    </w:pPr>
    <w:rPr>
      <w:rFonts w:ascii="Times New Roman" w:hAnsi="Times New Roman" w:eastAsia="宋体" w:cs="Times New Roman"/>
      <w:bCs/>
      <w:sz w:val="20"/>
      <w:szCs w:val="20"/>
      <w:lang w:val="de-DE" w:eastAsia="de-DE"/>
    </w:rPr>
  </w:style>
  <w:style w:type="paragraph" w:styleId="838" w:customStyle="1">
    <w:name w:val="font5"/>
    <w:basedOn w:val="713"/>
    <w:uiPriority w:val="0"/>
    <w:qFormat/>
    <w:pPr>
      <w:jc w:val="left"/>
      <w:spacing w:before="100" w:after="100"/>
      <w:widowControl/>
    </w:pPr>
    <w:rPr>
      <w:rFonts w:ascii="宋体" w:hAnsi="宋体" w:eastAsia="宋体" w:cs="Times New Roman"/>
      <w:sz w:val="28"/>
      <w:szCs w:val="28"/>
    </w:rPr>
  </w:style>
  <w:style w:type="paragraph" w:styleId="839" w:customStyle="1">
    <w:name w:val="标题1"/>
    <w:basedOn w:val="713"/>
    <w:next w:val="713"/>
    <w:uiPriority w:val="0"/>
    <w:qFormat/>
    <w:pPr>
      <w:jc w:val="center"/>
      <w:spacing w:line="700" w:lineRule="atLeast"/>
      <w:tabs>
        <w:tab w:val="left" w:pos="9193" w:leader="none"/>
        <w:tab w:val="left" w:pos="9827" w:leader="none"/>
      </w:tabs>
    </w:pPr>
    <w:rPr>
      <w:rFonts w:ascii="方正小标宋_GBK;微软雅黑" w:hAnsi="方正小标宋_GBK;微软雅黑" w:eastAsia="方正小标宋_GBK;微软雅黑" w:cs="Times New Roman"/>
      <w:sz w:val="44"/>
      <w:szCs w:val="20"/>
    </w:rPr>
  </w:style>
  <w:style w:type="paragraph" w:styleId="840" w:customStyle="1">
    <w:name w:val="修订"/>
    <w:uiPriority w:val="0"/>
    <w:qFormat/>
    <w:pPr>
      <w:widowControl/>
    </w:pPr>
    <w:rPr>
      <w:rFonts w:ascii="Times New Roman" w:hAnsi="Times New Roman" w:eastAsia="宋体" w:cs="Times New Roman"/>
      <w:color w:val="auto"/>
      <w:sz w:val="21"/>
      <w:szCs w:val="21"/>
      <w:lang w:val="en-US" w:eastAsia="zh-CN" w:bidi="ar-SA"/>
    </w:rPr>
  </w:style>
  <w:style w:type="paragraph" w:styleId="841" w:customStyle="1">
    <w:name w:val="无间隔"/>
    <w:uiPriority w:val="0"/>
    <w:qFormat/>
    <w:pPr>
      <w:jc w:val="both"/>
      <w:widowControl w:val="off"/>
    </w:pPr>
    <w:rPr>
      <w:rFonts w:ascii="Times New Roman" w:hAnsi="Times New Roman" w:eastAsia="宋体" w:cs="Times New Roman"/>
      <w:color w:val="auto"/>
      <w:sz w:val="21"/>
      <w:szCs w:val="21"/>
      <w:lang w:val="en-US" w:eastAsia="zh-CN" w:bidi="ar-SA"/>
    </w:rPr>
  </w:style>
  <w:style w:type="paragraph" w:styleId="842" w:customStyle="1">
    <w:name w:val="WPSOffice手动目录 1"/>
    <w:uiPriority w:val="0"/>
    <w:qFormat/>
    <w:pPr>
      <w:widowControl/>
    </w:pPr>
    <w:rPr>
      <w:rFonts w:ascii="Times New Roman" w:hAnsi="Times New Roman" w:eastAsia="宋体" w:cs="Times New Roman"/>
      <w:color w:val="auto"/>
      <w:sz w:val="20"/>
      <w:szCs w:val="20"/>
      <w:lang w:val="en-US" w:eastAsia="zh-CN" w:bidi="hi-IN"/>
    </w:rPr>
  </w:style>
  <w:style w:type="paragraph" w:styleId="843" w:customStyle="1">
    <w:name w:val="正文缩进1"/>
    <w:basedOn w:val="713"/>
    <w:uiPriority w:val="0"/>
    <w:qFormat/>
    <w:pPr>
      <w:ind w:left="0" w:right="0" w:firstLine="420"/>
    </w:pPr>
    <w:rPr>
      <w:sz w:val="20"/>
      <w:lang w:val="en-US" w:eastAsia="en-US"/>
    </w:rPr>
  </w:style>
  <w:style w:type="paragraph" w:styleId="844" w:customStyle="1">
    <w:name w:val="Table Contents"/>
    <w:basedOn w:val="713"/>
    <w:uiPriority w:val="0"/>
    <w:qFormat/>
    <w:pPr>
      <w:widowControl w:val="off"/>
      <w:suppressLineNumbers/>
    </w:pPr>
  </w:style>
  <w:style w:type="paragraph" w:styleId="845" w:customStyle="1">
    <w:name w:val="Table Heading"/>
    <w:basedOn w:val="844"/>
    <w:uiPriority w:val="0"/>
    <w:qFormat/>
    <w:pPr>
      <w:jc w:val="center"/>
      <w:suppressLineNumbers/>
    </w:pPr>
    <w:rPr>
      <w:b/>
      <w:bCs/>
    </w:rPr>
  </w:style>
  <w:style w:type="paragraph" w:styleId="846" w:customStyle="1">
    <w:name w:val="Frame Contents"/>
    <w:basedOn w:val="713"/>
    <w:uiPriority w:val="0"/>
    <w:qFormat/>
  </w:style>
  <w:style w:type="paragraph" w:styleId="847" w:customStyle="1">
    <w:name w:val="普通(网站)11"/>
    <w:basedOn w:val="713"/>
    <w:uiPriority w:val="99"/>
    <w:qFormat/>
    <w:pPr>
      <w:jc w:val="left"/>
      <w:spacing w:before="100" w:beforeAutospacing="1" w:after="100" w:afterAutospacing="1"/>
      <w:widowControl/>
    </w:pPr>
    <w:rPr>
      <w:rFonts w:ascii="宋体" w:hAnsi="宋体" w:eastAsia="宋体" w:cs="宋体"/>
      <w:sz w:val="24"/>
      <w:szCs w:val="24"/>
    </w:rPr>
  </w:style>
  <w:style w:type="character" w:styleId="848" w:customStyle="1">
    <w:name w:val="强调1"/>
    <w:basedOn w:val="746"/>
    <w:link w:val="713"/>
    <w:uiPriority w:val="0"/>
    <w:qFormat/>
    <w:rPr>
      <w:rFonts w:ascii="Times New Roman" w:hAnsi="Times New Roman" w:eastAsia="宋体" w:cs="Times New Roman"/>
      <w:color w:val="auto"/>
      <w:sz w:val="21"/>
      <w:szCs w:val="22"/>
      <w:lang w:val="en-US" w:eastAsia="zh-CN" w:bidi="ar-SA"/>
    </w:rPr>
  </w:style>
  <w:style w:type="paragraph" w:styleId="849" w:customStyle="1">
    <w:name w:val="彩色列表 - 强调文字颜色 11"/>
    <w:basedOn w:val="713"/>
    <w:uiPriority w:val="0"/>
    <w:qFormat/>
    <w:pPr>
      <w:ind w:firstLine="420"/>
    </w:pPr>
    <w:rPr>
      <w:rFonts w:ascii="Times New Roman" w:hAnsi="Times New Roman" w:eastAsia="宋体" w:cs="Times New Roman"/>
      <w:szCs w:val="22"/>
    </w:rPr>
  </w:style>
  <w:style w:type="numbering" w:styleId="114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na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olidFill>
        <a:solidFill>
          <a:schemeClr val="phClr"/>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如东分公司</cp:lastModifiedBy>
  <cp:revision>107</cp:revision>
  <dcterms:created xsi:type="dcterms:W3CDTF">2023-03-16T02:13:00Z</dcterms:created>
  <dcterms:modified xsi:type="dcterms:W3CDTF">2026-09-02T09:12:48Z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1C99D4EC4A74473EBBCA9C65954087DE_13</vt:lpwstr>
  </property>
  <property fmtid="{D5CDD505-2E9C-101B-9397-08002B2CF9AE}" pid="3" name="KSOProductBuildVer">
    <vt:lpwstr>2052-12.1.0.28505</vt:lpwstr>
  </property>
  <property fmtid="{D5CDD505-2E9C-101B-9397-08002B2CF9AE}" pid="4" name="KSOTemplateDocerSaveRecord">
    <vt:lpwstr>eyJoZGlkIjoiYzE5NGY3ZDZlOWUzZDFiNjIxYjNhZjlkZGQ0MzVlOTAiLCJ1c2VySWQiOiIxNjc0NjYxMTExIn0=</vt:lpwstr>
  </property>
</Properties>
</file>