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江苏省计量科学研究院（江苏省能源计量数据中心）</w:t>
      </w:r>
      <w:r>
        <w:rPr>
          <w:rFonts w:hint="eastAsia" w:ascii="宋体" w:hAnsi="宋体" w:eastAsia="宋体" w:cs="宋体"/>
          <w:sz w:val="72"/>
          <w:szCs w:val="72"/>
          <w:highlight w:val="none"/>
        </w:rPr>
      </w:r>
      <w:r/>
    </w:p>
    <w:p>
      <w:pPr>
        <w:pStyle w:val="1047"/>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1047"/>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1047"/>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104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JSZC-320000-HWZX-G2026-0544</w:t>
      </w:r>
      <w:r>
        <w:rPr>
          <w:rFonts w:hint="eastAsia" w:ascii="宋体" w:hAnsi="宋体" w:eastAsia="宋体" w:cs="宋体"/>
          <w:sz w:val="32"/>
          <w:szCs w:val="32"/>
          <w:highlight w:val="none"/>
          <w:lang w:eastAsia="zh-CN"/>
        </w:rPr>
      </w:r>
      <w:r/>
    </w:p>
    <w:p>
      <w:pPr>
        <w:pStyle w:val="1047"/>
        <w:ind w:left="647" w:hanging="17"/>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代理机构内部编号：</w:t>
      </w:r>
      <w:r>
        <w:rPr>
          <w:rFonts w:hint="eastAsia" w:ascii="宋体" w:hAnsi="宋体" w:eastAsia="宋体" w:cs="宋体"/>
          <w:sz w:val="32"/>
          <w:szCs w:val="32"/>
          <w:highlight w:val="none"/>
          <w:lang w:eastAsia="zh-CN"/>
        </w:rPr>
        <w:t xml:space="preserve">0675-266JOC004666</w:t>
      </w:r>
      <w:r>
        <w:rPr>
          <w:rFonts w:hint="eastAsia" w:ascii="宋体" w:hAnsi="宋体" w:eastAsia="宋体" w:cs="宋体"/>
          <w:sz w:val="32"/>
          <w:szCs w:val="32"/>
          <w:highlight w:val="none"/>
          <w:lang w:eastAsia="zh-CN"/>
        </w:rPr>
      </w:r>
      <w:r/>
    </w:p>
    <w:p>
      <w:pPr>
        <w:pStyle w:val="1047"/>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项目名称：江苏省计量科学研究院非自动衡器三轴加载自动化检测系统</w:t>
      </w:r>
      <w:r>
        <w:rPr>
          <w:rFonts w:hint="eastAsia" w:ascii="宋体" w:hAnsi="宋体" w:eastAsia="宋体" w:cs="宋体"/>
          <w:sz w:val="32"/>
          <w:szCs w:val="32"/>
          <w:highlight w:val="none"/>
        </w:rPr>
      </w:r>
      <w:r/>
    </w:p>
    <w:p>
      <w:pPr>
        <w:pStyle w:val="1047"/>
        <w:ind w:left="148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 购 人：江苏省计量科学研究院（江苏省能源计量数据中心）</w:t>
      </w:r>
      <w:r>
        <w:rPr>
          <w:rFonts w:hint="eastAsia" w:ascii="宋体" w:hAnsi="宋体" w:eastAsia="宋体" w:cs="宋体"/>
          <w:sz w:val="32"/>
          <w:szCs w:val="32"/>
          <w:highlight w:val="none"/>
        </w:rPr>
      </w:r>
      <w:r/>
    </w:p>
    <w:p>
      <w:pPr>
        <w:pStyle w:val="1047"/>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47"/>
        <w:ind w:left="1691" w:hanging="851"/>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1104"/>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二〇二六年九月</w:t>
      </w:r>
      <w:r>
        <w:rPr>
          <w:rFonts w:hint="eastAsia" w:ascii="宋体" w:hAnsi="宋体" w:cs="宋体"/>
          <w:spacing w:val="30"/>
          <w:sz w:val="32"/>
          <w:szCs w:val="32"/>
          <w:highlight w:val="none"/>
        </w:rPr>
      </w:r>
      <w:r/>
    </w:p>
    <w:p>
      <w:pPr>
        <w:pStyle w:val="1104"/>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1104"/>
        <w:tabs>
          <w:tab w:val="right" w:pos="9746" w:leader="dot"/>
        </w:tabs>
        <w:rPr>
          <w:highlight w:val="none"/>
        </w:rPr>
      </w:pPr>
      <w:r/>
      <w:bookmarkStart w:id="1" w:name="_Toc6351"/>
      <w:r/>
      <w:bookmarkStart w:id="2" w:name="_Toc32113"/>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_Toc2527 </w:instrText>
      </w:r>
      <w:r>
        <w:rPr>
          <w:rFonts w:hint="eastAsia" w:ascii="宋体" w:hAnsi="宋体" w:cs="宋体"/>
          <w:szCs w:val="22"/>
          <w:highlight w:val="none"/>
        </w:rPr>
        <w:fldChar w:fldCharType="separate"/>
      </w:r>
      <w:r>
        <w:rPr>
          <w:rFonts w:hint="eastAsia" w:ascii="宋体" w:hAnsi="宋体" w:cs="宋体"/>
          <w:highlight w:val="none"/>
        </w:rPr>
        <w:t xml:space="preserve">第一章 招标公告</w:t>
      </w:r>
      <w:r>
        <w:rPr>
          <w:highlight w:val="none"/>
        </w:rPr>
        <w:tab/>
      </w:r>
      <w:r>
        <w:rPr>
          <w:highlight w:val="none"/>
        </w:rPr>
        <w:fldChar w:fldCharType="begin"/>
      </w:r>
      <w:r>
        <w:rPr>
          <w:highlight w:val="none"/>
        </w:rPr>
        <w:instrText xml:space="preserve"> PAGEREF _Toc2527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_Toc9416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_Toc9416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_Toc12976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_Toc12976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_Toc29311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_Toc29311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_Toc9771 </w:instrText>
      </w:r>
      <w:r>
        <w:rPr>
          <w:rFonts w:hint="eastAsia" w:ascii="宋体" w:hAnsi="宋体" w:cs="宋体"/>
          <w:szCs w:val="22"/>
          <w:highlight w:val="none"/>
        </w:rPr>
        <w:fldChar w:fldCharType="separate"/>
      </w:r>
      <w:r>
        <w:rPr>
          <w:rFonts w:hint="eastAsia" w:ascii="宋体" w:hAnsi="宋体" w:cs="宋体"/>
          <w:szCs w:val="24"/>
          <w:highlight w:val="none"/>
        </w:rPr>
        <w:t xml:space="preserve">四、</w:t>
      </w:r>
      <w:r>
        <w:rPr>
          <w:rFonts w:hint="eastAsia" w:ascii="宋体" w:hAnsi="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_Toc9771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_Toc25297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五、公告期限</w:t>
      </w:r>
      <w:r>
        <w:rPr>
          <w:highlight w:val="none"/>
        </w:rPr>
        <w:tab/>
      </w:r>
      <w:r>
        <w:rPr>
          <w:highlight w:val="none"/>
        </w:rPr>
        <w:fldChar w:fldCharType="begin"/>
      </w:r>
      <w:r>
        <w:rPr>
          <w:highlight w:val="none"/>
        </w:rPr>
        <w:instrText xml:space="preserve"> PAGEREF _Toc25297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_Toc21266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_Toc21266 \h </w:instrText>
      </w:r>
      <w:r>
        <w:rPr>
          <w:highlight w:val="none"/>
        </w:rPr>
        <w:fldChar w:fldCharType="separate"/>
      </w:r>
      <w:r>
        <w:rPr>
          <w:highlight w:val="none"/>
        </w:rPr>
        <w:t xml:space="preserve">- 5 -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_Toc18467 </w:instrText>
      </w:r>
      <w:r>
        <w:rPr>
          <w:rFonts w:hint="eastAsia" w:ascii="宋体" w:hAnsi="宋体" w:cs="宋体"/>
          <w:szCs w:val="22"/>
          <w:highlight w:val="none"/>
        </w:rPr>
        <w:fldChar w:fldCharType="separate"/>
      </w:r>
      <w:r>
        <w:rPr>
          <w:rFonts w:hint="eastAsia" w:ascii="宋体" w:hAnsi="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_Toc18467 \h </w:instrText>
      </w:r>
      <w:r>
        <w:rPr>
          <w:highlight w:val="none"/>
        </w:rPr>
        <w:fldChar w:fldCharType="separate"/>
      </w:r>
      <w:r>
        <w:rPr>
          <w:highlight w:val="none"/>
        </w:rPr>
        <w:t xml:space="preserve">- 6 -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_Toc11807 </w:instrText>
      </w:r>
      <w:r>
        <w:rPr>
          <w:rFonts w:hint="eastAsia" w:ascii="宋体" w:hAnsi="宋体" w:cs="宋体"/>
          <w:szCs w:val="22"/>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_Toc11807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_Toc10384 </w:instrText>
      </w:r>
      <w:r>
        <w:rPr>
          <w:rFonts w:hint="eastAsia" w:ascii="宋体" w:hAnsi="宋体" w:cs="宋体"/>
          <w:szCs w:val="22"/>
          <w:highlight w:val="none"/>
        </w:rPr>
        <w:fldChar w:fldCharType="separate"/>
      </w:r>
      <w:r>
        <w:rPr>
          <w:rFonts w:hint="eastAsia" w:cs="宋体"/>
          <w:highlight w:val="none"/>
        </w:rPr>
        <w:t xml:space="preserve">投标人须知前附表：</w:t>
      </w:r>
      <w:r>
        <w:rPr>
          <w:highlight w:val="none"/>
        </w:rPr>
        <w:tab/>
      </w:r>
      <w:r>
        <w:rPr>
          <w:highlight w:val="none"/>
        </w:rPr>
        <w:fldChar w:fldCharType="begin"/>
      </w:r>
      <w:r>
        <w:rPr>
          <w:highlight w:val="none"/>
        </w:rPr>
        <w:instrText xml:space="preserve"> PAGEREF _Toc10384 \h </w:instrText>
      </w:r>
      <w:r>
        <w:rPr>
          <w:highlight w:val="none"/>
        </w:rPr>
        <w:fldChar w:fldCharType="separate"/>
      </w:r>
      <w:r>
        <w:rPr>
          <w:highlight w:val="none"/>
        </w:rPr>
        <w:t xml:space="preserve">- 8 -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_Toc63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一、 </w:t>
      </w:r>
      <w:r>
        <w:rPr>
          <w:rFonts w:hint="eastAsia" w:ascii="宋体" w:hAnsi="宋体" w:cs="宋体"/>
          <w:bCs/>
          <w:szCs w:val="21"/>
          <w:highlight w:val="none"/>
          <w:lang w:val="zh-CN"/>
        </w:rPr>
        <w:t xml:space="preserve">总则</w:t>
      </w:r>
      <w:r>
        <w:rPr>
          <w:highlight w:val="none"/>
        </w:rPr>
        <w:tab/>
      </w:r>
      <w:r>
        <w:rPr>
          <w:highlight w:val="none"/>
        </w:rPr>
        <w:fldChar w:fldCharType="begin"/>
      </w:r>
      <w:r>
        <w:rPr>
          <w:highlight w:val="none"/>
        </w:rPr>
        <w:instrText xml:space="preserve"> PAGEREF _Toc63 \h </w:instrText>
      </w:r>
      <w:r>
        <w:rPr>
          <w:highlight w:val="none"/>
        </w:rPr>
        <w:fldChar w:fldCharType="separate"/>
      </w:r>
      <w:r>
        <w:rPr>
          <w:highlight w:val="none"/>
        </w:rPr>
        <w:t xml:space="preserve">- 10 -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_Toc32672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二、 招标文件构成</w:t>
      </w:r>
      <w:r>
        <w:rPr>
          <w:highlight w:val="none"/>
        </w:rPr>
        <w:tab/>
      </w:r>
      <w:r>
        <w:rPr>
          <w:highlight w:val="none"/>
        </w:rPr>
        <w:fldChar w:fldCharType="begin"/>
      </w:r>
      <w:r>
        <w:rPr>
          <w:highlight w:val="none"/>
        </w:rPr>
        <w:instrText xml:space="preserve"> PAGEREF _Toc32672 \h </w:instrText>
      </w:r>
      <w:r>
        <w:rPr>
          <w:highlight w:val="none"/>
        </w:rPr>
        <w:fldChar w:fldCharType="separate"/>
      </w:r>
      <w:r>
        <w:rPr>
          <w:highlight w:val="none"/>
        </w:rPr>
        <w:t xml:space="preserve">- 11 -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_Toc7135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三、 投标文件的编制</w:t>
      </w:r>
      <w:r>
        <w:rPr>
          <w:highlight w:val="none"/>
        </w:rPr>
        <w:tab/>
      </w:r>
      <w:r>
        <w:rPr>
          <w:highlight w:val="none"/>
        </w:rPr>
        <w:fldChar w:fldCharType="begin"/>
      </w:r>
      <w:r>
        <w:rPr>
          <w:highlight w:val="none"/>
        </w:rPr>
        <w:instrText xml:space="preserve"> PAGEREF _Toc7135 \h </w:instrText>
      </w:r>
      <w:r>
        <w:rPr>
          <w:highlight w:val="none"/>
        </w:rPr>
        <w:fldChar w:fldCharType="separate"/>
      </w:r>
      <w:r>
        <w:rPr>
          <w:highlight w:val="none"/>
        </w:rPr>
        <w:t xml:space="preserve">- 12 -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_Toc12016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四、 投标文件的递交</w:t>
      </w:r>
      <w:r>
        <w:rPr>
          <w:highlight w:val="none"/>
        </w:rPr>
        <w:tab/>
      </w:r>
      <w:r>
        <w:rPr>
          <w:highlight w:val="none"/>
        </w:rPr>
        <w:fldChar w:fldCharType="begin"/>
      </w:r>
      <w:r>
        <w:rPr>
          <w:highlight w:val="none"/>
        </w:rPr>
        <w:instrText xml:space="preserve"> PAGEREF _Toc12016 \h </w:instrText>
      </w:r>
      <w:r>
        <w:rPr>
          <w:highlight w:val="none"/>
        </w:rPr>
        <w:fldChar w:fldCharType="separate"/>
      </w:r>
      <w:r>
        <w:rPr>
          <w:highlight w:val="none"/>
        </w:rPr>
        <w:t xml:space="preserve">- 15 -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_Toc22917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五、 开标、评标与定标</w:t>
      </w:r>
      <w:r>
        <w:rPr>
          <w:highlight w:val="none"/>
        </w:rPr>
        <w:tab/>
      </w:r>
      <w:r>
        <w:rPr>
          <w:highlight w:val="none"/>
        </w:rPr>
        <w:fldChar w:fldCharType="begin"/>
      </w:r>
      <w:r>
        <w:rPr>
          <w:highlight w:val="none"/>
        </w:rPr>
        <w:instrText xml:space="preserve"> PAGEREF _Toc22917 \h </w:instrText>
      </w:r>
      <w:r>
        <w:rPr>
          <w:highlight w:val="none"/>
        </w:rPr>
        <w:fldChar w:fldCharType="separate"/>
      </w:r>
      <w:r>
        <w:rPr>
          <w:highlight w:val="none"/>
        </w:rPr>
        <w:t xml:space="preserve">- 16 -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_Toc7387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六、 签订合同</w:t>
      </w:r>
      <w:r>
        <w:rPr>
          <w:highlight w:val="none"/>
        </w:rPr>
        <w:tab/>
      </w:r>
      <w:r>
        <w:rPr>
          <w:highlight w:val="none"/>
        </w:rPr>
        <w:fldChar w:fldCharType="begin"/>
      </w:r>
      <w:r>
        <w:rPr>
          <w:highlight w:val="none"/>
        </w:rPr>
        <w:instrText xml:space="preserve"> PAGEREF _Toc7387 \h </w:instrText>
      </w:r>
      <w:r>
        <w:rPr>
          <w:highlight w:val="none"/>
        </w:rPr>
        <w:fldChar w:fldCharType="separate"/>
      </w:r>
      <w:r>
        <w:rPr>
          <w:highlight w:val="none"/>
        </w:rPr>
        <w:t xml:space="preserve">- 20 -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_Toc32328 </w:instrText>
      </w:r>
      <w:r>
        <w:rPr>
          <w:rFonts w:hint="eastAsia" w:ascii="宋体" w:hAnsi="宋体" w:cs="宋体"/>
          <w:szCs w:val="22"/>
          <w:highlight w:val="none"/>
        </w:rPr>
        <w:fldChar w:fldCharType="separate"/>
      </w:r>
      <w:r>
        <w:rPr>
          <w:rFonts w:hint="eastAsia" w:ascii="宋体" w:hAnsi="宋体" w:cs="宋体"/>
          <w:bCs/>
          <w:szCs w:val="21"/>
          <w:highlight w:val="none"/>
        </w:rPr>
        <w:t xml:space="preserve">七、 质疑和投诉</w:t>
      </w:r>
      <w:r>
        <w:rPr>
          <w:highlight w:val="none"/>
        </w:rPr>
        <w:tab/>
      </w:r>
      <w:r>
        <w:rPr>
          <w:highlight w:val="none"/>
        </w:rPr>
        <w:fldChar w:fldCharType="begin"/>
      </w:r>
      <w:r>
        <w:rPr>
          <w:highlight w:val="none"/>
        </w:rPr>
        <w:instrText xml:space="preserve"> PAGEREF _Toc32328 \h </w:instrText>
      </w:r>
      <w:r>
        <w:rPr>
          <w:highlight w:val="none"/>
        </w:rPr>
        <w:fldChar w:fldCharType="separate"/>
      </w:r>
      <w:r>
        <w:rPr>
          <w:highlight w:val="none"/>
        </w:rPr>
        <w:t xml:space="preserve">- 21 -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_Toc14754 </w:instrText>
      </w:r>
      <w:r>
        <w:rPr>
          <w:rFonts w:hint="eastAsia" w:ascii="宋体" w:hAnsi="宋体" w:cs="宋体"/>
          <w:szCs w:val="22"/>
          <w:highlight w:val="none"/>
        </w:rPr>
        <w:fldChar w:fldCharType="separate"/>
      </w:r>
      <w:r>
        <w:rPr>
          <w:rFonts w:hint="eastAsia" w:ascii="宋体" w:hAnsi="宋体" w:cs="宋体"/>
          <w:highlight w:val="none"/>
        </w:rPr>
        <w:t xml:space="preserve">第三章 评分标准</w:t>
      </w:r>
      <w:r>
        <w:rPr>
          <w:highlight w:val="none"/>
        </w:rPr>
        <w:tab/>
      </w:r>
      <w:r>
        <w:rPr>
          <w:highlight w:val="none"/>
        </w:rPr>
        <w:fldChar w:fldCharType="begin"/>
      </w:r>
      <w:r>
        <w:rPr>
          <w:highlight w:val="none"/>
        </w:rPr>
        <w:instrText xml:space="preserve"> PAGEREF _Toc14754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_Toc738 </w:instrText>
      </w:r>
      <w:r>
        <w:rPr>
          <w:rFonts w:hint="eastAsia" w:ascii="宋体" w:hAnsi="宋体" w:cs="宋体"/>
          <w:szCs w:val="22"/>
          <w:highlight w:val="none"/>
        </w:rPr>
        <w:fldChar w:fldCharType="separate"/>
      </w:r>
      <w:r>
        <w:rPr>
          <w:rFonts w:hint="eastAsia" w:ascii="宋体" w:hAnsi="宋体" w:cs="宋体"/>
          <w:szCs w:val="22"/>
          <w:highlight w:val="none"/>
        </w:rPr>
        <w:t xml:space="preserve">一、资格性审查</w:t>
      </w:r>
      <w:r>
        <w:rPr>
          <w:highlight w:val="none"/>
        </w:rPr>
        <w:tab/>
      </w:r>
      <w:r>
        <w:rPr>
          <w:highlight w:val="none"/>
        </w:rPr>
        <w:fldChar w:fldCharType="begin"/>
      </w:r>
      <w:r>
        <w:rPr>
          <w:highlight w:val="none"/>
        </w:rPr>
        <w:instrText xml:space="preserve"> PAGEREF _Toc738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_Toc9897 </w:instrText>
      </w:r>
      <w:r>
        <w:rPr>
          <w:rFonts w:hint="eastAsia" w:ascii="宋体" w:hAnsi="宋体" w:cs="宋体"/>
          <w:szCs w:val="22"/>
          <w:highlight w:val="none"/>
        </w:rPr>
        <w:fldChar w:fldCharType="separate"/>
      </w:r>
      <w:r>
        <w:rPr>
          <w:rFonts w:hint="eastAsia" w:ascii="宋体" w:hAnsi="宋体" w:cs="宋体"/>
          <w:szCs w:val="22"/>
          <w:highlight w:val="none"/>
        </w:rPr>
        <w:t xml:space="preserve">二、符合性审查</w:t>
      </w:r>
      <w:r>
        <w:rPr>
          <w:highlight w:val="none"/>
        </w:rPr>
        <w:tab/>
      </w:r>
      <w:r>
        <w:rPr>
          <w:highlight w:val="none"/>
        </w:rPr>
        <w:fldChar w:fldCharType="begin"/>
      </w:r>
      <w:r>
        <w:rPr>
          <w:highlight w:val="none"/>
        </w:rPr>
        <w:instrText xml:space="preserve"> PAGEREF _Toc9897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_Toc10350 </w:instrText>
      </w:r>
      <w:r>
        <w:rPr>
          <w:rFonts w:hint="eastAsia" w:ascii="宋体" w:hAnsi="宋体" w:cs="宋体"/>
          <w:szCs w:val="22"/>
          <w:highlight w:val="none"/>
        </w:rPr>
        <w:fldChar w:fldCharType="separate"/>
      </w:r>
      <w:r>
        <w:rPr>
          <w:rFonts w:hint="eastAsia" w:ascii="宋体" w:hAnsi="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_Toc10350 \h </w:instrText>
      </w:r>
      <w:r>
        <w:rPr>
          <w:highlight w:val="none"/>
        </w:rPr>
        <w:fldChar w:fldCharType="separate"/>
      </w:r>
      <w:r>
        <w:rPr>
          <w:highlight w:val="none"/>
        </w:rPr>
        <w:t xml:space="preserve">- 23 -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_Toc28697 </w:instrText>
      </w:r>
      <w:r>
        <w:rPr>
          <w:rFonts w:hint="eastAsia" w:ascii="宋体" w:hAnsi="宋体" w:cs="宋体"/>
          <w:szCs w:val="22"/>
          <w:highlight w:val="none"/>
        </w:rPr>
        <w:fldChar w:fldCharType="separate"/>
      </w:r>
      <w:r>
        <w:rPr>
          <w:rFonts w:hint="eastAsia" w:ascii="宋体" w:hAnsi="宋体" w:cs="宋体"/>
          <w:szCs w:val="22"/>
          <w:highlight w:val="none"/>
        </w:rPr>
        <w:t xml:space="preserve">四、评分表（综合评分法）</w:t>
      </w:r>
      <w:r>
        <w:rPr>
          <w:highlight w:val="none"/>
        </w:rPr>
        <w:tab/>
      </w:r>
      <w:r>
        <w:rPr>
          <w:highlight w:val="none"/>
        </w:rPr>
        <w:fldChar w:fldCharType="begin"/>
      </w:r>
      <w:r>
        <w:rPr>
          <w:highlight w:val="none"/>
        </w:rPr>
        <w:instrText xml:space="preserve"> PAGEREF _Toc28697 \h </w:instrText>
      </w:r>
      <w:r>
        <w:rPr>
          <w:highlight w:val="none"/>
        </w:rPr>
        <w:fldChar w:fldCharType="separate"/>
      </w:r>
      <w:r>
        <w:rPr>
          <w:highlight w:val="none"/>
        </w:rPr>
        <w:t xml:space="preserve">- 25 -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_Toc5522 </w:instrText>
      </w:r>
      <w:r>
        <w:rPr>
          <w:rFonts w:hint="eastAsia" w:ascii="宋体" w:hAnsi="宋体" w:cs="宋体"/>
          <w:szCs w:val="22"/>
          <w:highlight w:val="none"/>
        </w:rPr>
        <w:fldChar w:fldCharType="separate"/>
      </w:r>
      <w:r>
        <w:rPr>
          <w:rFonts w:hint="eastAsia" w:ascii="宋体" w:hAnsi="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_Toc5522 \h </w:instrText>
      </w:r>
      <w:r>
        <w:rPr>
          <w:highlight w:val="none"/>
        </w:rPr>
        <w:fldChar w:fldCharType="separate"/>
      </w:r>
      <w:r>
        <w:rPr>
          <w:highlight w:val="none"/>
        </w:rPr>
        <w:t xml:space="preserve">- 27 -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_Toc30025 </w:instrText>
      </w:r>
      <w:r>
        <w:rPr>
          <w:rFonts w:hint="eastAsia" w:ascii="宋体" w:hAnsi="宋体" w:cs="宋体"/>
          <w:szCs w:val="22"/>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_Toc30025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_Toc28080 </w:instrText>
      </w:r>
      <w:r>
        <w:rPr>
          <w:rFonts w:hint="eastAsia" w:ascii="宋体" w:hAnsi="宋体" w:cs="宋体"/>
          <w:szCs w:val="22"/>
          <w:highlight w:val="none"/>
        </w:rPr>
        <w:fldChar w:fldCharType="separate"/>
      </w:r>
      <w:r>
        <w:rPr>
          <w:rFonts w:hint="eastAsia" w:ascii="宋体" w:hAnsi="宋体" w:cs="宋体"/>
          <w:szCs w:val="28"/>
          <w:highlight w:val="none"/>
        </w:rPr>
        <w:t xml:space="preserve">一、 项目概况：</w:t>
      </w:r>
      <w:r>
        <w:rPr>
          <w:highlight w:val="none"/>
        </w:rPr>
        <w:tab/>
      </w:r>
      <w:r>
        <w:rPr>
          <w:highlight w:val="none"/>
        </w:rPr>
        <w:fldChar w:fldCharType="begin"/>
      </w:r>
      <w:r>
        <w:rPr>
          <w:highlight w:val="none"/>
        </w:rPr>
        <w:instrText xml:space="preserve"> PAGEREF _Toc28080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_Toc26117 </w:instrText>
      </w:r>
      <w:r>
        <w:rPr>
          <w:rFonts w:hint="eastAsia" w:ascii="宋体" w:hAnsi="宋体" w:cs="宋体"/>
          <w:szCs w:val="22"/>
          <w:highlight w:val="none"/>
        </w:rPr>
        <w:fldChar w:fldCharType="separate"/>
      </w:r>
      <w:r>
        <w:rPr>
          <w:rFonts w:hint="eastAsia" w:ascii="宋体" w:hAnsi="宋体" w:cs="宋体"/>
          <w:szCs w:val="28"/>
          <w:highlight w:val="none"/>
        </w:rPr>
        <w:t xml:space="preserve">二、 技术要求：</w:t>
      </w:r>
      <w:r>
        <w:rPr>
          <w:highlight w:val="none"/>
        </w:rPr>
        <w:tab/>
      </w:r>
      <w:r>
        <w:rPr>
          <w:highlight w:val="none"/>
        </w:rPr>
        <w:fldChar w:fldCharType="begin"/>
      </w:r>
      <w:r>
        <w:rPr>
          <w:highlight w:val="none"/>
        </w:rPr>
        <w:instrText xml:space="preserve"> PAGEREF _Toc26117 \h </w:instrText>
      </w:r>
      <w:r>
        <w:rPr>
          <w:highlight w:val="none"/>
        </w:rPr>
        <w:fldChar w:fldCharType="separate"/>
      </w:r>
      <w:r>
        <w:rPr>
          <w:highlight w:val="none"/>
        </w:rPr>
        <w:t xml:space="preserve">- 30 -</w:t>
      </w:r>
      <w:r>
        <w:rPr>
          <w:highlight w:val="none"/>
        </w:rPr>
        <w:fldChar w:fldCharType="end"/>
      </w:r>
      <w:r>
        <w:rPr>
          <w:rFonts w:hint="eastAsia" w:ascii="宋体" w:hAnsi="宋体" w:cs="宋体"/>
          <w:szCs w:val="22"/>
          <w:highlight w:val="none"/>
        </w:rPr>
        <w:fldChar w:fldCharType="end"/>
      </w:r>
      <w:r>
        <w:rPr>
          <w:highlight w:val="none"/>
        </w:rPr>
      </w:r>
      <w:r/>
    </w:p>
    <w:p>
      <w:pPr>
        <w:pStyle w:val="1116"/>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_Toc8149 </w:instrText>
      </w:r>
      <w:r>
        <w:rPr>
          <w:rFonts w:hint="eastAsia" w:ascii="宋体" w:hAnsi="宋体" w:cs="宋体"/>
          <w:szCs w:val="22"/>
          <w:highlight w:val="none"/>
        </w:rPr>
        <w:fldChar w:fldCharType="separate"/>
      </w:r>
      <w:r>
        <w:rPr>
          <w:rFonts w:hint="eastAsia" w:ascii="宋体" w:hAnsi="宋体" w:cs="宋体"/>
          <w:szCs w:val="24"/>
          <w:highlight w:val="none"/>
        </w:rPr>
        <w:t xml:space="preserve">三、 商务要求：</w:t>
      </w:r>
      <w:r>
        <w:rPr>
          <w:highlight w:val="none"/>
        </w:rPr>
        <w:tab/>
      </w:r>
      <w:r>
        <w:rPr>
          <w:highlight w:val="none"/>
        </w:rPr>
        <w:fldChar w:fldCharType="begin"/>
      </w:r>
      <w:r>
        <w:rPr>
          <w:highlight w:val="none"/>
        </w:rPr>
        <w:instrText xml:space="preserve"> PAGEREF _Toc8149 \h </w:instrText>
      </w:r>
      <w:r>
        <w:rPr>
          <w:highlight w:val="none"/>
        </w:rPr>
        <w:fldChar w:fldCharType="separate"/>
      </w:r>
      <w:r>
        <w:rPr>
          <w:highlight w:val="none"/>
        </w:rPr>
        <w:t xml:space="preserve">- 38 -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_Toc29611 </w:instrText>
      </w:r>
      <w:r>
        <w:rPr>
          <w:rFonts w:hint="eastAsia" w:ascii="宋体" w:hAnsi="宋体" w:cs="宋体"/>
          <w:szCs w:val="22"/>
          <w:highlight w:val="none"/>
        </w:rPr>
        <w:fldChar w:fldCharType="separate"/>
      </w:r>
      <w:r>
        <w:rPr>
          <w:rFonts w:hint="eastAsia" w:ascii="宋体" w:hAnsi="宋体" w:cs="宋体"/>
          <w:highlight w:val="none"/>
        </w:rPr>
        <w:t xml:space="preserve">第五章 拟签订的合同文本</w:t>
      </w:r>
      <w:r>
        <w:rPr>
          <w:highlight w:val="none"/>
        </w:rPr>
        <w:tab/>
      </w:r>
      <w:r>
        <w:rPr>
          <w:highlight w:val="none"/>
        </w:rPr>
        <w:fldChar w:fldCharType="begin"/>
      </w:r>
      <w:r>
        <w:rPr>
          <w:highlight w:val="none"/>
        </w:rPr>
        <w:instrText xml:space="preserve"> PAGEREF _Toc29611 \h </w:instrText>
      </w:r>
      <w:r>
        <w:rPr>
          <w:highlight w:val="none"/>
        </w:rPr>
        <w:fldChar w:fldCharType="separate"/>
      </w:r>
      <w:r>
        <w:rPr>
          <w:highlight w:val="none"/>
        </w:rPr>
        <w:t xml:space="preserve">- 42 -</w:t>
      </w:r>
      <w:r>
        <w:rPr>
          <w:highlight w:val="none"/>
        </w:rPr>
        <w:fldChar w:fldCharType="end"/>
      </w:r>
      <w:r>
        <w:rPr>
          <w:rFonts w:hint="eastAsia" w:ascii="宋体" w:hAnsi="宋体" w:cs="宋体"/>
          <w:szCs w:val="22"/>
          <w:highlight w:val="none"/>
        </w:rPr>
        <w:fldChar w:fldCharType="end"/>
      </w:r>
      <w:r>
        <w:rPr>
          <w:highlight w:val="none"/>
        </w:rPr>
      </w:r>
      <w:r/>
    </w:p>
    <w:p>
      <w:pPr>
        <w:pStyle w:val="1104"/>
        <w:tabs>
          <w:tab w:val="right" w:pos="9746" w:leader="dot"/>
        </w:tabs>
        <w:rPr>
          <w:highlight w:val="none"/>
        </w:rPr>
      </w:pP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_Toc30540 </w:instrText>
      </w:r>
      <w:r>
        <w:rPr>
          <w:rFonts w:hint="eastAsia" w:ascii="宋体" w:hAnsi="宋体" w:cs="宋体"/>
          <w:szCs w:val="22"/>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_Toc30540 \h </w:instrText>
      </w:r>
      <w:r>
        <w:rPr>
          <w:highlight w:val="none"/>
        </w:rPr>
        <w:fldChar w:fldCharType="separate"/>
      </w:r>
      <w:r>
        <w:rPr>
          <w:highlight w:val="none"/>
        </w:rPr>
        <w:t xml:space="preserve">- 48 -</w:t>
      </w:r>
      <w:r>
        <w:rPr>
          <w:highlight w:val="none"/>
        </w:rPr>
        <w:fldChar w:fldCharType="end"/>
      </w:r>
      <w:r>
        <w:rPr>
          <w:rFonts w:hint="eastAsia" w:ascii="宋体" w:hAnsi="宋体" w:cs="宋体"/>
          <w:szCs w:val="22"/>
          <w:highlight w:val="none"/>
        </w:rPr>
        <w:fldChar w:fldCharType="end"/>
      </w:r>
      <w:r>
        <w:rPr>
          <w:highlight w:val="none"/>
        </w:rPr>
      </w:r>
      <w:r/>
    </w:p>
    <w:p>
      <w:pPr>
        <w:pStyle w:val="1047"/>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1048"/>
        <w:ind w:firstLine="0"/>
        <w:spacing w:before="480"/>
        <w:tabs>
          <w:tab w:val="left" w:pos="1440" w:leader="none"/>
          <w:tab w:val="left" w:pos="5670" w:leader="none"/>
        </w:tabs>
        <w:rPr>
          <w:rStyle w:val="1142"/>
          <w:rFonts w:hint="eastAsia" w:ascii="宋体" w:hAnsi="宋体" w:cs="宋体"/>
          <w:szCs w:val="20"/>
          <w:highlight w:val="none"/>
        </w:rPr>
      </w:pPr>
      <w:r/>
      <w:bookmarkStart w:id="3" w:name="_Toc2527"/>
      <w:r>
        <w:rPr>
          <w:rFonts w:hint="eastAsia" w:ascii="宋体" w:hAnsi="宋体" w:eastAsia="宋体" w:cs="宋体"/>
          <w:highlight w:val="none"/>
        </w:rPr>
        <w:t xml:space="preserve">第一章 招标公告</w:t>
      </w:r>
      <w:bookmarkEnd w:id="1"/>
      <w:r/>
      <w:bookmarkEnd w:id="2"/>
      <w:r/>
      <w:bookmarkEnd w:id="3"/>
      <w:r>
        <w:rPr>
          <w:rStyle w:val="1142"/>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47"/>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highlight w:val="none"/>
              </w:rPr>
            </w:pPr>
            <w:r>
              <w:rPr>
                <w:rFonts w:hint="eastAsia" w:ascii="宋体" w:hAnsi="宋体" w:eastAsia="宋体" w:cs="宋体"/>
                <w:sz w:val="22"/>
                <w:highlight w:val="none"/>
              </w:rPr>
              <w:t xml:space="preserve">江苏省计量科学研究院非自动衡器三轴加载自动化检测系统</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JSZC-320000-HWZX-G2026-0544</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“江苏政府采购网”自行免费下载</w:t>
            </w:r>
            <w:r>
              <w:rPr>
                <w:rFonts w:hint="eastAsia" w:ascii="宋体" w:hAnsi="宋体" w:eastAsia="宋体" w:cs="宋体"/>
                <w:sz w:val="22"/>
                <w:highlight w:val="none"/>
              </w:rPr>
              <w:t xml:space="preserve">获取招标文件，并于</w:t>
            </w:r>
            <w:r>
              <w:rPr>
                <w:rFonts w:hint="eastAsia" w:ascii="宋体" w:hAnsi="宋体" w:eastAsia="宋体" w:cs="宋体"/>
                <w:sz w:val="22"/>
                <w:highlight w:val="none"/>
                <w:u w:val="single"/>
              </w:rPr>
              <w:t xml:space="preserve">2026年</w:t>
            </w:r>
            <w:r>
              <w:rPr>
                <w:rFonts w:hint="eastAsia" w:ascii="宋体" w:hAnsi="宋体" w:eastAsia="宋体" w:cs="宋体"/>
                <w:sz w:val="22"/>
                <w:highlight w:val="none"/>
                <w:u w:val="single"/>
                <w:lang w:eastAsia="zh-CN"/>
              </w:rPr>
              <w:t xml:space="preserve">10月10日</w:t>
            </w:r>
            <w:r>
              <w:rPr>
                <w:rFonts w:hint="eastAsia" w:ascii="宋体" w:hAnsi="宋体" w:eastAsia="宋体" w:cs="宋体"/>
                <w:sz w:val="22"/>
                <w:highlight w:val="none"/>
                <w:u w:val="single"/>
              </w:rPr>
              <w:t xml:space="preserve">14:00（北京时间）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1047"/>
        <w:spacing w:before="0" w:after="0"/>
        <w:rPr>
          <w:rFonts w:hint="eastAsia" w:ascii="宋体" w:hAnsi="宋体" w:eastAsia="宋体" w:cs="宋体"/>
          <w:sz w:val="24"/>
          <w:szCs w:val="24"/>
          <w:highlight w:val="none"/>
        </w:rPr>
        <w:outlineLvl w:val="1"/>
      </w:pPr>
      <w:r/>
      <w:bookmarkStart w:id="4" w:name="_Toc9416"/>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JSZC-320000-HWZX-G2026-0544</w:t>
      </w:r>
      <w:r>
        <w:rPr>
          <w:rFonts w:hint="eastAsia" w:ascii="宋体" w:hAnsi="宋体" w:eastAsia="宋体" w:cs="宋体"/>
          <w:sz w:val="24"/>
          <w:szCs w:val="24"/>
          <w:highlight w:val="none"/>
          <w:lang w:eastAsia="zh-CN"/>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2.项目名称：江苏省计量科学研究院非自动衡器三轴加载自动化检测系统</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3.项目预算：人民币233万元</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sz w:val="24"/>
          <w:szCs w:val="24"/>
          <w:highlight w:val="none"/>
          <w:lang w:val="en-US" w:eastAsia="zh-CN"/>
        </w:rPr>
        <w:t xml:space="preserve">同预算金额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具体报价格式参照招标文件附件中“报价一览表格式”。</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6.采购需求：本项目1个分包（标段），采购非自动衡器三轴加载自动化检测系统，技术要求详见招标文件“第四章采购需求”。</w:t>
      </w:r>
      <w:r>
        <w:rPr>
          <w:rFonts w:hint="eastAsia" w:ascii="宋体" w:hAnsi="宋体" w:eastAsia="宋体" w:cs="宋体"/>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675"/>
        <w:gridCol w:w="952"/>
        <w:gridCol w:w="970"/>
        <w:gridCol w:w="934"/>
        <w:gridCol w:w="1667"/>
        <w:gridCol w:w="848"/>
      </w:tblGrid>
      <w:tr>
        <w:trPr>
          <w:trHeight w:val="621"/>
        </w:trPr>
        <w:tc>
          <w:tcPr>
            <w:tcW w:w="381"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875"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486" w:type="dxa"/>
            <w:vAlign w:val="center"/>
            <w:textDirection w:val="lrTb"/>
            <w:noWrap/>
          </w:tcPr>
          <w:p>
            <w:pPr>
              <w:pStyle w:val="1047"/>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495"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477"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850"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433"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59"/>
        </w:trPr>
        <w:tc>
          <w:tcPr>
            <w:tcW w:w="381"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75"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非自动衡器三轴加载自动化检测系统</w:t>
            </w:r>
            <w:r>
              <w:rPr>
                <w:rFonts w:hint="eastAsia" w:ascii="宋体" w:hAnsi="宋体" w:eastAsia="宋体" w:cs="宋体"/>
                <w:sz w:val="24"/>
                <w:szCs w:val="24"/>
                <w:highlight w:val="none"/>
              </w:rPr>
            </w:r>
            <w:r/>
          </w:p>
        </w:tc>
        <w:tc>
          <w:tcPr>
            <w:shd w:val="clear" w:color="auto" w:fill="ffffff"/>
            <w:tcW w:w="486"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W w:w="495"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W w:w="477"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850"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433"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b/>
                <w:bCs/>
                <w:sz w:val="20"/>
                <w:highlight w:val="none"/>
                <w:lang w:bidi="ar"/>
              </w:rPr>
            </w:r>
            <w:r/>
          </w:p>
        </w:tc>
      </w:tr>
    </w:tbl>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7.合同履行期限（交货期）：</w:t>
      </w:r>
      <w:bookmarkStart w:id="5" w:name="OLE_LINK4"/>
      <w:r/>
      <w:bookmarkStart w:id="6" w:name="OLE_LINK3"/>
      <w:r>
        <w:rPr>
          <w:rFonts w:hint="eastAsia" w:ascii="宋体" w:hAnsi="宋体" w:eastAsia="宋体" w:cs="宋体"/>
          <w:sz w:val="24"/>
          <w:szCs w:val="24"/>
          <w:highlight w:val="none"/>
        </w:rPr>
        <w:t xml:space="preserve">合同签订后四个月内供齐所有货物，并完成安装、调试、计量检测并取得检定/校准合格证书。</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2"/>
          <w:szCs w:val="22"/>
          <w:highlight w:val="none"/>
        </w:rPr>
      </w:pPr>
      <w:r/>
      <w:bookmarkEnd w:id="5"/>
      <w:r/>
      <w:bookmarkEnd w:id="6"/>
      <w:r>
        <w:rPr>
          <w:rFonts w:hint="eastAsia" w:ascii="宋体" w:hAnsi="宋体" w:eastAsia="宋体" w:cs="宋体"/>
          <w:sz w:val="24"/>
          <w:szCs w:val="24"/>
          <w:highlight w:val="none"/>
        </w:rPr>
        <w:t xml:space="preserve">8.本项目（是/否）接受联合体投标：</w:t>
      </w:r>
      <w:r>
        <w:rPr>
          <w:rFonts w:hint="eastAsia" w:ascii="宋体" w:hAnsi="宋体" w:eastAsia="宋体" w:cs="宋体"/>
          <w:b/>
          <w:bCs/>
          <w:sz w:val="24"/>
          <w:szCs w:val="24"/>
          <w:highlight w:val="none"/>
        </w:rPr>
        <w:t xml:space="preserve">不接受联合体</w:t>
      </w:r>
      <w:r>
        <w:rPr>
          <w:rFonts w:hint="eastAsia" w:ascii="宋体" w:hAnsi="宋体" w:eastAsia="宋体" w:cs="宋体"/>
          <w:b w:val="0"/>
          <w:bCs w:val="0"/>
          <w:sz w:val="24"/>
          <w:szCs w:val="24"/>
          <w:highlight w:val="none"/>
        </w:rPr>
        <w:t xml:space="preserve">。</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7" w:name="_Toc12976"/>
      <w:r>
        <w:rPr>
          <w:rFonts w:hint="eastAsia" w:ascii="宋体" w:hAnsi="宋体" w:eastAsia="宋体" w:cs="宋体"/>
          <w:b/>
          <w:bCs/>
          <w:sz w:val="24"/>
          <w:szCs w:val="24"/>
          <w:highlight w:val="none"/>
        </w:rPr>
        <w:t xml:space="preserve">二、申请人的资质要求</w:t>
      </w:r>
      <w:bookmarkEnd w:id="7"/>
      <w:r>
        <w:rPr>
          <w:rFonts w:hint="eastAsia" w:ascii="宋体" w:hAnsi="宋体" w:eastAsia="宋体" w:cs="宋体"/>
          <w:b/>
          <w:bCs/>
          <w:sz w:val="24"/>
          <w:szCs w:val="24"/>
          <w:highlight w:val="none"/>
        </w:rPr>
      </w:r>
      <w:r/>
    </w:p>
    <w:p>
      <w:pPr>
        <w:pStyle w:val="1047"/>
        <w:ind w:firstLine="442"/>
        <w:jc w:val="left"/>
        <w:spacing w:before="0" w:after="0"/>
        <w:tabs>
          <w:tab w:val="left" w:pos="0" w:leader="none"/>
        </w:tabs>
        <w:rPr>
          <w:rFonts w:hint="eastAsia" w:ascii="宋体" w:hAnsi="宋体" w:eastAsia="宋体" w:cs="宋体"/>
          <w:b/>
          <w:bCs/>
          <w:sz w:val="22"/>
          <w:szCs w:val="22"/>
          <w:highlight w:val="none"/>
        </w:rPr>
      </w:pPr>
      <w:r/>
      <w:bookmarkStart w:id="8"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End w:id="8"/>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1047"/>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1047"/>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w:t>
      </w:r>
      <w:r>
        <w:rPr>
          <w:rFonts w:hint="eastAsia" w:ascii="宋体" w:hAnsi="宋体" w:eastAsia="宋体" w:cs="宋体"/>
          <w:b/>
          <w:bCs/>
          <w:sz w:val="22"/>
          <w:szCs w:val="22"/>
          <w:highlight w:val="none"/>
        </w:rPr>
        <w:t xml:space="preserve">不接受</w:t>
      </w:r>
      <w:r>
        <w:rPr>
          <w:rFonts w:hint="eastAsia" w:ascii="宋体" w:hAnsi="宋体" w:eastAsia="宋体" w:cs="宋体"/>
          <w:sz w:val="22"/>
          <w:szCs w:val="22"/>
          <w:highlight w:val="none"/>
        </w:rPr>
        <w:t xml:space="preserve">进口产品投标（注：本文件所称进口产品是指通过中国海关报关验放进入中国境内且产自关境外的产品）。</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.其他要求：</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1047"/>
        <w:jc w:val="left"/>
        <w:spacing w:before="0" w:after="0"/>
        <w:tabs>
          <w:tab w:val="left" w:pos="0" w:leader="none"/>
        </w:tabs>
        <w:rPr>
          <w:rFonts w:hint="eastAsia" w:ascii="宋体" w:hAnsi="宋体" w:eastAsia="宋体" w:cs="宋体"/>
          <w:sz w:val="24"/>
          <w:szCs w:val="24"/>
          <w:highlight w:val="none"/>
        </w:rPr>
        <w:outlineLvl w:val="1"/>
      </w:pPr>
      <w:r/>
      <w:bookmarkStart w:id="9" w:name="_Toc29311"/>
      <w:r>
        <w:rPr>
          <w:rFonts w:hint="eastAsia" w:ascii="宋体" w:hAnsi="宋体" w:eastAsia="宋体" w:cs="宋体"/>
          <w:b/>
          <w:bCs/>
          <w:sz w:val="24"/>
          <w:szCs w:val="24"/>
          <w:highlight w:val="none"/>
        </w:rPr>
        <w:t xml:space="preserve">三、招标文件发售信息</w:t>
      </w:r>
      <w:bookmarkEnd w:id="9"/>
      <w:r>
        <w:rPr>
          <w:rFonts w:hint="eastAsia" w:ascii="宋体" w:hAnsi="宋体" w:eastAsia="宋体" w:cs="宋体"/>
          <w:sz w:val="24"/>
          <w:szCs w:val="24"/>
          <w:highlight w:val="none"/>
        </w:rPr>
      </w:r>
      <w:r/>
    </w:p>
    <w:p>
      <w:pPr>
        <w:pStyle w:val="1047"/>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1.时间：自招标文件公告发布之日起5个工作日。</w:t>
      </w:r>
      <w:r>
        <w:rPr>
          <w:rFonts w:hint="eastAsia" w:ascii="宋体" w:hAnsi="宋体" w:eastAsia="宋体" w:cs="宋体"/>
          <w:sz w:val="22"/>
          <w:szCs w:val="22"/>
          <w:highlight w:val="none"/>
        </w:rPr>
      </w:r>
      <w:r/>
    </w:p>
    <w:p>
      <w:pPr>
        <w:ind w:left="0" w:right="0"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2.地址：江苏政府采购“苏采云”系统自行免费下载。</w:t>
      </w:r>
      <w:r/>
    </w:p>
    <w:p>
      <w:pPr>
        <w:ind w:left="0" w:right="0"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
        <w:rPr>
          <w:rFonts w:hint="eastAsia" w:ascii="宋体" w:hAnsi="宋体" w:eastAsia="宋体" w:cs="宋体"/>
          <w:sz w:val="22"/>
          <w:szCs w:val="22"/>
          <w:highlight w:val="none"/>
        </w:rPr>
      </w:r>
      <w:r/>
      <w:r>
        <w:rPr>
          <w:sz w:val="21"/>
        </w:rPr>
      </w:r>
    </w:p>
    <w:p>
      <w:pPr>
        <w:pStyle w:val="1047"/>
        <w:ind w:firstLine="440"/>
        <w:jc w:val="left"/>
        <w:spacing w:before="0" w:after="0"/>
        <w:tabs>
          <w:tab w:val="left" w:pos="0" w:leader="none"/>
        </w:tabs>
        <w:rPr>
          <w:rFonts w:hint="eastAsia" w:ascii="宋体" w:hAnsi="宋体" w:eastAsia="宋体" w:cs="宋体"/>
          <w:sz w:val="22"/>
          <w:szCs w:val="22"/>
          <w:highlight w:val="none"/>
        </w:rPr>
      </w:pPr>
      <w:r/>
      <w:bookmarkEnd w:id="10"/>
      <w:r>
        <w:rPr>
          <w:rFonts w:hint="eastAsia" w:ascii="宋体" w:hAnsi="宋体" w:eastAsia="宋体" w:cs="宋体"/>
          <w:sz w:val="22"/>
          <w:szCs w:val="22"/>
          <w:highlight w:val="none"/>
        </w:rPr>
        <w:t xml:space="preserve">4.售价：0元，售出不退。</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2"/>
          <w:szCs w:val="22"/>
          <w:highlight w:val="none"/>
        </w:rPr>
        <w:outlineLvl w:val="1"/>
      </w:pPr>
      <w:r/>
      <w:bookmarkStart w:id="11" w:name="_Toc9771"/>
      <w:r>
        <w:rPr>
          <w:rFonts w:hint="eastAsia" w:ascii="宋体" w:hAnsi="宋体" w:eastAsia="宋体" w:cs="宋体"/>
          <w:b/>
          <w:sz w:val="24"/>
          <w:szCs w:val="24"/>
          <w:highlight w:val="none"/>
        </w:rPr>
        <w:t xml:space="preserve">四、</w:t>
      </w:r>
      <w:bookmarkStart w:id="12" w:name="OLE_LINK16"/>
      <w:r>
        <w:rPr>
          <w:rFonts w:hint="eastAsia" w:ascii="宋体" w:hAnsi="宋体" w:eastAsia="宋体" w:cs="宋体"/>
          <w:b/>
          <w:bCs/>
          <w:sz w:val="24"/>
          <w:szCs w:val="24"/>
          <w:highlight w:val="none"/>
        </w:rPr>
        <w:t xml:space="preserve">提交投标文件截止时间</w:t>
      </w:r>
      <w:bookmarkEnd w:id="12"/>
      <w:r>
        <w:rPr>
          <w:rFonts w:hint="eastAsia" w:ascii="宋体" w:hAnsi="宋体" w:eastAsia="宋体" w:cs="宋体"/>
          <w:b/>
          <w:bCs/>
          <w:sz w:val="24"/>
          <w:szCs w:val="24"/>
          <w:highlight w:val="none"/>
        </w:rPr>
        <w:t xml:space="preserve">、开标时间和地点</w:t>
      </w:r>
      <w:bookmarkEnd w:id="11"/>
      <w:r>
        <w:rPr>
          <w:rFonts w:hint="eastAsia" w:ascii="宋体" w:hAnsi="宋体" w:eastAsia="宋体" w:cs="宋体"/>
          <w:b/>
          <w:bCs/>
          <w:sz w:val="22"/>
          <w:szCs w:val="22"/>
          <w:highlight w:val="none"/>
        </w:rPr>
      </w:r>
      <w:r/>
    </w:p>
    <w:p>
      <w:pPr>
        <w:pStyle w:val="1047"/>
        <w:ind w:firstLine="440"/>
        <w:spacing w:before="0" w:after="0"/>
        <w:rPr>
          <w:rFonts w:hint="eastAsia" w:ascii="宋体" w:hAnsi="宋体" w:eastAsia="宋体" w:cs="宋体"/>
          <w:sz w:val="22"/>
          <w:szCs w:val="22"/>
          <w:highlight w:val="none"/>
        </w:rPr>
      </w:pPr>
      <w:r/>
      <w:bookmarkStart w:id="13" w:name="OLE_LINK17"/>
      <w:r>
        <w:rPr>
          <w:rFonts w:hint="eastAsia" w:ascii="宋体" w:hAnsi="宋体" w:eastAsia="宋体" w:cs="宋体"/>
          <w:sz w:val="22"/>
          <w:szCs w:val="22"/>
          <w:highlight w:val="none"/>
        </w:rPr>
        <w:t xml:space="preserve">1.提交投标文件截止时间：2026年</w:t>
      </w:r>
      <w:r>
        <w:rPr>
          <w:rFonts w:hint="eastAsia" w:ascii="宋体" w:hAnsi="宋体" w:eastAsia="宋体" w:cs="宋体"/>
          <w:sz w:val="22"/>
          <w:szCs w:val="22"/>
          <w:highlight w:val="none"/>
          <w:lang w:eastAsia="zh-CN"/>
        </w:rPr>
        <w:t xml:space="preserve">10月10日</w:t>
      </w:r>
      <w:r>
        <w:rPr>
          <w:rFonts w:hint="eastAsia" w:ascii="宋体" w:hAnsi="宋体" w:eastAsia="宋体" w:cs="宋体"/>
          <w:sz w:val="22"/>
          <w:szCs w:val="22"/>
          <w:highlight w:val="none"/>
        </w:rPr>
        <w:t xml:space="preserve">14:00（北京时间）</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2.开标时间：2026年</w:t>
      </w:r>
      <w:r>
        <w:rPr>
          <w:rFonts w:hint="eastAsia" w:ascii="宋体" w:hAnsi="宋体" w:eastAsia="宋体" w:cs="宋体"/>
          <w:sz w:val="22"/>
          <w:szCs w:val="22"/>
          <w:highlight w:val="none"/>
          <w:lang w:eastAsia="zh-CN"/>
        </w:rPr>
        <w:t xml:space="preserve">10月10日</w:t>
      </w:r>
      <w:r>
        <w:rPr>
          <w:rFonts w:hint="eastAsia" w:ascii="宋体" w:hAnsi="宋体" w:eastAsia="宋体" w:cs="宋体"/>
          <w:sz w:val="22"/>
          <w:szCs w:val="22"/>
          <w:highlight w:val="none"/>
        </w:rPr>
        <w:t xml:space="preserve">14:00（北京时间）</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3.地址：“苏采云”政府采购交易系统网上开标大厅。</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4" w:name="_Toc25297"/>
      <w:r>
        <w:rPr>
          <w:rFonts w:hint="eastAsia" w:ascii="宋体" w:hAnsi="宋体" w:eastAsia="宋体" w:cs="宋体"/>
          <w:b/>
          <w:bCs/>
          <w:sz w:val="24"/>
          <w:szCs w:val="24"/>
          <w:highlight w:val="none"/>
        </w:rPr>
        <w:t xml:space="preserve">五、公告期限</w:t>
      </w:r>
      <w:bookmarkEnd w:id="14"/>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招标公告及招标文件公告期限为自本公告发布之日起5个工作日。</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5" w:name="_Toc21266"/>
      <w:r>
        <w:rPr>
          <w:rFonts w:hint="eastAsia" w:ascii="宋体" w:hAnsi="宋体" w:eastAsia="宋体" w:cs="宋体"/>
          <w:b/>
          <w:bCs/>
          <w:sz w:val="24"/>
          <w:szCs w:val="24"/>
          <w:highlight w:val="none"/>
        </w:rPr>
        <w:t xml:space="preserve">六、其他补充事宜</w:t>
      </w:r>
      <w:bookmarkEnd w:id="15"/>
      <w:r>
        <w:rPr>
          <w:rFonts w:hint="eastAsia" w:ascii="宋体" w:hAnsi="宋体" w:eastAsia="宋体" w:cs="宋体"/>
          <w:b/>
          <w:bCs/>
          <w:sz w:val="24"/>
          <w:szCs w:val="24"/>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w:t>
      </w:r>
      <w:r>
        <w:rPr>
          <w:rFonts w:hint="eastAsia" w:ascii="宋体" w:hAnsi="宋体" w:eastAsia="宋体" w:cs="宋体"/>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本次招标请按“包”下载招标文件，编制、密封、提交投标文件，并按“包”开标、评标。</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6" w:name="OLE_LINK13"/>
      <w:r>
        <w:rPr>
          <w:rFonts w:hint="eastAsia" w:ascii="宋体" w:hAnsi="宋体" w:eastAsia="宋体" w:cs="宋体"/>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4.投标保证金数额及缴纳办法：本次招标不收取投标保证金。</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lang w:eastAsia="zh-CN"/>
        </w:rPr>
      </w:pPr>
      <w:r/>
      <w:bookmarkEnd w:id="16"/>
      <w:r/>
      <w:bookmarkStart w:id="17" w:name="OLE_LINK21"/>
      <w:r>
        <w:rPr>
          <w:rFonts w:hint="eastAsia" w:ascii="宋体" w:hAnsi="宋体" w:eastAsia="宋体" w:cs="宋体"/>
          <w:sz w:val="22"/>
          <w:szCs w:val="22"/>
          <w:highlight w:val="none"/>
        </w:rPr>
        <w:t xml:space="preserve">5.本项目代理机构内部编号：</w:t>
      </w:r>
      <w:r>
        <w:rPr>
          <w:rFonts w:hint="eastAsia" w:ascii="宋体" w:hAnsi="宋体" w:eastAsia="宋体" w:cs="宋体"/>
          <w:sz w:val="22"/>
          <w:szCs w:val="22"/>
          <w:highlight w:val="none"/>
          <w:lang w:eastAsia="zh-CN"/>
        </w:rPr>
        <w:t xml:space="preserve">0675-266JOC004666</w:t>
      </w:r>
      <w:r>
        <w:rPr>
          <w:rFonts w:hint="eastAsia" w:ascii="宋体" w:hAnsi="宋体" w:eastAsia="宋体" w:cs="宋体"/>
          <w:sz w:val="22"/>
          <w:szCs w:val="22"/>
          <w:highlight w:val="none"/>
          <w:lang w:eastAsia="zh-CN"/>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bookmarkEnd w:id="13"/>
      <w:r/>
      <w:bookmarkEnd w:id="17"/>
      <w:r>
        <w:rPr>
          <w:rFonts w:hint="eastAsia" w:ascii="宋体" w:hAnsi="宋体" w:eastAsia="宋体" w:cs="宋体"/>
          <w:sz w:val="22"/>
          <w:szCs w:val="22"/>
          <w:highlight w:val="none"/>
        </w:rPr>
        <w:t xml:space="preserve">获取招标文件咨询联系方式：</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地址：南京市建邺区云龙山路58号大唐科技大厦A座高区15楼</w:t>
      </w:r>
      <w:r>
        <w:rPr>
          <w:rFonts w:hint="eastAsia" w:ascii="宋体" w:hAnsi="宋体" w:eastAsia="宋体" w:cs="宋体"/>
          <w:sz w:val="22"/>
          <w:szCs w:val="22"/>
          <w:highlight w:val="none"/>
        </w:rPr>
      </w:r>
      <w:r/>
    </w:p>
    <w:p>
      <w:pPr>
        <w:pStyle w:val="1047"/>
        <w:spacing w:before="0" w:after="0"/>
        <w:rPr>
          <w:rFonts w:hint="eastAsia" w:ascii="宋体" w:hAnsi="宋体" w:eastAsia="宋体" w:cs="宋体"/>
          <w:b/>
          <w:bCs/>
          <w:sz w:val="24"/>
          <w:szCs w:val="24"/>
          <w:highlight w:val="none"/>
        </w:rPr>
        <w:outlineLvl w:val="1"/>
      </w:pPr>
      <w:r/>
      <w:bookmarkStart w:id="18" w:name="_Toc18467"/>
      <w:r>
        <w:rPr>
          <w:rFonts w:hint="eastAsia" w:ascii="宋体" w:hAnsi="宋体" w:eastAsia="宋体" w:cs="宋体"/>
          <w:b/>
          <w:bCs/>
          <w:sz w:val="24"/>
          <w:szCs w:val="24"/>
          <w:highlight w:val="none"/>
        </w:rPr>
        <w:t xml:space="preserve">七、对本次招标提出询问，请按以下方式联系</w:t>
      </w:r>
      <w:bookmarkEnd w:id="18"/>
      <w:r>
        <w:rPr>
          <w:rFonts w:hint="eastAsia" w:ascii="宋体" w:hAnsi="宋体" w:eastAsia="宋体" w:cs="宋体"/>
          <w:b/>
          <w:bCs/>
          <w:sz w:val="24"/>
          <w:szCs w:val="24"/>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名称：江苏省计量科学研究院（江苏省能源计量数据中心）</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地址：南京市栖霞区文澜路95号</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联系人：曹老师 </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联系电话：025-86435533</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地址：南京市建邺区云龙山路58号大唐科技大厦A座高区14-15楼</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联系人：吴昊、方东、郭秀华</w:t>
      </w:r>
      <w:r>
        <w:rPr>
          <w:rFonts w:hint="eastAsia" w:ascii="宋体" w:hAnsi="宋体" w:eastAsia="宋体" w:cs="宋体"/>
          <w:sz w:val="22"/>
          <w:szCs w:val="22"/>
          <w:highlight w:val="none"/>
        </w:rPr>
      </w:r>
      <w:r/>
    </w:p>
    <w:p>
      <w:pPr>
        <w:pStyle w:val="1047"/>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w:t>
      </w:r>
      <w:bookmarkStart w:id="19" w:name="_Toc24439"/>
      <w:r/>
      <w:bookmarkStart w:id="20" w:name="_Toc17198"/>
      <w:r>
        <w:rPr>
          <w:rFonts w:hint="eastAsia" w:ascii="宋体" w:hAnsi="宋体" w:eastAsia="宋体" w:cs="宋体"/>
          <w:highlight w:val="none"/>
        </w:rPr>
      </w:r>
      <w:r/>
    </w:p>
    <w:p>
      <w:pPr>
        <w:pStyle w:val="1047"/>
        <w:ind w:firstLine="643"/>
        <w:jc w:val="center"/>
        <w:spacing w:before="0" w:after="0"/>
        <w:rPr>
          <w:rFonts w:hint="eastAsia" w:ascii="宋体" w:hAnsi="宋体" w:eastAsia="宋体" w:cs="宋体"/>
          <w:highlight w:val="none"/>
        </w:rPr>
      </w:pPr>
      <w:r/>
      <w:bookmarkStart w:id="21" w:name="_Toc11807"/>
      <w:r>
        <w:rPr>
          <w:rStyle w:val="1060"/>
          <w:rFonts w:hint="eastAsia" w:ascii="宋体" w:hAnsi="宋体" w:eastAsia="宋体" w:cs="宋体"/>
          <w:highlight w:val="none"/>
        </w:rPr>
        <w:t xml:space="preserve">第二章 投标人须知</w:t>
      </w:r>
      <w:bookmarkEnd w:id="19"/>
      <w:r/>
      <w:bookmarkEnd w:id="20"/>
      <w:r/>
      <w:bookmarkEnd w:id="21"/>
      <w:r>
        <w:rPr>
          <w:rFonts w:hint="eastAsia" w:ascii="宋体" w:hAnsi="宋体" w:eastAsia="宋体" w:cs="宋体"/>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非自动衡器三轴加载自动化检测系统采用公开招标方式采购，兹邀请符合资格条件的投标人提交投标文件和相关材料。</w:t>
      </w:r>
      <w:r>
        <w:rPr>
          <w:rFonts w:hint="eastAsia" w:ascii="宋体" w:hAnsi="宋体" w:eastAsia="宋体" w:cs="宋体"/>
          <w:sz w:val="22"/>
          <w:szCs w:val="22"/>
          <w:highlight w:val="none"/>
        </w:rPr>
      </w:r>
      <w:r/>
    </w:p>
    <w:p>
      <w:pPr>
        <w:pStyle w:val="1049"/>
        <w:jc w:val="center"/>
        <w:rPr>
          <w:rFonts w:hint="eastAsia" w:eastAsia="宋体" w:cs="宋体"/>
          <w:sz w:val="24"/>
          <w:highlight w:val="none"/>
        </w:rPr>
      </w:pPr>
      <w:r/>
      <w:bookmarkStart w:id="22" w:name="_Toc10384"/>
      <w:r>
        <w:rPr>
          <w:rFonts w:hint="eastAsia" w:eastAsia="宋体" w:cs="宋体"/>
          <w:sz w:val="24"/>
          <w:highlight w:val="none"/>
        </w:rPr>
        <w:t xml:space="preserve">投标人须知前附表：</w:t>
      </w:r>
      <w:bookmarkEnd w:id="22"/>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1047"/>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江苏省计量科学研究院非自动衡器三轴加载自动化检测系统</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JSZC-320000-HWZX-G2026-0544</w:t>
            </w:r>
            <w:r>
              <w:rPr>
                <w:rFonts w:hint="eastAsia" w:ascii="宋体" w:hAnsi="宋体" w:eastAsia="宋体" w:cs="宋体"/>
                <w:sz w:val="22"/>
                <w:highlight w:val="none"/>
                <w:lang w:eastAsia="zh-CN"/>
              </w:rPr>
            </w:r>
            <w:r/>
          </w:p>
          <w:p>
            <w:pPr>
              <w:pStyle w:val="1047"/>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代理机构内部编号：</w:t>
            </w:r>
            <w:r>
              <w:rPr>
                <w:rFonts w:hint="eastAsia" w:ascii="宋体" w:hAnsi="宋体" w:eastAsia="宋体" w:cs="宋体"/>
                <w:sz w:val="22"/>
                <w:highlight w:val="none"/>
                <w:lang w:eastAsia="zh-CN"/>
              </w:rPr>
              <w:t xml:space="preserve">0675-266JOC004666</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1</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1047"/>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江苏省计量科学研究院（江苏省能源计量数据中心）</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联系人：曹老师       </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电话：025-</w:t>
            </w:r>
            <w:r>
              <w:rPr>
                <w:rFonts w:ascii="宋体" w:hAnsi="宋体" w:eastAsia="宋体" w:cs="宋体"/>
                <w:sz w:val="22"/>
                <w:highlight w:val="none"/>
              </w:rPr>
              <w:t xml:space="preserve">86435533</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人民币233万元</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同预算金额，</w:t>
            </w:r>
            <w:r>
              <w:rPr>
                <w:rFonts w:hint="eastAsia" w:ascii="宋体" w:hAnsi="宋体" w:eastAsia="宋体" w:cs="宋体"/>
                <w:sz w:val="22"/>
                <w:highlight w:val="none"/>
              </w:rPr>
              <w:t xml:space="preserve">超出最高限价的投标文件作无效响应处理。具体报价格式参照招标文件附件中“报价一览表格式”。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采购人现场的全部费用（含相关税费、运输费、保险费、安装费、计量检测费及相关服务费等一切可能发生的费用）。具体报价格式参照招标文件附件“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“苏采云”政府采购交易系统。</w:t>
            </w:r>
            <w:r>
              <w:rPr>
                <w:rFonts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复。</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接收地点：“苏采云”政府采购交易系统网上开标大厅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形式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240" w:lineRule="auto"/>
              <w:rPr>
                <w:rFonts w:hint="eastAsia" w:ascii="宋体" w:hAnsi="宋体" w:eastAsia="宋体" w:cs="宋体"/>
                <w:sz w:val="22"/>
                <w:highlight w:val="none"/>
              </w:rPr>
            </w:pPr>
            <w:r>
              <w:rPr>
                <w:rFonts w:hint="eastAsia" w:ascii="宋体" w:hAnsi="宋体" w:eastAsia="宋体" w:cs="宋体"/>
                <w:sz w:val="22"/>
                <w:highlight w:val="none"/>
              </w:rPr>
              <w:t xml:space="preserve">2026年</w:t>
            </w:r>
            <w:r>
              <w:rPr>
                <w:rFonts w:hint="eastAsia" w:ascii="宋体" w:hAnsi="宋体" w:eastAsia="宋体" w:cs="宋体"/>
                <w:sz w:val="22"/>
                <w:highlight w:val="none"/>
                <w:lang w:eastAsia="zh-CN"/>
              </w:rPr>
              <w:t xml:space="preserve">10月10日</w:t>
            </w:r>
            <w:r>
              <w:rPr>
                <w:rFonts w:hint="eastAsia" w:ascii="宋体" w:hAnsi="宋体" w:eastAsia="宋体" w:cs="宋体"/>
                <w:sz w:val="22"/>
                <w:highlight w:val="none"/>
              </w:rPr>
              <w:t xml:space="preserve">14:00后（北京时间）</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1047"/>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采购代理费用</w:t>
            </w:r>
            <w:r>
              <w:rPr>
                <w:rFonts w:hint="eastAsia" w:ascii="仿宋" w:hAnsi="仿宋" w:eastAsia="仿宋" w:cs="仿宋"/>
                <w:sz w:val="24"/>
                <w:szCs w:val="24"/>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一、服务费约定</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本项目招标代理服务费由中标供应商承担，由中标供应商足额支付至本项目招标代理机构。</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二、计费方式及标准</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代理服务费采用差额定率累进计费方式，参照《国家计委关于印发〈招标代理服务收费管理暂行办法〉的通知》（计价格〔2002〕1980号）规定收费标准的80%计取。</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无实际结算数量、按总价包干的采购项目，代理服务费按项目预算金额作为计费基数计算。</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三、缴纳时间与方式</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缴纳时间：中标供应商在领取中标通知书后，一次性足额缴纳全部代理服务费。</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缴纳方式：可采用银行电汇、对公转账方式缴纳（以代理机构指定账户/收款要求为准）。</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四、依据及说明</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依据：《政府采购代理机构管理暂行办法》(财库〔2018〕2号) 第十五条规定；</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原因：提高采购效率、简化资金支付流程、符合行业惯例、不增加财政预算负担。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21</w:t>
            </w:r>
            <w:r>
              <w:rPr>
                <w:rFonts w:ascii="宋体" w:hAnsi="宋体" w:eastAsia="宋体" w:cs="宋体"/>
                <w:sz w:val="22"/>
                <w:highlight w:val="none"/>
              </w:rPr>
            </w:r>
            <w:r/>
          </w:p>
        </w:tc>
        <w:tc>
          <w:tcPr>
            <w:tcW w:w="2285" w:type="dxa"/>
            <w:vAlign w:val="center"/>
            <w:textDirection w:val="lrTb"/>
            <w:noWrap w:val="false"/>
          </w:tcPr>
          <w:p>
            <w:pPr>
              <w:pStyle w:val="1047"/>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评审费用支付</w:t>
            </w:r>
            <w:r>
              <w:rPr>
                <w:rFonts w:hint="eastAsia" w:ascii="仿宋" w:hAnsi="仿宋" w:eastAsia="仿宋" w:cs="仿宋"/>
                <w:sz w:val="24"/>
                <w:szCs w:val="24"/>
                <w:highlight w:val="none"/>
              </w:rPr>
            </w:r>
            <w:r/>
          </w:p>
        </w:tc>
        <w:tc>
          <w:tcPr>
            <w:tcW w:w="6361" w:type="dxa"/>
            <w:vAlign w:val="center"/>
            <w:textDirection w:val="lrTb"/>
            <w:noWrap w:val="false"/>
          </w:tcPr>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1047"/>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22</w:t>
            </w:r>
            <w:r>
              <w:rPr>
                <w:rFonts w:ascii="宋体" w:hAnsi="宋体" w:eastAsia="宋体" w:cs="宋体"/>
                <w:sz w:val="22"/>
                <w:highlight w:val="none"/>
              </w:rPr>
            </w:r>
            <w:r/>
          </w:p>
        </w:tc>
        <w:tc>
          <w:tcPr>
            <w:tcW w:w="2285" w:type="dxa"/>
            <w:vAlign w:val="center"/>
            <w:textDirection w:val="lrTb"/>
            <w:noWrap w:val="false"/>
          </w:tcPr>
          <w:p>
            <w:pPr>
              <w:pStyle w:val="1047"/>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1047"/>
              <w:jc w:val="left"/>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highlight w:val="none"/>
              </w:rPr>
            </w:r>
            <w:r/>
          </w:p>
          <w:p>
            <w:pPr>
              <w:pStyle w:val="1047"/>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请投标人务必认真阅读本招标文件，严格遵照上述要求应标。</w:t>
            </w:r>
            <w:r>
              <w:rPr>
                <w:rFonts w:hint="eastAsia" w:ascii="宋体" w:hAnsi="宋体" w:eastAsia="宋体" w:cs="宋体"/>
                <w:sz w:val="22"/>
                <w:highlight w:val="none"/>
              </w:rPr>
            </w:r>
            <w:r/>
          </w:p>
        </w:tc>
      </w:tr>
    </w:tbl>
    <w:p>
      <w:pPr>
        <w:pStyle w:val="1047"/>
        <w:numPr>
          <w:ilvl w:val="0"/>
          <w:numId w:val="5"/>
        </w:numPr>
        <w:rPr>
          <w:rFonts w:hint="eastAsia" w:ascii="宋体" w:hAnsi="宋体" w:eastAsia="宋体" w:cs="宋体"/>
          <w:b/>
          <w:bCs/>
          <w:szCs w:val="21"/>
          <w:highlight w:val="none"/>
        </w:rPr>
        <w:outlineLvl w:val="1"/>
      </w:pPr>
      <w:r/>
      <w:bookmarkStart w:id="23" w:name="_Toc27197"/>
      <w:r>
        <w:rPr>
          <w:rFonts w:hint="eastAsia" w:ascii="宋体" w:hAnsi="宋体" w:cs="宋体"/>
          <w:highlight w:val="none"/>
        </w:rPr>
        <w:br w:type="page" w:clear="all"/>
      </w:r>
      <w:bookmarkEnd w:id="23"/>
      <w:r/>
      <w:bookmarkStart w:id="24" w:name="_Toc17556"/>
      <w:r/>
      <w:bookmarkStart w:id="25" w:name="_Toc28411"/>
      <w:r/>
      <w:bookmarkStart w:id="26" w:name="_Toc20838"/>
      <w:r/>
      <w:bookmarkStart w:id="27" w:name="_Toc209510615"/>
      <w:r/>
      <w:bookmarkStart w:id="28" w:name="_Toc63"/>
      <w:r/>
      <w:bookmarkStart w:id="29" w:name="_Toc209510674"/>
      <w:r/>
      <w:bookmarkStart w:id="30" w:name="_Toc1344"/>
      <w:r/>
      <w:bookmarkStart w:id="31" w:name="_Toc21658"/>
      <w:r>
        <w:rPr>
          <w:rFonts w:hint="eastAsia" w:ascii="宋体" w:hAnsi="宋体" w:eastAsia="宋体" w:cs="宋体"/>
          <w:b/>
          <w:bCs/>
          <w:szCs w:val="21"/>
          <w:highlight w:val="none"/>
          <w:lang w:val="zh-CN"/>
        </w:rPr>
        <w:t xml:space="preserve">总则</w:t>
      </w:r>
      <w:bookmarkEnd w:id="24"/>
      <w:r/>
      <w:bookmarkEnd w:id="25"/>
      <w:r/>
      <w:bookmarkEnd w:id="26"/>
      <w:r/>
      <w:bookmarkEnd w:id="27"/>
      <w:r/>
      <w:bookmarkEnd w:id="28"/>
      <w:r/>
      <w:bookmarkEnd w:id="29"/>
      <w:r>
        <w:rPr>
          <w:rFonts w:hint="eastAsia" w:ascii="宋体" w:hAnsi="宋体" w:eastAsia="宋体" w:cs="宋体"/>
          <w:b/>
          <w:bCs/>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2" w:name="_Toc209510675"/>
      <w:r>
        <w:rPr>
          <w:rFonts w:hint="eastAsia" w:ascii="宋体" w:hAnsi="宋体" w:eastAsia="宋体" w:cs="宋体"/>
          <w:b/>
          <w:bCs/>
          <w:szCs w:val="21"/>
          <w:highlight w:val="none"/>
        </w:rPr>
        <w:t xml:space="preserve">适用法律</w:t>
      </w:r>
      <w:bookmarkEnd w:id="32"/>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3" w:name="_Toc209510676"/>
      <w:r>
        <w:rPr>
          <w:rFonts w:hint="eastAsia" w:ascii="宋体" w:hAnsi="宋体" w:eastAsia="宋体" w:cs="宋体"/>
          <w:b/>
          <w:bCs/>
          <w:szCs w:val="21"/>
          <w:highlight w:val="none"/>
        </w:rPr>
        <w:t xml:space="preserve">定义</w:t>
      </w:r>
      <w:bookmarkEnd w:id="33"/>
      <w:r>
        <w:rPr>
          <w:rFonts w:hint="eastAsia" w:ascii="宋体" w:hAnsi="宋体" w:eastAsia="宋体" w:cs="宋体"/>
          <w:b/>
          <w:bCs/>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“采购人”是指依法进行政府采购的国家机关、事业单位、团体组织。</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“投标人（供应商）”是指参加投标竞争，并符合招标文件规定资格条件的法人、其他组织或者自然人。</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“货物和服务”指本招标文件中所述产品及相关服务。</w:t>
      </w:r>
      <w:r>
        <w:rPr>
          <w:rFonts w:hint="eastAsia" w:ascii="宋体" w:hAnsi="宋体" w:eastAsia="宋体" w:cs="宋体"/>
          <w:szCs w:val="21"/>
          <w:highlight w:val="none"/>
        </w:rPr>
      </w:r>
      <w:r/>
    </w:p>
    <w:p>
      <w:pPr>
        <w:pStyle w:val="1047"/>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“用户或使用单位”是指使用货物，接受服务的单位。</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34" w:name="_Toc209510677"/>
      <w:r>
        <w:rPr>
          <w:rFonts w:hint="eastAsia" w:ascii="宋体" w:hAnsi="宋体" w:eastAsia="宋体" w:cs="宋体"/>
          <w:b/>
          <w:bCs/>
          <w:szCs w:val="21"/>
          <w:highlight w:val="none"/>
        </w:rPr>
        <w:t xml:space="preserve">政策功能</w:t>
      </w:r>
      <w:bookmarkEnd w:id="34"/>
      <w:r>
        <w:rPr>
          <w:rFonts w:hint="eastAsia" w:ascii="宋体" w:hAnsi="宋体" w:eastAsia="宋体" w:cs="宋体"/>
          <w:b/>
          <w:bCs/>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进口产品政策</w:t>
      </w:r>
      <w:r>
        <w:rPr>
          <w:rFonts w:hint="eastAsia" w:ascii="宋体" w:hAnsi="宋体" w:eastAsia="宋体" w:cs="宋体"/>
          <w:szCs w:val="21"/>
          <w:highlight w:val="none"/>
          <w:lang w:eastAsia="en-US"/>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允许进口产品参加的，满足需求的国内产品可以参加。</w:t>
      </w:r>
      <w:r>
        <w:rPr>
          <w:rFonts w:hint="eastAsia" w:ascii="宋体" w:hAnsi="宋体" w:eastAsia="宋体" w:cs="宋体"/>
          <w:szCs w:val="21"/>
          <w:highlight w:val="none"/>
        </w:rPr>
      </w:r>
      <w:r/>
    </w:p>
    <w:p>
      <w:pPr>
        <w:pStyle w:val="1047"/>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szCs w:val="21"/>
          <w:highlight w:val="none"/>
        </w:rPr>
      </w:r>
      <w:r/>
    </w:p>
    <w:p>
      <w:pPr>
        <w:pStyle w:val="1047"/>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未按要求提供相关材料的，不享受相关政策。</w:t>
      </w:r>
      <w:r>
        <w:rPr>
          <w:rFonts w:hint="eastAsia" w:ascii="宋体" w:hAnsi="宋体" w:eastAsia="宋体" w:cs="宋体"/>
          <w:szCs w:val="21"/>
          <w:highlight w:val="none"/>
        </w:rPr>
      </w:r>
      <w:r/>
    </w:p>
    <w:p>
      <w:pPr>
        <w:pStyle w:val="1047"/>
        <w:numPr>
          <w:ilvl w:val="0"/>
          <w:numId w:val="5"/>
        </w:numPr>
        <w:rPr>
          <w:rFonts w:hint="eastAsia" w:ascii="宋体" w:hAnsi="宋体" w:eastAsia="宋体" w:cs="宋体"/>
          <w:b/>
          <w:bCs/>
          <w:szCs w:val="21"/>
          <w:highlight w:val="none"/>
        </w:rPr>
        <w:outlineLvl w:val="1"/>
      </w:pPr>
      <w:r/>
      <w:bookmarkStart w:id="35" w:name="_Toc32672"/>
      <w:r/>
      <w:bookmarkStart w:id="36" w:name="_Toc7274"/>
      <w:r/>
      <w:bookmarkStart w:id="37" w:name="_Toc209510616"/>
      <w:r/>
      <w:bookmarkStart w:id="38" w:name="_Toc18152"/>
      <w:r/>
      <w:bookmarkStart w:id="39" w:name="_Toc9697"/>
      <w:r/>
      <w:bookmarkStart w:id="40" w:name="_Toc20589"/>
      <w:r/>
      <w:bookmarkStart w:id="41" w:name="_Toc209510678"/>
      <w:r/>
      <w:bookmarkStart w:id="42" w:name="_Toc17507"/>
      <w:r>
        <w:rPr>
          <w:rFonts w:hint="eastAsia" w:ascii="宋体" w:hAnsi="宋体" w:eastAsia="宋体" w:cs="宋体"/>
          <w:b/>
          <w:bCs/>
          <w:szCs w:val="21"/>
          <w:highlight w:val="none"/>
        </w:rPr>
        <w:t xml:space="preserve">招标文件构成</w:t>
      </w:r>
      <w:bookmarkEnd w:id="35"/>
      <w:r/>
      <w:bookmarkEnd w:id="36"/>
      <w:r/>
      <w:bookmarkEnd w:id="37"/>
      <w:r/>
      <w:bookmarkEnd w:id="38"/>
      <w:r/>
      <w:bookmarkEnd w:id="39"/>
      <w:r/>
      <w:bookmarkEnd w:id="40"/>
      <w:r/>
      <w:bookmarkEnd w:id="41"/>
      <w:r/>
      <w:bookmarkEnd w:id="42"/>
      <w:r>
        <w:rPr>
          <w:rFonts w:hint="eastAsia" w:ascii="宋体" w:hAnsi="宋体" w:eastAsia="宋体" w:cs="宋体"/>
          <w:b/>
          <w:bCs/>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43" w:name="_Toc209510679"/>
      <w:r>
        <w:rPr>
          <w:rFonts w:hint="eastAsia" w:ascii="宋体" w:hAnsi="宋体" w:eastAsia="宋体" w:cs="宋体"/>
          <w:b/>
          <w:bCs/>
          <w:szCs w:val="21"/>
          <w:highlight w:val="none"/>
        </w:rPr>
        <w:t xml:space="preserve">招标文件组成</w:t>
      </w:r>
      <w:bookmarkEnd w:id="43"/>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招标文件包括以下主要内容：</w:t>
      </w:r>
      <w:r>
        <w:rPr>
          <w:rFonts w:hint="eastAsia" w:ascii="宋体" w:hAnsi="宋体" w:eastAsia="宋体" w:cs="宋体"/>
          <w:szCs w:val="21"/>
          <w:highlight w:val="none"/>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招标公告；</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投标人须知；</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评标标准；</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采购需求；</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合同主要条款及格式；</w:t>
      </w:r>
      <w:r>
        <w:rPr>
          <w:rFonts w:hint="eastAsia" w:ascii="宋体" w:hAnsi="宋体" w:eastAsia="宋体" w:cs="宋体"/>
          <w:szCs w:val="21"/>
          <w:highlight w:val="none"/>
          <w:lang w:eastAsia="en-US"/>
        </w:rPr>
      </w:r>
      <w:r/>
    </w:p>
    <w:p>
      <w:pPr>
        <w:pStyle w:val="1047"/>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投标文件格式及附件。</w:t>
      </w:r>
      <w:r>
        <w:rPr>
          <w:rFonts w:hint="eastAsia" w:ascii="宋体" w:hAnsi="宋体" w:eastAsia="宋体" w:cs="宋体"/>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highlight w:val="none"/>
        </w:rPr>
      </w:r>
      <w:r/>
    </w:p>
    <w:p>
      <w:pPr>
        <w:pStyle w:val="1047"/>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highlight w:val="none"/>
        </w:rPr>
      </w:r>
      <w:r/>
    </w:p>
    <w:p>
      <w:pPr>
        <w:pStyle w:val="1047"/>
        <w:numPr>
          <w:ilvl w:val="0"/>
          <w:numId w:val="6"/>
        </w:numPr>
        <w:ind w:firstLine="422"/>
        <w:rPr>
          <w:rFonts w:hint="eastAsia" w:ascii="宋体" w:hAnsi="宋体" w:eastAsia="宋体" w:cs="宋体"/>
          <w:b/>
          <w:bCs/>
          <w:szCs w:val="21"/>
          <w:highlight w:val="none"/>
        </w:rPr>
      </w:pPr>
      <w:r/>
      <w:bookmarkStart w:id="44" w:name="_Toc209510680"/>
      <w:r>
        <w:rPr>
          <w:rFonts w:hint="eastAsia" w:ascii="宋体" w:hAnsi="宋体" w:eastAsia="宋体" w:cs="宋体"/>
          <w:b/>
          <w:bCs/>
          <w:szCs w:val="21"/>
          <w:highlight w:val="none"/>
        </w:rPr>
        <w:t xml:space="preserve">招标文件的澄清或者修改</w:t>
      </w:r>
      <w:bookmarkEnd w:id="44"/>
      <w:r>
        <w:rPr>
          <w:rFonts w:hint="eastAsia" w:ascii="宋体" w:hAnsi="宋体" w:eastAsia="宋体" w:cs="宋体"/>
          <w:b/>
          <w:bCs/>
          <w:szCs w:val="21"/>
          <w:highlight w:val="none"/>
        </w:rPr>
      </w:r>
      <w:r/>
    </w:p>
    <w:p>
      <w:pPr>
        <w:pStyle w:val="1047"/>
        <w:numPr>
          <w:ilvl w:val="0"/>
          <w:numId w:val="12"/>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highlight w:val="none"/>
          <w:lang w:eastAsia="en-US"/>
        </w:rPr>
        <w:t xml:space="preserve">澄清或者修改的内容为招标文件的组成部分。</w:t>
      </w:r>
      <w:r>
        <w:rPr>
          <w:rFonts w:hint="eastAsia" w:ascii="宋体" w:hAnsi="宋体" w:eastAsia="宋体" w:cs="宋体"/>
          <w:szCs w:val="21"/>
          <w:highlight w:val="none"/>
          <w:lang w:eastAsia="en-US"/>
        </w:rPr>
      </w:r>
      <w:r/>
    </w:p>
    <w:p>
      <w:pPr>
        <w:pStyle w:val="1047"/>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highlight w:val="none"/>
        </w:rPr>
      </w:r>
      <w:r/>
    </w:p>
    <w:p>
      <w:pPr>
        <w:pStyle w:val="1047"/>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highlight w:val="none"/>
        </w:rPr>
      </w:r>
      <w:r/>
    </w:p>
    <w:p>
      <w:pPr>
        <w:pStyle w:val="1047"/>
        <w:numPr>
          <w:ilvl w:val="0"/>
          <w:numId w:val="5"/>
        </w:numPr>
        <w:rPr>
          <w:rFonts w:hint="eastAsia" w:ascii="宋体" w:hAnsi="宋体" w:eastAsia="宋体" w:cs="宋体"/>
          <w:b/>
          <w:bCs/>
          <w:szCs w:val="21"/>
          <w:highlight w:val="none"/>
        </w:rPr>
        <w:outlineLvl w:val="1"/>
      </w:pPr>
      <w:r/>
      <w:bookmarkStart w:id="45" w:name="_Toc19603"/>
      <w:r/>
      <w:bookmarkStart w:id="46" w:name="_Toc7702"/>
      <w:r/>
      <w:bookmarkStart w:id="47" w:name="_Toc3559"/>
      <w:r/>
      <w:bookmarkStart w:id="48" w:name="_Toc22828"/>
      <w:r/>
      <w:bookmarkStart w:id="49" w:name="_Toc6845"/>
      <w:r/>
      <w:bookmarkStart w:id="50" w:name="_Toc209510681"/>
      <w:r/>
      <w:bookmarkStart w:id="51" w:name="_Toc209510617"/>
      <w:r/>
      <w:bookmarkStart w:id="52" w:name="_Toc7135"/>
      <w:r>
        <w:rPr>
          <w:rFonts w:hint="eastAsia" w:ascii="宋体" w:hAnsi="宋体" w:eastAsia="宋体" w:cs="宋体"/>
          <w:b/>
          <w:bCs/>
          <w:szCs w:val="21"/>
          <w:highlight w:val="none"/>
        </w:rPr>
        <w:t xml:space="preserve">投标文件的编制</w:t>
      </w:r>
      <w:bookmarkEnd w:id="45"/>
      <w:r/>
      <w:bookmarkEnd w:id="46"/>
      <w:r/>
      <w:bookmarkEnd w:id="47"/>
      <w:r/>
      <w:bookmarkEnd w:id="48"/>
      <w:r/>
      <w:bookmarkEnd w:id="49"/>
      <w:r/>
      <w:bookmarkEnd w:id="50"/>
      <w:r/>
      <w:bookmarkEnd w:id="51"/>
      <w:r/>
      <w:bookmarkEnd w:id="52"/>
      <w:r>
        <w:rPr>
          <w:rFonts w:hint="eastAsia" w:ascii="宋体" w:hAnsi="宋体" w:eastAsia="宋体" w:cs="宋体"/>
          <w:b/>
          <w:bCs/>
          <w:szCs w:val="21"/>
          <w:highlight w:val="none"/>
        </w:rPr>
      </w:r>
      <w:r/>
    </w:p>
    <w:p>
      <w:pPr>
        <w:pStyle w:val="1047"/>
        <w:numPr>
          <w:ilvl w:val="0"/>
          <w:numId w:val="13"/>
        </w:numPr>
        <w:ind w:left="0" w:firstLine="422"/>
        <w:rPr>
          <w:rFonts w:hint="eastAsia" w:ascii="宋体" w:hAnsi="宋体" w:eastAsia="宋体" w:cs="宋体"/>
          <w:b/>
          <w:bCs/>
          <w:szCs w:val="21"/>
          <w:highlight w:val="none"/>
        </w:rPr>
      </w:pPr>
      <w:r/>
      <w:bookmarkStart w:id="53" w:name="_Toc209510682"/>
      <w:r>
        <w:rPr>
          <w:rFonts w:hint="eastAsia" w:ascii="宋体" w:hAnsi="宋体" w:eastAsia="宋体" w:cs="宋体"/>
          <w:b/>
          <w:bCs/>
          <w:szCs w:val="21"/>
          <w:highlight w:val="none"/>
        </w:rPr>
        <w:t xml:space="preserve">投标文件的语言、计量单位、货币和编制</w:t>
      </w:r>
      <w:bookmarkEnd w:id="53"/>
      <w:r>
        <w:rPr>
          <w:rFonts w:hint="eastAsia" w:ascii="宋体" w:hAnsi="宋体" w:eastAsia="宋体" w:cs="宋体"/>
          <w:b/>
          <w:bCs/>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投标人所使用的计量单位应为国家法定计量单位。</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投标人应用人民币报价。投标产品如果是进口产品的，应提供人民币与</w:t>
      </w:r>
      <w:r>
        <w:rPr>
          <w:rFonts w:hint="eastAsia" w:ascii="宋体" w:hAnsi="宋体" w:eastAsia="宋体" w:cs="宋体"/>
          <w:b/>
          <w:szCs w:val="21"/>
          <w:highlight w:val="none"/>
        </w:rPr>
        <w:t xml:space="preserve">外币之间的汇率。</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投标文件应按照招标文件的规定编写并制作目录。</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投标人应在投标文件中写清相应的项目编号、项目名称、投标人全称、地址、电话、传真等。</w:t>
      </w:r>
      <w:r>
        <w:rPr>
          <w:rFonts w:hint="eastAsia" w:ascii="宋体" w:hAnsi="宋体" w:eastAsia="宋体" w:cs="宋体"/>
          <w:szCs w:val="21"/>
          <w:highlight w:val="none"/>
        </w:rPr>
      </w:r>
      <w:r/>
    </w:p>
    <w:p>
      <w:pPr>
        <w:pStyle w:val="1047"/>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联合体投标（本项目不适用）</w:t>
      </w:r>
      <w:r>
        <w:rPr>
          <w:rFonts w:hint="eastAsia" w:ascii="宋体" w:hAnsi="宋体" w:eastAsia="宋体" w:cs="宋体"/>
          <w:b/>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投标文件的组成</w:t>
      </w:r>
      <w:r>
        <w:rPr>
          <w:rFonts w:hint="eastAsia" w:ascii="宋体" w:hAnsi="宋体" w:eastAsia="宋体" w:cs="宋体"/>
          <w:b/>
          <w:szCs w:val="21"/>
          <w:highlight w:val="none"/>
          <w:lang w:eastAsia="en-US"/>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szCs w:val="21"/>
          <w:highlight w:val="none"/>
        </w:rPr>
      </w:r>
      <w:r/>
    </w:p>
    <w:p>
      <w:pPr>
        <w:pStyle w:val="1047"/>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供应商应当根据招标文件要求编制投标文件，投标文件应对招标文件提出的要求和条件作出实质性响</w:t>
      </w:r>
      <w:r>
        <w:rPr>
          <w:rFonts w:hint="eastAsia" w:ascii="宋体" w:hAnsi="宋体" w:eastAsia="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投标文件的商务内容</w:t>
      </w:r>
      <w:r>
        <w:rPr>
          <w:rFonts w:hint="eastAsia" w:ascii="宋体" w:hAnsi="宋体" w:eastAsia="宋体" w:cs="宋体"/>
          <w:b/>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b/>
          <w:szCs w:val="21"/>
          <w:highlight w:val="none"/>
        </w:rPr>
        <w:t xml:space="preserve">”所述材料不得有缺失或提供不全或不满足招标文件的实质性要求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投标函（投标申请及声明） ；</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法人授权书(法人代表授权书（原件）及法定代表人、授权代表身份证复印件)</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投标人资格资信证明文件：</w:t>
      </w:r>
      <w:r>
        <w:rPr>
          <w:rFonts w:hint="eastAsia" w:ascii="宋体" w:hAnsi="宋体" w:eastAsia="宋体" w:cs="宋体"/>
          <w:szCs w:val="21"/>
          <w:highlight w:val="none"/>
        </w:rPr>
      </w:r>
      <w:r/>
    </w:p>
    <w:p>
      <w:pPr>
        <w:pStyle w:val="1047"/>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开标一览表（格式见附件） ；</w:t>
      </w:r>
      <w:r>
        <w:rPr>
          <w:rFonts w:hint="eastAsia" w:ascii="宋体" w:hAnsi="宋体" w:eastAsia="宋体" w:cs="宋体"/>
          <w:szCs w:val="21"/>
          <w:highlight w:val="none"/>
        </w:rPr>
      </w:r>
      <w:r/>
    </w:p>
    <w:p>
      <w:pPr>
        <w:pStyle w:val="1047"/>
        <w:numPr>
          <w:ilvl w:val="0"/>
          <w:numId w:val="1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《商务条款偏离表》；</w:t>
      </w:r>
      <w:r>
        <w:rPr>
          <w:rFonts w:hint="eastAsia" w:ascii="宋体" w:hAnsi="宋体" w:eastAsia="宋体" w:cs="宋体"/>
          <w:szCs w:val="21"/>
          <w:highlight w:val="none"/>
          <w:lang w:eastAsia="en-US"/>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投标文件的技术内容</w:t>
      </w:r>
      <w:r>
        <w:rPr>
          <w:rFonts w:hint="eastAsia" w:ascii="宋体" w:hAnsi="宋体" w:eastAsia="宋体" w:cs="宋体"/>
          <w:b/>
          <w:szCs w:val="21"/>
          <w:highlight w:val="none"/>
          <w:lang w:eastAsia="en-US"/>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（5）项目集成（实施）方案；</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1047"/>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投标文件的价格内容</w:t>
      </w:r>
      <w:r>
        <w:rPr>
          <w:rFonts w:hint="eastAsia" w:ascii="宋体" w:hAnsi="宋体" w:eastAsia="宋体" w:cs="宋体"/>
          <w:b/>
          <w:szCs w:val="21"/>
          <w:highlight w:val="none"/>
          <w:lang w:eastAsia="en-US"/>
        </w:rPr>
      </w:r>
      <w:r/>
    </w:p>
    <w:p>
      <w:pPr>
        <w:pStyle w:val="1047"/>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价格部分内容是对采购标的价格构成的说明，招标文件如无特别说明，每一项货物及服务仅接受一个价格。</w:t>
      </w:r>
      <w:r>
        <w:rPr>
          <w:rFonts w:hint="eastAsia" w:ascii="宋体" w:hAnsi="宋体" w:eastAsia="宋体" w:cs="宋体"/>
          <w:szCs w:val="21"/>
          <w:highlight w:val="none"/>
        </w:rPr>
      </w:r>
      <w:r/>
    </w:p>
    <w:p>
      <w:pPr>
        <w:pStyle w:val="1047"/>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1047"/>
        <w:numPr>
          <w:ilvl w:val="0"/>
          <w:numId w:val="17"/>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投标文件的其他部分</w:t>
      </w:r>
      <w:r>
        <w:rPr>
          <w:rFonts w:hint="eastAsia" w:ascii="宋体" w:hAnsi="宋体" w:eastAsia="宋体" w:cs="宋体"/>
          <w:b/>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投标保证金（本项目无需缴纳投标保证金）</w:t>
      </w:r>
      <w:r>
        <w:rPr>
          <w:rFonts w:hint="eastAsia" w:ascii="宋体" w:hAnsi="宋体" w:eastAsia="宋体" w:cs="宋体"/>
          <w:b/>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投标有效期</w:t>
      </w:r>
      <w:r>
        <w:rPr>
          <w:rFonts w:hint="eastAsia" w:ascii="宋体" w:hAnsi="宋体" w:eastAsia="宋体" w:cs="宋体"/>
          <w:b/>
          <w:szCs w:val="21"/>
          <w:highlight w:val="none"/>
          <w:lang w:eastAsia="en-US"/>
        </w:rPr>
      </w:r>
      <w:r/>
    </w:p>
    <w:p>
      <w:pPr>
        <w:pStyle w:val="1047"/>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szCs w:val="21"/>
          <w:highlight w:val="none"/>
        </w:rPr>
      </w:r>
      <w:r/>
    </w:p>
    <w:p>
      <w:pPr>
        <w:pStyle w:val="1047"/>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投标文件签署</w:t>
      </w:r>
      <w:r>
        <w:rPr>
          <w:rFonts w:hint="eastAsia" w:ascii="宋体" w:hAnsi="宋体" w:eastAsia="宋体" w:cs="宋体"/>
          <w:b/>
          <w:szCs w:val="21"/>
          <w:highlight w:val="none"/>
          <w:lang w:eastAsia="en-US"/>
        </w:rPr>
      </w:r>
      <w:r/>
    </w:p>
    <w:p>
      <w:pPr>
        <w:pStyle w:val="1047"/>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rPr>
          <w:rFonts w:hint="eastAsia" w:ascii="宋体" w:hAnsi="宋体" w:eastAsia="宋体" w:cs="宋体"/>
          <w:szCs w:val="21"/>
          <w:highlight w:val="none"/>
        </w:rPr>
      </w:r>
      <w:r/>
    </w:p>
    <w:p>
      <w:pPr>
        <w:pStyle w:val="1047"/>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投标费用</w:t>
      </w:r>
      <w:r>
        <w:rPr>
          <w:rFonts w:hint="eastAsia" w:ascii="宋体" w:hAnsi="宋体" w:eastAsia="宋体" w:cs="宋体"/>
          <w:b/>
          <w:szCs w:val="21"/>
          <w:highlight w:val="none"/>
          <w:lang w:eastAsia="en-US"/>
        </w:rPr>
      </w:r>
      <w:r/>
    </w:p>
    <w:p>
      <w:pPr>
        <w:pStyle w:val="1047"/>
        <w:numPr>
          <w:ilvl w:val="0"/>
          <w:numId w:val="1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szCs w:val="21"/>
          <w:highlight w:val="none"/>
        </w:rPr>
      </w:r>
      <w:r/>
    </w:p>
    <w:p>
      <w:pPr>
        <w:pStyle w:val="1047"/>
        <w:numPr>
          <w:ilvl w:val="0"/>
          <w:numId w:val="19"/>
        </w:numPr>
        <w:ind w:firstLine="420"/>
        <w:rPr>
          <w:rFonts w:hint="eastAsia" w:ascii="宋体" w:hAnsi="宋体" w:eastAsia="宋体" w:cs="宋体"/>
          <w:szCs w:val="21"/>
          <w:highlight w:val="none"/>
        </w:rPr>
      </w:pPr>
      <w:r/>
      <w:bookmarkStart w:id="54" w:name="_Toc1619"/>
      <w:r/>
      <w:bookmarkStart w:id="55" w:name="_Toc209510683"/>
      <w:r/>
      <w:bookmarkStart w:id="56" w:name="_Toc17969"/>
      <w:r/>
      <w:bookmarkStart w:id="57" w:name="_Toc19595"/>
      <w:r/>
      <w:bookmarkStart w:id="58" w:name="_Toc209510618"/>
      <w:r/>
      <w:bookmarkStart w:id="59" w:name="_Toc30521"/>
      <w:r/>
      <w:bookmarkStart w:id="60" w:name="_Toc3953"/>
      <w:r>
        <w:rPr>
          <w:rFonts w:hint="eastAsia" w:ascii="宋体" w:hAnsi="宋体" w:eastAsia="宋体" w:cs="宋体"/>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szCs w:val="21"/>
          <w:highlight w:val="none"/>
        </w:rPr>
      </w:r>
      <w:r/>
    </w:p>
    <w:p>
      <w:pPr>
        <w:pStyle w:val="1047"/>
        <w:ind w:firstLine="420"/>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47"/>
              <w:ind w:right="241"/>
              <w:jc w:val="right"/>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分类</w:t>
            </w:r>
            <w:r>
              <w:rPr>
                <w:rFonts w:hint="eastAsia" w:ascii="宋体" w:hAnsi="宋体" w:eastAsia="宋体" w:cs="宋体"/>
                <w:bCs/>
                <w:szCs w:val="21"/>
                <w:highlight w:val="none"/>
              </w:rPr>
            </w:r>
            <w:r/>
          </w:p>
          <w:p>
            <w:pPr>
              <w:pStyle w:val="1047"/>
              <w:ind w:firstLine="210"/>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费率</w:t>
            </w:r>
            <w:r>
              <w:rPr>
                <w:rFonts w:hint="eastAsia" w:ascii="宋体" w:hAnsi="宋体" w:eastAsia="宋体" w:cs="宋体"/>
                <w:szCs w:val="21"/>
                <w:highlight w:val="none"/>
              </w:rPr>
            </w:r>
            <w:r/>
          </w:p>
        </w:tc>
        <w:tc>
          <w:tcPr>
            <w:tcW w:w="2332"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货物项目</w:t>
            </w:r>
            <w:r>
              <w:rPr>
                <w:rFonts w:hint="eastAsia" w:ascii="宋体" w:hAnsi="宋体" w:eastAsia="宋体" w:cs="宋体"/>
                <w:szCs w:val="21"/>
                <w:highlight w:val="none"/>
              </w:rPr>
            </w:r>
            <w:r/>
          </w:p>
        </w:tc>
        <w:tc>
          <w:tcPr>
            <w:tcW w:w="2259"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服务项目</w:t>
            </w:r>
            <w:r>
              <w:rPr>
                <w:rFonts w:hint="eastAsia" w:ascii="宋体" w:hAnsi="宋体" w:eastAsia="宋体" w:cs="宋体"/>
                <w:szCs w:val="21"/>
                <w:highlight w:val="none"/>
              </w:rPr>
            </w:r>
            <w:r/>
          </w:p>
        </w:tc>
        <w:tc>
          <w:tcPr>
            <w:tcW w:w="2277" w:type="dxa"/>
            <w:vAlign w:val="center"/>
            <w:vMerge w:val="restart"/>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工程项目</w:t>
            </w:r>
            <w:r>
              <w:rPr>
                <w:rFonts w:hint="eastAsia" w:ascii="宋体" w:hAnsi="宋体" w:eastAsia="宋体" w:cs="宋体"/>
                <w:szCs w:val="21"/>
                <w:highlight w:val="none"/>
              </w:rPr>
            </w:r>
            <w:r/>
          </w:p>
        </w:tc>
      </w:tr>
      <w:tr>
        <w:trPr>
          <w:trHeight w:val="449"/>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中标金额（万元）</w:t>
            </w:r>
            <w:r>
              <w:rPr>
                <w:rFonts w:hint="eastAsia" w:ascii="宋体" w:hAnsi="宋体" w:eastAsia="宋体" w:cs="宋体"/>
                <w:szCs w:val="21"/>
                <w:highlight w:val="none"/>
              </w:rPr>
            </w:r>
            <w:r/>
          </w:p>
        </w:tc>
        <w:tc>
          <w:tcPr>
            <w:tcW w:w="2332"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59"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77" w:type="dxa"/>
            <w:vAlign w:val="center"/>
            <w:vMerge w:val="continue"/>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100以下</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100-500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1.1%</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0.8%</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0.7%</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500-1000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0.8%</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0.45%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0.55%</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1000-5000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0.35%</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5000-10000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0.1%</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0.2%</w:t>
            </w:r>
            <w:r>
              <w:rPr>
                <w:rFonts w:hint="eastAsia" w:ascii="宋体" w:hAnsi="宋体" w:eastAsia="宋体" w:cs="宋体"/>
                <w:szCs w:val="21"/>
                <w:highlight w:val="none"/>
              </w:rPr>
            </w:r>
            <w:r/>
          </w:p>
        </w:tc>
      </w:tr>
      <w:tr>
        <w:trPr>
          <w:trHeight w:val="516"/>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10000-100000</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0.05%</w:t>
            </w:r>
            <w:r>
              <w:rPr>
                <w:rFonts w:hint="eastAsia" w:ascii="宋体" w:hAnsi="宋体" w:eastAsia="宋体" w:cs="宋体"/>
                <w:szCs w:val="21"/>
                <w:highlight w:val="none"/>
              </w:rPr>
            </w:r>
            <w:r/>
          </w:p>
        </w:tc>
      </w:tr>
      <w:tr>
        <w:trPr>
          <w:trHeight w:val="507"/>
        </w:trPr>
        <w:tc>
          <w:tcPr>
            <w:tcW w:w="241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1000000以上</w:t>
            </w:r>
            <w:r>
              <w:rPr>
                <w:rFonts w:hint="eastAsia" w:ascii="宋体" w:hAnsi="宋体" w:eastAsia="宋体" w:cs="宋体"/>
                <w:szCs w:val="21"/>
                <w:highlight w:val="none"/>
              </w:rPr>
            </w:r>
            <w:r/>
          </w:p>
        </w:tc>
        <w:tc>
          <w:tcPr>
            <w:tcW w:w="2332"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c>
          <w:tcPr>
            <w:tcW w:w="2259"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c>
          <w:tcPr>
            <w:tcW w:w="2277"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0.01%</w:t>
            </w:r>
            <w:r>
              <w:rPr>
                <w:rFonts w:hint="eastAsia" w:ascii="宋体" w:hAnsi="宋体" w:eastAsia="宋体" w:cs="宋体"/>
                <w:szCs w:val="21"/>
                <w:highlight w:val="none"/>
              </w:rPr>
            </w:r>
            <w:r/>
          </w:p>
        </w:tc>
      </w:tr>
    </w:tbl>
    <w:p>
      <w:pPr>
        <w:pStyle w:val="1047"/>
        <w:ind w:firstLine="638"/>
        <w:spacing w:before="24" w:line="560" w:lineRule="exact"/>
        <w:rPr>
          <w:rFonts w:hint="eastAsia" w:ascii="宋体" w:hAnsi="宋体" w:eastAsia="宋体" w:cs="宋体"/>
          <w:b/>
          <w:szCs w:val="21"/>
          <w:highlight w:val="none"/>
        </w:rPr>
      </w:pPr>
      <w:r>
        <w:rPr>
          <w:rFonts w:hint="eastAsia" w:ascii="宋体" w:hAnsi="宋体" w:eastAsia="宋体" w:cs="宋体"/>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szCs w:val="21"/>
          <w:highlight w:val="none"/>
        </w:rPr>
      </w:r>
      <w:r/>
    </w:p>
    <w:p>
      <w:pPr>
        <w:pStyle w:val="1047"/>
        <w:ind w:firstLine="420"/>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szCs w:val="21"/>
          <w:highlight w:val="none"/>
        </w:rPr>
      </w:r>
      <w:r/>
    </w:p>
    <w:p>
      <w:pPr>
        <w:pStyle w:val="1047"/>
        <w:ind w:firstLine="420"/>
        <w:jc w:val="center"/>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附：江苏省公证服务收费项目和试行标准表</w:t>
      </w:r>
      <w:r>
        <w:rPr>
          <w:rFonts w:hint="eastAsia" w:ascii="宋体" w:hAnsi="宋体" w:eastAsia="宋体" w:cs="宋体"/>
          <w:bCs/>
          <w:szCs w:val="21"/>
          <w:highlight w:val="none"/>
        </w:rPr>
      </w:r>
      <w:r/>
    </w:p>
    <w:p>
      <w:pPr>
        <w:pStyle w:val="1047"/>
        <w:ind w:firstLine="420"/>
        <w:jc w:val="center"/>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单位：元</w:t>
      </w:r>
      <w:r>
        <w:rPr>
          <w:rFonts w:hint="eastAsia" w:ascii="宋体" w:hAnsi="宋体" w:eastAsia="宋体" w:cs="宋体"/>
          <w:bCs/>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类别</w:t>
            </w:r>
            <w:r>
              <w:rPr>
                <w:rFonts w:hint="eastAsia" w:ascii="宋体" w:hAnsi="宋体" w:eastAsia="宋体" w:cs="宋体"/>
                <w:bCs/>
                <w:szCs w:val="21"/>
                <w:highlight w:val="none"/>
              </w:rPr>
            </w:r>
            <w:r/>
          </w:p>
        </w:tc>
        <w:tc>
          <w:tcPr>
            <w:tcW w:w="1480"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收费项目</w:t>
            </w:r>
            <w:r>
              <w:rPr>
                <w:rFonts w:hint="eastAsia" w:ascii="宋体" w:hAnsi="宋体" w:eastAsia="宋体" w:cs="宋体"/>
                <w:bCs/>
                <w:szCs w:val="21"/>
                <w:highlight w:val="none"/>
              </w:rPr>
            </w:r>
            <w:r/>
          </w:p>
        </w:tc>
        <w:tc>
          <w:tcPr>
            <w:tcW w:w="5270"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收费标准</w:t>
            </w:r>
            <w:r>
              <w:rPr>
                <w:rFonts w:hint="eastAsia" w:ascii="宋体" w:hAnsi="宋体" w:eastAsia="宋体" w:cs="宋体"/>
                <w:bCs/>
                <w:szCs w:val="21"/>
                <w:highlight w:val="none"/>
              </w:rPr>
            </w:r>
            <w:r/>
          </w:p>
        </w:tc>
        <w:tc>
          <w:tcPr>
            <w:tcW w:w="693"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备注</w:t>
            </w:r>
            <w:r>
              <w:rPr>
                <w:rFonts w:hint="eastAsia" w:ascii="宋体" w:hAnsi="宋体" w:eastAsia="宋体" w:cs="宋体"/>
                <w:bCs/>
                <w:szCs w:val="21"/>
                <w:highlight w:val="none"/>
              </w:rPr>
            </w:r>
            <w:r/>
          </w:p>
        </w:tc>
      </w:tr>
      <w:tr>
        <w:trPr>
          <w:trHeight w:val="369"/>
        </w:trPr>
        <w:tc>
          <w:tcPr>
            <w:tcW w:w="2024" w:type="dxa"/>
            <w:vAlign w:val="top"/>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一、证明法律行为</w:t>
            </w:r>
            <w:r>
              <w:rPr>
                <w:rFonts w:hint="eastAsia" w:ascii="宋体" w:hAnsi="宋体" w:eastAsia="宋体" w:cs="宋体"/>
                <w:szCs w:val="21"/>
                <w:highlight w:val="none"/>
              </w:rPr>
            </w:r>
            <w:r/>
          </w:p>
        </w:tc>
        <w:tc>
          <w:tcPr>
            <w:tcW w:w="148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270"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3" w:type="dxa"/>
            <w:vAlign w:val="center"/>
            <w:textDirection w:val="lrTb"/>
            <w:noWrap w:val="false"/>
          </w:tcPr>
          <w:p>
            <w:pPr>
              <w:pStyle w:val="1047"/>
              <w:jc w:val="center"/>
              <w:spacing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r>
            <w:r/>
          </w:p>
        </w:tc>
      </w:tr>
      <w:tr>
        <w:trPr>
          <w:trHeight w:val="510"/>
        </w:trPr>
        <w:tc>
          <w:tcPr>
            <w:tcW w:w="2024" w:type="dxa"/>
            <w:vAlign w:val="center"/>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现场监督公证</w:t>
            </w:r>
            <w:r>
              <w:rPr>
                <w:rFonts w:hint="eastAsia" w:ascii="宋体" w:hAnsi="宋体" w:eastAsia="宋体" w:cs="宋体"/>
                <w:szCs w:val="21"/>
                <w:highlight w:val="none"/>
              </w:rPr>
            </w:r>
            <w:r/>
          </w:p>
        </w:tc>
        <w:tc>
          <w:tcPr>
            <w:tcW w:w="1480" w:type="dxa"/>
            <w:vAlign w:val="center"/>
            <w:textDirection w:val="lrTb"/>
            <w:noWrap w:val="false"/>
          </w:tcPr>
          <w:p>
            <w:pPr>
              <w:pStyle w:val="1047"/>
              <w:jc w:val="center"/>
              <w:spacing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证明招标投标、拍卖、挂牌等竞争性交易行为公证</w:t>
            </w:r>
            <w:r>
              <w:rPr>
                <w:rFonts w:hint="eastAsia" w:ascii="宋体" w:hAnsi="宋体" w:eastAsia="宋体" w:cs="宋体"/>
                <w:szCs w:val="21"/>
                <w:highlight w:val="none"/>
              </w:rPr>
            </w:r>
            <w:r/>
          </w:p>
        </w:tc>
        <w:tc>
          <w:tcPr>
            <w:tcW w:w="5270" w:type="dxa"/>
            <w:vAlign w:val="center"/>
            <w:textDirection w:val="lrTb"/>
            <w:noWrap w:val="false"/>
          </w:tcPr>
          <w:p>
            <w:pPr>
              <w:pStyle w:val="1047"/>
              <w:ind w:right="-118"/>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Cs w:val="21"/>
                <w:highlight w:val="none"/>
              </w:rPr>
            </w:r>
            <w:r/>
          </w:p>
        </w:tc>
        <w:tc>
          <w:tcPr>
            <w:tcW w:w="693" w:type="dxa"/>
            <w:vAlign w:val="center"/>
            <w:textDirection w:val="lrTb"/>
            <w:noWrap w:val="false"/>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7"/>
        <w:numPr>
          <w:ilvl w:val="0"/>
          <w:numId w:val="5"/>
        </w:numPr>
        <w:ind w:firstLine="422"/>
        <w:rPr>
          <w:rFonts w:hint="eastAsia" w:ascii="宋体" w:hAnsi="宋体" w:eastAsia="宋体" w:cs="宋体"/>
          <w:b/>
          <w:bCs/>
          <w:szCs w:val="21"/>
          <w:highlight w:val="none"/>
        </w:rPr>
        <w:outlineLvl w:val="1"/>
      </w:pPr>
      <w:r/>
      <w:bookmarkStart w:id="61" w:name="_Toc12016"/>
      <w:r>
        <w:rPr>
          <w:rFonts w:hint="eastAsia" w:ascii="宋体" w:hAnsi="宋体" w:eastAsia="宋体" w:cs="宋体"/>
          <w:b/>
          <w:bCs/>
          <w:szCs w:val="21"/>
          <w:highlight w:val="none"/>
        </w:rPr>
        <w:t xml:space="preserve">投标文件的递交</w:t>
      </w:r>
      <w:bookmarkEnd w:id="54"/>
      <w:r/>
      <w:bookmarkEnd w:id="55"/>
      <w:r/>
      <w:bookmarkEnd w:id="56"/>
      <w:r/>
      <w:bookmarkEnd w:id="57"/>
      <w:r/>
      <w:bookmarkEnd w:id="58"/>
      <w:r/>
      <w:bookmarkEnd w:id="59"/>
      <w:r/>
      <w:bookmarkEnd w:id="60"/>
      <w:r/>
      <w:bookmarkEnd w:id="61"/>
      <w:r>
        <w:rPr>
          <w:rFonts w:hint="eastAsia" w:ascii="宋体" w:hAnsi="宋体" w:eastAsia="宋体" w:cs="宋体"/>
          <w:b/>
          <w:bCs/>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2" w:name="_Toc209510684"/>
      <w:r>
        <w:rPr>
          <w:rFonts w:hint="eastAsia" w:ascii="宋体" w:hAnsi="宋体" w:eastAsia="宋体" w:cs="宋体"/>
          <w:b/>
          <w:bCs/>
          <w:szCs w:val="21"/>
          <w:highlight w:val="none"/>
        </w:rPr>
        <w:t xml:space="preserve">投标文件的递交</w:t>
      </w:r>
      <w:bookmarkEnd w:id="62"/>
      <w:r>
        <w:rPr>
          <w:rFonts w:hint="eastAsia" w:ascii="宋体" w:hAnsi="宋体" w:eastAsia="宋体" w:cs="宋体"/>
          <w:b/>
          <w:bCs/>
          <w:szCs w:val="21"/>
          <w:highlight w:val="none"/>
        </w:rPr>
      </w:r>
      <w:r/>
    </w:p>
    <w:p>
      <w:pPr>
        <w:pStyle w:val="1047"/>
        <w:ind w:firstLine="422"/>
        <w:jc w:val="left"/>
        <w:rPr>
          <w:rFonts w:hint="eastAsia" w:ascii="宋体" w:hAnsi="宋体" w:eastAsia="宋体" w:cs="宋体"/>
          <w:b/>
          <w:szCs w:val="21"/>
          <w:highlight w:val="none"/>
        </w:rPr>
      </w:pPr>
      <w:r>
        <w:rPr>
          <w:rFonts w:hint="eastAsia" w:ascii="宋体" w:hAnsi="宋体" w:eastAsia="宋体" w:cs="宋体"/>
          <w:b/>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3" w:name="_Toc209510685"/>
      <w:r>
        <w:rPr>
          <w:rFonts w:hint="eastAsia" w:ascii="宋体" w:hAnsi="宋体" w:eastAsia="宋体" w:cs="宋体"/>
          <w:b/>
          <w:bCs/>
          <w:szCs w:val="21"/>
          <w:highlight w:val="none"/>
        </w:rPr>
        <w:t xml:space="preserve">投标文件的解密</w:t>
      </w:r>
      <w:bookmarkEnd w:id="63"/>
      <w:r>
        <w:rPr>
          <w:rFonts w:hint="eastAsia" w:ascii="宋体" w:hAnsi="宋体" w:eastAsia="宋体" w:cs="宋体"/>
          <w:b/>
          <w:bCs/>
          <w:szCs w:val="21"/>
          <w:highlight w:val="none"/>
        </w:rPr>
      </w:r>
      <w:r/>
    </w:p>
    <w:p>
      <w:pPr>
        <w:pStyle w:val="1047"/>
        <w:numPr>
          <w:ilvl w:val="0"/>
          <w:numId w:val="2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作无效投标处理</w:t>
      </w:r>
      <w:r>
        <w:rPr>
          <w:rFonts w:hint="eastAsia" w:ascii="宋体" w:hAnsi="宋体" w:eastAsia="宋体" w:cs="宋体"/>
          <w:b/>
          <w:szCs w:val="21"/>
          <w:highlight w:val="none"/>
        </w:rPr>
      </w:r>
      <w:r/>
    </w:p>
    <w:p>
      <w:pPr>
        <w:pStyle w:val="1047"/>
        <w:numPr>
          <w:ilvl w:val="0"/>
          <w:numId w:val="2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4" w:name="_Toc209510686"/>
      <w:r>
        <w:rPr>
          <w:rFonts w:hint="eastAsia" w:ascii="宋体" w:hAnsi="宋体" w:eastAsia="宋体" w:cs="宋体"/>
          <w:b/>
          <w:bCs/>
          <w:szCs w:val="21"/>
          <w:highlight w:val="none"/>
        </w:rPr>
        <w:t xml:space="preserve">投标文件的修改和撤回</w:t>
      </w:r>
      <w:bookmarkEnd w:id="64"/>
      <w:r>
        <w:rPr>
          <w:rFonts w:hint="eastAsia" w:ascii="宋体" w:hAnsi="宋体" w:eastAsia="宋体" w:cs="宋体"/>
          <w:b/>
          <w:bCs/>
          <w:szCs w:val="21"/>
          <w:highlight w:val="none"/>
        </w:rPr>
      </w:r>
      <w:r/>
    </w:p>
    <w:p>
      <w:pPr>
        <w:pStyle w:val="1047"/>
        <w:numPr>
          <w:ilvl w:val="0"/>
          <w:numId w:val="22"/>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投标文件的撤回</w:t>
      </w:r>
      <w:r>
        <w:rPr>
          <w:rFonts w:hint="eastAsia" w:ascii="宋体" w:hAnsi="宋体" w:eastAsia="宋体" w:cs="宋体"/>
          <w:b/>
          <w:szCs w:val="21"/>
          <w:highlight w:val="none"/>
        </w:rPr>
      </w:r>
      <w:r/>
    </w:p>
    <w:p>
      <w:pPr>
        <w:pStyle w:val="1047"/>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投标人可在投标截止时间前撤回其电子投标文件，具体操作方法见《操作手册》。</w:t>
      </w:r>
      <w:r>
        <w:rPr>
          <w:rFonts w:hint="eastAsia" w:ascii="宋体" w:hAnsi="宋体" w:eastAsia="宋体" w:cs="宋体"/>
          <w:szCs w:val="21"/>
          <w:highlight w:val="none"/>
        </w:rPr>
      </w:r>
      <w:r/>
    </w:p>
    <w:p>
      <w:pPr>
        <w:pStyle w:val="1047"/>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投标人撤回电子投标文件，则认为其不再参与本项目投标活动。</w:t>
      </w:r>
      <w:r>
        <w:rPr>
          <w:rFonts w:hint="eastAsia" w:ascii="宋体" w:hAnsi="宋体" w:eastAsia="宋体" w:cs="宋体"/>
          <w:szCs w:val="21"/>
          <w:highlight w:val="none"/>
        </w:rPr>
      </w:r>
      <w:r/>
    </w:p>
    <w:p>
      <w:pPr>
        <w:pStyle w:val="1047"/>
        <w:numPr>
          <w:ilvl w:val="0"/>
          <w:numId w:val="22"/>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投标文件的修改</w:t>
      </w:r>
      <w:r>
        <w:rPr>
          <w:rFonts w:hint="eastAsia" w:ascii="宋体" w:hAnsi="宋体" w:eastAsia="宋体" w:cs="宋体"/>
          <w:b/>
          <w:bCs/>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投标人可在投标截止时间前对其电子投标文件进行修改，具体操作方法见《操作手册》。</w:t>
      </w:r>
      <w:r>
        <w:rPr>
          <w:rFonts w:hint="eastAsia" w:ascii="宋体" w:hAnsi="宋体" w:eastAsia="宋体" w:cs="宋体"/>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投标截止时间之后，投标人不得对其电子投标文件作任何修改。</w:t>
      </w:r>
      <w:r>
        <w:rPr>
          <w:rFonts w:hint="eastAsia" w:ascii="宋体" w:hAnsi="宋体" w:eastAsia="宋体" w:cs="宋体"/>
          <w:szCs w:val="21"/>
          <w:highlight w:val="none"/>
        </w:rPr>
      </w:r>
      <w:r/>
    </w:p>
    <w:p>
      <w:pPr>
        <w:pStyle w:val="1047"/>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在投标截止时间至招标文件中规定的投标有效期满之间的这段时间内，投标人不得撤回其投标。</w:t>
      </w:r>
      <w:r>
        <w:rPr>
          <w:rFonts w:hint="eastAsia" w:ascii="宋体" w:hAnsi="宋体" w:eastAsia="宋体" w:cs="宋体"/>
          <w:szCs w:val="21"/>
          <w:highlight w:val="none"/>
        </w:rPr>
      </w:r>
      <w:r/>
    </w:p>
    <w:p>
      <w:pPr>
        <w:pStyle w:val="1047"/>
        <w:numPr>
          <w:ilvl w:val="0"/>
          <w:numId w:val="20"/>
        </w:numPr>
        <w:ind w:firstLine="422"/>
        <w:rPr>
          <w:rFonts w:hint="eastAsia" w:ascii="宋体" w:hAnsi="宋体" w:eastAsia="宋体" w:cs="宋体"/>
          <w:b/>
          <w:bCs/>
          <w:szCs w:val="21"/>
          <w:highlight w:val="none"/>
        </w:rPr>
      </w:pPr>
      <w:r/>
      <w:bookmarkStart w:id="65" w:name="_Toc209510687"/>
      <w:r>
        <w:rPr>
          <w:rFonts w:hint="eastAsia" w:ascii="宋体" w:hAnsi="宋体" w:eastAsia="宋体" w:cs="宋体"/>
          <w:b/>
          <w:bCs/>
          <w:szCs w:val="21"/>
          <w:highlight w:val="none"/>
        </w:rPr>
        <w:t xml:space="preserve">诚实信用</w:t>
      </w:r>
      <w:bookmarkEnd w:id="65"/>
      <w:r>
        <w:rPr>
          <w:rFonts w:hint="eastAsia" w:ascii="宋体" w:hAnsi="宋体" w:eastAsia="宋体" w:cs="宋体"/>
          <w:b/>
          <w:bCs/>
          <w:szCs w:val="21"/>
          <w:highlight w:val="none"/>
        </w:rPr>
      </w:r>
      <w:r/>
    </w:p>
    <w:p>
      <w:pPr>
        <w:pStyle w:val="1047"/>
        <w:numPr>
          <w:ilvl w:val="0"/>
          <w:numId w:val="2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highlight w:val="none"/>
        </w:rPr>
      </w:r>
      <w:r/>
    </w:p>
    <w:p>
      <w:pPr>
        <w:pStyle w:val="1047"/>
        <w:numPr>
          <w:ilvl w:val="0"/>
          <w:numId w:val="2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在评标过程中发现投标人有上述情形的，评标委员会应当认定其投标无效，并书面报告本级财政部门。</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66" w:name="_Toc209510688"/>
      <w:r/>
      <w:bookmarkStart w:id="67" w:name="_Toc24742"/>
      <w:r/>
      <w:bookmarkStart w:id="68" w:name="_Toc22917"/>
      <w:r/>
      <w:bookmarkStart w:id="69" w:name="_Toc18325"/>
      <w:r/>
      <w:bookmarkStart w:id="70" w:name="_Toc9280"/>
      <w:r/>
      <w:bookmarkStart w:id="71" w:name="_Toc1446"/>
      <w:r/>
      <w:bookmarkStart w:id="72" w:name="_Toc29919"/>
      <w:r/>
      <w:bookmarkStart w:id="73" w:name="_Toc209510619"/>
      <w:r>
        <w:rPr>
          <w:rFonts w:hint="eastAsia" w:ascii="宋体" w:hAnsi="宋体" w:eastAsia="宋体" w:cs="宋体"/>
          <w:b/>
          <w:bCs/>
          <w:szCs w:val="21"/>
          <w:highlight w:val="none"/>
        </w:rPr>
        <w:t xml:space="preserve">开标、评标与定标</w:t>
      </w:r>
      <w:bookmarkEnd w:id="66"/>
      <w:r/>
      <w:bookmarkEnd w:id="67"/>
      <w:r/>
      <w:bookmarkEnd w:id="68"/>
      <w:r/>
      <w:bookmarkEnd w:id="69"/>
      <w:r/>
      <w:bookmarkEnd w:id="70"/>
      <w:r/>
      <w:bookmarkEnd w:id="71"/>
      <w:r/>
      <w:bookmarkEnd w:id="72"/>
      <w:r/>
      <w:bookmarkEnd w:id="73"/>
      <w:r>
        <w:rPr>
          <w:rFonts w:hint="eastAsia" w:ascii="宋体" w:hAnsi="宋体" w:eastAsia="宋体" w:cs="宋体"/>
          <w:b/>
          <w:bCs/>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4" w:name="_Toc209510689"/>
      <w:r>
        <w:rPr>
          <w:rFonts w:hint="eastAsia" w:ascii="宋体" w:hAnsi="宋体" w:eastAsia="宋体" w:cs="宋体"/>
          <w:b/>
          <w:bCs/>
          <w:szCs w:val="21"/>
          <w:highlight w:val="none"/>
        </w:rPr>
        <w:t xml:space="preserve">开标</w:t>
      </w:r>
      <w:bookmarkEnd w:id="74"/>
      <w:r>
        <w:rPr>
          <w:rFonts w:hint="eastAsia" w:ascii="宋体" w:hAnsi="宋体" w:eastAsia="宋体" w:cs="宋体"/>
          <w:b/>
          <w:bCs/>
          <w:szCs w:val="21"/>
          <w:highlight w:val="none"/>
        </w:rPr>
      </w:r>
      <w:r/>
    </w:p>
    <w:p>
      <w:pPr>
        <w:pStyle w:val="1047"/>
        <w:numPr>
          <w:ilvl w:val="0"/>
          <w:numId w:val="27"/>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highlight w:val="none"/>
          <w:lang w:eastAsia="en-US"/>
        </w:rPr>
        <w:t xml:space="preserve">苏采云系统公布各投标人名称和投标价格。</w:t>
      </w:r>
      <w:r>
        <w:rPr>
          <w:rFonts w:hint="eastAsia" w:ascii="宋体" w:hAnsi="宋体" w:eastAsia="宋体" w:cs="宋体"/>
          <w:szCs w:val="21"/>
          <w:highlight w:val="none"/>
          <w:lang w:eastAsia="en-US"/>
        </w:rPr>
      </w:r>
      <w:r/>
    </w:p>
    <w:p>
      <w:pPr>
        <w:pStyle w:val="1047"/>
        <w:numPr>
          <w:ilvl w:val="0"/>
          <w:numId w:val="2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投标人在开标过程中涉及的投标文件解密、开标结果确认等工作，应按照《操作手册》规定执行。</w:t>
      </w:r>
      <w:r>
        <w:rPr>
          <w:rFonts w:hint="eastAsia" w:ascii="宋体" w:hAnsi="宋体" w:eastAsia="宋体" w:cs="宋体"/>
          <w:szCs w:val="21"/>
          <w:highlight w:val="none"/>
        </w:rPr>
      </w:r>
      <w:r/>
    </w:p>
    <w:p>
      <w:pPr>
        <w:pStyle w:val="1047"/>
        <w:numPr>
          <w:ilvl w:val="0"/>
          <w:numId w:val="27"/>
        </w:numPr>
        <w:ind w:firstLine="420"/>
        <w:rPr>
          <w:rFonts w:hint="eastAsia" w:ascii="宋体" w:hAnsi="宋体" w:eastAsia="宋体" w:cs="宋体"/>
          <w:szCs w:val="21"/>
          <w:highlight w:val="none"/>
        </w:rPr>
      </w:pPr>
      <w:r/>
      <w:bookmarkStart w:id="75" w:name="OLE_LINK5"/>
      <w:r>
        <w:rPr>
          <w:rFonts w:hint="eastAsia" w:ascii="宋体" w:hAnsi="宋体" w:eastAsia="宋体" w:cs="宋体"/>
          <w:szCs w:val="21"/>
          <w:highlight w:val="none"/>
        </w:rPr>
        <w:t xml:space="preserve">投标人不足3家的，不得开标。</w:t>
      </w:r>
      <w:r>
        <w:rPr>
          <w:rFonts w:hint="eastAsia" w:ascii="宋体" w:hAnsi="宋体" w:eastAsia="宋体" w:cs="宋体"/>
          <w:szCs w:val="21"/>
          <w:highlight w:val="none"/>
        </w:rPr>
      </w:r>
      <w:r/>
    </w:p>
    <w:p>
      <w:pPr>
        <w:pStyle w:val="1047"/>
        <w:numPr>
          <w:ilvl w:val="0"/>
          <w:numId w:val="27"/>
        </w:numPr>
        <w:ind w:firstLine="420"/>
        <w:rPr>
          <w:rFonts w:hint="eastAsia" w:ascii="宋体" w:hAnsi="宋体" w:eastAsia="宋体" w:cs="宋体"/>
          <w:szCs w:val="21"/>
          <w:highlight w:val="none"/>
        </w:rPr>
      </w:pPr>
      <w:r/>
      <w:bookmarkEnd w:id="75"/>
      <w:r>
        <w:rPr>
          <w:rFonts w:hint="eastAsia" w:ascii="宋体" w:hAnsi="宋体" w:eastAsia="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6" w:name="_Toc209510690"/>
      <w:r>
        <w:rPr>
          <w:rFonts w:hint="eastAsia" w:ascii="宋体" w:hAnsi="宋体" w:eastAsia="宋体" w:cs="宋体"/>
          <w:b/>
          <w:bCs/>
          <w:szCs w:val="21"/>
          <w:highlight w:val="none"/>
        </w:rPr>
        <w:t xml:space="preserve">评标</w:t>
      </w:r>
      <w:bookmarkEnd w:id="76"/>
      <w:r>
        <w:rPr>
          <w:rFonts w:hint="eastAsia" w:ascii="宋体" w:hAnsi="宋体" w:eastAsia="宋体" w:cs="宋体"/>
          <w:b/>
          <w:bCs/>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评标委员会</w:t>
      </w:r>
      <w:r>
        <w:rPr>
          <w:rFonts w:hint="eastAsia" w:ascii="宋体" w:hAnsi="宋体" w:eastAsia="宋体" w:cs="宋体"/>
          <w:b/>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评标由评标委员会（以下简称“评委会”）进行。</w:t>
      </w:r>
      <w:r>
        <w:rPr>
          <w:rFonts w:hint="eastAsia" w:ascii="宋体" w:hAnsi="宋体" w:eastAsia="宋体" w:cs="宋体"/>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评委会由采购人代表和有关技术、经济等方面的专家组成，且人员构成符合政府采购有关规定。</w:t>
      </w:r>
      <w:r>
        <w:rPr>
          <w:rFonts w:hint="eastAsia" w:ascii="宋体" w:hAnsi="宋体" w:eastAsia="宋体" w:cs="宋体"/>
          <w:bCs/>
          <w:szCs w:val="21"/>
          <w:highlight w:val="none"/>
        </w:rPr>
      </w:r>
      <w:r/>
    </w:p>
    <w:p>
      <w:pPr>
        <w:pStyle w:val="1047"/>
        <w:numPr>
          <w:ilvl w:val="0"/>
          <w:numId w:val="29"/>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评委会独立工作，负责评审所有投标文件并推荐中标候选人，或根据采购人授权直接确定中标人。</w:t>
      </w:r>
      <w:r>
        <w:rPr>
          <w:rFonts w:hint="eastAsia" w:ascii="宋体" w:hAnsi="宋体" w:eastAsia="宋体" w:cs="宋体"/>
          <w:bCs/>
          <w:szCs w:val="21"/>
          <w:highlight w:val="none"/>
        </w:rPr>
      </w:r>
      <w:r/>
    </w:p>
    <w:p>
      <w:pPr>
        <w:pStyle w:val="1047"/>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22.1.1评标委员会负责具体评标事务，并独立履行下列职责：</w:t>
      </w:r>
      <w:r>
        <w:rPr>
          <w:rFonts w:hint="eastAsia" w:ascii="宋体" w:hAnsi="宋体" w:eastAsia="宋体" w:cs="宋体"/>
          <w:b/>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审查、评价投标文件是否符合招标文件的商务、技术等实质性要求；</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要求投标人对投标文件有关事项作出澄清或者说明；</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对投标文件进行比较和评价；</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确定中标候选人名单，以及根据采购人委托直接确定中标人；</w:t>
      </w:r>
      <w:r>
        <w:rPr>
          <w:rFonts w:hint="eastAsia" w:ascii="宋体" w:hAnsi="宋体" w:eastAsia="宋体" w:cs="宋体"/>
          <w:szCs w:val="21"/>
          <w:highlight w:val="none"/>
        </w:rPr>
      </w:r>
      <w:r/>
    </w:p>
    <w:p>
      <w:pPr>
        <w:pStyle w:val="1047"/>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向采购人、采购代理机构或者有关部门报告评标中发现的违法行为。</w:t>
      </w:r>
      <w:r>
        <w:rPr>
          <w:rFonts w:hint="eastAsia" w:ascii="宋体" w:hAnsi="宋体" w:eastAsia="宋体" w:cs="宋体"/>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评标程序</w:t>
      </w:r>
      <w:r>
        <w:rPr>
          <w:rFonts w:hint="eastAsia" w:ascii="宋体" w:hAnsi="宋体" w:eastAsia="宋体" w:cs="宋体"/>
          <w:b/>
          <w:bCs/>
          <w:szCs w:val="21"/>
          <w:highlight w:val="none"/>
        </w:rPr>
      </w:r>
      <w:r/>
    </w:p>
    <w:p>
      <w:pPr>
        <w:pStyle w:val="1047"/>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投标文件的资格性检查。</w:t>
      </w:r>
      <w:r>
        <w:rPr>
          <w:rFonts w:hint="eastAsia" w:ascii="宋体" w:hAnsi="宋体" w:eastAsia="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highlight w:val="none"/>
        </w:rPr>
      </w:r>
      <w:r/>
    </w:p>
    <w:p>
      <w:pPr>
        <w:pStyle w:val="1047"/>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投标人在“苏采云”系统规定的时间内未成功解密电子投标文件的；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投标人未按照招标文件要求上传电子投标文件的；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同一投标人提交两个（含两个）以上不同的投标报价的；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投标文件未按照招标文件要求加盖电子公章的；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不具备招标文件中规定的资格要求的；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报价超过招标文件中规定的预算金额或者最高限价的；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投标文件含有采购人不能接受的附加条件的；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投标文件内容不全或不符合招标文件中规定的其他实质性要求的；</w:t>
      </w:r>
      <w:r>
        <w:rPr>
          <w:rFonts w:hint="eastAsia" w:ascii="宋体" w:hAnsi="宋体" w:eastAsia="宋体" w:cs="宋体"/>
          <w:b/>
          <w:szCs w:val="21"/>
          <w:highlight w:val="none"/>
        </w:rPr>
      </w:r>
      <w:r/>
    </w:p>
    <w:p>
      <w:pPr>
        <w:pStyle w:val="1047"/>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现行法律、法规、规章和招标文件规定的其他无效情形。</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实质性要求是指本招标文件中用带星号（“★”）等或者其他明确要求的废标的商务和技术要求。</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szCs w:val="21"/>
          <w:highlight w:val="none"/>
        </w:rPr>
      </w:r>
      <w:r/>
    </w:p>
    <w:p>
      <w:pPr>
        <w:pStyle w:val="1047"/>
        <w:numPr>
          <w:ilvl w:val="0"/>
          <w:numId w:val="33"/>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有下列情形之一的予以废标：</w:t>
      </w:r>
      <w:r>
        <w:rPr>
          <w:rFonts w:hint="eastAsia" w:ascii="宋体" w:hAnsi="宋体" w:eastAsia="宋体" w:cs="宋体"/>
          <w:b/>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符合专业条件的投标人或者对招标文件作实质性响应的投标人不足三家的；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出现影响采购公正的违法、违规行为的；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投标人的报价均超过了采购预算，采购人不能支付的；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因苏采云系统故障造成开标不成功的；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因重大变故，采购任务取消的。</w:t>
      </w:r>
      <w:r>
        <w:rPr>
          <w:rFonts w:hint="eastAsia" w:ascii="宋体" w:hAnsi="宋体" w:eastAsia="宋体" w:cs="宋体"/>
          <w:szCs w:val="21"/>
          <w:highlight w:val="none"/>
        </w:rPr>
      </w:r>
      <w:r/>
    </w:p>
    <w:p>
      <w:pPr>
        <w:pStyle w:val="1047"/>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szCs w:val="21"/>
          <w:highlight w:val="none"/>
        </w:rPr>
      </w:r>
      <w:r/>
    </w:p>
    <w:p>
      <w:pPr>
        <w:pStyle w:val="1047"/>
        <w:numPr>
          <w:ilvl w:val="0"/>
          <w:numId w:val="31"/>
        </w:numPr>
        <w:ind w:firstLine="422"/>
        <w:rPr>
          <w:rFonts w:hint="eastAsia" w:ascii="宋体" w:hAnsi="宋体" w:eastAsia="宋体" w:cs="宋体"/>
          <w:szCs w:val="21"/>
          <w:highlight w:val="none"/>
          <w:lang w:eastAsia="en-US"/>
        </w:rPr>
      </w:pPr>
      <w:r>
        <w:rPr>
          <w:rFonts w:hint="eastAsia" w:ascii="宋体" w:hAnsi="宋体" w:eastAsia="宋体" w:cs="宋体"/>
          <w:b/>
          <w:szCs w:val="21"/>
          <w:highlight w:val="none"/>
          <w:lang w:eastAsia="en-US"/>
        </w:rPr>
        <w:t xml:space="preserve">澄清有关问题</w:t>
      </w:r>
      <w:r>
        <w:rPr>
          <w:rFonts w:hint="eastAsia" w:ascii="宋体" w:hAnsi="宋体" w:eastAsia="宋体" w:cs="宋体"/>
          <w:szCs w:val="21"/>
          <w:highlight w:val="none"/>
          <w:lang w:eastAsia="en-US"/>
        </w:rPr>
        <w:t xml:space="preserve">。</w:t>
      </w:r>
      <w:r>
        <w:rPr>
          <w:rFonts w:hint="eastAsia" w:ascii="宋体" w:hAnsi="宋体" w:eastAsia="宋体" w:cs="宋体"/>
          <w:szCs w:val="21"/>
          <w:highlight w:val="none"/>
          <w:lang w:eastAsia="en-US"/>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评委会并非对每个投标人都作出澄清要求。</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接到评委会澄清、说明和补正要求的，投标人如未按规定作出澄清、说明和补正，其风险由投标人自行承担。</w:t>
      </w:r>
      <w:r>
        <w:rPr>
          <w:rFonts w:hint="eastAsia" w:ascii="宋体" w:hAnsi="宋体" w:eastAsia="宋体" w:cs="宋体"/>
          <w:szCs w:val="21"/>
          <w:highlight w:val="none"/>
        </w:rPr>
      </w:r>
      <w:r/>
    </w:p>
    <w:p>
      <w:pPr>
        <w:pStyle w:val="1047"/>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highlight w:val="none"/>
        </w:rPr>
      </w:r>
      <w:r/>
    </w:p>
    <w:p>
      <w:pPr>
        <w:pStyle w:val="1047"/>
        <w:numPr>
          <w:ilvl w:val="0"/>
          <w:numId w:val="3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highlight w:val="none"/>
        </w:rPr>
      </w:r>
      <w:r/>
    </w:p>
    <w:p>
      <w:pPr>
        <w:pStyle w:val="1047"/>
        <w:numPr>
          <w:ilvl w:val="0"/>
          <w:numId w:val="31"/>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相同品牌产品的投标</w:t>
      </w:r>
      <w:r>
        <w:rPr>
          <w:rFonts w:hint="eastAsia" w:ascii="宋体" w:hAnsi="宋体" w:eastAsia="宋体" w:cs="宋体"/>
          <w:szCs w:val="21"/>
          <w:highlight w:val="none"/>
          <w:lang w:eastAsia="en-US"/>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highlight w:val="none"/>
        </w:rPr>
      </w:r>
      <w:r/>
    </w:p>
    <w:p>
      <w:pPr>
        <w:pStyle w:val="1047"/>
        <w:ind w:left="118" w:firstLine="422"/>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highlight w:val="none"/>
        </w:rPr>
      </w:r>
      <w:r/>
    </w:p>
    <w:p>
      <w:pPr>
        <w:pStyle w:val="1047"/>
        <w:ind w:left="118" w:firstLine="422"/>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highlight w:val="none"/>
        </w:rPr>
      </w:r>
      <w:r/>
    </w:p>
    <w:p>
      <w:pPr>
        <w:pStyle w:val="1047"/>
        <w:numPr>
          <w:ilvl w:val="0"/>
          <w:numId w:val="28"/>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评标方法和标准</w:t>
      </w:r>
      <w:r>
        <w:rPr>
          <w:rFonts w:hint="eastAsia" w:ascii="宋体" w:hAnsi="宋体" w:eastAsia="宋体" w:cs="宋体"/>
          <w:b/>
          <w:bCs/>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22.3.2评审过程中出现下列情形之一的，评审委员会应当启动异常低价投标(响应)审查程序:</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（3）投标（响应）报价低于采购项目最高限价45%的，即投标（响应）报价&lt;采购项目最高限价×45%；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（4）评审委员会基于专业判断，认为供应商报价过低，有可能影响产品质量或者不能诚信履约的其他情形。 </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7" w:name="_Toc209510691"/>
      <w:r>
        <w:rPr>
          <w:rFonts w:hint="eastAsia" w:ascii="宋体" w:hAnsi="宋体" w:eastAsia="宋体" w:cs="宋体"/>
          <w:b/>
          <w:bCs/>
          <w:szCs w:val="21"/>
          <w:highlight w:val="none"/>
        </w:rPr>
        <w:t xml:space="preserve">确定中标人</w:t>
      </w:r>
      <w:bookmarkEnd w:id="77"/>
      <w:r>
        <w:rPr>
          <w:rFonts w:hint="eastAsia" w:ascii="宋体" w:hAnsi="宋体" w:eastAsia="宋体" w:cs="宋体"/>
          <w:b/>
          <w:bCs/>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按以下第（2）种方式确定中标人：</w:t>
      </w:r>
      <w:r>
        <w:rPr>
          <w:rFonts w:hint="eastAsia" w:ascii="宋体" w:hAnsi="宋体" w:eastAsia="宋体" w:cs="宋体"/>
          <w:szCs w:val="21"/>
          <w:highlight w:val="none"/>
        </w:rPr>
      </w:r>
      <w:r/>
    </w:p>
    <w:p>
      <w:pPr>
        <w:pStyle w:val="1047"/>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评委会直接确定排名第一的中标候选人为中标人；</w:t>
      </w:r>
      <w:r>
        <w:rPr>
          <w:rFonts w:hint="eastAsia" w:ascii="宋体" w:hAnsi="宋体" w:eastAsia="宋体" w:cs="宋体"/>
          <w:szCs w:val="21"/>
          <w:highlight w:val="none"/>
        </w:rPr>
      </w:r>
      <w:r/>
    </w:p>
    <w:p>
      <w:pPr>
        <w:pStyle w:val="1047"/>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采购人在评委会推荐的中标候选人中按顺序确定中标人。</w:t>
      </w:r>
      <w:r>
        <w:rPr>
          <w:rFonts w:hint="eastAsia" w:ascii="宋体" w:hAnsi="宋体" w:eastAsia="宋体" w:cs="宋体"/>
          <w:szCs w:val="21"/>
          <w:highlight w:val="none"/>
        </w:rPr>
      </w:r>
      <w:r/>
    </w:p>
    <w:p>
      <w:pPr>
        <w:pStyle w:val="1047"/>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highlight w:val="none"/>
        </w:rPr>
      </w:r>
      <w:r/>
    </w:p>
    <w:p>
      <w:pPr>
        <w:pStyle w:val="1047"/>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中标人确定后，将在“江苏政府采购网”发布中标公告，公告期限为1个工作日。</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8" w:name="_Toc209510692"/>
      <w:r>
        <w:rPr>
          <w:rFonts w:hint="eastAsia" w:ascii="宋体" w:hAnsi="宋体" w:eastAsia="宋体" w:cs="宋体"/>
          <w:b/>
          <w:bCs/>
          <w:szCs w:val="21"/>
          <w:highlight w:val="none"/>
        </w:rPr>
        <w:t xml:space="preserve">中标通知书</w:t>
      </w:r>
      <w:bookmarkEnd w:id="78"/>
      <w:r>
        <w:rPr>
          <w:rFonts w:hint="eastAsia" w:ascii="宋体" w:hAnsi="宋体" w:eastAsia="宋体" w:cs="宋体"/>
          <w:b/>
          <w:bCs/>
          <w:szCs w:val="21"/>
          <w:highlight w:val="none"/>
        </w:rPr>
      </w:r>
      <w:r/>
    </w:p>
    <w:p>
      <w:pPr>
        <w:pStyle w:val="1047"/>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highlight w:val="none"/>
        </w:rPr>
      </w:r>
      <w:r/>
    </w:p>
    <w:p>
      <w:pPr>
        <w:pStyle w:val="1047"/>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highlight w:val="none"/>
        </w:rPr>
      </w:r>
      <w:r/>
    </w:p>
    <w:p>
      <w:pPr>
        <w:pStyle w:val="1047"/>
        <w:numPr>
          <w:ilvl w:val="0"/>
          <w:numId w:val="26"/>
        </w:numPr>
        <w:ind w:firstLine="422"/>
        <w:rPr>
          <w:rFonts w:hint="eastAsia" w:ascii="宋体" w:hAnsi="宋体" w:eastAsia="宋体" w:cs="宋体"/>
          <w:b/>
          <w:bCs/>
          <w:szCs w:val="21"/>
          <w:highlight w:val="none"/>
        </w:rPr>
      </w:pPr>
      <w:r/>
      <w:bookmarkStart w:id="79" w:name="_Toc209510693"/>
      <w:r>
        <w:rPr>
          <w:rFonts w:hint="eastAsia" w:ascii="宋体" w:hAnsi="宋体" w:eastAsia="宋体" w:cs="宋体"/>
          <w:b/>
          <w:bCs/>
          <w:szCs w:val="21"/>
          <w:highlight w:val="none"/>
        </w:rPr>
        <w:t xml:space="preserve">评标过程的保密性</w:t>
      </w:r>
      <w:bookmarkEnd w:id="79"/>
      <w:r>
        <w:rPr>
          <w:rFonts w:hint="eastAsia" w:ascii="宋体" w:hAnsi="宋体" w:eastAsia="宋体" w:cs="宋体"/>
          <w:b/>
          <w:bCs/>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凡是与审查、澄清、评价和比较投标有关的资料以及投标建议等，采购人、评委均不得向投标人或与评标无关的其他人员透露。</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投标人不得以任何方式影响评标，否则其投标文件将被作为无效投标文件。</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采购人和评委会不向未中标的投标人解释未中标原因，也不公布评标过程中的相关细节。</w:t>
      </w:r>
      <w:r>
        <w:rPr>
          <w:rFonts w:hint="eastAsia" w:ascii="宋体" w:hAnsi="宋体" w:eastAsia="宋体" w:cs="宋体"/>
          <w:szCs w:val="21"/>
          <w:highlight w:val="none"/>
        </w:rPr>
      </w:r>
      <w:r/>
    </w:p>
    <w:p>
      <w:pPr>
        <w:pStyle w:val="1047"/>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80" w:name="_Toc7293"/>
      <w:r/>
      <w:bookmarkStart w:id="81" w:name="_Toc464"/>
      <w:r/>
      <w:bookmarkStart w:id="82" w:name="_Toc22453"/>
      <w:r/>
      <w:bookmarkStart w:id="83" w:name="_Toc209510620"/>
      <w:r/>
      <w:bookmarkStart w:id="84" w:name="_Toc17865"/>
      <w:r/>
      <w:bookmarkStart w:id="85" w:name="_Toc15223"/>
      <w:r/>
      <w:bookmarkStart w:id="86" w:name="_Toc7387"/>
      <w:r/>
      <w:bookmarkStart w:id="87" w:name="_Toc209510694"/>
      <w:r>
        <w:rPr>
          <w:rFonts w:hint="eastAsia" w:ascii="宋体" w:hAnsi="宋体" w:eastAsia="宋体" w:cs="宋体"/>
          <w:b/>
          <w:bCs/>
          <w:szCs w:val="21"/>
          <w:highlight w:val="none"/>
        </w:rPr>
        <w:t xml:space="preserve">签订合同</w:t>
      </w:r>
      <w:bookmarkEnd w:id="80"/>
      <w:r/>
      <w:bookmarkEnd w:id="81"/>
      <w:r/>
      <w:bookmarkEnd w:id="82"/>
      <w:r/>
      <w:bookmarkEnd w:id="83"/>
      <w:r/>
      <w:bookmarkEnd w:id="84"/>
      <w:r/>
      <w:bookmarkEnd w:id="85"/>
      <w:r/>
      <w:bookmarkEnd w:id="86"/>
      <w:r/>
      <w:bookmarkEnd w:id="87"/>
      <w:r>
        <w:rPr>
          <w:rFonts w:hint="eastAsia" w:ascii="宋体" w:hAnsi="宋体" w:eastAsia="宋体" w:cs="宋体"/>
          <w:b/>
          <w:bCs/>
          <w:szCs w:val="21"/>
          <w:highlight w:val="none"/>
        </w:rPr>
      </w:r>
      <w:r/>
    </w:p>
    <w:p>
      <w:pPr>
        <w:pStyle w:val="1047"/>
        <w:ind w:firstLine="422"/>
        <w:rPr>
          <w:rFonts w:hint="eastAsia" w:ascii="宋体" w:hAnsi="宋体" w:eastAsia="宋体" w:cs="宋体"/>
          <w:b/>
          <w:bCs/>
          <w:szCs w:val="21"/>
          <w:highlight w:val="none"/>
        </w:rPr>
      </w:pPr>
      <w:r/>
      <w:bookmarkStart w:id="88" w:name="_Toc209510695"/>
      <w:r>
        <w:rPr>
          <w:rFonts w:hint="eastAsia" w:ascii="宋体" w:hAnsi="宋体" w:eastAsia="宋体" w:cs="宋体"/>
          <w:b/>
          <w:bCs/>
          <w:szCs w:val="21"/>
          <w:highlight w:val="none"/>
        </w:rPr>
        <w:t xml:space="preserve">26、签订合同</w:t>
      </w:r>
      <w:bookmarkEnd w:id="88"/>
      <w:r>
        <w:rPr>
          <w:rFonts w:hint="eastAsia" w:ascii="宋体" w:hAnsi="宋体" w:eastAsia="宋体" w:cs="宋体"/>
          <w:b/>
          <w:bCs/>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中标人应当在《中标通知书》发出之日起三十日内，按照招标文件确定的事项与采购人签订政府采购合同。</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招标文件、中标人的投标文件及招标过程中有关澄清、承诺文件均作为合同附件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highlight w:val="none"/>
        </w:rPr>
      </w:r>
      <w:r/>
    </w:p>
    <w:p>
      <w:pPr>
        <w:pStyle w:val="1047"/>
        <w:numPr>
          <w:ilvl w:val="0"/>
          <w:numId w:val="4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采购人与中标人应当根据合同的约定依法履行合同义务。</w:t>
      </w:r>
      <w:r>
        <w:rPr>
          <w:rFonts w:hint="eastAsia" w:ascii="宋体" w:hAnsi="宋体" w:eastAsia="宋体" w:cs="宋体"/>
          <w:szCs w:val="21"/>
          <w:highlight w:val="none"/>
        </w:rPr>
      </w:r>
      <w:r/>
    </w:p>
    <w:p>
      <w:pPr>
        <w:pStyle w:val="1047"/>
        <w:numPr>
          <w:ilvl w:val="0"/>
          <w:numId w:val="5"/>
        </w:numPr>
        <w:ind w:firstLine="422"/>
        <w:rPr>
          <w:rFonts w:hint="eastAsia" w:ascii="宋体" w:hAnsi="宋体" w:eastAsia="宋体" w:cs="宋体"/>
          <w:b/>
          <w:bCs/>
          <w:szCs w:val="21"/>
          <w:highlight w:val="none"/>
        </w:rPr>
        <w:outlineLvl w:val="1"/>
      </w:pPr>
      <w:r/>
      <w:bookmarkStart w:id="89" w:name="_Toc28967"/>
      <w:r/>
      <w:bookmarkStart w:id="90" w:name="_Toc24959"/>
      <w:r/>
      <w:bookmarkStart w:id="91" w:name="_Toc209510696"/>
      <w:r/>
      <w:bookmarkStart w:id="92" w:name="_Toc32328"/>
      <w:r/>
      <w:bookmarkStart w:id="93" w:name="_Toc8885"/>
      <w:r/>
      <w:bookmarkStart w:id="94" w:name="_Toc209510621"/>
      <w:r/>
      <w:bookmarkStart w:id="95" w:name="_Toc10685"/>
      <w:r/>
      <w:bookmarkStart w:id="96" w:name="_Toc22926"/>
      <w:r>
        <w:rPr>
          <w:rFonts w:hint="eastAsia" w:ascii="宋体" w:hAnsi="宋体" w:eastAsia="宋体" w:cs="宋体"/>
          <w:b/>
          <w:bCs/>
          <w:szCs w:val="21"/>
          <w:highlight w:val="none"/>
        </w:rPr>
        <w:t xml:space="preserve">质疑和投诉</w:t>
      </w:r>
      <w:bookmarkEnd w:id="89"/>
      <w:r/>
      <w:bookmarkEnd w:id="90"/>
      <w:r/>
      <w:bookmarkEnd w:id="91"/>
      <w:r/>
      <w:bookmarkEnd w:id="92"/>
      <w:r/>
      <w:bookmarkEnd w:id="93"/>
      <w:r/>
      <w:bookmarkEnd w:id="94"/>
      <w:r/>
      <w:bookmarkEnd w:id="95"/>
      <w:r/>
      <w:bookmarkEnd w:id="96"/>
      <w:r>
        <w:rPr>
          <w:rFonts w:hint="eastAsia" w:ascii="宋体" w:hAnsi="宋体" w:eastAsia="宋体" w:cs="宋体"/>
          <w:b/>
          <w:bCs/>
          <w:szCs w:val="21"/>
          <w:highlight w:val="none"/>
        </w:rPr>
      </w:r>
      <w:r/>
    </w:p>
    <w:p>
      <w:pPr>
        <w:pStyle w:val="1047"/>
        <w:ind w:firstLine="422"/>
        <w:rPr>
          <w:rFonts w:hint="eastAsia" w:ascii="宋体" w:hAnsi="宋体" w:eastAsia="宋体" w:cs="宋体"/>
          <w:b/>
          <w:bCs/>
          <w:szCs w:val="21"/>
          <w:highlight w:val="none"/>
        </w:rPr>
      </w:pPr>
      <w:r/>
      <w:bookmarkStart w:id="97" w:name="_Toc7947"/>
      <w:r/>
      <w:bookmarkStart w:id="98" w:name="_Toc209510697"/>
      <w:r/>
      <w:bookmarkStart w:id="99" w:name="_Toc209510622"/>
      <w:r/>
      <w:bookmarkStart w:id="100" w:name="_Toc29346"/>
      <w:r>
        <w:rPr>
          <w:rFonts w:hint="eastAsia" w:ascii="宋体" w:hAnsi="宋体" w:eastAsia="宋体" w:cs="宋体"/>
          <w:b/>
          <w:bCs/>
          <w:szCs w:val="21"/>
          <w:highlight w:val="none"/>
        </w:rPr>
        <w:t xml:space="preserve">27.询问</w:t>
      </w:r>
      <w:bookmarkEnd w:id="97"/>
      <w:r/>
      <w:bookmarkEnd w:id="98"/>
      <w:r/>
      <w:bookmarkEnd w:id="99"/>
      <w:r/>
      <w:bookmarkEnd w:id="100"/>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highlight w:val="none"/>
        </w:rPr>
      </w:r>
      <w:r/>
    </w:p>
    <w:p>
      <w:pPr>
        <w:pStyle w:val="1047"/>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28.质疑</w:t>
      </w:r>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28.1供应商的质疑行为应符合《政府采购质疑和投诉办法》（财政部令第94号）相关规定，质疑供应商是指直接参加本次采购活动的供应商，对未参加采购活动的供应商或在采购活动中自身权益未受到损害的供应商所提出的质疑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28.3上述应知其权益受到损害之日是指：</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（1）对招标文件提出质疑的，自招标文件公告期限届满之日起计算；</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（2）对采购过程提出质疑的，自采购程序环节结束之日起计算；</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（3）对中标/成交结果提出质疑的，自中标/成交结果公告期限届满之日起计算。  </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28.4 质疑文件应包括以下主要内容，并按照“谁主张、谁举证”的原则，附上相关证明材料。否则，代理人不予受理：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（1）质疑项目名称、项目编号、采购公告发布时间、开标时间；</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（2）提起质疑的日期、具体的质疑事项及事实根据（具体条款）；</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（3）认为自己合法权益受到损害或可能受到损害的相关证据材料。</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（4）质疑供应商名称、地址、邮编、联系人、联系电话（包括座机、手机、传真号码等）；</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（6）供应商委托代理质疑的，应当提交授权委托书，并载明委托代理的具体权限和事项。</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28.5质疑材料接收信息：</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（3）联系电话：025-84795433/5991</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28.6 以下情形的质疑不予受理</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（1）内容不符合《政府采购质疑和投诉办法》第十二条规定的质疑。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（2）超出政府采购法定期限的质疑。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（3）以传真、电子邮件等方式递交的非原件形式的质疑。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（4）未参加采购活动的供应商或在采购活动中自身权益未受到损害的供应商所提出的质疑。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（5）供应商组成联合体参加投标，联合体中任何一方或多方未按要求签字、盖章、加盖公章的质疑。</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highlight w:val="none"/>
        </w:rPr>
      </w:r>
      <w:r/>
    </w:p>
    <w:p>
      <w:pPr>
        <w:pStyle w:val="1047"/>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29.投诉</w:t>
      </w:r>
      <w:r>
        <w:rPr>
          <w:rFonts w:hint="eastAsia" w:ascii="宋体" w:hAnsi="宋体" w:eastAsia="宋体" w:cs="宋体"/>
          <w:b/>
          <w:bCs/>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highlight w:val="none"/>
        </w:rPr>
      </w:r>
      <w:r/>
    </w:p>
    <w:p>
      <w:pPr>
        <w:pStyle w:val="1047"/>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29.2质疑供应商的投诉应当有明确的请求和必要的证明材料，其投诉的事项不得超出已质疑事项的范围。</w:t>
      </w:r>
      <w:r>
        <w:rPr>
          <w:rFonts w:hint="eastAsia" w:ascii="宋体" w:hAnsi="宋体" w:eastAsia="宋体" w:cs="宋体"/>
          <w:szCs w:val="21"/>
          <w:highlight w:val="none"/>
        </w:rPr>
      </w:r>
      <w:r/>
    </w:p>
    <w:p>
      <w:pPr>
        <w:pStyle w:val="1047"/>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r>
      <w:r/>
    </w:p>
    <w:p>
      <w:pPr>
        <w:pStyle w:val="1048"/>
        <w:ind w:firstLine="0"/>
        <w:spacing w:before="480"/>
        <w:tabs>
          <w:tab w:val="left" w:pos="1440" w:leader="none"/>
          <w:tab w:val="left" w:pos="5670" w:leader="none"/>
        </w:tabs>
        <w:rPr>
          <w:rFonts w:hint="eastAsia" w:ascii="宋体" w:hAnsi="宋体" w:eastAsia="宋体" w:cs="宋体"/>
          <w:highlight w:val="none"/>
        </w:rPr>
      </w:pPr>
      <w:r/>
      <w:bookmarkStart w:id="101" w:name="_Toc14754"/>
      <w:r>
        <w:rPr>
          <w:rFonts w:hint="eastAsia" w:ascii="宋体" w:hAnsi="宋体" w:eastAsia="宋体" w:cs="宋体"/>
          <w:highlight w:val="none"/>
        </w:rPr>
        <w:t xml:space="preserve">第三章 评分标准</w:t>
      </w:r>
      <w:bookmarkEnd w:id="30"/>
      <w:r/>
      <w:bookmarkEnd w:id="31"/>
      <w:r/>
      <w:bookmarkEnd w:id="101"/>
      <w:r>
        <w:rPr>
          <w:rFonts w:hint="eastAsia" w:ascii="宋体" w:hAnsi="宋体" w:eastAsia="宋体" w:cs="宋体"/>
          <w:highlight w:val="none"/>
        </w:rPr>
      </w:r>
      <w:r/>
    </w:p>
    <w:p>
      <w:pPr>
        <w:pStyle w:val="1047"/>
        <w:ind w:firstLine="440"/>
        <w:rPr>
          <w:rFonts w:hint="eastAsia" w:ascii="宋体" w:hAnsi="宋体" w:eastAsia="宋体" w:cs="宋体"/>
          <w:sz w:val="22"/>
          <w:szCs w:val="22"/>
          <w:highlight w:val="none"/>
        </w:rPr>
      </w:pPr>
      <w:r/>
      <w:bookmarkStart w:id="102"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1047"/>
        <w:ind w:firstLine="442"/>
        <w:rPr>
          <w:rFonts w:hint="eastAsia" w:ascii="宋体" w:hAnsi="宋体" w:eastAsia="宋体" w:cs="宋体"/>
          <w:sz w:val="22"/>
          <w:szCs w:val="22"/>
          <w:highlight w:val="none"/>
        </w:rPr>
      </w:pPr>
      <w:r/>
      <w:bookmarkEnd w:id="102"/>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1047"/>
        <w:ind w:firstLine="442"/>
        <w:rPr>
          <w:rFonts w:hint="eastAsia" w:ascii="宋体" w:hAnsi="宋体" w:eastAsia="宋体" w:cs="宋体"/>
          <w:b/>
          <w:sz w:val="22"/>
          <w:szCs w:val="22"/>
          <w:highlight w:val="none"/>
        </w:rPr>
        <w:outlineLvl w:val="1"/>
      </w:pPr>
      <w:r/>
      <w:bookmarkStart w:id="103" w:name="_Toc738"/>
      <w:r>
        <w:rPr>
          <w:rFonts w:hint="eastAsia" w:ascii="宋体" w:hAnsi="宋体" w:eastAsia="宋体" w:cs="宋体"/>
          <w:b/>
          <w:sz w:val="22"/>
          <w:szCs w:val="22"/>
          <w:highlight w:val="none"/>
        </w:rPr>
        <w:t xml:space="preserve">一、资格性审查</w:t>
      </w:r>
      <w:bookmarkEnd w:id="103"/>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47"/>
        <w:ind w:firstLine="442"/>
        <w:rPr>
          <w:rFonts w:hint="eastAsia" w:ascii="宋体" w:hAnsi="宋体" w:eastAsia="宋体" w:cs="宋体"/>
          <w:b/>
          <w:sz w:val="22"/>
          <w:szCs w:val="22"/>
          <w:highlight w:val="none"/>
        </w:rPr>
        <w:outlineLvl w:val="1"/>
      </w:pPr>
      <w:r/>
      <w:bookmarkStart w:id="104" w:name="_Toc9897"/>
      <w:r>
        <w:rPr>
          <w:rFonts w:hint="eastAsia" w:ascii="宋体" w:hAnsi="宋体" w:eastAsia="宋体" w:cs="宋体"/>
          <w:b/>
          <w:sz w:val="22"/>
          <w:szCs w:val="22"/>
          <w:highlight w:val="none"/>
        </w:rPr>
        <w:t xml:space="preserve">二、符合性审查</w:t>
      </w:r>
      <w:bookmarkEnd w:id="104"/>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47"/>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1047"/>
        <w:ind w:firstLine="442"/>
        <w:rPr>
          <w:rFonts w:hint="eastAsia" w:ascii="宋体" w:hAnsi="宋体" w:eastAsia="宋体" w:cs="宋体"/>
          <w:b/>
          <w:sz w:val="22"/>
          <w:szCs w:val="22"/>
          <w:highlight w:val="none"/>
        </w:rPr>
        <w:outlineLvl w:val="1"/>
      </w:pPr>
      <w:r/>
      <w:bookmarkStart w:id="105" w:name="_Toc7288"/>
      <w:r/>
      <w:bookmarkStart w:id="106" w:name="_Toc10350"/>
      <w:r>
        <w:rPr>
          <w:rFonts w:hint="eastAsia" w:ascii="宋体" w:hAnsi="宋体" w:eastAsia="宋体" w:cs="宋体"/>
          <w:b/>
          <w:sz w:val="22"/>
          <w:szCs w:val="22"/>
          <w:highlight w:val="none"/>
        </w:rPr>
        <w:t xml:space="preserve">三、异常低价投标（响应）审查</w:t>
      </w:r>
      <w:bookmarkEnd w:id="105"/>
      <w:r/>
      <w:bookmarkEnd w:id="106"/>
      <w:r>
        <w:rPr>
          <w:rFonts w:hint="eastAsia" w:ascii="宋体" w:hAnsi="宋体" w:eastAsia="宋体" w:cs="宋体"/>
          <w:b/>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（3）投标（响应）报价低于采购项目最高限价45%的，即投标（响应）报价&lt;采购项目最高限价×45%；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1047"/>
        <w:numPr>
          <w:ilvl w:val="0"/>
          <w:numId w:val="41"/>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outlineLvl w:val="1"/>
      </w:pPr>
      <w:r/>
      <w:bookmarkStart w:id="107" w:name="_Toc28697"/>
      <w:r>
        <w:rPr>
          <w:rFonts w:hint="eastAsia" w:ascii="宋体" w:hAnsi="宋体" w:eastAsia="宋体" w:cs="宋体"/>
          <w:b/>
          <w:sz w:val="22"/>
          <w:szCs w:val="22"/>
          <w:highlight w:val="none"/>
        </w:rPr>
        <w:t xml:space="preserve">四、评分表（综合评分法）</w:t>
      </w:r>
      <w:bookmarkEnd w:id="107"/>
      <w:r>
        <w:rPr>
          <w:rFonts w:hint="eastAsia" w:ascii="宋体" w:hAnsi="宋体" w:eastAsia="宋体" w:cs="宋体"/>
          <w:b/>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06"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968"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57" w:type="dxa"/>
            <w:vAlign w:val="center"/>
            <w:textDirection w:val="lrTb"/>
            <w:noWrap/>
          </w:tcPr>
          <w:p>
            <w:pPr>
              <w:pStyle w:val="1047"/>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406" w:type="dxa"/>
            <w:vAlign w:val="center"/>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技术响应（</w:t>
            </w:r>
            <w:r>
              <w:rPr>
                <w:rFonts w:ascii="宋体" w:hAnsi="宋体" w:eastAsia="宋体" w:cs="宋体"/>
                <w:szCs w:val="21"/>
                <w:highlight w:val="none"/>
              </w:rPr>
              <w:t xml:space="preserve">43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设备技术参数及商务要求全部满足招标要求的得满分3</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在此基础上，招标文件中标注“</w:t>
            </w:r>
            <w:r>
              <w:rPr>
                <w:rFonts w:hint="eastAsia" w:ascii="宋体" w:hAnsi="宋体" w:eastAsia="宋体" w:cs="宋体"/>
                <w:szCs w:val="21"/>
                <w:highlight w:val="none"/>
              </w:rPr>
              <w:t xml:space="preserve">★”的</w:t>
            </w:r>
            <w:r>
              <w:rPr>
                <w:rFonts w:hint="eastAsia" w:ascii="宋体" w:hAnsi="宋体" w:eastAsia="宋体" w:cs="宋体"/>
                <w:b/>
                <w:bCs/>
                <w:szCs w:val="21"/>
                <w:highlight w:val="none"/>
              </w:rPr>
              <w:t xml:space="preserve">条款为实质性要求，有一项负偏离，作无效投标处理。</w:t>
            </w:r>
            <w:r>
              <w:rPr>
                <w:rFonts w:ascii="宋体" w:hAnsi="宋体" w:eastAsia="宋体" w:cs="宋体"/>
                <w:b/>
                <w:bCs/>
                <w:szCs w:val="21"/>
                <w:highlight w:val="none"/>
              </w:rPr>
              <w:t xml:space="preserve">招标文件中标注“▲”的为重要参数，每负偏离一项扣</w:t>
            </w:r>
            <w:r>
              <w:rPr>
                <w:rFonts w:hint="eastAsia" w:ascii="宋体" w:hAnsi="宋体" w:eastAsia="宋体"/>
                <w:b/>
                <w:highlight w:val="none"/>
                <w:lang w:val="en-US" w:eastAsia="zh-CN"/>
              </w:rPr>
              <w:t xml:space="preserve">3</w:t>
            </w:r>
            <w:r>
              <w:rPr>
                <w:rFonts w:ascii="宋体" w:hAnsi="宋体" w:eastAsia="宋体" w:cs="宋体"/>
                <w:b/>
                <w:bCs/>
                <w:szCs w:val="21"/>
                <w:highlight w:val="none"/>
              </w:rPr>
              <w:t xml:space="preserve">分</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其他非重要技术条款每有一项负偏离扣0.75分，扣完为止。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szCs w:val="21"/>
                <w:highlight w:val="none"/>
              </w:rPr>
              <w:t xml:space="preserve">所有对招标文件标注</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★”和</w:t>
            </w:r>
            <w:r>
              <w:rPr>
                <w:rFonts w:ascii="宋体" w:hAnsi="宋体" w:eastAsia="宋体" w:cs="宋体"/>
                <w:b/>
                <w:bCs/>
                <w:szCs w:val="21"/>
                <w:highlight w:val="none"/>
              </w:rPr>
              <w:t xml:space="preserve">“▲”</w:t>
            </w:r>
            <w:r>
              <w:rPr>
                <w:rFonts w:hint="eastAsia" w:ascii="宋体" w:hAnsi="宋体" w:eastAsia="宋体" w:cs="宋体"/>
                <w:b/>
                <w:szCs w:val="21"/>
                <w:highlight w:val="none"/>
              </w:rPr>
              <w:t xml:space="preserve">的具体要求、参数、数值指标的响应，要求投标供应商必须在投标文件中提供技术支持资料（技术支持资料种类以文件第四章要求为准，如无特殊要求，则为能明确说明该技术内容的公开发行的手册、彩页、官网截图、功能页面截图、检测报告、白皮书等）。</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产品科研前瞻性、可升级性：</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根据供应商提供产品的科研前瞻性、整机设备迭代升级拓展能力及对应佐证材料综合评审：</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提供完整、真实有效的证明材料，产品科研行业前瞻优势突出，软硬件架构开放性强，具备长期迭代、模块化升级、功能拓展、兼容新一代科研配套设备等成熟落地条件，前瞻性与可升级性表现优异的得4分；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已提供有效佐证材料，产品科研前瞻性、整机可升级性二者其一表现良好，另一项水平普通，整体拓展升级空间常规，无明显短板但无突出领先优势的得2分；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已提供佐证材料，但产品科研前瞻性偏弱，或是整机硬件、系统架构固化严重，升级改造难度高、拓展空间狭小的得1分；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未提供任何有效佐证材料；或产品无科研前瞻设计、整机完全不支持后期升级拓展不得分。</w:t>
            </w:r>
            <w:r>
              <w:rPr>
                <w:rFonts w:hint="eastAsia" w:ascii="宋体" w:hAnsi="宋体" w:eastAsia="宋体" w:cs="宋体"/>
                <w:b/>
                <w:bCs/>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cantSplit/>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评委根据投标文件中产品技术方案进行打分：</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highlight w:val="none"/>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未提供本项对应的产品技术方案、材质说明、制造工艺等相关响应资料的，本项不得分。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评委根据投标文件中实施方案的内容（</w:t>
            </w:r>
            <w:r>
              <w:rPr>
                <w:rFonts w:hint="eastAsia" w:ascii="宋体" w:hAnsi="宋体" w:eastAsia="宋体" w:cs="宋体"/>
                <w:b/>
                <w:bCs/>
                <w:szCs w:val="21"/>
                <w:highlight w:val="none"/>
              </w:rPr>
              <w:t xml:space="preserve">包括但不限于项目技术方案、供货计划、质量保障措施、风险控制管理措施等）</w:t>
            </w:r>
            <w:r>
              <w:rPr>
                <w:rFonts w:hint="eastAsia" w:ascii="宋体" w:hAnsi="宋体" w:eastAsia="宋体" w:cs="宋体"/>
                <w:b/>
                <w:bCs/>
                <w:szCs w:val="21"/>
                <w:highlight w:val="none"/>
                <w:lang w:bidi="ar"/>
              </w:rPr>
              <w:t xml:space="preserve">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方案体系完整、内容详尽、落地性强，服务标准高于采购人要求，得</w:t>
            </w:r>
            <w:r>
              <w:rPr>
                <w:rFonts w:ascii="宋体" w:hAnsi="宋体" w:eastAsia="宋体" w:cs="宋体"/>
                <w:szCs w:val="21"/>
                <w:highlight w:val="none"/>
                <w:lang w:bidi="ar"/>
              </w:rPr>
              <w:t xml:space="preserve">5</w:t>
            </w:r>
            <w:r>
              <w:rPr>
                <w:rFonts w:hint="eastAsia" w:ascii="宋体" w:hAnsi="宋体" w:eastAsia="宋体" w:cs="宋体"/>
                <w:szCs w:val="21"/>
                <w:highlight w:val="none"/>
                <w:lang w:bidi="ar"/>
              </w:rPr>
              <w:t xml:space="preserve">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方案要素齐全、内容规范，可充分满足采购人各项需求，得 3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方案内容简略、表述空泛，存在内容缺失，无法完全匹配采购要求，得 1 分；</w:t>
            </w:r>
            <w:r>
              <w:rPr>
                <w:rFonts w:hint="eastAsia" w:ascii="宋体" w:hAnsi="宋体" w:eastAsia="宋体" w:cs="宋体"/>
                <w:szCs w:val="21"/>
                <w:highlight w:val="none"/>
                <w:lang w:bidi="ar"/>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投标文件未附实施方案，或方案逻辑混乱、不具备实际执行条件的，得 0 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vMerge w:val="continue"/>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1047"/>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w:t>
            </w:r>
            <w:r>
              <w:rPr>
                <w:rFonts w:ascii="宋体" w:hAnsi="宋体" w:eastAsia="宋体" w:cs="宋体"/>
                <w:bCs/>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售后服务方案完整，有明确的售后服务机构及人员、售后服务承诺、售后服务响应及处理时间，质保期内的售后服务范围、质保期满后的售后服务范围和收费情况满足</w:t>
            </w:r>
            <w:r>
              <w:rPr>
                <w:rFonts w:hint="eastAsia" w:ascii="宋体" w:hAnsi="宋体" w:eastAsia="宋体" w:cs="宋体"/>
                <w:szCs w:val="21"/>
                <w:highlight w:val="none"/>
                <w:lang w:bidi="ar"/>
              </w:rPr>
              <w:t xml:space="preserve">采购人要求，</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cantSplit/>
          <w:trHeight w:val="2529"/>
        </w:trPr>
        <w:tc>
          <w:tcPr>
            <w:tcW w:w="831"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培训内容详实丰富、科学贴合项目需求，培训形式多元灵活，方案落地性、可操作性强，培训计划详细，安排合理的，得</w:t>
            </w:r>
            <w:r>
              <w:rPr>
                <w:rFonts w:ascii="宋体" w:hAnsi="宋体" w:eastAsia="宋体" w:cs="宋体"/>
                <w:szCs w:val="21"/>
                <w:highlight w:val="none"/>
              </w:rPr>
              <w:t xml:space="preserve">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培训内容较为丰富、设置合理合规，培训形式多样，方案可操作性强，培训计划明确，满足采购人要求的，得3分；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培训内容简略单薄、合理性一般，培训形式单一固化，培训计划简单，得1分；</w:t>
            </w:r>
            <w:r>
              <w:rPr>
                <w:rFonts w:hint="eastAsia" w:ascii="宋体" w:hAnsi="宋体" w:eastAsia="宋体" w:cs="宋体"/>
                <w:szCs w:val="21"/>
                <w:highlight w:val="none"/>
              </w:rPr>
            </w:r>
            <w:r/>
          </w:p>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5</w:t>
            </w:r>
            <w:r>
              <w:rPr>
                <w:rFonts w:hint="eastAsia" w:ascii="宋体" w:hAnsi="宋体" w:eastAsia="宋体" w:cs="宋体"/>
                <w:szCs w:val="21"/>
                <w:highlight w:val="none"/>
              </w:rPr>
            </w:r>
            <w:r/>
          </w:p>
        </w:tc>
      </w:tr>
      <w:tr>
        <w:trPr>
          <w:trHeight w:val="90"/>
        </w:trPr>
        <w:tc>
          <w:tcPr>
            <w:tcW w:w="831"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06" w:type="dxa"/>
            <w:vAlign w:val="center"/>
            <w:textDirection w:val="lrTb"/>
            <w:noWrap/>
          </w:tcPr>
          <w:p>
            <w:pPr>
              <w:pStyle w:val="1047"/>
              <w:ind w:right="-263"/>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p>
            <w:pPr>
              <w:pStyle w:val="1047"/>
              <w:ind w:right="-263"/>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提供20</w:t>
            </w:r>
            <w:r>
              <w:rPr>
                <w:rFonts w:ascii="宋体" w:hAnsi="宋体" w:eastAsia="宋体" w:cs="宋体"/>
                <w:szCs w:val="21"/>
                <w:highlight w:val="none"/>
              </w:rPr>
              <w:t xml:space="preserve">23</w:t>
            </w:r>
            <w:r>
              <w:rPr>
                <w:rFonts w:hint="eastAsia" w:ascii="宋体" w:hAnsi="宋体" w:eastAsia="宋体" w:cs="宋体"/>
                <w:szCs w:val="21"/>
                <w:highlight w:val="none"/>
              </w:rPr>
              <w:t xml:space="preserve">年1月1日（含）以来，</w:t>
            </w:r>
            <w:r>
              <w:rPr>
                <w:rFonts w:hint="eastAsia" w:ascii="宋体" w:hAnsi="宋体" w:eastAsia="宋体" w:cs="宋体"/>
                <w:b/>
                <w:bCs/>
                <w:szCs w:val="21"/>
                <w:highlight w:val="none"/>
              </w:rPr>
              <w:t xml:space="preserve">投标人具有同品牌</w:t>
            </w:r>
            <w:r>
              <w:rPr>
                <w:rFonts w:hint="eastAsia" w:ascii="宋体" w:hAnsi="宋体" w:eastAsia="宋体" w:cs="宋体"/>
                <w:b/>
                <w:bCs/>
                <w:szCs w:val="21"/>
                <w:highlight w:val="none"/>
              </w:rPr>
              <w:t xml:space="preserve">同型号产品或同品牌技术指标不低于此次招标技术要求的产品</w:t>
            </w:r>
            <w:r>
              <w:rPr>
                <w:rFonts w:hint="eastAsia" w:ascii="宋体" w:hAnsi="宋体" w:eastAsia="宋体" w:cs="宋体"/>
                <w:szCs w:val="21"/>
                <w:highlight w:val="none"/>
              </w:rPr>
              <w:t xml:space="preserve">在国内的销售业绩合同。每提供一份产品销售合同得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分，最高</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b/>
                <w:bCs/>
                <w:szCs w:val="21"/>
                <w:highlight w:val="none"/>
              </w:rPr>
              <w:t xml:space="preserve">（需同时提供合同及合同对应发票复印件，发票金额可以是部分或全部金额，未提供发票或合同或合同无法反应上述信息的均不得分，原件备查）</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6</w:t>
            </w:r>
            <w:r>
              <w:rPr>
                <w:rFonts w:hint="eastAsia" w:ascii="宋体" w:hAnsi="宋体" w:eastAsia="宋体" w:cs="宋体"/>
                <w:szCs w:val="21"/>
                <w:highlight w:val="none"/>
              </w:rPr>
            </w:r>
            <w:r/>
          </w:p>
        </w:tc>
      </w:tr>
      <w:tr>
        <w:trPr>
          <w:cantSplit/>
        </w:trPr>
        <w:tc>
          <w:tcPr>
            <w:tcW w:w="831" w:type="dxa"/>
            <w:vAlign w:val="center"/>
            <w:vMerge w:val="restart"/>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1406" w:type="dxa"/>
            <w:vAlign w:val="center"/>
            <w:vMerge w:val="restart"/>
            <w:textDirection w:val="lrTb"/>
            <w:noWrap/>
          </w:tcPr>
          <w:p>
            <w:pPr>
              <w:pStyle w:val="1047"/>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国家政策导向（1分）</w:t>
            </w: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环境标志产品：</w:t>
            </w:r>
            <w:r>
              <w:rPr>
                <w:rFonts w:hint="eastAsia" w:ascii="宋体" w:hAnsi="宋体" w:eastAsia="宋体" w:cs="宋体"/>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r>
        <w:trPr>
          <w:cantSplit/>
        </w:trPr>
        <w:tc>
          <w:tcPr>
            <w:tcW w:w="831"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1047"/>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highlight w:val="none"/>
              </w:rPr>
              <w:t xml:space="preserve">0.5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57" w:type="dxa"/>
            <w:vAlign w:val="center"/>
            <w:textDirection w:val="lrTb"/>
            <w:noWrap/>
          </w:tcPr>
          <w:p>
            <w:pPr>
              <w:pStyle w:val="1047"/>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bl>
    <w:p>
      <w:pPr>
        <w:pStyle w:val="1047"/>
        <w:ind w:firstLine="480"/>
        <w:spacing w:before="0" w:after="0"/>
        <w:rPr>
          <w:rFonts w:hint="eastAsia" w:ascii="宋体" w:hAnsi="宋体" w:eastAsia="宋体" w:cs="宋体"/>
          <w:b/>
          <w:bCs/>
          <w:color w:val="c00000"/>
          <w:szCs w:val="21"/>
          <w:highlight w:val="none"/>
        </w:rPr>
        <w:pBdr>
          <w:top w:val="none" w:color="000000" w:sz="0" w:space="0"/>
          <w:left w:val="none" w:color="000000" w:sz="0" w:space="0"/>
          <w:bottom w:val="none" w:color="000000" w:sz="0" w:space="0"/>
          <w:right w:val="none" w:color="000000" w:sz="0" w:space="0"/>
        </w:pBdr>
      </w:pPr>
      <w:r/>
      <w:bookmarkStart w:id="108" w:name="_Toc5522"/>
      <w:r>
        <w:rPr>
          <w:rFonts w:hint="eastAsia" w:ascii="宋体" w:hAnsi="宋体" w:eastAsia="宋体" w:cs="宋体"/>
          <w:b/>
          <w:bCs/>
          <w:color w:val="c00000"/>
          <w:szCs w:val="21"/>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color w:val="c00000"/>
          <w:szCs w:val="21"/>
          <w:highlight w:val="none"/>
        </w:rPr>
      </w:r>
      <w:r/>
    </w:p>
    <w:p>
      <w:pPr>
        <w:pStyle w:val="1047"/>
        <w:ind w:firstLine="480"/>
        <w:spacing w:before="0" w:after="0"/>
        <w:rPr>
          <w:rFonts w:hint="eastAsia" w:ascii="宋体" w:hAnsi="宋体" w:eastAsia="宋体" w:cs="宋体"/>
          <w:b/>
          <w:bCs/>
          <w:color w:val="c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Cs w:val="21"/>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b/>
          <w:bCs/>
          <w:color w:val="c00000"/>
          <w:szCs w:val="21"/>
          <w:highlight w:val="none"/>
        </w:rPr>
      </w:r>
      <w:r/>
    </w:p>
    <w:p>
      <w:pPr>
        <w:pStyle w:val="1047"/>
        <w:ind w:firstLine="480"/>
        <w:spacing w:before="0" w:after="0"/>
        <w:rPr>
          <w:rFonts w:hint="eastAsia" w:ascii="宋体" w:hAnsi="宋体" w:eastAsia="宋体" w:cs="宋体"/>
          <w:b/>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highlight w:val="none"/>
        </w:rPr>
        <w:t xml:space="preserve">五、评分因素及分值说明</w:t>
      </w:r>
      <w:bookmarkEnd w:id="108"/>
      <w:r>
        <w:rPr>
          <w:rFonts w:hint="eastAsia" w:ascii="宋体" w:hAnsi="宋体" w:eastAsia="宋体" w:cs="宋体"/>
          <w:b/>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bookmarkStart w:id="109" w:name="_Toc462837790"/>
      <w:r>
        <w:rPr>
          <w:rFonts w:hint="eastAsia" w:ascii="宋体" w:hAnsi="宋体" w:eastAsia="宋体" w:cs="宋体"/>
          <w:sz w:val="22"/>
          <w:szCs w:val="22"/>
          <w:highlight w:val="none"/>
        </w:rPr>
        <w:t xml:space="preserve">5.</w:t>
      </w:r>
      <w:bookmarkEnd w:id="109"/>
      <w:r>
        <w:rPr>
          <w:rFonts w:hint="eastAsia" w:ascii="宋体" w:hAnsi="宋体" w:eastAsia="宋体" w:cs="宋体"/>
          <w:sz w:val="22"/>
          <w:szCs w:val="22"/>
          <w:highlight w:val="none"/>
        </w:rPr>
        <w:t xml:space="preserve">政府采购政策功能落实</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（1）对小型和微型企业产品给予10%的扣除价格，用扣除后的价格参与评审。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w:t>
      </w:r>
      <w:r>
        <w:rPr>
          <w:rFonts w:hint="eastAsia" w:ascii="宋体" w:hAnsi="宋体" w:eastAsia="宋体" w:cs="宋体"/>
          <w:sz w:val="22"/>
          <w:szCs w:val="22"/>
          <w:highlight w:val="none"/>
        </w:rPr>
      </w:r>
      <w:r/>
    </w:p>
    <w:p>
      <w:pPr>
        <w:pStyle w:val="1047"/>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10" w:name="_Toc150538845"/>
      <w:r>
        <w:rPr>
          <w:rFonts w:hint="eastAsia" w:ascii="宋体" w:hAnsi="宋体" w:eastAsia="宋体" w:cs="宋体"/>
          <w:sz w:val="22"/>
          <w:szCs w:val="22"/>
          <w:highlight w:val="none"/>
        </w:rPr>
      </w:r>
      <w:r/>
    </w:p>
    <w:p>
      <w:pPr>
        <w:pStyle w:val="1047"/>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11" w:name="_Toc649"/>
      <w:r>
        <w:rPr>
          <w:rFonts w:hint="eastAsia" w:ascii="宋体" w:hAnsi="宋体" w:eastAsia="宋体" w:cs="宋体"/>
          <w:highlight w:val="none"/>
        </w:rPr>
      </w:r>
      <w:r/>
    </w:p>
    <w:p>
      <w:pPr>
        <w:pStyle w:val="1047"/>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6.对本国产品的支持政策</w:t>
      </w:r>
      <w:r>
        <w:rPr>
          <w:rFonts w:hint="eastAsia" w:ascii="宋体" w:hAnsi="宋体" w:eastAsia="宋体" w:cs="宋体"/>
          <w:sz w:val="22"/>
          <w:szCs w:val="22"/>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7.同品牌投标人的认定：</w:t>
      </w:r>
      <w:r>
        <w:rPr>
          <w:rFonts w:hint="eastAsia" w:ascii="宋体" w:hAnsi="宋体" w:eastAsia="宋体" w:cs="宋体"/>
          <w:highlight w:val="none"/>
        </w:rPr>
      </w:r>
      <w:r/>
    </w:p>
    <w:p>
      <w:pPr>
        <w:pStyle w:val="1047"/>
        <w:ind w:firstLine="420"/>
        <w:jc w:val="left"/>
        <w:rPr>
          <w:rFonts w:hint="eastAsia"/>
          <w:highlight w:val="none"/>
        </w:rPr>
      </w:pPr>
      <w:r>
        <w:rPr>
          <w:rFonts w:hint="eastAsia" w:ascii="宋体" w:hAnsi="宋体" w:eastAsia="宋体" w:cs="宋体"/>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8.本项目核心产品为：</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pPr>
      <w:r>
        <w:rPr>
          <w:rFonts w:hint="eastAsia" w:ascii="宋体" w:hAnsi="宋体" w:eastAsia="宋体" w:cs="宋体"/>
          <w:highlight w:val="none"/>
        </w:rPr>
        <w:t xml:space="preserve">本项目为单一产品：</w:t>
      </w:r>
      <w:r>
        <w:rPr>
          <w:rFonts w:hint="eastAsia" w:ascii="宋体" w:hAnsi="宋体" w:eastAsia="宋体" w:cs="宋体"/>
          <w:b/>
          <w:bCs/>
          <w:highlight w:val="none"/>
          <w:u w:val="single"/>
        </w:rPr>
        <w:t xml:space="preserve">非自动衡器三轴加载自动化检测系统</w:t>
      </w:r>
      <w:r>
        <w:rPr>
          <w:rFonts w:hint="eastAsia" w:ascii="宋体" w:hAnsi="宋体" w:eastAsia="宋体" w:cs="宋体"/>
          <w:highlight w:val="none"/>
        </w:rPr>
        <w:t xml:space="preserve">，故不设置核心产品。</w:t>
      </w:r>
      <w:r>
        <w:rPr>
          <w:rFonts w:hint="eastAsia" w:ascii="宋体" w:hAnsi="宋体" w:eastAsia="宋体" w:cs="宋体"/>
          <w:highlight w:val="none"/>
        </w:rPr>
      </w:r>
      <w:r/>
    </w:p>
    <w:p>
      <w:pPr>
        <w:pStyle w:val="1047"/>
        <w:ind w:firstLine="420"/>
        <w:jc w:val="left"/>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1048"/>
        <w:ind w:firstLine="0"/>
        <w:spacing w:before="480"/>
        <w:tabs>
          <w:tab w:val="left" w:pos="1440" w:leader="none"/>
          <w:tab w:val="left" w:pos="5670" w:leader="none"/>
        </w:tabs>
        <w:rPr>
          <w:rFonts w:hint="eastAsia"/>
          <w:highlight w:val="none"/>
        </w:rPr>
      </w:pPr>
      <w:r/>
      <w:bookmarkStart w:id="112" w:name="_Toc30025"/>
      <w:r>
        <w:rPr>
          <w:rFonts w:hint="eastAsia" w:ascii="宋体" w:hAnsi="宋体" w:eastAsia="宋体" w:cs="宋体"/>
          <w:highlight w:val="none"/>
        </w:rPr>
        <w:t xml:space="preserve">第四章 </w:t>
      </w:r>
      <w:bookmarkEnd w:id="110"/>
      <w:r/>
      <w:bookmarkEnd w:id="111"/>
      <w:r>
        <w:rPr>
          <w:rFonts w:hint="eastAsia" w:ascii="宋体" w:hAnsi="宋体" w:eastAsia="宋体" w:cs="宋体"/>
          <w:highlight w:val="none"/>
        </w:rPr>
        <w:t xml:space="preserve">采购需求</w:t>
      </w:r>
      <w:bookmarkEnd w:id="112"/>
      <w:r>
        <w:rPr>
          <w:rFonts w:hint="eastAsia"/>
          <w:highlight w:val="none"/>
        </w:rPr>
      </w:r>
      <w:r/>
    </w:p>
    <w:p>
      <w:pPr>
        <w:pStyle w:val="1047"/>
        <w:numPr>
          <w:ilvl w:val="0"/>
          <w:numId w:val="42"/>
        </w:numPr>
        <w:spacing w:after="5"/>
        <w:rPr>
          <w:rFonts w:hint="eastAsia" w:ascii="宋体" w:hAnsi="宋体" w:eastAsia="宋体" w:cs="宋体"/>
          <w:b/>
          <w:sz w:val="28"/>
          <w:szCs w:val="28"/>
          <w:highlight w:val="none"/>
        </w:rPr>
        <w:outlineLvl w:val="1"/>
      </w:pPr>
      <w:r/>
      <w:bookmarkStart w:id="113" w:name="_Toc28080"/>
      <w:r/>
      <w:bookmarkStart w:id="114" w:name="_Toc15398"/>
      <w:r/>
      <w:bookmarkStart w:id="115" w:name="_Toc22261"/>
      <w:r/>
      <w:bookmarkStart w:id="116" w:name="_Toc3459"/>
      <w:r>
        <w:rPr>
          <w:rFonts w:hint="eastAsia" w:ascii="宋体" w:hAnsi="宋体" w:eastAsia="宋体" w:cs="宋体"/>
          <w:b/>
          <w:sz w:val="28"/>
          <w:szCs w:val="28"/>
          <w:highlight w:val="none"/>
        </w:rPr>
        <w:t xml:space="preserve">项目概况：</w:t>
      </w:r>
      <w:bookmarkEnd w:id="113"/>
      <w:r/>
      <w:bookmarkEnd w:id="114"/>
      <w:r>
        <w:rPr>
          <w:rFonts w:hint="eastAsia" w:ascii="宋体" w:hAnsi="宋体" w:eastAsia="宋体" w:cs="宋体"/>
          <w:b/>
          <w:sz w:val="28"/>
          <w:szCs w:val="28"/>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本项目为</w:t>
      </w:r>
      <w:r>
        <w:rPr>
          <w:rFonts w:hint="eastAsia" w:ascii="宋体" w:hAnsi="宋体" w:eastAsia="宋体" w:cs="宋体"/>
          <w:sz w:val="24"/>
          <w:szCs w:val="24"/>
          <w:highlight w:val="none"/>
        </w:rPr>
        <w:t xml:space="preserve">江苏省计量科学研究院非自动衡器三轴加载自动化检测系统，相关要求详见技术要求及商务要求。</w:t>
      </w:r>
      <w:r>
        <w:rPr>
          <w:rFonts w:hint="eastAsia" w:ascii="宋体" w:hAnsi="宋体" w:eastAsia="宋体" w:cs="宋体"/>
          <w:sz w:val="24"/>
          <w:szCs w:val="24"/>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541"/>
        <w:gridCol w:w="966"/>
        <w:gridCol w:w="822"/>
        <w:gridCol w:w="1099"/>
        <w:gridCol w:w="1667"/>
        <w:gridCol w:w="793"/>
      </w:tblGrid>
      <w:tr>
        <w:trPr>
          <w:trHeight w:val="621"/>
        </w:trPr>
        <w:tc>
          <w:tcPr>
            <w:tcW w:w="413"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序号</w:t>
            </w:r>
            <w:r>
              <w:rPr>
                <w:rFonts w:hint="eastAsia" w:ascii="宋体" w:hAnsi="宋体" w:eastAsia="宋体" w:cs="宋体"/>
                <w:b/>
                <w:bCs/>
                <w:szCs w:val="21"/>
                <w:highlight w:val="none"/>
                <w:lang w:bidi="ar"/>
              </w:rPr>
            </w:r>
            <w:r/>
          </w:p>
        </w:tc>
        <w:tc>
          <w:tcPr>
            <w:tcW w:w="1826"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设备名称</w:t>
            </w:r>
            <w:r>
              <w:rPr>
                <w:rFonts w:hint="eastAsia" w:ascii="宋体" w:hAnsi="宋体" w:eastAsia="宋体" w:cs="宋体"/>
                <w:b/>
                <w:bCs/>
                <w:szCs w:val="21"/>
                <w:highlight w:val="none"/>
                <w:lang w:bidi="ar"/>
              </w:rPr>
            </w:r>
            <w:r/>
          </w:p>
        </w:tc>
        <w:tc>
          <w:tcPr>
            <w:tcW w:w="498" w:type="dxa"/>
            <w:vAlign w:val="center"/>
            <w:textDirection w:val="lrTb"/>
            <w:noWrap/>
          </w:tcPr>
          <w:p>
            <w:pPr>
              <w:pStyle w:val="1047"/>
              <w:jc w:val="center"/>
              <w:spacing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单位</w:t>
            </w:r>
            <w:r>
              <w:rPr>
                <w:rFonts w:hint="eastAsia" w:ascii="宋体" w:hAnsi="宋体" w:eastAsia="宋体" w:cs="宋体"/>
                <w:b/>
                <w:bCs/>
                <w:szCs w:val="21"/>
                <w:highlight w:val="none"/>
                <w:lang w:bidi="ar"/>
              </w:rPr>
            </w:r>
            <w:r/>
          </w:p>
        </w:tc>
        <w:tc>
          <w:tcPr>
            <w:tcW w:w="424"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数量</w:t>
            </w:r>
            <w:r>
              <w:rPr>
                <w:rFonts w:hint="eastAsia" w:ascii="宋体" w:hAnsi="宋体" w:eastAsia="宋体" w:cs="宋体"/>
                <w:b/>
                <w:bCs/>
                <w:szCs w:val="21"/>
                <w:highlight w:val="none"/>
                <w:lang w:bidi="ar"/>
              </w:rPr>
            </w:r>
            <w:r/>
          </w:p>
        </w:tc>
        <w:tc>
          <w:tcPr>
            <w:tcW w:w="567"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用途</w:t>
            </w:r>
            <w:r>
              <w:rPr>
                <w:rFonts w:hint="eastAsia" w:ascii="宋体" w:hAnsi="宋体" w:eastAsia="宋体" w:cs="宋体"/>
                <w:b/>
                <w:bCs/>
                <w:szCs w:val="21"/>
                <w:highlight w:val="none"/>
                <w:lang w:bidi="ar"/>
              </w:rPr>
            </w:r>
            <w:r/>
          </w:p>
        </w:tc>
        <w:tc>
          <w:tcPr>
            <w:tcW w:w="859"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是否接受进口设备投标</w:t>
            </w:r>
            <w:r>
              <w:rPr>
                <w:rFonts w:hint="eastAsia" w:ascii="宋体" w:hAnsi="宋体" w:eastAsia="宋体" w:cs="宋体"/>
                <w:b/>
                <w:bCs/>
                <w:szCs w:val="21"/>
                <w:highlight w:val="none"/>
                <w:lang w:bidi="ar"/>
              </w:rPr>
            </w:r>
            <w:r/>
          </w:p>
        </w:tc>
        <w:tc>
          <w:tcPr>
            <w:tcW w:w="409" w:type="dxa"/>
            <w:vAlign w:val="center"/>
            <w:textDirection w:val="lrTb"/>
            <w:noWrap/>
          </w:tcPr>
          <w:p>
            <w:pPr>
              <w:pStyle w:val="1047"/>
              <w:jc w:val="center"/>
              <w:spacing w:before="0" w:after="0" w:line="240" w:lineRule="auto"/>
              <w:widowControl/>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t xml:space="preserve">备注</w:t>
            </w:r>
            <w:r>
              <w:rPr>
                <w:rFonts w:hint="eastAsia" w:ascii="宋体" w:hAnsi="宋体" w:eastAsia="宋体" w:cs="宋体"/>
                <w:b/>
                <w:bCs/>
                <w:szCs w:val="21"/>
                <w:highlight w:val="none"/>
                <w:lang w:bidi="ar"/>
              </w:rPr>
            </w:r>
            <w:r/>
          </w:p>
        </w:tc>
      </w:tr>
      <w:tr>
        <w:trPr>
          <w:trHeight w:val="702"/>
        </w:trPr>
        <w:tc>
          <w:tcPr>
            <w:tcW w:w="413"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826"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非自动衡器三轴加载自动化检测系统</w:t>
            </w:r>
            <w:r>
              <w:rPr>
                <w:rFonts w:hint="eastAsia" w:ascii="宋体" w:hAnsi="宋体" w:eastAsia="宋体" w:cs="宋体"/>
                <w:sz w:val="24"/>
                <w:szCs w:val="24"/>
                <w:highlight w:val="none"/>
              </w:rPr>
            </w:r>
            <w:r/>
          </w:p>
        </w:tc>
        <w:tc>
          <w:tcPr>
            <w:shd w:val="clear" w:color="auto" w:fill="ffffff"/>
            <w:tcW w:w="498"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W w:w="424"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W w:w="567"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检测</w:t>
            </w:r>
            <w:r>
              <w:rPr>
                <w:rFonts w:hint="eastAsia" w:ascii="宋体" w:hAnsi="宋体" w:eastAsia="宋体" w:cs="宋体"/>
                <w:sz w:val="24"/>
                <w:szCs w:val="24"/>
                <w:highlight w:val="none"/>
              </w:rPr>
            </w:r>
            <w:r/>
          </w:p>
        </w:tc>
        <w:tc>
          <w:tcPr>
            <w:shd w:val="clear" w:color="auto" w:fill="ffffff"/>
            <w:tcW w:w="859" w:type="dxa"/>
            <w:vAlign w:val="center"/>
            <w:textDirection w:val="lrTb"/>
            <w:noWrap/>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409" w:type="dxa"/>
            <w:vAlign w:val="center"/>
            <w:textDirection w:val="lrTb"/>
            <w:noWrap/>
          </w:tcPr>
          <w:p>
            <w:pPr>
              <w:pStyle w:val="1047"/>
              <w:jc w:val="center"/>
              <w:spacing w:before="0" w:after="0" w:line="240" w:lineRule="auto"/>
              <w:widowControl/>
              <w:rPr>
                <w:rFonts w:hint="eastAsia" w:ascii="宋体" w:hAnsi="宋体" w:eastAsia="宋体" w:cs="宋体"/>
                <w:b/>
                <w:bCs/>
                <w:sz w:val="20"/>
                <w:highlight w:val="none"/>
                <w:lang w:bidi="ar"/>
              </w:rPr>
            </w:pPr>
            <w:r>
              <w:rPr>
                <w:rFonts w:hint="eastAsia" w:ascii="宋体" w:hAnsi="宋体" w:eastAsia="宋体" w:cs="宋体"/>
                <w:sz w:val="24"/>
                <w:szCs w:val="24"/>
                <w:highlight w:val="none"/>
              </w:rPr>
              <w:t xml:space="preserve">/</w:t>
            </w:r>
            <w:r>
              <w:rPr>
                <w:rFonts w:hint="eastAsia" w:ascii="宋体" w:hAnsi="宋体" w:eastAsia="宋体" w:cs="宋体"/>
                <w:b/>
                <w:bCs/>
                <w:sz w:val="20"/>
                <w:highlight w:val="none"/>
                <w:lang w:bidi="ar"/>
              </w:rPr>
            </w:r>
            <w:r/>
          </w:p>
        </w:tc>
      </w:tr>
    </w:tbl>
    <w:p>
      <w:pPr>
        <w:pStyle w:val="1047"/>
        <w:ind w:firstLine="420"/>
        <w:spacing w:before="0" w:after="0"/>
        <w:rPr>
          <w:rFonts w:hint="eastAsia"/>
          <w:highlight w:val="none"/>
        </w:rPr>
      </w:pPr>
      <w:r>
        <w:rPr>
          <w:rFonts w:hint="eastAsia"/>
          <w:highlight w:val="none"/>
        </w:rPr>
      </w:r>
      <w:r/>
    </w:p>
    <w:p>
      <w:pPr>
        <w:pStyle w:val="1047"/>
        <w:numPr>
          <w:ilvl w:val="0"/>
          <w:numId w:val="42"/>
        </w:numPr>
        <w:rPr>
          <w:rFonts w:hint="eastAsia" w:ascii="宋体" w:hAnsi="宋体" w:eastAsia="宋体" w:cs="宋体"/>
          <w:b/>
          <w:sz w:val="28"/>
          <w:szCs w:val="28"/>
          <w:highlight w:val="none"/>
        </w:rPr>
        <w:outlineLvl w:val="1"/>
      </w:pPr>
      <w:r/>
      <w:bookmarkStart w:id="117" w:name="_Toc26117"/>
      <w:r/>
      <w:bookmarkStart w:id="118" w:name="_Toc21425"/>
      <w:r>
        <w:rPr>
          <w:rFonts w:hint="eastAsia" w:ascii="宋体" w:hAnsi="宋体" w:eastAsia="宋体" w:cs="宋体"/>
          <w:b/>
          <w:sz w:val="28"/>
          <w:szCs w:val="28"/>
          <w:highlight w:val="none"/>
        </w:rPr>
        <w:t xml:space="preserve">技术要求：</w:t>
      </w:r>
      <w:bookmarkEnd w:id="117"/>
      <w:r/>
      <w:bookmarkEnd w:id="118"/>
      <w:r>
        <w:rPr>
          <w:rFonts w:hint="eastAsia" w:ascii="宋体" w:hAnsi="宋体" w:eastAsia="宋体" w:cs="宋体"/>
          <w:b/>
          <w:sz w:val="28"/>
          <w:szCs w:val="28"/>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（一）单套非自动衡器三轴加载自动化检测系统包含以下内容：</w:t>
      </w:r>
      <w:r>
        <w:rPr>
          <w:rFonts w:hint="eastAsia" w:ascii="宋体" w:hAnsi="宋体" w:eastAsia="宋体" w:cs="宋体"/>
          <w:b/>
          <w:bCs/>
          <w:szCs w:val="24"/>
          <w:highlight w:val="none"/>
        </w:rPr>
      </w:r>
      <w:r/>
    </w:p>
    <w:tbl>
      <w:tblPr>
        <w:tblW w:w="10031"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4096"/>
        <w:gridCol w:w="999"/>
        <w:gridCol w:w="947"/>
        <w:gridCol w:w="1089"/>
        <w:gridCol w:w="1133"/>
        <w:gridCol w:w="1103"/>
      </w:tblGrid>
      <w:tr>
        <w:trPr>
          <w:trHeight w:val="389"/>
        </w:trPr>
        <w:tc>
          <w:tcPr>
            <w:tcW w:w="664" w:type="dxa"/>
            <w:vAlign w:val="center"/>
            <w:textDirection w:val="lrTb"/>
            <w:noWrap w:val="false"/>
          </w:tcPr>
          <w:p>
            <w:pPr>
              <w:pStyle w:val="1047"/>
              <w:ind w:right="141"/>
              <w:jc w:val="center"/>
              <w:spacing w:line="240" w:lineRule="auto"/>
              <w:rPr>
                <w:rFonts w:eastAsia="仿宋_GB2312"/>
                <w:sz w:val="28"/>
                <w:szCs w:val="21"/>
                <w:highlight w:val="none"/>
              </w:rPr>
            </w:pPr>
            <w:r>
              <w:rPr>
                <w:rFonts w:eastAsia="仿宋_GB2312"/>
                <w:sz w:val="28"/>
                <w:szCs w:val="21"/>
                <w:highlight w:val="none"/>
              </w:rPr>
              <w:t xml:space="preserve">序号</w:t>
            </w:r>
            <w:r>
              <w:rPr>
                <w:rFonts w:eastAsia="仿宋_GB2312"/>
                <w:sz w:val="28"/>
                <w:szCs w:val="21"/>
                <w:highlight w:val="none"/>
              </w:rPr>
            </w:r>
            <w:r/>
          </w:p>
        </w:tc>
        <w:tc>
          <w:tcPr>
            <w:tcW w:w="4096" w:type="dxa"/>
            <w:vAlign w:val="center"/>
            <w:textDirection w:val="lrTb"/>
            <w:noWrap w:val="false"/>
          </w:tcPr>
          <w:p>
            <w:pPr>
              <w:pStyle w:val="1047"/>
              <w:jc w:val="center"/>
              <w:spacing w:line="240" w:lineRule="auto"/>
              <w:rPr>
                <w:rFonts w:eastAsia="仿宋_GB2312"/>
                <w:sz w:val="28"/>
                <w:szCs w:val="21"/>
                <w:highlight w:val="none"/>
              </w:rPr>
            </w:pPr>
            <w:r>
              <w:rPr>
                <w:rFonts w:eastAsia="仿宋_GB2312"/>
                <w:sz w:val="28"/>
                <w:szCs w:val="21"/>
                <w:highlight w:val="none"/>
              </w:rPr>
              <w:t xml:space="preserve">设备名称</w:t>
            </w:r>
            <w:r>
              <w:rPr>
                <w:rFonts w:eastAsia="仿宋_GB2312"/>
                <w:sz w:val="28"/>
                <w:szCs w:val="21"/>
                <w:highlight w:val="none"/>
              </w:rPr>
            </w:r>
            <w:r/>
          </w:p>
        </w:tc>
        <w:tc>
          <w:tcPr>
            <w:tcW w:w="999" w:type="dxa"/>
            <w:vAlign w:val="center"/>
            <w:textDirection w:val="lrTb"/>
            <w:noWrap w:val="false"/>
          </w:tcPr>
          <w:p>
            <w:pPr>
              <w:pStyle w:val="1047"/>
              <w:jc w:val="center"/>
              <w:spacing w:line="240" w:lineRule="auto"/>
              <w:rPr>
                <w:rFonts w:ascii="Times New Roman" w:hAnsi="Times New Roman" w:eastAsia="仿宋_GB2312"/>
                <w:sz w:val="28"/>
                <w:szCs w:val="21"/>
                <w:highlight w:val="none"/>
              </w:rPr>
            </w:pPr>
            <w:r>
              <w:rPr>
                <w:rFonts w:hint="eastAsia" w:ascii="Times New Roman" w:hAnsi="Times New Roman" w:eastAsia="仿宋_GB2312"/>
                <w:sz w:val="28"/>
                <w:szCs w:val="21"/>
                <w:highlight w:val="none"/>
              </w:rPr>
              <w:t xml:space="preserve">单位</w:t>
            </w:r>
            <w:r>
              <w:rPr>
                <w:rFonts w:ascii="Times New Roman" w:hAnsi="Times New Roman" w:eastAsia="仿宋_GB2312"/>
                <w:sz w:val="28"/>
                <w:szCs w:val="21"/>
                <w:highlight w:val="none"/>
              </w:rPr>
            </w:r>
            <w:r/>
          </w:p>
        </w:tc>
        <w:tc>
          <w:tcPr>
            <w:tcW w:w="947" w:type="dxa"/>
            <w:vAlign w:val="center"/>
            <w:textDirection w:val="lrTb"/>
            <w:noWrap w:val="false"/>
          </w:tcPr>
          <w:p>
            <w:pPr>
              <w:pStyle w:val="1047"/>
              <w:jc w:val="center"/>
              <w:spacing w:line="240" w:lineRule="auto"/>
              <w:rPr>
                <w:rFonts w:ascii="Times New Roman" w:hAnsi="Times New Roman" w:eastAsia="仿宋_GB2312"/>
                <w:sz w:val="28"/>
                <w:szCs w:val="21"/>
                <w:highlight w:val="none"/>
              </w:rPr>
            </w:pPr>
            <w:r>
              <w:rPr>
                <w:rFonts w:ascii="Times New Roman" w:hAnsi="Times New Roman" w:eastAsia="仿宋_GB2312"/>
                <w:sz w:val="28"/>
                <w:szCs w:val="21"/>
                <w:highlight w:val="none"/>
              </w:rPr>
              <w:t xml:space="preserve">数量</w:t>
            </w:r>
            <w:r>
              <w:rPr>
                <w:rFonts w:ascii="Times New Roman" w:hAnsi="Times New Roman" w:eastAsia="仿宋_GB2312"/>
                <w:sz w:val="28"/>
                <w:szCs w:val="21"/>
                <w:highlight w:val="none"/>
              </w:rPr>
            </w:r>
            <w:r/>
          </w:p>
        </w:tc>
        <w:tc>
          <w:tcPr>
            <w:tcW w:w="1089" w:type="dxa"/>
            <w:vAlign w:val="center"/>
            <w:textDirection w:val="lrTb"/>
            <w:noWrap w:val="false"/>
          </w:tcPr>
          <w:p>
            <w:pPr>
              <w:pStyle w:val="1047"/>
              <w:jc w:val="center"/>
              <w:spacing w:line="240" w:lineRule="auto"/>
              <w:rPr>
                <w:rFonts w:ascii="Times New Roman" w:hAnsi="Times New Roman" w:eastAsia="仿宋_GB2312"/>
                <w:sz w:val="28"/>
                <w:szCs w:val="21"/>
                <w:highlight w:val="none"/>
              </w:rPr>
            </w:pPr>
            <w:r>
              <w:rPr>
                <w:rFonts w:ascii="Times New Roman" w:hAnsi="Times New Roman" w:eastAsia="仿宋_GB2312"/>
                <w:sz w:val="28"/>
                <w:szCs w:val="21"/>
                <w:highlight w:val="none"/>
              </w:rPr>
              <w:t xml:space="preserve">到货期</w:t>
            </w:r>
            <w:r>
              <w:rPr>
                <w:rFonts w:ascii="Times New Roman" w:hAnsi="Times New Roman" w:eastAsia="仿宋_GB2312"/>
                <w:sz w:val="28"/>
                <w:szCs w:val="21"/>
                <w:highlight w:val="none"/>
              </w:rPr>
            </w:r>
            <w:r/>
          </w:p>
        </w:tc>
        <w:tc>
          <w:tcPr>
            <w:tcW w:w="1133" w:type="dxa"/>
            <w:vAlign w:val="center"/>
            <w:textDirection w:val="lrTb"/>
            <w:noWrap w:val="false"/>
          </w:tcPr>
          <w:p>
            <w:pPr>
              <w:pStyle w:val="1047"/>
              <w:jc w:val="center"/>
              <w:spacing w:line="240" w:lineRule="auto"/>
              <w:rPr>
                <w:rFonts w:eastAsia="仿宋_GB2312"/>
                <w:sz w:val="28"/>
                <w:szCs w:val="21"/>
                <w:highlight w:val="none"/>
              </w:rPr>
            </w:pPr>
            <w:r>
              <w:rPr>
                <w:rFonts w:eastAsia="仿宋_GB2312"/>
                <w:sz w:val="28"/>
                <w:szCs w:val="21"/>
                <w:highlight w:val="none"/>
              </w:rPr>
              <w:t xml:space="preserve">质保期</w:t>
            </w:r>
            <w:r>
              <w:rPr>
                <w:rFonts w:eastAsia="仿宋_GB2312"/>
                <w:sz w:val="28"/>
                <w:szCs w:val="21"/>
                <w:highlight w:val="none"/>
              </w:rPr>
            </w:r>
            <w:r/>
          </w:p>
        </w:tc>
        <w:tc>
          <w:tcPr>
            <w:tcW w:w="1103" w:type="dxa"/>
            <w:vAlign w:val="center"/>
            <w:textDirection w:val="lrTb"/>
            <w:noWrap w:val="false"/>
          </w:tcPr>
          <w:p>
            <w:pPr>
              <w:pStyle w:val="1047"/>
              <w:jc w:val="center"/>
              <w:spacing w:line="240" w:lineRule="auto"/>
              <w:rPr>
                <w:rFonts w:eastAsia="仿宋_GB2312"/>
                <w:sz w:val="28"/>
                <w:szCs w:val="21"/>
                <w:highlight w:val="none"/>
              </w:rPr>
            </w:pPr>
            <w:r>
              <w:rPr>
                <w:rFonts w:eastAsia="仿宋_GB2312"/>
                <w:sz w:val="28"/>
                <w:szCs w:val="21"/>
                <w:highlight w:val="none"/>
              </w:rPr>
              <w:t xml:space="preserve">备注</w:t>
            </w:r>
            <w:r>
              <w:rPr>
                <w:rFonts w:eastAsia="仿宋_GB2312"/>
                <w:sz w:val="28"/>
                <w:szCs w:val="21"/>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非自动衡器三轴加载自动化检测系统，不得低于以下配置：</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restart"/>
            <w:textDirection w:val="lrTb"/>
            <w:noWrap w:val="false"/>
          </w:tcPr>
          <w:p>
            <w:pPr>
              <w:pStyle w:val="1047"/>
              <w:jc w:val="center"/>
              <w:rPr>
                <w:rFonts w:hint="eastAsia" w:ascii="宋体" w:hAnsi="宋体" w:eastAsia="宋体"/>
                <w:sz w:val="24"/>
                <w:szCs w:val="24"/>
                <w:highlight w:val="none"/>
              </w:rPr>
            </w:pPr>
            <w:r>
              <w:rPr>
                <w:rFonts w:hint="eastAsia" w:ascii="宋体" w:hAnsi="宋体" w:eastAsia="宋体"/>
                <w:sz w:val="24"/>
                <w:szCs w:val="24"/>
                <w:highlight w:val="none"/>
              </w:rPr>
              <w:t xml:space="preserve">合同签订后</w:t>
            </w:r>
            <w:r>
              <w:rPr>
                <w:rFonts w:ascii="宋体" w:hAnsi="宋体" w:eastAsia="宋体"/>
                <w:sz w:val="24"/>
                <w:szCs w:val="24"/>
                <w:highlight w:val="none"/>
              </w:rPr>
              <w:t xml:space="preserve">4</w:t>
            </w:r>
            <w:r>
              <w:rPr>
                <w:rFonts w:hint="eastAsia" w:ascii="宋体" w:hAnsi="宋体" w:eastAsia="宋体"/>
                <w:sz w:val="24"/>
                <w:szCs w:val="24"/>
                <w:highlight w:val="none"/>
              </w:rPr>
              <w:t xml:space="preserve">个月</w:t>
            </w:r>
            <w:r>
              <w:rPr>
                <w:rFonts w:hint="eastAsia" w:ascii="宋体" w:hAnsi="宋体" w:eastAsia="宋体"/>
                <w:sz w:val="24"/>
                <w:szCs w:val="24"/>
                <w:highlight w:val="none"/>
              </w:rPr>
            </w:r>
            <w:r/>
          </w:p>
        </w:tc>
        <w:tc>
          <w:tcPr>
            <w:tcW w:w="1133" w:type="dxa"/>
            <w:vAlign w:val="center"/>
            <w:vMerge w:val="restart"/>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t xml:space="preserve">验收合格后24个月</w:t>
            </w: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636"/>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砝码</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.2</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三轴自动加载装置</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.3</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试验台</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.4</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实现功能必备的工控机及检测软件</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.5</w:t>
            </w:r>
            <w:r>
              <w:rPr>
                <w:rFonts w:ascii="宋体" w:hAnsi="宋体" w:eastAsia="宋体"/>
                <w:sz w:val="24"/>
                <w:szCs w:val="24"/>
                <w:highlight w:val="none"/>
              </w:rPr>
            </w:r>
            <w:r/>
          </w:p>
        </w:tc>
        <w:tc>
          <w:tcPr>
            <w:tcW w:w="4096" w:type="dxa"/>
            <w:vAlign w:val="center"/>
            <w:textDirection w:val="lrTb"/>
            <w:noWrap w:val="false"/>
          </w:tcPr>
          <w:p>
            <w:pPr>
              <w:pStyle w:val="1059"/>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rPr>
              <w:t xml:space="preserve">视觉识别系统</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r>
        <w:trPr>
          <w:cantSplit/>
          <w:trHeight w:val="454"/>
        </w:trPr>
        <w:tc>
          <w:tcPr>
            <w:tcW w:w="664"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.6</w:t>
            </w:r>
            <w:r>
              <w:rPr>
                <w:rFonts w:ascii="宋体" w:hAnsi="宋体" w:eastAsia="宋体"/>
                <w:sz w:val="24"/>
                <w:szCs w:val="24"/>
                <w:highlight w:val="none"/>
              </w:rPr>
            </w:r>
            <w:r/>
          </w:p>
        </w:tc>
        <w:tc>
          <w:tcPr>
            <w:tcW w:w="4096" w:type="dxa"/>
            <w:vAlign w:val="center"/>
            <w:textDirection w:val="lrTb"/>
            <w:noWrap w:val="false"/>
          </w:tcPr>
          <w:p>
            <w:pPr>
              <w:pStyle w:val="1047"/>
              <w:jc w:val="center"/>
              <w:spacing w:line="240" w:lineRule="auto"/>
              <w:rPr>
                <w:rFonts w:ascii="宋体" w:hAnsi="宋体" w:eastAsia="宋体" w:cs="方正仿宋_GB2312"/>
                <w:sz w:val="24"/>
                <w:szCs w:val="24"/>
                <w:highlight w:val="none"/>
              </w:rPr>
            </w:pPr>
            <w:r>
              <w:rPr>
                <w:rFonts w:hint="eastAsia" w:ascii="宋体" w:hAnsi="宋体" w:eastAsia="宋体" w:cs="方正仿宋_GB2312"/>
                <w:sz w:val="24"/>
                <w:szCs w:val="24"/>
                <w:highlight w:val="none"/>
                <w:lang w:val="zh-CN"/>
              </w:rPr>
              <w:t xml:space="preserve">专用修理工具</w:t>
            </w:r>
            <w:r>
              <w:rPr>
                <w:rFonts w:ascii="宋体" w:hAnsi="宋体" w:eastAsia="宋体" w:cs="方正仿宋_GB2312"/>
                <w:sz w:val="24"/>
                <w:szCs w:val="24"/>
                <w:highlight w:val="none"/>
              </w:rPr>
            </w:r>
            <w:r/>
          </w:p>
        </w:tc>
        <w:tc>
          <w:tcPr>
            <w:tcW w:w="999" w:type="dxa"/>
            <w:vAlign w:val="center"/>
            <w:textDirection w:val="lrTb"/>
            <w:noWrap w:val="false"/>
          </w:tcPr>
          <w:p>
            <w:pPr>
              <w:pStyle w:val="1047"/>
              <w:jc w:val="center"/>
              <w:spacing w:line="240" w:lineRule="auto"/>
              <w:rPr>
                <w:rFonts w:ascii="宋体" w:hAnsi="宋体" w:eastAsia="宋体"/>
                <w:sz w:val="24"/>
                <w:szCs w:val="24"/>
                <w:highlight w:val="none"/>
              </w:rPr>
            </w:pPr>
            <w:r>
              <w:rPr>
                <w:rFonts w:hint="eastAsia" w:ascii="宋体" w:hAnsi="宋体" w:eastAsia="宋体"/>
                <w:sz w:val="24"/>
                <w:szCs w:val="24"/>
                <w:highlight w:val="none"/>
              </w:rPr>
              <w:t xml:space="preserve">套</w:t>
            </w:r>
            <w:r>
              <w:rPr>
                <w:rFonts w:ascii="宋体" w:hAnsi="宋体" w:eastAsia="宋体"/>
                <w:sz w:val="24"/>
                <w:szCs w:val="24"/>
                <w:highlight w:val="none"/>
              </w:rPr>
            </w:r>
            <w:r/>
          </w:p>
        </w:tc>
        <w:tc>
          <w:tcPr>
            <w:tcW w:w="947" w:type="dxa"/>
            <w:vAlign w:val="center"/>
            <w:textDirection w:val="lrTb"/>
            <w:noWrap w:val="false"/>
          </w:tcPr>
          <w:p>
            <w:pPr>
              <w:pStyle w:val="1047"/>
              <w:jc w:val="center"/>
              <w:spacing w:line="240" w:lineRule="auto"/>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1089"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33" w:type="dxa"/>
            <w:vAlign w:val="center"/>
            <w:vMerge w:val="continue"/>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c>
          <w:tcPr>
            <w:tcW w:w="1103" w:type="dxa"/>
            <w:vAlign w:val="center"/>
            <w:textDirection w:val="lrTb"/>
            <w:noWrap w:val="false"/>
          </w:tcPr>
          <w:p>
            <w:pPr>
              <w:pStyle w:val="1047"/>
              <w:jc w:val="center"/>
              <w:rPr>
                <w:rFonts w:ascii="宋体" w:hAnsi="宋体" w:eastAsia="宋体"/>
                <w:sz w:val="24"/>
                <w:szCs w:val="24"/>
                <w:highlight w:val="none"/>
              </w:rPr>
            </w:pPr>
            <w:r>
              <w:rPr>
                <w:rFonts w:ascii="宋体" w:hAnsi="宋体" w:eastAsia="宋体"/>
                <w:sz w:val="24"/>
                <w:szCs w:val="24"/>
                <w:highlight w:val="none"/>
              </w:rPr>
            </w:r>
            <w:r/>
          </w:p>
        </w:tc>
      </w:tr>
    </w:tbl>
    <w:p>
      <w:pPr>
        <w:pStyle w:val="1047"/>
        <w:rPr>
          <w:rFonts w:hint="eastAsia"/>
          <w:highlight w:val="none"/>
        </w:rPr>
      </w:pPr>
      <w:r>
        <w:rPr>
          <w:rFonts w:hint="eastAsia"/>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（二）技术参数（技术指标及功能要求）：</w:t>
      </w:r>
      <w:r>
        <w:rPr>
          <w:rFonts w:hint="eastAsia" w:ascii="宋体" w:hAnsi="宋体" w:eastAsia="宋体" w:cs="宋体"/>
          <w:b/>
          <w:bCs/>
          <w:szCs w:val="24"/>
          <w:highlight w:val="none"/>
        </w:rPr>
      </w:r>
      <w:r/>
    </w:p>
    <w:p>
      <w:pPr>
        <w:pStyle w:val="1047"/>
        <w:ind w:firstLine="480"/>
        <w:spacing w:before="0" w:after="0"/>
        <w:rPr>
          <w:rFonts w:hint="eastAsia" w:ascii="宋体" w:hAnsi="宋体" w:eastAsia="宋体" w:cs="宋体"/>
          <w:bCs/>
          <w:sz w:val="24"/>
          <w:szCs w:val="24"/>
          <w:highlight w:val="none"/>
        </w:rPr>
      </w:pPr>
      <w:r/>
      <w:bookmarkStart w:id="119" w:name="_Toc113485530"/>
      <w:r>
        <w:rPr>
          <w:rFonts w:hint="eastAsia" w:ascii="宋体" w:hAnsi="宋体" w:eastAsia="宋体" w:cs="宋体"/>
          <w:bCs/>
          <w:sz w:val="24"/>
          <w:szCs w:val="24"/>
          <w:highlight w:val="none"/>
        </w:rPr>
        <w:t xml:space="preserve">1、砝码</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1.1砝码要求：量程覆盖0.1g～600kg，F2等级，支持600kg范围内任意组合砝码；符合JJF 1834-2020《非自动衡器通用技术要求》相关检测使用要求；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1.2砝码材质：304不锈钢材质，具备防冷凝水结构设计，保障标准砝码的质量长期稳定；</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1.3适用范围：可配套完成秤、天平、称重模块等被检器具依据JJF 1834-2020《非自动衡器通用技术要求》</w:t>
      </w:r>
      <w:r>
        <w:rPr>
          <w:rFonts w:ascii="宋体" w:hAnsi="宋体" w:eastAsia="宋体" w:cs="宋体"/>
          <w:sz w:val="24"/>
          <w:szCs w:val="24"/>
          <w:highlight w:val="none"/>
        </w:rPr>
        <w:t xml:space="preserve">开展的检测工作</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2、三轴自动加载装置</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加载装置使用三轴模组完成，能通过程序控制系统无需人为干预实现全自动加载砝码组合及闪变点附加小砝码（0.1g～20g）来完成对多台被检衡器的检测工作，同时可在不小于3000mm×3000mm×2500mm的覆盖范围内对温度及湿度进行有效控制；</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2.2整体支撑及移动机构应采用304不锈钢材料，具备防锈能力，无磁性干扰；</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2.2.1最大加载载荷≥800kg；</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2.2.2载荷可三维运动；水平面运动速率（5～30）mm/s 可调，垂直运动速率 3~15mm/s 可调；启动加载时对试验样机无冲击；</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2.2.3砝码及工装结构便于快速连接、拆装；</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2.3温湿度控制要求：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2.3.1温度范围：（-40～+90）℃；</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▲2.3.1.1温度波动：≤±0.3℃；（投标时需提供至少两份省级及以上法定计量技术机构出具的证书报告）</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▲2.3.1.2温度均匀度：≤1.5℃；（投标时需提供至少两份省级及以上法定计量技术机构出具的证书报告）</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▲2.3.1.3温度偏差≤±1.0℃；（投标时需提供至少两份省级及以上法定计量技术机构出具的证书报告）</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2.3.2湿度范围：（20～95）%RH、温度（20～80）℃；相对湿度波动度≤±2%RH；相对湿度均匀度≤3%RH；</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2.3.3温湿度变化率（控制稳定状态下）</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线性升温速率：≥1℃/min（-20℃～+50℃，带载1000kg铝锭+0.2kW发热）；</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线性降温速率：≥1℃/min（+50℃～-20℃，带载1000kg铝锭+0.2kW发热）。</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2.3.4 热负载：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1000KG+0.2kW（在-20℃～+50℃恒温时考核）；</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1000KG+0.2kW（在20℃/60%RH、40℃/50%RH、40℃/85%RH、70℃/95%RH温湿度时考核）。</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2.4系统控制要求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2.4.1能实现按照预设定温、湿度条件及预设定时间等条件自动执行检测动作，当到达设定检测的温、湿度要求后自动运行，实现无气流及无人为干预测试；</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2.4.2可自动选择测试用砝码逐级加载和卸载，加载时无冲击力影响检测结果；</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2.4.3自动执行各项测试流程，检测时间间隔（如30min蠕变项目、24小时保温后施加载荷等）均衡；</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2.4.4具有运行程序编辑功能，程序条目存储容量不少于40个，具有循环运行功能。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2.4.5能实现任意时间内自动启动或自动停止程序运转。</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2.4.6具备断电记忆功能，断电后再上电时可自选工作模式，包括中断、重新测试、继续测试等。</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2.4.7应具备警告功能，记录警告内容和时间，并有自诊断功能。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2.5功能要求：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2.5.1湿度传感器需为电容式传感器； </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2.5.2配置风速可变功能，出口风速/风量可在控制面板中手动调节，调节档位不低于4档；</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2.5.3配置反渗透过滤器，持续监测出水水质，具有水质报警功能，提醒更换滤芯。</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 具备保护功能包括：</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2.6.1装置上电和运行前应进行自检，并能显示故障；</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2.6.2具备温度保护，温度上限值和下限值可设置；</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2.6.3具备被检衡器防过载的软件保护、限位装置的机械保护、人员保护装置和急停开关的手动应急保护等。</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3、试验台1套</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 试验台检测工位≥4个，检测相同量程规格的工位数量＞3个；</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3.2试验台整体采用不锈钢材质制造；</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3.3最大负载 800kg 工况下，试验台沉降量≤1mm。</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4、实现功能必备的工控机及检测软件</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4.1系统配套计算机运行速度：CPU 主频≥3.2GHz、四核及以上处理器；内存≥8GB；配置独立显卡，可对接数据采集系统；配备 23 英寸及以上 LED 显示器；配套显示屏数量≥实验室数量（不少于3台）；</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4.2配置LAN及RS-485数据接口，可以通过上位机软件、手机软件或Web页面等多种方式远程访问，实现设备运行情况远程监控、远程设定、远程启停、远程警报通知等功能。</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4.3检测软件支持自动、半自动和手动三种操作模式；操作软件可实现测试项目选择、参数设置、自动采集、计算、存储、管理数据文件等功能；数据结果符合</w:t>
      </w:r>
      <w:bookmarkStart w:id="120" w:name="OLE_LINK2"/>
      <w:r>
        <w:rPr>
          <w:rFonts w:hint="eastAsia" w:ascii="宋体" w:hAnsi="宋体" w:eastAsia="宋体" w:cs="宋体"/>
          <w:bCs/>
          <w:sz w:val="24"/>
          <w:szCs w:val="24"/>
          <w:highlight w:val="none"/>
        </w:rPr>
        <w:t xml:space="preserve">JJF1834-2020《非自动衡器通用技术要求》中</w:t>
      </w:r>
      <w:bookmarkEnd w:id="120"/>
      <w:r>
        <w:rPr>
          <w:rFonts w:hint="eastAsia" w:ascii="宋体" w:hAnsi="宋体" w:eastAsia="宋体" w:cs="宋体"/>
          <w:bCs/>
          <w:sz w:val="24"/>
          <w:szCs w:val="24"/>
          <w:highlight w:val="none"/>
        </w:rPr>
        <w:t xml:space="preserve">关于非自动衡器型式评价试验对应最大允许误差要求，并能自动判断数据的符合性；检测软件采集数据能按设定的型评/监督检验/检定/校准参数进行自动计算、处理、保存和输出，原始记录输出格式可要求编辑，满足本院检测系统原始记录格式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5、视觉识别系统</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5.1视觉识别系统能实现电子秤检定过程中的铭牌识别、重量数值等信息的识别。</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5.2识别系统功能要求</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bookmarkStart w:id="121" w:name="OLE_LINK12"/>
      <w:r/>
      <w:bookmarkStart w:id="122" w:name="OLE_LINK9"/>
      <w:r>
        <w:rPr>
          <w:rFonts w:hint="eastAsia" w:ascii="宋体" w:hAnsi="宋体" w:eastAsia="宋体" w:cs="宋体"/>
          <w:bCs/>
          <w:sz w:val="24"/>
          <w:szCs w:val="24"/>
          <w:highlight w:val="none"/>
        </w:rPr>
        <w:t xml:space="preserve">★</w:t>
      </w:r>
      <w:bookmarkEnd w:id="121"/>
      <w:r/>
      <w:bookmarkEnd w:id="122"/>
      <w:r>
        <w:rPr>
          <w:rFonts w:hint="eastAsia" w:ascii="宋体" w:hAnsi="宋体" w:eastAsia="宋体" w:cs="宋体"/>
          <w:bCs/>
          <w:sz w:val="24"/>
          <w:szCs w:val="24"/>
          <w:highlight w:val="none"/>
        </w:rPr>
        <w:t xml:space="preserve">5.2.1电子秤显示数值识别：支持对数码管、LCD小屏、触摸屏等市面主流电子秤显示类型的数值识别；具备自动定位、自动变焦、智能识别能力，无需人工手动调整。检测时，被检样机置于摄像头前方，视觉系统可在1m×1m×1m空间内移动，实现区域内样机自动定位、自动变焦、智能读数识别。</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★5.2.2铭牌识别：</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视觉系统对样机铭牌识别，应可识别的铭牌信息至少包括：①产品名称；②CPA 标识；③型号；④最大秤量；⑤最小秤量；⑥准确度等级；⑦检定分度值；⑧实际分度值；⑨检定分度数；⑩最大皮重；⑪出厂编号；⑫软件标识；⑬产品执行标准；⑭型式评价依据的型式评价大纲；⑮制造商；⑯制造日期；⑰工作温度等。</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5.3视觉识别系统技术指标</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5.3.1电子秤重量数值定位时间：≤10秒；重量数值识别时间：≤0.3秒；重量数值识别准确性：≥99%；电子秤放置范围为长、宽、高各1米；</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5.3.2铭牌参数识别时间：≤3秒；铭牌参数识别准确性：≥99%。</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5.3.3分辨率不小于2560×1440；具备除雾功能； 25倍光学变焦；16倍数字变焦。</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5.3.4支持360°水平连续旋转，垂直方向-5～90°；</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5.3.5 工作温度-30℃～65℃，湿度不大于90%；</w:t>
      </w:r>
      <w:r>
        <w:rPr>
          <w:rFonts w:hint="eastAsia" w:ascii="宋体" w:hAnsi="宋体" w:eastAsia="宋体" w:cs="宋体"/>
          <w:bCs/>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6、配备专用修理工具一套。</w:t>
      </w:r>
      <w:r>
        <w:rPr>
          <w:rFonts w:hint="eastAsia" w:ascii="宋体" w:hAnsi="宋体" w:eastAsia="宋体" w:cs="宋体"/>
          <w:sz w:val="24"/>
          <w:szCs w:val="24"/>
          <w:highlight w:val="none"/>
        </w:rPr>
      </w:r>
      <w:r/>
    </w:p>
    <w:p>
      <w:pPr>
        <w:pStyle w:val="1146"/>
        <w:ind w:firstLine="241"/>
        <w:rPr>
          <w:rFonts w:hint="eastAsia" w:ascii="宋体" w:hAnsi="宋体" w:eastAsia="宋体" w:cs="宋体"/>
          <w:b/>
          <w:bCs/>
          <w:szCs w:val="24"/>
          <w:highlight w:val="none"/>
        </w:rPr>
      </w:pPr>
      <w:r>
        <w:rPr>
          <w:rFonts w:hint="eastAsia" w:ascii="宋体" w:hAnsi="宋体" w:eastAsia="宋体" w:cs="宋体"/>
          <w:b/>
          <w:bCs/>
          <w:szCs w:val="24"/>
          <w:highlight w:val="none"/>
        </w:rPr>
        <w:t xml:space="preserve">（三）说明：</w:t>
      </w:r>
      <w:r>
        <w:rPr>
          <w:rFonts w:hint="eastAsia" w:ascii="宋体" w:hAnsi="宋体" w:eastAsia="宋体" w:cs="宋体"/>
          <w:b/>
          <w:bCs/>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w:t>
      </w:r>
      <w:r>
        <w:rPr>
          <w:rFonts w:hint="eastAsia" w:ascii="宋体" w:hAnsi="宋体" w:eastAsia="宋体" w:cs="宋体"/>
          <w:b/>
          <w:bCs/>
          <w:sz w:val="24"/>
          <w:szCs w:val="24"/>
          <w:highlight w:val="none"/>
        </w:rPr>
        <w:t xml:space="preserve">不接受</w:t>
      </w:r>
      <w:r>
        <w:rPr>
          <w:rFonts w:hint="eastAsia" w:ascii="宋体" w:hAnsi="宋体" w:eastAsia="宋体" w:cs="宋体"/>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sz w:val="24"/>
          <w:szCs w:val="24"/>
          <w:highlight w:val="none"/>
        </w:rPr>
      </w:r>
      <w:r/>
    </w:p>
    <w:p>
      <w:pPr>
        <w:pStyle w:val="1047"/>
        <w:spacing w:after="5"/>
        <w:rPr>
          <w:rFonts w:hint="eastAsia" w:ascii="宋体" w:hAnsi="宋体" w:eastAsia="宋体" w:cs="宋体"/>
          <w:b/>
          <w:sz w:val="24"/>
          <w:szCs w:val="24"/>
          <w:highlight w:val="none"/>
        </w:rPr>
        <w:outlineLvl w:val="1"/>
      </w:pPr>
      <w:r/>
      <w:bookmarkStart w:id="123" w:name="_Toc8149"/>
      <w:r/>
      <w:bookmarkStart w:id="124" w:name="_Toc32321"/>
      <w:r>
        <w:rPr>
          <w:rFonts w:hint="eastAsia" w:ascii="宋体" w:hAnsi="宋体" w:eastAsia="宋体" w:cs="宋体"/>
          <w:b/>
          <w:sz w:val="24"/>
          <w:szCs w:val="24"/>
          <w:highlight w:val="none"/>
        </w:rPr>
        <w:t xml:space="preserve">三、 商务要求：</w:t>
      </w:r>
      <w:bookmarkEnd w:id="119"/>
      <w:r/>
      <w:bookmarkEnd w:id="123"/>
      <w:r/>
      <w:bookmarkEnd w:id="124"/>
      <w:r>
        <w:rPr>
          <w:rFonts w:hint="eastAsia" w:ascii="宋体" w:hAnsi="宋体" w:eastAsia="宋体" w:cs="宋体"/>
          <w:b/>
          <w:sz w:val="24"/>
          <w:szCs w:val="24"/>
          <w:highlight w:val="none"/>
        </w:rPr>
      </w:r>
      <w:r/>
    </w:p>
    <w:p>
      <w:pPr>
        <w:pStyle w:val="1047"/>
        <w:ind w:firstLine="42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（一）服务要求：</w:t>
      </w:r>
      <w:r>
        <w:rPr>
          <w:rFonts w:hint="eastAsia" w:ascii="宋体" w:hAnsi="宋体" w:eastAsia="宋体" w:cs="宋体"/>
          <w:b/>
          <w:sz w:val="24"/>
          <w:szCs w:val="24"/>
          <w:highlight w:val="none"/>
        </w:rPr>
      </w:r>
      <w:r/>
    </w:p>
    <w:p>
      <w:pPr>
        <w:pStyle w:val="1047"/>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1.交货期及交货地点：</w:t>
      </w:r>
      <w:r>
        <w:rPr>
          <w:rFonts w:hint="eastAsia" w:ascii="宋体" w:hAnsi="宋体" w:eastAsia="宋体" w:cs="宋体"/>
          <w:b/>
          <w:bCs/>
          <w:sz w:val="24"/>
          <w:szCs w:val="24"/>
          <w:highlight w:val="none"/>
        </w:rPr>
      </w:r>
      <w:r/>
    </w:p>
    <w:p>
      <w:pPr>
        <w:pStyle w:val="104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（1）交货时间：合同签订后四个月内供齐所有货物，并完成安装、调试、计量检测并取得检定/校准合格证书。</w:t>
      </w:r>
      <w:r>
        <w:rPr>
          <w:rFonts w:hint="eastAsia" w:ascii="宋体" w:hAnsi="宋体" w:eastAsia="宋体" w:cs="宋体"/>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江苏省计量科学研究院（江苏省能源计量数据中心）（南京市栖霞区文澜路95号）或指定地点。</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w:t>
      </w:r>
      <w:r/>
    </w:p>
    <w:p>
      <w:pPr>
        <w:pStyle w:val="1047"/>
        <w:ind w:firstLine="482"/>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付款方式：</w:t>
      </w:r>
      <w:r>
        <w:rPr>
          <w:rFonts w:hint="eastAsia" w:ascii="宋体" w:hAnsi="宋体" w:eastAsia="宋体" w:cs="宋体"/>
          <w:b/>
          <w:sz w:val="24"/>
          <w:szCs w:val="24"/>
          <w:highlight w:val="none"/>
        </w:rPr>
      </w:r>
      <w:r/>
    </w:p>
    <w:p>
      <w:pPr>
        <w:pStyle w:val="1047"/>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合同签订生效后一个月内，采购人向供应商支付合同金额3</w:t>
      </w:r>
      <w:r>
        <w:rPr>
          <w:rFonts w:ascii="宋体" w:hAnsi="宋体" w:eastAsia="宋体" w:cs="宋体"/>
          <w:bCs/>
          <w:sz w:val="24"/>
          <w:szCs w:val="24"/>
          <w:highlight w:val="none"/>
        </w:rPr>
        <w:t xml:space="preserve">0</w:t>
      </w:r>
      <w:r>
        <w:rPr>
          <w:rFonts w:hint="eastAsia" w:ascii="宋体" w:hAnsi="宋体" w:eastAsia="宋体" w:cs="宋体"/>
          <w:bCs/>
          <w:sz w:val="24"/>
          <w:szCs w:val="24"/>
          <w:highlight w:val="none"/>
        </w:rPr>
        <w:t xml:space="preserve">%的预付款，设备、材料全部运抵采购人指定地点，安装结束，调试完毕，并验收合格，供应商向采购人开具合同金额10%的银行保函（作为履约保证金）后，采购人向供应商支付合同金额</w:t>
      </w:r>
      <w:r>
        <w:rPr>
          <w:rFonts w:ascii="宋体" w:hAnsi="宋体" w:eastAsia="宋体" w:cs="宋体"/>
          <w:bCs/>
          <w:sz w:val="24"/>
          <w:szCs w:val="24"/>
          <w:highlight w:val="none"/>
        </w:rPr>
        <w:t xml:space="preserve">70</w:t>
      </w:r>
      <w:r>
        <w:rPr>
          <w:rFonts w:hint="eastAsia" w:ascii="宋体" w:hAnsi="宋体" w:eastAsia="宋体" w:cs="宋体"/>
          <w:bCs/>
          <w:sz w:val="24"/>
          <w:szCs w:val="24"/>
          <w:highlight w:val="none"/>
        </w:rPr>
        <w:t xml:space="preserve">%的货款。保函在合同履行完毕后无息退回。如供应商未能履行合同规定的义务，采购人有权从履约保证金中取得补偿。</w:t>
      </w:r>
      <w:r>
        <w:rPr>
          <w:rFonts w:hint="eastAsia" w:ascii="宋体" w:hAnsi="宋体" w:eastAsia="宋体" w:cs="宋体"/>
          <w:bCs/>
          <w:sz w:val="24"/>
          <w:szCs w:val="24"/>
          <w:highlight w:val="none"/>
        </w:rPr>
      </w:r>
      <w:r/>
    </w:p>
    <w:p>
      <w:pPr>
        <w:pStyle w:val="1047"/>
        <w:ind w:firstLine="482"/>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因供应商原因没有按期提供银行保函和发票，致使采购人未能及时付款所产生的责任由供应商承担，采购人不承担违约责任。</w:t>
      </w:r>
      <w:r>
        <w:rPr>
          <w:rFonts w:ascii="宋体" w:hAnsi="宋体" w:eastAsia="宋体" w:cs="宋体"/>
          <w:bCs/>
          <w:sz w:val="24"/>
          <w:szCs w:val="24"/>
          <w:highlight w:val="none"/>
        </w:rPr>
      </w:r>
      <w:r/>
    </w:p>
    <w:p>
      <w:pPr>
        <w:pStyle w:val="1047"/>
        <w:ind w:firstLine="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3.安装调试：</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卖方向买方提供设备供货清单，由买方确认。当货物到达买方指定的交货地点后，买卖双方依据设备供货清单共同对设备进行开箱验收，并对设备的数量、品质进行逐项检查。如买方发现所提供设备的品质和技术规范不符合合同要求时，或有明显损坏，买方有权向卖方提出退、换和索赔；</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2.在设备到达交货地点后，卖方应尽快安排技术人员完成整套设备的安装和调试，同时协助买方合理安排试验环境和条件的布置。卖方承担安装调试相关全部费用。</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3.在安装调试过程中如有任何软、硬件故障发生，卖方必须更换不合格的部件，并重新进行安装测试，由此引起的全部费用由卖方承担。</w:t>
      </w:r>
      <w:r>
        <w:rPr>
          <w:rFonts w:hint="eastAsia" w:ascii="宋体" w:hAnsi="宋体" w:eastAsia="宋体" w:cs="宋体"/>
          <w:bCs/>
          <w:sz w:val="24"/>
          <w:szCs w:val="24"/>
          <w:highlight w:val="none"/>
        </w:rPr>
      </w:r>
      <w:r/>
    </w:p>
    <w:p>
      <w:pPr>
        <w:pStyle w:val="1047"/>
        <w:ind w:firstLine="48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4.在安装、调试过程中，卖方应向买方提供完整的技术说明书、用户手册及维修手册等相关技术文档资料，对买方技术人员所提出的技术问题给予满意的答复。</w:t>
      </w:r>
      <w:r>
        <w:rPr>
          <w:rFonts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4.验收依据、方法及单位</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（1）检测依据：JJF 1101-2019《环境试验设备温度、湿度参数校准规范》、JJG 99-2022《砝码检定规程》、JJF 1834-2020《非自动衡器通用技术要求》、仪器说明书上的各项技术指标及本技术文件；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（2）卖方负责送检至上海市计量测试技术研究院有限公司进行检定，检测费用由卖方承担。</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（3）江苏省计量科学研究院依据上述所有证书报告、本技术文件和仪器说明书对整套装置的技术指标、功能和各项配置进行验收。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bookmarkStart w:id="125" w:name="OLE_LINK7"/>
      <w:r/>
      <w:bookmarkStart w:id="126" w:name="OLE_LINK8"/>
      <w:r>
        <w:rPr>
          <w:rFonts w:hint="eastAsia" w:ascii="宋体" w:hAnsi="宋体" w:eastAsia="宋体" w:cs="宋体"/>
          <w:bCs/>
          <w:sz w:val="24"/>
          <w:szCs w:val="24"/>
          <w:highlight w:val="none"/>
        </w:rPr>
        <w:t xml:space="preserve">★（4）如果货物安装调试后验收不合格的，应无条件予以退货，并于验收报告出具后7个工作日内退回合同预付款，并承担合同金额百分之三十的违约金。</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bookmarkEnd w:id="125"/>
      <w:r/>
      <w:bookmarkEnd w:id="126"/>
      <w:r>
        <w:rPr>
          <w:rFonts w:hint="eastAsia" w:ascii="宋体" w:hAnsi="宋体" w:eastAsia="宋体" w:cs="宋体"/>
          <w:b/>
          <w:sz w:val="24"/>
          <w:szCs w:val="24"/>
          <w:highlight w:val="none"/>
        </w:rPr>
        <w:t xml:space="preserve">5.人员培训要求：</w:t>
      </w:r>
      <w:r>
        <w:rPr>
          <w:rFonts w:hint="eastAsia" w:ascii="宋体" w:hAnsi="宋体" w:eastAsia="宋体" w:cs="宋体"/>
          <w:b/>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（1）卖方派技术工程师对买方人员进行不少于3天的技术培训，使买方人员能掌握有关设备的使用、维护和管理，达到能独立进行操作、日常测试维护等工作的目的。</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（2）卖方应在培训时提供详细的培训文件。</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（3）培训内容包括：基本理论、试验方法原理、试验操作、仪器的使用、仪器维护、安全要点以及其他相关内容。</w:t>
      </w:r>
      <w:r>
        <w:rPr>
          <w:rFonts w:hint="eastAsia" w:ascii="宋体" w:hAnsi="宋体" w:eastAsia="宋体" w:cs="宋体"/>
          <w:bCs/>
          <w:sz w:val="24"/>
          <w:szCs w:val="24"/>
          <w:highlight w:val="none"/>
        </w:rPr>
      </w:r>
      <w:r/>
    </w:p>
    <w:p>
      <w:pPr>
        <w:pStyle w:val="1047"/>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（4）所发生的培训费用由卖方承担。</w:t>
      </w:r>
      <w:r>
        <w:rPr>
          <w:rFonts w:hint="eastAsia" w:ascii="宋体" w:hAnsi="宋体" w:eastAsia="宋体" w:cs="宋体"/>
          <w:bCs/>
          <w:sz w:val="24"/>
          <w:szCs w:val="24"/>
          <w:highlight w:val="none"/>
        </w:rPr>
      </w:r>
      <w:r/>
    </w:p>
    <w:p>
      <w:pPr>
        <w:pStyle w:val="1047"/>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6.技术支持以及售后服务：</w:t>
      </w:r>
      <w:r>
        <w:rPr>
          <w:rFonts w:hint="eastAsia" w:ascii="宋体" w:hAnsi="宋体" w:eastAsia="宋体" w:cs="宋体"/>
          <w:b/>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★（1）非自动衡器三轴加载自动化检测系统的整机质保期为验收合格之日起2年。</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（2）在质保期内，卖方负责为买方的设备提供免费维护、保养和免费更换损坏的和有缺陷的零部件。质保期之后，卖方提供终身维修，原则上卖方技术人员上门维修只收取更换的零部件费，不另收取工时费。</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（3）买方报修后，卖方应在24小时内作出响应，如果电话支持无法解决问题，则48小时内卖方技术人员到现场进行维修。</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（4）卖方提供备用设备服务，如买方仪器发生故障，无法在短时间内修复，而买方急需使用仪器，如卖方有类似的设备， 卖方将无偿提供计量合格的备用设备，直到产品修理完成为止。</w:t>
      </w:r>
      <w:r>
        <w:rPr>
          <w:rFonts w:hint="eastAsia" w:ascii="宋体" w:hAnsi="宋体" w:eastAsia="宋体" w:cs="宋体"/>
          <w:bCs/>
          <w:sz w:val="24"/>
          <w:szCs w:val="24"/>
          <w:highlight w:val="none"/>
        </w:rPr>
      </w:r>
      <w:r/>
    </w:p>
    <w:p>
      <w:pPr>
        <w:pStyle w:val="1047"/>
        <w:ind w:firstLine="420"/>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（5）卖方提供系统软件终生免费升级服务；如相应计量规程规范发生变更，免费升级软件。 </w:t>
      </w:r>
      <w:r>
        <w:rPr>
          <w:rFonts w:hint="eastAsia" w:ascii="宋体" w:hAnsi="宋体" w:eastAsia="宋体" w:cs="宋体"/>
          <w:bCs/>
          <w:sz w:val="24"/>
          <w:szCs w:val="24"/>
          <w:highlight w:val="none"/>
        </w:rPr>
      </w:r>
      <w:r/>
    </w:p>
    <w:p>
      <w:pPr>
        <w:pStyle w:val="1047"/>
        <w:ind w:firstLine="422"/>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（二）报价要求及违约责任：</w:t>
      </w:r>
      <w:r>
        <w:rPr>
          <w:rFonts w:hint="eastAsia" w:ascii="宋体" w:hAnsi="宋体" w:eastAsia="宋体" w:cs="宋体"/>
          <w:b/>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1047"/>
        <w:ind w:firstLine="420"/>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1047"/>
        <w:ind w:firstLine="422"/>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（三）备注：</w:t>
      </w:r>
      <w:r>
        <w:rPr>
          <w:rFonts w:hint="eastAsia" w:ascii="宋体" w:hAnsi="宋体" w:eastAsia="宋体" w:cs="宋体"/>
          <w:b/>
          <w:sz w:val="24"/>
          <w:szCs w:val="24"/>
          <w:highlight w:val="none"/>
        </w:rPr>
      </w:r>
      <w:r/>
    </w:p>
    <w:p>
      <w:pPr>
        <w:pStyle w:val="1047"/>
        <w:ind w:firstLine="480"/>
        <w:spacing w:before="0" w:after="0"/>
        <w:rPr>
          <w:rFonts w:hint="eastAsia" w:ascii="宋体" w:hAnsi="宋体" w:eastAsia="宋体" w:cs="宋体"/>
          <w:b/>
          <w:bCs/>
          <w:color w:val="c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b/>
          <w:bCs/>
          <w:color w:val="c00000"/>
          <w:sz w:val="24"/>
          <w:szCs w:val="24"/>
          <w:highlight w:val="none"/>
        </w:rPr>
      </w:r>
      <w:r/>
    </w:p>
    <w:p>
      <w:pPr>
        <w:pStyle w:val="1047"/>
        <w:ind w:firstLine="480"/>
        <w:spacing w:before="0" w:after="0"/>
        <w:rPr>
          <w:rFonts w:ascii="宋体" w:hAnsi="宋体" w:eastAsia="宋体" w:cs="宋体"/>
          <w:b/>
          <w:bCs/>
          <w:color w:val="c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c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b/>
          <w:bCs/>
          <w:color w:val="c00000"/>
          <w:highlight w:val="none"/>
        </w:rPr>
      </w:r>
      <w:r/>
    </w:p>
    <w:p>
      <w:pPr>
        <w:pStyle w:val="1048"/>
        <w:ind w:firstLine="0"/>
        <w:tabs>
          <w:tab w:val="left" w:pos="1440" w:leader="none"/>
          <w:tab w:val="left" w:pos="5670" w:leader="none"/>
        </w:tabs>
        <w:rPr>
          <w:rFonts w:hint="eastAsia" w:ascii="宋体" w:hAnsi="宋体" w:eastAsia="宋体" w:cs="宋体"/>
          <w:b w:val="0"/>
          <w:sz w:val="28"/>
          <w:highlight w:val="none"/>
        </w:rPr>
      </w:pPr>
      <w:r/>
      <w:bookmarkStart w:id="127" w:name="_Toc29611"/>
      <w:r>
        <w:rPr>
          <w:rFonts w:hint="eastAsia" w:ascii="宋体" w:hAnsi="宋体" w:eastAsia="宋体" w:cs="宋体"/>
          <w:highlight w:val="none"/>
        </w:rPr>
        <w:t xml:space="preserve">第五章 </w:t>
      </w:r>
      <w:bookmarkEnd w:id="115"/>
      <w:r>
        <w:rPr>
          <w:rFonts w:hint="eastAsia" w:ascii="宋体" w:hAnsi="宋体" w:eastAsia="宋体" w:cs="宋体"/>
          <w:highlight w:val="none"/>
        </w:rPr>
        <w:t xml:space="preserve">拟签订的合同文本</w:t>
      </w:r>
      <w:bookmarkEnd w:id="116"/>
      <w:r/>
      <w:bookmarkEnd w:id="127"/>
      <w:r>
        <w:rPr>
          <w:rFonts w:hint="eastAsia" w:ascii="宋体" w:hAnsi="宋体" w:eastAsia="宋体" w:cs="宋体"/>
          <w:b w:val="0"/>
          <w:sz w:val="28"/>
          <w:highlight w:val="none"/>
        </w:rPr>
      </w:r>
      <w:r/>
    </w:p>
    <w:p>
      <w:pPr>
        <w:pStyle w:val="1047"/>
        <w:ind w:left="108" w:firstLine="482"/>
        <w:jc w:val="left"/>
        <w:spacing w:line="480" w:lineRule="exact"/>
        <w:tabs>
          <w:tab w:val="left" w:pos="4785" w:leader="none"/>
        </w:tabs>
        <w:rPr>
          <w:rFonts w:ascii="宋体" w:hAnsi="宋体" w:eastAsia="宋体" w:cs="宋体"/>
          <w:b/>
          <w:bCs/>
          <w:i/>
          <w:iCs/>
          <w:sz w:val="24"/>
          <w:szCs w:val="24"/>
          <w:highlight w:val="none"/>
        </w:rPr>
      </w:pPr>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bookmarkStart w:id="128" w:name="_Toc4445"/>
      <w:r>
        <w:rPr>
          <w:rFonts w:ascii="宋体" w:hAnsi="宋体" w:eastAsia="宋体" w:cs="宋体"/>
          <w:b/>
          <w:bCs/>
          <w:i/>
          <w:iCs/>
          <w:sz w:val="24"/>
          <w:szCs w:val="24"/>
          <w:highlight w:val="none"/>
        </w:rPr>
      </w:r>
      <w:r/>
    </w:p>
    <w:p>
      <w:pPr>
        <w:pStyle w:val="1047"/>
        <w:ind w:left="108" w:firstLine="480"/>
        <w:jc w:val="left"/>
        <w:spacing w:line="480" w:lineRule="exact"/>
        <w:tabs>
          <w:tab w:val="left" w:pos="4785"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买方（甲方）：江苏省计量科学研究院（江苏省能源计量数据中心）</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卖方（乙方）： </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 江苏海外集团国际工程咨询有限公司</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一、说明：</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sz w:val="24"/>
          <w:szCs w:val="24"/>
          <w:highlight w:val="none"/>
        </w:rPr>
        <w:t xml:space="preserve">检测设备</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）的评审活动，经评委认真严格地评审，确定由卖方成交。</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二、合同条款：</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sz w:val="24"/>
          <w:szCs w:val="24"/>
          <w:highlight w:val="none"/>
        </w:rPr>
      </w:r>
      <w:r/>
    </w:p>
    <w:p>
      <w:pPr>
        <w:pStyle w:val="1047"/>
        <w:contextualSpacing/>
        <w:ind w:left="720" w:hanging="80"/>
        <w:jc w:val="left"/>
        <w:spacing w:before="100" w:after="100" w:line="480" w:lineRule="exact"/>
        <w:widowControl/>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1.设备名称、型号规格、数量及服务内容。</w:t>
      </w:r>
      <w:r>
        <w:rPr>
          <w:rFonts w:hint="eastAsia" w:ascii="宋体" w:hAnsi="宋体" w:eastAsia="宋体" w:cs="宋体"/>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329"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产品名称</w:t>
            </w:r>
            <w:r>
              <w:rPr>
                <w:rFonts w:hint="eastAsia" w:ascii="宋体" w:hAnsi="宋体" w:eastAsia="宋体" w:cs="宋体"/>
                <w:sz w:val="24"/>
                <w:szCs w:val="24"/>
                <w:highlight w:val="none"/>
              </w:rPr>
            </w:r>
            <w:r/>
          </w:p>
        </w:tc>
        <w:tc>
          <w:tcPr>
            <w:tcW w:w="655"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rPr>
                <w:rFonts w:hint="eastAsia" w:ascii="宋体" w:hAnsi="宋体" w:eastAsia="宋体" w:cs="宋体"/>
                <w:sz w:val="24"/>
                <w:szCs w:val="24"/>
                <w:highlight w:val="none"/>
              </w:rPr>
            </w:r>
            <w:r/>
          </w:p>
        </w:tc>
        <w:tc>
          <w:tcPr>
            <w:tcW w:w="494"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W w:w="504"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W w:w="828"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rFonts w:hint="eastAsia" w:ascii="宋体" w:hAnsi="宋体" w:eastAsia="宋体" w:cs="宋体"/>
                <w:sz w:val="24"/>
                <w:szCs w:val="24"/>
                <w:highlight w:val="none"/>
              </w:rPr>
            </w:r>
            <w:r/>
          </w:p>
        </w:tc>
        <w:tc>
          <w:tcPr>
            <w:tcW w:w="735" w:type="dxa"/>
            <w:vAlign w:val="center"/>
            <w:textDirection w:val="lrTb"/>
            <w:noWrap w:val="false"/>
          </w:tcPr>
          <w:p>
            <w:pPr>
              <w:pStyle w:val="1047"/>
              <w:jc w:val="center"/>
              <w:spacing w:before="0" w:after="0"/>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tcW w:w="452"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9"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5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9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04"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8"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5" w:type="dxa"/>
            <w:vAlign w:val="center"/>
            <w:textDirection w:val="lrTb"/>
            <w:noWrap w:val="false"/>
          </w:tcPr>
          <w:p>
            <w:pPr>
              <w:pStyle w:val="1047"/>
              <w:ind w:firstLine="420"/>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gridSpan w:val="4"/>
            <w:tcW w:w="5545" w:type="dxa"/>
            <w:vAlign w:val="center"/>
            <w:textDirection w:val="lrTb"/>
            <w:noWrap w:val="false"/>
          </w:tcPr>
          <w:p>
            <w:pPr>
              <w:pStyle w:val="1047"/>
              <w:ind w:firstLine="422"/>
              <w:jc w:val="center"/>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合计（元）</w:t>
            </w:r>
            <w:r>
              <w:rPr>
                <w:rFonts w:hint="eastAsia" w:ascii="宋体" w:hAnsi="宋体" w:eastAsia="宋体" w:cs="宋体"/>
                <w:sz w:val="24"/>
                <w:szCs w:val="24"/>
                <w:highlight w:val="none"/>
              </w:rPr>
            </w:r>
            <w:r/>
          </w:p>
        </w:tc>
        <w:tc>
          <w:tcPr>
            <w:gridSpan w:val="3"/>
            <w:tcW w:w="3909" w:type="dxa"/>
            <w:vAlign w:val="center"/>
            <w:textDirection w:val="lrTb"/>
            <w:noWrap w:val="false"/>
          </w:tcPr>
          <w:p>
            <w:pPr>
              <w:pStyle w:val="1047"/>
              <w:ind w:firstLine="422"/>
              <w:spacing w:line="480" w:lineRule="exact"/>
              <w:tabs>
                <w:tab w:val="left" w:pos="-235"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r>
            <w:r/>
          </w:p>
        </w:tc>
      </w:tr>
    </w:tbl>
    <w:p>
      <w:pPr>
        <w:pStyle w:val="1047"/>
        <w:ind w:left="108" w:firstLine="4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2.合同总价（大写）：</w:t>
      </w:r>
      <w:r>
        <w:rPr>
          <w:rFonts w:hint="eastAsia" w:ascii="宋体" w:hAnsi="宋体" w:eastAsia="宋体" w:cs="宋体"/>
          <w:b/>
          <w:bCs/>
          <w:sz w:val="24"/>
          <w:szCs w:val="24"/>
          <w:highlight w:val="none"/>
          <w:u w:val="single"/>
        </w:rPr>
        <w:t xml:space="preserve">人民币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（含税）</w:t>
      </w:r>
      <w:r>
        <w:rPr>
          <w:rFonts w:hint="eastAsia" w:ascii="宋体" w:hAnsi="宋体" w:eastAsia="宋体" w:cs="宋体"/>
          <w:bCs/>
          <w:sz w:val="24"/>
          <w:szCs w:val="24"/>
          <w:highlight w:val="none"/>
        </w:rPr>
      </w:r>
      <w:r/>
    </w:p>
    <w:p>
      <w:pPr>
        <w:pStyle w:val="1047"/>
        <w:ind w:left="108" w:firstLine="1680"/>
        <w:jc w:val="left"/>
        <w:spacing w:line="480" w:lineRule="exact"/>
        <w:tabs>
          <w:tab w:val="left" w:pos="478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（小写）：</w:t>
      </w:r>
      <w:r>
        <w:rPr>
          <w:rFonts w:hint="eastAsia" w:ascii="宋体" w:hAnsi="宋体" w:eastAsia="宋体" w:cs="宋体"/>
          <w:b/>
          <w:bCs/>
          <w:sz w:val="24"/>
          <w:szCs w:val="24"/>
          <w:highlight w:val="none"/>
          <w:u w:val="single"/>
        </w:rPr>
        <w:t xml:space="preserve">￥            元。</w:t>
      </w:r>
      <w:r>
        <w:rPr>
          <w:rFonts w:hint="eastAsia" w:ascii="宋体" w:hAnsi="宋体" w:eastAsia="宋体" w:cs="宋体"/>
          <w:bCs/>
          <w:sz w:val="24"/>
          <w:szCs w:val="24"/>
          <w:highlight w:val="none"/>
        </w:rPr>
      </w:r>
      <w:r/>
    </w:p>
    <w:p>
      <w:pPr>
        <w:pStyle w:val="1047"/>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bCs/>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交付使用时间：</w:t>
      </w:r>
      <w:r>
        <w:rPr>
          <w:rFonts w:hint="eastAsia" w:ascii="宋体" w:hAnsi="宋体" w:eastAsia="宋体" w:cs="宋体"/>
          <w:sz w:val="24"/>
          <w:szCs w:val="24"/>
          <w:highlight w:val="none"/>
          <w:u w:val="single"/>
        </w:rPr>
        <w:t xml:space="preserve">详见投标文件。</w:t>
      </w:r>
      <w:r>
        <w:rPr>
          <w:rFonts w:hint="eastAsia" w:ascii="宋体" w:hAnsi="宋体" w:eastAsia="宋体" w:cs="宋体"/>
          <w:sz w:val="24"/>
          <w:szCs w:val="24"/>
          <w:highlight w:val="none"/>
        </w:rPr>
      </w:r>
      <w:r/>
    </w:p>
    <w:p>
      <w:pPr>
        <w:pStyle w:val="1047"/>
        <w:ind w:firstLine="60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收货人：</w:t>
      </w:r>
      <w:r>
        <w:rPr>
          <w:rFonts w:hint="eastAsia" w:ascii="宋体" w:hAnsi="宋体" w:eastAsia="宋体" w:cs="宋体"/>
          <w:b/>
          <w:sz w:val="24"/>
          <w:szCs w:val="24"/>
          <w:highlight w:val="none"/>
          <w:u w:val="single"/>
        </w:rPr>
        <w:t xml:space="preserve">江苏省计量科学研究院（江苏省能源计量数据中心）</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r>
      <w:r/>
    </w:p>
    <w:p>
      <w:pPr>
        <w:pStyle w:val="1047"/>
        <w:ind w:firstLine="600"/>
        <w:spacing w:line="480" w:lineRule="exact"/>
        <w:tabs>
          <w:tab w:val="left" w:pos="-23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5. 交货地点：</w:t>
      </w:r>
      <w:r>
        <w:rPr>
          <w:rFonts w:hint="eastAsia" w:ascii="宋体" w:hAnsi="宋体" w:eastAsia="宋体" w:cs="宋体"/>
          <w:b/>
          <w:sz w:val="24"/>
          <w:szCs w:val="24"/>
          <w:highlight w:val="none"/>
          <w:u w:val="single"/>
        </w:rPr>
        <w:t xml:space="preserve">买方指定地点。</w:t>
      </w:r>
      <w:r>
        <w:rPr>
          <w:rFonts w:hint="eastAsia" w:ascii="宋体" w:hAnsi="宋体" w:eastAsia="宋体" w:cs="宋体"/>
          <w:b/>
          <w:sz w:val="24"/>
          <w:szCs w:val="24"/>
          <w:highlight w:val="none"/>
          <w:u w:val="single"/>
        </w:rPr>
      </w:r>
      <w:r/>
    </w:p>
    <w:p>
      <w:pPr>
        <w:pStyle w:val="1047"/>
        <w:ind w:firstLine="600"/>
        <w:spacing w:line="480" w:lineRule="exact"/>
        <w:tabs>
          <w:tab w:val="left" w:pos="-235"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 设备的制造应符合下列标准或规范并据此验收：</w:t>
      </w:r>
      <w:r>
        <w:rPr>
          <w:rFonts w:hint="eastAsia" w:ascii="宋体" w:hAnsi="宋体" w:eastAsia="宋体" w:cs="宋体"/>
          <w:b/>
          <w:sz w:val="24"/>
          <w:szCs w:val="24"/>
          <w:highlight w:val="none"/>
          <w:u w:val="single"/>
        </w:rPr>
        <w:t xml:space="preserve">招标文件、投标文件、双方签订的技术协议和国家的相关标准。</w:t>
      </w:r>
      <w:r>
        <w:rPr>
          <w:rFonts w:hint="eastAsia" w:ascii="宋体" w:hAnsi="宋体" w:eastAsia="宋体" w:cs="宋体"/>
          <w:sz w:val="24"/>
          <w:szCs w:val="24"/>
          <w:highlight w:val="none"/>
          <w:u w:val="singl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买方付款方式及期限：</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合同签订生效后一个月内，买方向卖方支付合同金额3</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%的预付款；设备、材料全部运抵买方指定地点，并安装结束，调试完毕，全部设备验收合格、卖方向买方开具合同金额10%的银行保函（作为履约保证金）后，买方向卖方支付合同金额</w:t>
      </w:r>
      <w:r>
        <w:rPr>
          <w:rFonts w:ascii="宋体" w:hAnsi="宋体" w:eastAsia="宋体" w:cs="宋体"/>
          <w:sz w:val="24"/>
          <w:szCs w:val="24"/>
          <w:highlight w:val="none"/>
        </w:rPr>
        <w:t xml:space="preserve">70</w:t>
      </w:r>
      <w:r>
        <w:rPr>
          <w:rFonts w:hint="eastAsia" w:ascii="宋体" w:hAnsi="宋体" w:eastAsia="宋体" w:cs="宋体"/>
          <w:sz w:val="24"/>
          <w:szCs w:val="24"/>
          <w:highlight w:val="none"/>
        </w:rPr>
        <w:t xml:space="preserve">%的货款。履约保证金在设备验收合格并稳定运行满一年后无息退回。如卖方未能履行合同规定的义务，买方有权从履约保证金中取得补偿。</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因卖方原因没有按期提供银行保函和发票的，致使买方未能及时付款所产生的责任由卖方负责，买方不承担违约责任。</w:t>
      </w:r>
      <w:r>
        <w:rPr>
          <w:rFonts w:hint="eastAsia" w:ascii="宋体" w:hAnsi="宋体" w:eastAsia="宋体" w:cs="宋体"/>
          <w:sz w:val="24"/>
          <w:szCs w:val="24"/>
          <w:highlight w:val="none"/>
        </w:rPr>
      </w:r>
      <w:r/>
    </w:p>
    <w:p>
      <w:pPr>
        <w:pStyle w:val="1047"/>
        <w:ind w:left="108" w:firstLine="480"/>
        <w:jc w:val="left"/>
        <w:spacing w:line="48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rPr>
          <w:rFonts w:ascii="宋体" w:hAnsi="宋体" w:eastAsia="宋体" w:cs="宋体"/>
          <w:sz w:val="24"/>
          <w:szCs w:val="24"/>
          <w:highlight w:val="none"/>
        </w:rPr>
      </w:r>
      <w:r/>
    </w:p>
    <w:p>
      <w:pPr>
        <w:pStyle w:val="1047"/>
        <w:ind w:left="108" w:firstLine="480"/>
        <w:jc w:val="left"/>
        <w:spacing w:line="48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验收</w:t>
      </w:r>
      <w:r>
        <w:rPr>
          <w:rFonts w:hint="eastAsia" w:ascii="宋体" w:hAnsi="宋体" w:eastAsia="宋体" w:cs="宋体"/>
          <w:sz w:val="24"/>
          <w:szCs w:val="24"/>
          <w:highlight w:val="none"/>
        </w:rPr>
      </w:r>
      <w:r/>
    </w:p>
    <w:p>
      <w:pPr>
        <w:pStyle w:val="1047"/>
        <w:ind w:left="8" w:firstLine="650"/>
        <w:jc w:val="left"/>
        <w:spacing w:line="480" w:lineRule="exact"/>
        <w:tabs>
          <w:tab w:val="left" w:pos="4785" w:leader="none"/>
        </w:tabs>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sz w:val="24"/>
          <w:szCs w:val="24"/>
          <w:highlight w:val="none"/>
          <w:u w:val="singl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质保期及售后服务</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卖方所供设备、材料及安装的质量保证期：</w:t>
      </w:r>
      <w:r>
        <w:rPr>
          <w:rFonts w:hint="eastAsia" w:ascii="宋体" w:hAnsi="宋体" w:eastAsia="宋体" w:cs="宋体"/>
          <w:sz w:val="24"/>
          <w:szCs w:val="24"/>
          <w:highlight w:val="none"/>
          <w:u w:val="single"/>
        </w:rPr>
        <w:t xml:space="preserve">详见投标文件要求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在质保期内，因卖方所供设备、材料制造质量或安装问题出现设备故障时，卖方在接到买方通知后，24小时内响应，并安排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在质保期内，因买方使用不当原因出现设备故障时，卖方在接到买方通知后，设备厂家工程师应在10.2条款中所述的时限内赶到买方现场，帮助排除故障、修复或更换零部件，需购买零部件时，仅收取成本费。</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技术资料</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按投标文件技术规格、参数及其他要求中的要求提供相关资料（见附件）。</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12.货物风险承担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12.2卖方将货物运输至买方指定的地点后，应当及时通知买方进行接收，由买方进行检验。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12.3在货物验收合格之前毁损、灭失的风险由卖方承担，因买方原因造成货物毁损、灭失的除外。</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卖方的违约责任</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13.4卖方不能交付或不能完成合同，买方有权解除本合同并要求卖方双倍返还买方已支付的货款。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13.7卖方履行义务不符合合同约定时，买方将扣减10%合同款。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买方的违约责任：</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14.1买方未按合同规定的时间和要求向卖方提供技术资料等，卖方交付时间顺延。</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卖方在设备安装、调试、验收过程中，买方提供下列条件和配合，超出下列范围的由卖方自理：无</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sz w:val="24"/>
          <w:szCs w:val="24"/>
          <w:highlight w:val="none"/>
        </w:rPr>
      </w:r>
      <w:r/>
    </w:p>
    <w:p>
      <w:pPr>
        <w:pStyle w:val="1047"/>
        <w:ind w:firstLine="480"/>
        <w:jc w:val="left"/>
        <w:spacing w:line="440" w:lineRule="exact"/>
        <w:tabs>
          <w:tab w:val="left" w:pos="478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18. 合同的生效：本合同一式陆份，各份具有同等法律效力，自买卖双方签字、盖章并加盖骑缝章之日起生效。</w:t>
      </w:r>
      <w:r>
        <w:rPr>
          <w:rFonts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 合同的变更和终止：除《中华人民共和国政府采购法》第五十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20.</w:t>
      </w:r>
      <w:r>
        <w:rPr>
          <w:rFonts w:hint="eastAsia" w:ascii="宋体" w:hAnsi="宋体" w:eastAsia="宋体" w:cs="宋体"/>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ascii="宋体" w:hAnsi="宋体" w:eastAsia="宋体" w:cs="宋体"/>
          <w:sz w:val="24"/>
          <w:szCs w:val="24"/>
          <w:highlight w:val="none"/>
        </w:rPr>
        <w:t xml:space="preserve">21</w:t>
      </w:r>
      <w:r>
        <w:rPr>
          <w:rFonts w:hint="eastAsia" w:ascii="宋体" w:hAnsi="宋体" w:eastAsia="宋体" w:cs="宋体"/>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三、廉洁条款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得以任何理由为买方工作人员报销应由个人支付的费用。一旦发生上述事由，买方有权无条件解除本合同。</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四、保密条款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五、送达条款</w:t>
      </w:r>
      <w:r>
        <w:rPr>
          <w:rFonts w:hint="eastAsia" w:ascii="宋体" w:hAnsi="宋体" w:eastAsia="宋体" w:cs="宋体"/>
          <w:sz w:val="24"/>
          <w:szCs w:val="24"/>
          <w:highlight w:val="none"/>
        </w:rPr>
      </w:r>
      <w:r/>
    </w:p>
    <w:p>
      <w:pPr>
        <w:pStyle w:val="1047"/>
        <w:ind w:firstLine="480"/>
        <w:jc w:val="left"/>
        <w:spacing w:line="440" w:lineRule="exact"/>
        <w:tabs>
          <w:tab w:val="left" w:pos="47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sz w:val="24"/>
          <w:szCs w:val="24"/>
          <w:highlight w:val="none"/>
        </w:rPr>
      </w:r>
      <w:r/>
    </w:p>
    <w:p>
      <w:pPr>
        <w:pStyle w:val="1047"/>
        <w:ind w:firstLine="480"/>
        <w:jc w:val="left"/>
        <w:spacing w:line="440" w:lineRule="exact"/>
        <w:widowControl/>
        <w:rPr>
          <w:rFonts w:hint="eastAsia" w:ascii="宋体" w:hAnsi="宋体" w:eastAsia="宋体" w:cs="宋体"/>
          <w:sz w:val="24"/>
          <w:szCs w:val="24"/>
          <w:highlight w:val="none"/>
        </w:rPr>
      </w:pPr>
      <w:r/>
      <w:bookmarkEnd w:id="128"/>
      <w:r>
        <w:rPr>
          <w:rFonts w:hint="eastAsia" w:ascii="宋体" w:hAnsi="宋体" w:eastAsia="宋体" w:cs="宋体"/>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买方（盖章）：</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单位名称：江苏省计量科学研究院（江苏省能源计量数据中心）</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c>
          <w:tcPr>
            <w:tcW w:w="4684" w:type="dxa"/>
            <w:vAlign w:val="top"/>
            <w:textDirection w:val="lrTb"/>
            <w:noWrap w:val="false"/>
          </w:tcPr>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卖方（盖章）：</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单位名称：</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电话：</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传真：</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帐号：</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税号：</w:t>
            </w:r>
            <w:r>
              <w:rPr>
                <w:rFonts w:hint="eastAsia" w:ascii="宋体" w:hAnsi="宋体" w:eastAsia="宋体" w:cs="宋体"/>
                <w:szCs w:val="21"/>
                <w:highlight w:val="none"/>
              </w:rPr>
            </w:r>
            <w:r/>
          </w:p>
          <w:p>
            <w:pPr>
              <w:pStyle w:val="1047"/>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签订日期：  年  月  日</w:t>
            </w:r>
            <w:r>
              <w:rPr>
                <w:rFonts w:hint="eastAsia" w:ascii="宋体" w:hAnsi="宋体" w:eastAsia="宋体" w:cs="宋体"/>
                <w:szCs w:val="21"/>
                <w:highlight w:val="none"/>
              </w:rPr>
            </w:r>
            <w:r/>
          </w:p>
        </w:tc>
      </w:tr>
    </w:tbl>
    <w:p>
      <w:pPr>
        <w:pStyle w:val="1047"/>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sz w:val="24"/>
          <w:szCs w:val="24"/>
          <w:highlight w:val="none"/>
        </w:rPr>
        <w:t xml:space="preserve">     </w:t>
      </w:r>
      <w:bookmarkStart w:id="129" w:name="_Toc27786"/>
      <w:r/>
      <w:bookmarkStart w:id="130" w:name="_Toc15343"/>
      <w:r/>
      <w:bookmarkStart w:id="131" w:name="OLE_LINK6"/>
      <w:r>
        <w:rPr>
          <w:rFonts w:hint="eastAsia" w:ascii="宋体" w:hAnsi="宋体" w:eastAsia="宋体" w:cs="宋体"/>
          <w:highlight w:val="none"/>
        </w:rPr>
      </w:r>
      <w:r/>
    </w:p>
    <w:p>
      <w:pPr>
        <w:pStyle w:val="1048"/>
        <w:ind w:firstLine="0"/>
        <w:tabs>
          <w:tab w:val="left" w:pos="1440" w:leader="none"/>
          <w:tab w:val="left" w:pos="5670" w:leader="none"/>
        </w:tabs>
        <w:rPr>
          <w:rFonts w:hint="eastAsia" w:ascii="宋体" w:hAnsi="宋体" w:eastAsia="宋体" w:cs="宋体"/>
          <w:highlight w:val="none"/>
        </w:rPr>
      </w:pPr>
      <w:r/>
      <w:bookmarkStart w:id="132" w:name="_Toc30540"/>
      <w:r>
        <w:rPr>
          <w:rFonts w:hint="eastAsia" w:ascii="宋体" w:hAnsi="宋体" w:eastAsia="宋体" w:cs="宋体"/>
          <w:highlight w:val="none"/>
        </w:rPr>
        <w:t xml:space="preserve">第六章 </w:t>
      </w:r>
      <w:bookmarkEnd w:id="129"/>
      <w:r>
        <w:rPr>
          <w:rFonts w:hint="eastAsia" w:ascii="宋体" w:hAnsi="宋体" w:eastAsia="宋体" w:cs="宋体"/>
          <w:highlight w:val="none"/>
        </w:rPr>
        <w:t xml:space="preserve">投标文件格式及附件</w:t>
      </w:r>
      <w:bookmarkEnd w:id="130"/>
      <w:r/>
      <w:bookmarkEnd w:id="132"/>
      <w:r>
        <w:rPr>
          <w:rFonts w:hint="eastAsia" w:ascii="宋体" w:hAnsi="宋体" w:eastAsia="宋体" w:cs="宋体"/>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40"/>
          <w:szCs w:val="40"/>
          <w:highlight w:val="none"/>
        </w:rPr>
      </w:pPr>
      <w:r>
        <w:rPr>
          <w:rFonts w:hint="eastAsia" w:ascii="宋体" w:hAnsi="宋体" w:eastAsia="宋体" w:cs="宋体"/>
          <w:bCs/>
          <w:sz w:val="40"/>
          <w:szCs w:val="40"/>
          <w:highlight w:val="none"/>
        </w:rPr>
        <w:t xml:space="preserve">江苏省计量科学研究院非自动衡器三轴加载自动化检测系统</w:t>
      </w:r>
      <w:r>
        <w:rPr>
          <w:rFonts w:hint="eastAsia" w:ascii="宋体" w:hAnsi="宋体" w:eastAsia="宋体" w:cs="宋体"/>
          <w:bCs/>
          <w:sz w:val="40"/>
          <w:szCs w:val="40"/>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1047"/>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1047"/>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104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1087"/>
        <w:ind w:left="0"/>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1047"/>
        <w:jc w:val="center"/>
        <w:rPr>
          <w:rFonts w:hint="eastAsia" w:ascii="宋体" w:hAnsi="宋体" w:eastAsia="宋体" w:cs="宋体"/>
          <w:b/>
          <w:bCs/>
          <w:sz w:val="30"/>
          <w:szCs w:val="30"/>
          <w:highlight w:val="none"/>
        </w:rPr>
      </w:pPr>
      <w:r/>
      <w:bookmarkStart w:id="133" w:name="_Toc23512"/>
      <w:r/>
      <w:bookmarkStart w:id="134" w:name="_Toc22602"/>
      <w:r/>
      <w:bookmarkStart w:id="135" w:name="_Toc489655320"/>
      <w:r>
        <w:rPr>
          <w:rFonts w:hint="eastAsia" w:ascii="宋体" w:hAnsi="宋体" w:eastAsia="宋体" w:cs="宋体"/>
          <w:b/>
          <w:bCs/>
          <w:sz w:val="30"/>
          <w:szCs w:val="30"/>
          <w:highlight w:val="none"/>
        </w:rPr>
        <w:t xml:space="preserve">评分索引表</w:t>
      </w:r>
      <w:bookmarkEnd w:id="133"/>
      <w:r/>
      <w:bookmarkEnd w:id="134"/>
      <w:r>
        <w:rPr>
          <w:rFonts w:hint="eastAsia" w:ascii="宋体" w:hAnsi="宋体" w:eastAsia="宋体" w:cs="宋体"/>
          <w:b/>
          <w:bCs/>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5392"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769"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472"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759"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392"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2"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spacing w:line="460" w:lineRule="exact"/>
        <w:rPr>
          <w:rFonts w:hint="eastAsia" w:ascii="宋体" w:hAnsi="宋体" w:eastAsia="宋体" w:cs="宋体"/>
          <w:b/>
          <w:sz w:val="30"/>
          <w:szCs w:val="30"/>
          <w:highlight w:val="none"/>
        </w:rPr>
      </w:pPr>
      <w:r>
        <w:rPr>
          <w:rFonts w:hint="eastAsia" w:ascii="宋体" w:hAnsi="宋体" w:eastAsia="宋体" w:cs="宋体"/>
          <w:szCs w:val="21"/>
          <w:highlight w:val="none"/>
        </w:rPr>
        <w:t xml:space="preserve">注：此表为表样，供应商需根据第三章“评分表”自行调整，行数可自行添加，但表式不变。</w:t>
      </w:r>
      <w:r>
        <w:rPr>
          <w:rFonts w:hint="eastAsia" w:ascii="宋体" w:hAnsi="宋体" w:eastAsia="宋体" w:cs="宋体"/>
          <w:b/>
          <w:sz w:val="30"/>
          <w:szCs w:val="30"/>
          <w:highlight w:val="none"/>
        </w:rPr>
      </w:r>
      <w:r/>
    </w:p>
    <w:p>
      <w:pPr>
        <w:pStyle w:val="1047"/>
        <w:jc w:val="center"/>
        <w:rPr>
          <w:rFonts w:hint="eastAsia" w:ascii="宋体" w:hAnsi="宋体" w:eastAsia="宋体" w:cs="宋体"/>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highlight w:val="none"/>
        </w:rPr>
      </w:r>
      <w:r/>
    </w:p>
    <w:p>
      <w:pPr>
        <w:pStyle w:val="1047"/>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资格审查索引表</w:t>
      </w:r>
      <w:r>
        <w:rPr>
          <w:rFonts w:hint="eastAsia" w:ascii="宋体" w:hAnsi="宋体" w:eastAsia="宋体" w:cs="宋体"/>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6114" w:type="dxa"/>
            <w:vAlign w:val="center"/>
            <w:textDirection w:val="lrTb"/>
            <w:noWrap w:val="false"/>
          </w:tcPr>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1236"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是否响应（填写“是”或“否”）</w:t>
            </w:r>
            <w:r>
              <w:rPr>
                <w:rFonts w:hint="eastAsia" w:ascii="宋体" w:hAnsi="宋体" w:eastAsia="宋体" w:cs="宋体"/>
                <w:sz w:val="24"/>
                <w:szCs w:val="24"/>
                <w:highlight w:val="none"/>
              </w:rPr>
            </w:r>
            <w:r/>
          </w:p>
        </w:tc>
        <w:tc>
          <w:tcPr>
            <w:tcW w:w="1144" w:type="dxa"/>
            <w:vAlign w:val="center"/>
            <w:textDirection w:val="lrTb"/>
            <w:noWrap w:val="false"/>
          </w:tcPr>
          <w:p>
            <w:pPr>
              <w:pStyle w:val="104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在投标文件中的页码位置</w:t>
            </w: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3"/>
        </w:trPr>
        <w:tc>
          <w:tcPr>
            <w:tcW w:w="878" w:type="dxa"/>
            <w:vAlign w:val="center"/>
            <w:textDirection w:val="lrTb"/>
            <w:noWrap w:val="false"/>
          </w:tcPr>
          <w:p>
            <w:pPr>
              <w:pStyle w:val="1047"/>
              <w:jc w:val="center"/>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14" w:type="dxa"/>
            <w:vAlign w:val="center"/>
            <w:textDirection w:val="lrTb"/>
            <w:noWrap w:val="false"/>
          </w:tcPr>
          <w:p>
            <w:pPr>
              <w:pStyle w:val="1047"/>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6"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44" w:type="dxa"/>
            <w:vAlign w:val="top"/>
            <w:textDirection w:val="lrTb"/>
            <w:noWrap w:val="false"/>
          </w:tcPr>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jc w:val="left"/>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5"/>
      <w:r/>
      <w:bookmarkStart w:id="136" w:name="_Toc19767"/>
      <w:r/>
      <w:bookmarkStart w:id="137" w:name="_Toc25564"/>
      <w:r>
        <w:rPr>
          <w:rFonts w:hint="eastAsia" w:ascii="宋体" w:hAnsi="宋体" w:eastAsia="宋体" w:cs="宋体"/>
          <w:szCs w:val="21"/>
          <w:highlight w:val="none"/>
        </w:rPr>
        <w:t xml:space="preserve">注：此表为表样，供应商需根据第一章“招标公告”中“投标人资质要求”自行调整，行数可自行添加，但表式不变。</w:t>
      </w: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1.投标申请及声明</w:t>
      </w:r>
      <w:bookmarkEnd w:id="136"/>
      <w:r/>
      <w:bookmarkEnd w:id="137"/>
      <w:r>
        <w:rPr>
          <w:rFonts w:hint="eastAsia" w:ascii="宋体" w:hAnsi="宋体" w:eastAsia="宋体" w:cs="宋体"/>
          <w:sz w:val="32"/>
          <w:szCs w:val="32"/>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numPr>
          <w:ilvl w:val="0"/>
          <w:numId w:val="43"/>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138" w:name="_Toc3313"/>
      <w:r/>
      <w:bookmarkStart w:id="139" w:name="_Toc7351"/>
      <w:r>
        <w:rPr>
          <w:rFonts w:hint="eastAsia" w:ascii="宋体" w:hAnsi="宋体" w:eastAsia="宋体" w:cs="宋体"/>
          <w:sz w:val="32"/>
          <w:szCs w:val="32"/>
          <w:highlight w:val="none"/>
        </w:rPr>
        <w:t xml:space="preserve">授权委托书</w:t>
      </w:r>
      <w:bookmarkEnd w:id="138"/>
      <w:r/>
      <w:bookmarkEnd w:id="139"/>
      <w:r>
        <w:rPr>
          <w:rFonts w:hint="eastAsia" w:ascii="宋体" w:hAnsi="宋体" w:eastAsia="宋体" w:cs="宋体"/>
          <w:sz w:val="32"/>
          <w:szCs w:val="32"/>
          <w:highlight w:val="none"/>
        </w:rPr>
      </w:r>
      <w:r/>
    </w:p>
    <w:p>
      <w:pPr>
        <w:pStyle w:val="1047"/>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1047"/>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r>
    </w:tbl>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1047"/>
              <w:rPr>
                <w:rFonts w:hint="eastAsia" w:ascii="宋体" w:hAnsi="宋体" w:eastAsia="宋体" w:cs="宋体"/>
                <w:highlight w:val="none"/>
              </w:rPr>
            </w:pPr>
            <w:r>
              <w:rPr>
                <w:rFonts w:hint="eastAsia" w:ascii="宋体" w:hAnsi="宋体" w:eastAsia="宋体" w:cs="宋体"/>
                <w:highlight w:val="none"/>
              </w:rPr>
            </w:r>
            <w:r/>
          </w:p>
        </w:tc>
      </w:tr>
    </w:tbl>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1047"/>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47"/>
              <w:rPr>
                <w:highlight w:val="none"/>
              </w:rPr>
            </w:pPr>
            <w:r>
              <w:rPr>
                <w:highlight w:val="none"/>
              </w:rPr>
            </w:r>
            <w:r/>
          </w:p>
        </w:tc>
      </w:tr>
    </w:tbl>
    <w:p>
      <w:pPr>
        <w:pStyle w:val="1047"/>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bookmarkStart w:id="140" w:name="_Toc19427"/>
      <w:r/>
      <w:bookmarkStart w:id="141" w:name="_Toc2385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1047"/>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140"/>
      <w:r/>
      <w:bookmarkEnd w:id="141"/>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1047"/>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1047"/>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1047"/>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1047"/>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1047"/>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1047"/>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1047"/>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1047"/>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2" w:name="_Toc25567"/>
      <w:r/>
      <w:bookmarkStart w:id="143" w:name="_Toc403725575"/>
      <w:r/>
      <w:bookmarkStart w:id="144" w:name="_Toc467065082"/>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7"/>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047"/>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076"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80"/>
        <w:gridCol w:w="1161"/>
        <w:gridCol w:w="1005"/>
        <w:gridCol w:w="1800"/>
        <w:gridCol w:w="1659"/>
        <w:gridCol w:w="691"/>
        <w:gridCol w:w="742"/>
        <w:gridCol w:w="756"/>
        <w:gridCol w:w="664"/>
        <w:gridCol w:w="918"/>
      </w:tblGrid>
      <w:tr>
        <w:trPr>
          <w:trHeight w:val="2317"/>
        </w:trPr>
        <w:tc>
          <w:tcPr>
            <w:tcMar>
              <w:left w:w="15" w:type="dxa"/>
              <w:top w:w="15" w:type="dxa"/>
              <w:right w:w="15" w:type="dxa"/>
              <w:bottom w:w="0" w:type="dxa"/>
            </w:tcMar>
            <w:tcW w:w="680"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691"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742"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756"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680"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161"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非自动衡器三轴加载自动化检测系统</w:t>
            </w: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1047"/>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1047"/>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664"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18"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trHeight w:val="802"/>
        </w:trPr>
        <w:tc>
          <w:tcPr>
            <w:gridSpan w:val="10"/>
            <w:tcMar>
              <w:left w:w="15" w:type="dxa"/>
              <w:top w:w="15" w:type="dxa"/>
              <w:right w:w="15" w:type="dxa"/>
              <w:bottom w:w="0" w:type="dxa"/>
            </w:tcMar>
            <w:tcW w:w="10076" w:type="dxa"/>
            <w:vAlign w:val="center"/>
            <w:textDirection w:val="lrTb"/>
            <w:noWrap w:val="false"/>
          </w:tcPr>
          <w:p>
            <w:pPr>
              <w:pStyle w:val="1047"/>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646" w:type="dxa"/>
            <w:vAlign w:val="center"/>
            <w:textDirection w:val="lrTb"/>
            <w:noWrap w:val="false"/>
          </w:tcPr>
          <w:p>
            <w:pPr>
              <w:pStyle w:val="1047"/>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6"/>
            <w:tcMar>
              <w:left w:w="15" w:type="dxa"/>
              <w:top w:w="15" w:type="dxa"/>
              <w:right w:w="15" w:type="dxa"/>
              <w:bottom w:w="0" w:type="dxa"/>
            </w:tcMar>
            <w:tcW w:w="5430" w:type="dxa"/>
            <w:vAlign w:val="center"/>
            <w:textDirection w:val="lrTb"/>
            <w:noWrap w:val="false"/>
          </w:tcPr>
          <w:p>
            <w:pPr>
              <w:pStyle w:val="1047"/>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r>
    </w:tbl>
    <w:p>
      <w:pPr>
        <w:pStyle w:val="1047"/>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47"/>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1047"/>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1047"/>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1047"/>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sz w:val="24"/>
          <w:highlight w:val="none"/>
        </w:rPr>
      </w:r>
      <w:r/>
    </w:p>
    <w:p>
      <w:pPr>
        <w:pStyle w:val="1047"/>
        <w:ind w:firstLine="482"/>
        <w:rPr>
          <w:rFonts w:hint="eastAsia" w:ascii="宋体" w:hAnsi="宋体" w:eastAsia="宋体" w:cs="宋体"/>
          <w:sz w:val="24"/>
          <w:highlight w:val="none"/>
        </w:rPr>
      </w:pPr>
      <w:r>
        <w:rPr>
          <w:rFonts w:hint="eastAsia" w:ascii="宋体" w:hAnsi="宋体" w:eastAsia="宋体" w:cs="宋体"/>
          <w:b/>
          <w:bCs/>
          <w:sz w:val="24"/>
          <w:highlight w:val="none"/>
        </w:rPr>
        <w:t xml:space="preserve">6.在“货物中有无进口产品”栏后的“有”或“无”上打“√”，如果有进口设备，须填写货物名称。</w:t>
      </w:r>
      <w:r>
        <w:rPr>
          <w:rFonts w:hint="eastAsia" w:ascii="宋体" w:hAnsi="宋体" w:eastAsia="宋体" w:cs="宋体"/>
          <w:sz w:val="24"/>
          <w:highlight w:val="none"/>
        </w:rPr>
      </w:r>
      <w:r/>
    </w:p>
    <w:p>
      <w:pPr>
        <w:pStyle w:val="1047"/>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7．如果不提供详细分项报价将视为没有实质性响应招标文件。</w:t>
      </w:r>
      <w:r>
        <w:rPr>
          <w:rFonts w:hint="eastAsia" w:ascii="宋体" w:hAnsi="宋体" w:eastAsia="宋体" w:cs="宋体"/>
          <w:b/>
          <w:bCs/>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8.供应商对以上数据的真实性负责。</w:t>
      </w:r>
      <w:r>
        <w:rPr>
          <w:rFonts w:hint="eastAsia" w:ascii="宋体" w:hAnsi="宋体" w:eastAsia="宋体" w:cs="宋体"/>
          <w:sz w:val="24"/>
          <w:highlight w:val="none"/>
        </w:rPr>
      </w:r>
      <w:r/>
    </w:p>
    <w:p>
      <w:pPr>
        <w:pStyle w:val="1047"/>
        <w:ind w:firstLine="480"/>
        <w:rPr>
          <w:rFonts w:hint="eastAsia" w:ascii="宋体" w:hAnsi="宋体" w:eastAsia="宋体" w:cs="宋体"/>
          <w:sz w:val="24"/>
          <w:highlight w:val="none"/>
        </w:rPr>
      </w:pPr>
      <w:r>
        <w:rPr>
          <w:rFonts w:hint="eastAsia" w:ascii="宋体" w:hAnsi="宋体" w:eastAsia="宋体" w:cs="宋体"/>
          <w:sz w:val="24"/>
          <w:highlight w:val="none"/>
        </w:rPr>
        <w:t xml:space="preserve">9.采购人或采购代理机构有权将以上内容进行公示。</w:t>
      </w:r>
      <w:r>
        <w:rPr>
          <w:rFonts w:hint="eastAsia" w:ascii="宋体" w:hAnsi="宋体" w:eastAsia="宋体" w:cs="宋体"/>
          <w:sz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1047"/>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（3）产品配置清单（格式）</w:t>
      </w:r>
      <w:r>
        <w:rPr>
          <w:rFonts w:hint="eastAsia" w:ascii="宋体" w:hAnsi="宋体" w:eastAsia="宋体" w:cs="宋体"/>
          <w:b/>
          <w:sz w:val="24"/>
          <w:highlight w:val="none"/>
        </w:rPr>
      </w:r>
      <w:r/>
    </w:p>
    <w:tbl>
      <w:tblPr>
        <w:tblW w:w="916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
        <w:gridCol w:w="2818"/>
        <w:gridCol w:w="1512"/>
        <w:gridCol w:w="926"/>
        <w:gridCol w:w="919"/>
        <w:gridCol w:w="919"/>
        <w:gridCol w:w="1149"/>
      </w:tblGrid>
      <w:tr>
        <w:trPr>
          <w:trHeight w:val="604"/>
        </w:trPr>
        <w:tc>
          <w:tcPr>
            <w:tcW w:w="921"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818" w:type="dxa"/>
            <w:vAlign w:val="center"/>
            <w:textDirection w:val="lrTb"/>
            <w:noWrap w:val="false"/>
          </w:tcPr>
          <w:p>
            <w:pPr>
              <w:pStyle w:val="1047"/>
              <w:ind w:right="-5"/>
              <w:jc w:val="center"/>
              <w:spacing w:line="240" w:lineRule="auto"/>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产品（含备品备件）名称</w:t>
            </w:r>
            <w:r>
              <w:rPr>
                <w:rFonts w:hint="eastAsia" w:ascii="宋体" w:hAnsi="宋体" w:eastAsia="宋体" w:cs="宋体"/>
                <w:szCs w:val="21"/>
                <w:highlight w:val="none"/>
              </w:rPr>
            </w:r>
            <w:r/>
          </w:p>
        </w:tc>
        <w:tc>
          <w:tcPr>
            <w:tcW w:w="1512"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926"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tc>
        <w:tc>
          <w:tcPr>
            <w:tcW w:w="919"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1"/>
                <w:highlight w:val="none"/>
              </w:rPr>
            </w:r>
            <w:r/>
          </w:p>
        </w:tc>
        <w:tc>
          <w:tcPr>
            <w:tcW w:w="919"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单价</w:t>
            </w:r>
            <w:r>
              <w:rPr>
                <w:rFonts w:hint="eastAsia" w:ascii="宋体" w:hAnsi="宋体" w:eastAsia="宋体" w:cs="宋体"/>
                <w:szCs w:val="21"/>
                <w:highlight w:val="none"/>
              </w:rPr>
            </w:r>
            <w:r/>
          </w:p>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149" w:type="dxa"/>
            <w:vAlign w:val="center"/>
            <w:textDirection w:val="lrTb"/>
            <w:noWrap w:val="false"/>
          </w:tcPr>
          <w:p>
            <w:pPr>
              <w:pStyle w:val="1047"/>
              <w:ind w:right="-5"/>
              <w:jc w:val="center"/>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砝码</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ascii="方正仿宋_GB2312" w:hAnsi="方正仿宋_GB2312" w:eastAsia="方正仿宋_GB2312" w:cs="方正仿宋_GB2312"/>
                <w:szCs w:val="21"/>
                <w:highlight w:val="none"/>
              </w:rPr>
            </w:pPr>
            <w:r>
              <w:rPr>
                <w:rFonts w:ascii="方正仿宋_GB2312" w:hAnsi="方正仿宋_GB2312" w:eastAsia="方正仿宋_GB2312" w:cs="方正仿宋_GB2312"/>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三轴自动加载装置</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试验台</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实现功能必备的工控机及检测软件</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视觉识别系统</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2818" w:type="dxa"/>
            <w:vAlign w:val="center"/>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lang w:val="zh-CN"/>
              </w:rPr>
              <w:t xml:space="preserve">专用修理工具</w:t>
            </w:r>
            <w:r>
              <w:rPr>
                <w:rFonts w:hint="eastAsia" w:ascii="方正仿宋_GB2312" w:hAnsi="方正仿宋_GB2312" w:eastAsia="方正仿宋_GB2312" w:cs="方正仿宋_GB2312"/>
                <w:szCs w:val="21"/>
                <w:highlight w:val="none"/>
              </w:rPr>
            </w:r>
            <w:r/>
          </w:p>
        </w:tc>
        <w:tc>
          <w:tcPr>
            <w:tcW w:w="1512"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926"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套</w:t>
            </w:r>
            <w:r>
              <w:rPr>
                <w:rFonts w:hint="eastAsia" w:ascii="方正仿宋_GB2312" w:hAnsi="方正仿宋_GB2312" w:eastAsia="方正仿宋_GB2312" w:cs="方正仿宋_GB2312"/>
                <w:szCs w:val="21"/>
                <w:highlight w:val="none"/>
              </w:rPr>
            </w:r>
            <w:r/>
          </w:p>
        </w:tc>
        <w:tc>
          <w:tcPr>
            <w:tcW w:w="919" w:type="dxa"/>
            <w:vAlign w:val="top"/>
            <w:textDirection w:val="lrTb"/>
            <w:noWrap w:val="false"/>
          </w:tcPr>
          <w:p>
            <w:pPr>
              <w:pStyle w:val="1047"/>
              <w:jc w:val="center"/>
              <w:rPr>
                <w:rFonts w:hint="eastAsia" w:ascii="方正仿宋_GB2312" w:hAnsi="方正仿宋_GB2312" w:eastAsia="方正仿宋_GB2312" w:cs="方正仿宋_GB2312"/>
                <w:szCs w:val="21"/>
                <w:highlight w:val="none"/>
                <w:lang w:val="zh-CN"/>
              </w:rPr>
            </w:pPr>
            <w:r>
              <w:rPr>
                <w:rFonts w:hint="eastAsia" w:ascii="方正仿宋_GB2312" w:hAnsi="方正仿宋_GB2312" w:eastAsia="方正仿宋_GB2312" w:cs="方正仿宋_GB2312"/>
                <w:szCs w:val="21"/>
                <w:highlight w:val="none"/>
                <w:lang w:val="zh-CN"/>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center"/>
            <w:textDirection w:val="lrTb"/>
            <w:noWrap w:val="false"/>
          </w:tcPr>
          <w:p>
            <w:pPr>
              <w:pStyle w:val="1047"/>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26"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center"/>
            <w:textDirection w:val="lrTb"/>
            <w:noWrap w:val="false"/>
          </w:tcPr>
          <w:p>
            <w:pPr>
              <w:pStyle w:val="1047"/>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26"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921" w:type="dxa"/>
            <w:vAlign w:val="center"/>
            <w:textDirection w:val="lrTb"/>
            <w:noWrap w:val="false"/>
          </w:tcPr>
          <w:p>
            <w:pPr>
              <w:pStyle w:val="1047"/>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2818" w:type="dxa"/>
            <w:vAlign w:val="center"/>
            <w:textDirection w:val="lrTb"/>
            <w:noWrap w:val="false"/>
          </w:tcPr>
          <w:p>
            <w:pPr>
              <w:pStyle w:val="1047"/>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26"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919" w:type="dxa"/>
            <w:vAlign w:val="top"/>
            <w:textDirection w:val="lrTb"/>
            <w:noWrap w:val="false"/>
          </w:tcPr>
          <w:p>
            <w:pPr>
              <w:pStyle w:val="1047"/>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49" w:type="dxa"/>
            <w:vAlign w:val="top"/>
            <w:textDirection w:val="lrTb"/>
            <w:noWrap w:val="false"/>
          </w:tcPr>
          <w:p>
            <w:pPr>
              <w:pStyle w:val="1047"/>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（4）中小企业声明函（货物类）</w:t>
      </w:r>
      <w:r>
        <w:rPr>
          <w:rFonts w:hint="eastAsia" w:ascii="宋体" w:hAnsi="宋体" w:eastAsia="宋体" w:cs="宋体"/>
          <w:b/>
          <w:sz w:val="24"/>
          <w:szCs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，属于（招标文件中明确的所属行业） 行业；制造商为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7"/>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1047"/>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1047"/>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47"/>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1047"/>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1047"/>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1047"/>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1047"/>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1047"/>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1047"/>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1047"/>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1047"/>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（5）残疾人福利性单位声明函（如需）</w:t>
      </w:r>
      <w:r>
        <w:rPr>
          <w:rFonts w:hint="eastAsia" w:ascii="宋体" w:hAnsi="宋体" w:eastAsia="宋体" w:cs="宋体"/>
          <w:b/>
          <w:sz w:val="24"/>
          <w:szCs w:val="24"/>
          <w:highlight w:val="none"/>
        </w:rPr>
      </w:r>
      <w:r/>
    </w:p>
    <w:p>
      <w:pPr>
        <w:pStyle w:val="1047"/>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47"/>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95"/>
        <w:rPr>
          <w:rFonts w:hint="eastAsia" w:ascii="宋体" w:hAnsi="宋体" w:eastAsia="宋体" w:cs="宋体"/>
          <w:highlight w:val="none"/>
        </w:rPr>
      </w:pPr>
      <w:r>
        <w:rPr>
          <w:rFonts w:hint="eastAsia" w:ascii="宋体" w:hAnsi="宋体" w:eastAsia="宋体" w:cs="宋体"/>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（6）属于监狱企业的证明文件（如需）</w:t>
      </w:r>
      <w:r>
        <w:rPr>
          <w:rFonts w:hint="eastAsia" w:ascii="宋体" w:hAnsi="宋体" w:eastAsia="宋体" w:cs="宋体"/>
          <w:b/>
          <w:sz w:val="24"/>
          <w:szCs w:val="24"/>
          <w:highlight w:val="none"/>
        </w:rPr>
      </w:r>
      <w:r/>
    </w:p>
    <w:p>
      <w:pPr>
        <w:pStyle w:val="1047"/>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87"/>
        <w:ind w:left="0"/>
        <w:rPr>
          <w:rFonts w:hint="eastAsia" w:ascii="宋体" w:hAnsi="宋体" w:cs="宋体"/>
          <w:highlight w:val="none"/>
        </w:rPr>
      </w:pPr>
      <w:r>
        <w:rPr>
          <w:rFonts w:hint="eastAsia" w:ascii="宋体" w:hAnsi="宋体" w:cs="宋体"/>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42"/>
      <w:r/>
      <w:bookmarkEnd w:id="143"/>
      <w:r/>
      <w:bookmarkEnd w:id="144"/>
      <w:r/>
      <w:bookmarkStart w:id="145" w:name="_Toc788"/>
      <w:r/>
      <w:bookmarkStart w:id="146" w:name="_Toc5019"/>
      <w:r/>
      <w:bookmarkStart w:id="147" w:name="_Toc27811"/>
      <w:r>
        <w:rPr>
          <w:rFonts w:hint="eastAsia" w:ascii="宋体" w:hAnsi="宋体" w:eastAsia="宋体" w:cs="宋体"/>
          <w:sz w:val="32"/>
          <w:szCs w:val="32"/>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（7）关于符合本国产品标准的声明函</w:t>
      </w:r>
      <w:r>
        <w:rPr>
          <w:rFonts w:hint="eastAsia" w:ascii="宋体" w:hAnsi="宋体" w:eastAsia="宋体" w:cs="宋体"/>
          <w:b/>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4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1047"/>
        <w:ind w:firstLine="482"/>
        <w:spacing w:before="0" w:after="0" w:line="240" w:lineRule="auto"/>
        <w:rPr>
          <w:rFonts w:hint="eastAsia" w:ascii="宋体" w:hAnsi="宋体" w:eastAsia="仿宋" w:cs="宋体"/>
          <w:sz w:val="24"/>
          <w:szCs w:val="24"/>
          <w:highlight w:val="none"/>
        </w:rPr>
      </w:pPr>
      <w:r>
        <w:rPr>
          <w:rStyle w:val="1134"/>
          <w:rFonts w:hint="eastAsia" w:ascii="仿宋" w:hAnsi="仿宋" w:eastAsia="仿宋" w:cs="仿宋"/>
          <w:i w:val="0"/>
          <w:iCs w:val="0"/>
          <w:spacing w:val="0"/>
          <w:sz w:val="24"/>
          <w:szCs w:val="24"/>
          <w:highlight w:val="none"/>
          <w:shd w:val="clear" w:color="auto" w:fill="ffffff"/>
        </w:rPr>
        <w:t xml:space="preserve">“（产品名称）</w:t>
      </w:r>
      <w:r>
        <w:rPr>
          <w:rStyle w:val="1134"/>
          <w:rFonts w:hint="eastAsia" w:ascii="仿宋" w:hAnsi="仿宋" w:eastAsia="仿宋" w:cs="仿宋"/>
          <w:i w:val="0"/>
          <w:iCs w:val="0"/>
          <w:spacing w:val="0"/>
          <w:sz w:val="24"/>
          <w:szCs w:val="24"/>
          <w:highlight w:val="none"/>
          <w:shd w:val="clear" w:color="auto" w:fill="ffffff"/>
          <w:vertAlign w:val="superscript"/>
        </w:rPr>
        <w:t xml:space="preserve">1</w:t>
      </w:r>
      <w:r>
        <w:rPr>
          <w:rFonts w:hint="eastAsia" w:ascii="仿宋" w:hAnsi="仿宋" w:eastAsia="仿宋" w:cs="仿宋"/>
          <w:sz w:val="24"/>
          <w:szCs w:val="24"/>
          <w:highlight w:val="none"/>
          <w:shd w:val="clear" w:color="auto" w:fill="ffffff"/>
        </w:rPr>
        <w:t xml:space="preserve">，生产厂为</w:t>
      </w:r>
      <w:r>
        <w:rPr>
          <w:rStyle w:val="1134"/>
          <w:rFonts w:hint="eastAsia" w:ascii="仿宋" w:hAnsi="仿宋" w:eastAsia="仿宋" w:cs="仿宋"/>
          <w:i w:val="0"/>
          <w:iCs w:val="0"/>
          <w:spacing w:val="0"/>
          <w:sz w:val="24"/>
          <w:szCs w:val="24"/>
          <w:highlight w:val="none"/>
          <w:shd w:val="clear" w:color="auto" w:fill="ffffff"/>
        </w:rPr>
        <w:t xml:space="preserve">（厂名）</w:t>
      </w:r>
      <w:r>
        <w:rPr>
          <w:rStyle w:val="1134"/>
          <w:rFonts w:hint="eastAsia" w:ascii="仿宋" w:hAnsi="仿宋" w:eastAsia="仿宋" w:cs="仿宋"/>
          <w:i w:val="0"/>
          <w:iCs w:val="0"/>
          <w:spacing w:val="0"/>
          <w:sz w:val="24"/>
          <w:szCs w:val="24"/>
          <w:highlight w:val="none"/>
          <w:shd w:val="clear" w:color="auto" w:fill="ffffff"/>
          <w:vertAlign w:val="superscript"/>
        </w:rPr>
        <w:t xml:space="preserve">2</w:t>
      </w:r>
      <w:r>
        <w:rPr>
          <w:rFonts w:hint="eastAsia" w:ascii="仿宋" w:hAnsi="仿宋" w:eastAsia="仿宋" w:cs="仿宋"/>
          <w:sz w:val="24"/>
          <w:szCs w:val="24"/>
          <w:highlight w:val="none"/>
          <w:shd w:val="clear" w:color="auto" w:fill="ffffff"/>
        </w:rPr>
        <w:t xml:space="preserve">，厂址为</w:t>
      </w:r>
      <w:r>
        <w:rPr>
          <w:rStyle w:val="1134"/>
          <w:rFonts w:hint="eastAsia" w:ascii="仿宋" w:hAnsi="仿宋" w:eastAsia="仿宋" w:cs="仿宋"/>
          <w:i w:val="0"/>
          <w:iCs w:val="0"/>
          <w:spacing w:val="0"/>
          <w:sz w:val="24"/>
          <w:szCs w:val="24"/>
          <w:highlight w:val="none"/>
          <w:shd w:val="clear" w:color="auto" w:fill="ffffff"/>
        </w:rPr>
        <w:t xml:space="preserve">（生产厂址）</w:t>
      </w:r>
      <w:r>
        <w:rPr>
          <w:rFonts w:hint="eastAsia" w:ascii="仿宋" w:hAnsi="仿宋" w:eastAsia="仿宋" w:cs="仿宋"/>
          <w:sz w:val="24"/>
          <w:szCs w:val="24"/>
          <w:highlight w:val="none"/>
          <w:shd w:val="clear" w:color="auto" w:fill="ffffff"/>
        </w:rPr>
        <w:t xml:space="preserve">。</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的中国境内生产的组件成本占比≥</w:t>
      </w:r>
      <w:r>
        <w:rPr>
          <w:rStyle w:val="1134"/>
          <w:rFonts w:hint="eastAsia" w:ascii="仿宋" w:hAnsi="仿宋" w:eastAsia="仿宋" w:cs="仿宋"/>
          <w:i w:val="0"/>
          <w:iCs w:val="0"/>
          <w:spacing w:val="0"/>
          <w:sz w:val="24"/>
          <w:szCs w:val="24"/>
          <w:highlight w:val="none"/>
          <w:shd w:val="clear" w:color="auto" w:fill="ffffff"/>
        </w:rPr>
        <w:t xml:space="preserve">（规定比例）</w:t>
      </w:r>
      <w:r>
        <w:rPr>
          <w:rStyle w:val="1134"/>
          <w:rFonts w:hint="eastAsia" w:ascii="仿宋" w:hAnsi="仿宋" w:eastAsia="仿宋" w:cs="仿宋"/>
          <w:i w:val="0"/>
          <w:iCs w:val="0"/>
          <w:spacing w:val="0"/>
          <w:sz w:val="24"/>
          <w:szCs w:val="24"/>
          <w:highlight w:val="none"/>
          <w:shd w:val="clear" w:color="auto" w:fill="ffffff"/>
          <w:vertAlign w:val="superscript"/>
        </w:rPr>
        <w:t xml:space="preserve">3</w:t>
      </w:r>
      <w:r>
        <w:rPr>
          <w:rFonts w:hint="eastAsia" w:ascii="仿宋" w:hAnsi="仿宋" w:eastAsia="仿宋" w:cs="仿宋"/>
          <w:sz w:val="24"/>
          <w:szCs w:val="24"/>
          <w:highlight w:val="none"/>
          <w:shd w:val="clear" w:color="auto" w:fill="ffffff"/>
        </w:rPr>
        <w:t xml:space="preserve">。</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34"/>
          <w:rFonts w:hint="eastAsia" w:ascii="仿宋" w:hAnsi="仿宋" w:eastAsia="仿宋" w:cs="仿宋"/>
          <w:i w:val="0"/>
          <w:iCs w:val="0"/>
          <w:spacing w:val="0"/>
          <w:sz w:val="24"/>
          <w:szCs w:val="24"/>
          <w:highlight w:val="none"/>
          <w:shd w:val="clear" w:color="auto" w:fill="ffffff"/>
        </w:rPr>
        <w:t xml:space="preserve">（关键组件）</w:t>
      </w:r>
      <w:r>
        <w:rPr>
          <w:rStyle w:val="1134"/>
          <w:rFonts w:hint="eastAsia" w:ascii="仿宋" w:hAnsi="仿宋" w:eastAsia="仿宋" w:cs="仿宋"/>
          <w:i w:val="0"/>
          <w:iCs w:val="0"/>
          <w:spacing w:val="0"/>
          <w:sz w:val="24"/>
          <w:szCs w:val="24"/>
          <w:highlight w:val="none"/>
          <w:shd w:val="clear" w:color="auto" w:fill="ffffff"/>
          <w:vertAlign w:val="superscript"/>
        </w:rPr>
        <w:t xml:space="preserve">4</w:t>
      </w:r>
      <w:r>
        <w:rPr>
          <w:rFonts w:hint="eastAsia" w:ascii="仿宋" w:hAnsi="仿宋" w:eastAsia="仿宋" w:cs="仿宋"/>
          <w:sz w:val="24"/>
          <w:szCs w:val="24"/>
          <w:highlight w:val="none"/>
          <w:shd w:val="clear" w:color="auto" w:fill="ffffff"/>
        </w:rPr>
        <w:t xml:space="preserve">在中国境内生产。</w:t>
      </w:r>
      <w:r>
        <w:rPr>
          <w:rStyle w:val="1134"/>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1134"/>
          <w:rFonts w:hint="eastAsia" w:ascii="仿宋" w:hAnsi="仿宋" w:eastAsia="仿宋" w:cs="仿宋"/>
          <w:i w:val="0"/>
          <w:iCs w:val="0"/>
          <w:spacing w:val="0"/>
          <w:sz w:val="24"/>
          <w:szCs w:val="24"/>
          <w:highlight w:val="none"/>
          <w:shd w:val="clear" w:color="auto" w:fill="ffffff"/>
        </w:rPr>
        <w:t xml:space="preserve">（关键工序）</w:t>
      </w:r>
      <w:r>
        <w:rPr>
          <w:rStyle w:val="1134"/>
          <w:rFonts w:hint="eastAsia" w:ascii="仿宋" w:hAnsi="仿宋" w:eastAsia="仿宋" w:cs="仿宋"/>
          <w:i w:val="0"/>
          <w:iCs w:val="0"/>
          <w:spacing w:val="0"/>
          <w:sz w:val="24"/>
          <w:szCs w:val="24"/>
          <w:highlight w:val="none"/>
          <w:shd w:val="clear" w:color="auto" w:fill="ffffff"/>
          <w:vertAlign w:val="superscript"/>
        </w:rPr>
        <w:t xml:space="preserve">5</w:t>
      </w:r>
      <w:r>
        <w:rPr>
          <w:rFonts w:hint="eastAsia" w:ascii="仿宋" w:hAnsi="仿宋" w:eastAsia="仿宋" w:cs="仿宋"/>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1047"/>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1047"/>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1047"/>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47"/>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1047"/>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1047"/>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1047"/>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致：江苏省计量科学研究院（江苏省能源计量数据中心）、江苏海外集团国际工程咨询有限公司</w:t>
      </w:r>
      <w:r>
        <w:rPr>
          <w:rFonts w:hint="eastAsia" w:ascii="宋体" w:hAnsi="宋体" w:eastAsia="宋体" w:cs="宋体"/>
          <w:sz w:val="24"/>
          <w:szCs w:val="24"/>
          <w:highlight w:val="none"/>
        </w:rPr>
      </w:r>
      <w:r/>
    </w:p>
    <w:p>
      <w:pPr>
        <w:pStyle w:val="1047"/>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1047"/>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1047"/>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1047"/>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1047"/>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1059"/>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1059"/>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105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（8）有依法缴纳税收的良好记录(提供距开标时间六个月内任一月份的缴纳税收凭据复印件并加盖公章(依法免税的应提供相应文件说明）)</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105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1047"/>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1059"/>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1059"/>
        <w:jc w:val="left"/>
        <w:spacing w:before="0" w:after="0"/>
        <w:rPr>
          <w:rFonts w:hint="eastAsia" w:ascii="宋体" w:hAnsi="宋体" w:eastAsia="宋体" w:cs="宋体"/>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sz w:val="24"/>
          <w:szCs w:val="24"/>
          <w:highlight w:val="none"/>
          <w:lang w:bidi="ar"/>
        </w:rPr>
      </w:r>
      <w:r/>
    </w:p>
    <w:p>
      <w:pPr>
        <w:pStyle w:val="1047"/>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145"/>
      <w:r/>
      <w:bookmarkEnd w:id="146"/>
      <w:r/>
      <w:bookmarkEnd w:id="147"/>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1047"/>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0"/>
          <w:highlight w:val="none"/>
        </w:rPr>
      </w:pPr>
      <w:r>
        <w:rPr>
          <w:rFonts w:hint="eastAsia" w:ascii="宋体" w:hAnsi="宋体" w:eastAsia="宋体" w:cs="宋体"/>
          <w:sz w:val="20"/>
          <w:highlight w:val="none"/>
        </w:rPr>
      </w:r>
      <w:r/>
    </w:p>
    <w:p>
      <w:pPr>
        <w:pStyle w:val="1047"/>
        <w:rPr>
          <w:rFonts w:hint="eastAsia" w:ascii="宋体" w:hAnsi="宋体" w:eastAsia="宋体" w:cs="宋体"/>
          <w:szCs w:val="21"/>
          <w:highlight w:val="none"/>
        </w:rPr>
      </w:pPr>
      <w:r/>
      <w:bookmarkStart w:id="148" w:name="_Toc10292"/>
      <w:r/>
      <w:bookmarkStart w:id="149" w:name="_Toc5552"/>
      <w:r/>
      <w:bookmarkStart w:id="150" w:name="_Toc11669"/>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②是否偏离用符号“+、=、-”分别表示正偏离、完全响应、负偏离。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spacing w:line="420" w:lineRule="exact"/>
        <w:rPr>
          <w:rFonts w:hint="eastAsia" w:ascii="宋体" w:hAnsi="宋体" w:eastAsia="宋体" w:cs="宋体"/>
          <w:b/>
          <w:sz w:val="24"/>
          <w:szCs w:val="24"/>
          <w:highlight w:val="none"/>
          <w:lang w:val="zh-CN"/>
        </w:rPr>
      </w:pPr>
      <w:r/>
      <w:bookmarkStart w:id="151" w:name="_Toc22168"/>
      <w:r/>
      <w:bookmarkStart w:id="152" w:name="_Toc23012"/>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151"/>
      <w:r/>
      <w:bookmarkEnd w:id="152"/>
      <w:r>
        <w:rPr>
          <w:rFonts w:hint="eastAsia" w:ascii="宋体" w:hAnsi="宋体" w:eastAsia="宋体" w:cs="宋体"/>
          <w:b/>
          <w:sz w:val="24"/>
          <w:szCs w:val="24"/>
          <w:highlight w:val="none"/>
          <w:lang w:val="zh-CN"/>
        </w:rPr>
      </w:r>
      <w:r/>
    </w:p>
    <w:p>
      <w:pPr>
        <w:pStyle w:val="1087"/>
        <w:ind w:left="0"/>
        <w:rPr>
          <w:rFonts w:hint="eastAsia" w:ascii="宋体" w:hAnsi="宋体" w:cs="宋体"/>
          <w:highlight w:val="none"/>
        </w:rPr>
      </w:pPr>
      <w:r>
        <w:rPr>
          <w:rFonts w:hint="eastAsia" w:ascii="宋体" w:hAnsi="宋体" w:cs="宋体"/>
          <w:highlight w:val="none"/>
        </w:rPr>
      </w:r>
      <w:r/>
    </w:p>
    <w:p>
      <w:pPr>
        <w:pStyle w:val="1087"/>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highlight w:val="none"/>
        </w:rPr>
      </w:r>
      <w:r/>
    </w:p>
    <w:p>
      <w:pPr>
        <w:pStyle w:val="1087"/>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1047"/>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148"/>
      <w:r/>
      <w:bookmarkEnd w:id="149"/>
      <w:r/>
      <w:bookmarkEnd w:id="150"/>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1047"/>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1047"/>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highlight w:val="none"/>
        </w:rPr>
      </w:r>
      <w:r/>
    </w:p>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1047"/>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numPr>
          <w:ilvl w:val="0"/>
          <w:numId w:val="44"/>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53" w:name="_Toc12952"/>
      <w:r/>
      <w:bookmarkStart w:id="154" w:name="_Toc25254"/>
      <w:r/>
      <w:bookmarkStart w:id="155" w:name="_Toc12051"/>
      <w:r/>
      <w:bookmarkStart w:id="156" w:name="_Toc29152"/>
      <w:r>
        <w:rPr>
          <w:rFonts w:hint="eastAsia" w:ascii="宋体" w:hAnsi="宋体" w:eastAsia="宋体" w:cs="宋体"/>
          <w:sz w:val="32"/>
          <w:szCs w:val="32"/>
          <w:highlight w:val="none"/>
        </w:rPr>
      </w:r>
      <w:r/>
    </w:p>
    <w:p>
      <w:pPr>
        <w:pStyle w:val="1047"/>
        <w:numPr>
          <w:ilvl w:val="0"/>
          <w:numId w:val="44"/>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153"/>
      <w:r/>
      <w:bookmarkEnd w:id="154"/>
      <w:r/>
      <w:bookmarkEnd w:id="155"/>
      <w:r/>
      <w:bookmarkEnd w:id="156"/>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1047"/>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1047"/>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157" w:name="_Toc3055"/>
      <w:r/>
      <w:bookmarkStart w:id="158" w:name="_Toc5435"/>
      <w:r/>
      <w:bookmarkStart w:id="159" w:name="_Toc30172"/>
      <w:r/>
      <w:bookmarkStart w:id="160" w:name="_Toc17430"/>
      <w:r/>
      <w:bookmarkStart w:id="161" w:name="_Toc448874878"/>
      <w:r/>
      <w:bookmarkStart w:id="162" w:name="_Toc478493367"/>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157"/>
      <w:r/>
      <w:bookmarkEnd w:id="158"/>
      <w:r/>
      <w:bookmarkEnd w:id="159"/>
      <w:r/>
      <w:bookmarkEnd w:id="160"/>
      <w:r/>
      <w:bookmarkEnd w:id="161"/>
      <w:r/>
      <w:bookmarkEnd w:id="162"/>
      <w:r>
        <w:rPr>
          <w:rFonts w:hint="eastAsia" w:ascii="宋体" w:hAnsi="宋体" w:eastAsia="宋体" w:cs="宋体"/>
          <w:b/>
          <w:bCs/>
          <w:sz w:val="32"/>
          <w:szCs w:val="32"/>
          <w:highlight w:val="none"/>
        </w:rPr>
      </w:r>
      <w:r/>
    </w:p>
    <w:p>
      <w:pPr>
        <w:pStyle w:val="1047"/>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1047"/>
        <w:numPr>
          <w:ilvl w:val="0"/>
          <w:numId w:val="45"/>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1047"/>
        <w:numPr>
          <w:ilvl w:val="0"/>
          <w:numId w:val="45"/>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rPr>
          <w:rFonts w:hint="eastAsia" w:ascii="宋体" w:hAnsi="宋体" w:eastAsia="宋体" w:cs="宋体"/>
          <w:sz w:val="24"/>
          <w:szCs w:val="24"/>
          <w:highlight w:val="none"/>
        </w:rPr>
      </w:r>
      <w:r/>
    </w:p>
    <w:p>
      <w:pPr>
        <w:pStyle w:val="1047"/>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047"/>
        <w:rPr>
          <w:rFonts w:hint="eastAsia" w:ascii="宋体" w:hAnsi="宋体" w:eastAsia="宋体" w:cs="宋体"/>
          <w:highlight w:val="none"/>
        </w:rPr>
      </w:pPr>
      <w:r>
        <w:rPr>
          <w:rFonts w:hint="eastAsia" w:ascii="宋体" w:hAnsi="宋体" w:eastAsia="宋体" w:cs="宋体"/>
          <w:highlight w:val="none"/>
        </w:rPr>
      </w:r>
      <w:r/>
    </w:p>
    <w:p>
      <w:pPr>
        <w:pStyle w:val="1047"/>
        <w:jc w:val="center"/>
        <w:rPr>
          <w:rFonts w:hint="eastAsia" w:ascii="宋体" w:hAnsi="宋体" w:eastAsia="宋体" w:cs="宋体"/>
          <w:highlight w:val="none"/>
        </w:rPr>
      </w:pPr>
      <w:r/>
      <w:bookmarkStart w:id="163" w:name="_Toc8684"/>
      <w:r/>
      <w:bookmarkStart w:id="164" w:name="_Toc9040"/>
      <w:r>
        <w:rPr>
          <w:rFonts w:hint="eastAsia" w:ascii="宋体" w:hAnsi="宋体" w:eastAsia="宋体" w:cs="宋体"/>
          <w:highlight w:val="none"/>
        </w:rPr>
        <w:br w:type="page" w:clear="all"/>
      </w:r>
      <w:bookmarkStart w:id="165" w:name="_Toc1628"/>
      <w:r>
        <w:rPr>
          <w:rFonts w:hint="eastAsia" w:ascii="宋体" w:hAnsi="宋体" w:eastAsia="宋体" w:cs="宋体"/>
          <w:sz w:val="32"/>
          <w:szCs w:val="32"/>
          <w:highlight w:val="none"/>
        </w:rPr>
        <w:t xml:space="preserve">9.人员配备、资质及人员管理</w:t>
      </w:r>
      <w:bookmarkEnd w:id="163"/>
      <w:r/>
      <w:bookmarkEnd w:id="165"/>
      <w:r>
        <w:rPr>
          <w:rFonts w:hint="eastAsia" w:ascii="宋体" w:hAnsi="宋体" w:eastAsia="宋体" w:cs="宋体"/>
          <w:highlight w:val="none"/>
        </w:rPr>
      </w:r>
      <w:r/>
    </w:p>
    <w:p>
      <w:pPr>
        <w:pStyle w:val="1047"/>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1047"/>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1047"/>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1047"/>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104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31"/>
      <w:r/>
      <w:bookmarkEnd w:id="164"/>
      <w:r>
        <w:rPr>
          <w:rFonts w:hint="eastAsia" w:ascii="宋体" w:hAnsi="宋体" w:eastAsia="宋体" w:cs="宋体"/>
          <w:sz w:val="24"/>
          <w:szCs w:val="24"/>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1047"/>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1047"/>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1047"/>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047"/>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1047"/>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Cambria">
    <w:panose1 w:val="02040503050406030204"/>
  </w:font>
  <w:font w:name="楷体_GB2312">
    <w:panose1 w:val="02010609060101010101"/>
  </w:font>
  <w:font w:name="ˎ̥">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- 3 -</w:t>
                          </w:r>
                          <w:r>
                            <w:rPr>
                              <w:sz w:val="24"/>
                              <w:szCs w:val="28"/>
                            </w:rPr>
                            <w:fldChar w:fldCharType="end"/>
                          </w:r>
                          <w:r>
                            <w:rPr>
                              <w:sz w:val="24"/>
                              <w:szCs w:val="28"/>
                            </w:rPr>
                          </w:r>
                          <w:r/>
                        </w:p>
                        <w:p>
                          <w:pPr>
                            <w:pStyle w:val="104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- 3 -</w:t>
                    </w:r>
                    <w:r>
                      <w:rPr>
                        <w:sz w:val="24"/>
                        <w:szCs w:val="28"/>
                      </w:rPr>
                      <w:fldChar w:fldCharType="end"/>
                    </w:r>
                    <w:r>
                      <w:rPr>
                        <w:sz w:val="24"/>
                        <w:szCs w:val="28"/>
                      </w:rPr>
                    </w:r>
                    <w:r/>
                  </w:p>
                  <w:p>
                    <w:pPr>
                      <w:pStyle w:val="1047"/>
                    </w:pPr>
                    <w:r/>
                    <w:r/>
                  </w:p>
                </w:txbxContent>
              </v:textbox>
            </v:shape>
          </w:pict>
        </mc:Fallback>
      </mc:AlternateContent>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b/>
        <w:bCs/>
        <w:color w:val="2f5496"/>
        <w:sz w:val="16"/>
        <w:szCs w:val="15"/>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p>
    <w:pPr>
      <w:pStyle w:val="10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rFonts w:hint="eastAsia" w:eastAsia="宋体"/>
        <w:b/>
        <w:bCs/>
        <w:color w:val="243f61"/>
        <w:sz w:val="15"/>
        <w:szCs w:val="13"/>
      </w:rPr>
    </w:pPr>
    <w:r/>
    <w:bookmarkStart w:id="166" w:name="OLE_LINK11"/>
    <w:r>
      <mc:AlternateContent>
        <mc:Choice Requires="wpg">
          <w:drawing>
            <wp:inline xmlns:wp="http://schemas.openxmlformats.org/drawingml/2006/wordprocessingDrawing" distT="0" distB="0" distL="0" distR="0">
              <wp:extent cx="2309482" cy="3028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8pt;height:23.8pt;mso-wrap-distance-left:0.0pt;mso-wrap-distance-top:0.0pt;mso-wrap-distance-right:0.0pt;mso-wrap-distance-bottom:0.0pt;" stroked="f">
              <v:path textboxrect="0,0,0,0"/>
              <v:imagedata r:id="rId1" o:title=""/>
            </v:shape>
          </w:pict>
        </mc:Fallback>
      </mc:AlternateContent>
    </w:r>
    <w:r>
      <w:rPr>
        <w:rFonts w:hint="eastAsia"/>
        <w:b/>
        <w:bCs/>
        <w:color w:val="243f61"/>
        <w:sz w:val="20"/>
        <w:szCs w:val="18"/>
      </w:rPr>
      <w:t xml:space="preserve"> </w:t>
    </w:r>
    <w:bookmarkEnd w:id="166"/>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47"/>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61"/>
      <w:isLgl w:val="false"/>
      <w:suff w:val="tab"/>
      <w:lvlText w:val=""/>
      <w:lvlJc w:val="left"/>
      <w:pPr>
        <w:pStyle w:val="1047"/>
        <w:ind w:left="420" w:hanging="420"/>
        <w:tabs>
          <w:tab w:val="num" w:pos="420" w:leader="none"/>
        </w:tabs>
      </w:pPr>
      <w:rPr>
        <w:rFonts w:ascii="Wingdings" w:hAnsi="Wingdings"/>
      </w:rPr>
    </w:lvl>
    <w:lvl w:ilvl="1">
      <w:start w:val="1"/>
      <w:numFmt w:val="decimal"/>
      <w:isLgl w:val="false"/>
      <w:suff w:val="tab"/>
      <w:lvlText w:val="（%2）"/>
      <w:lvlJc w:val="left"/>
      <w:pPr>
        <w:pStyle w:val="1047"/>
        <w:ind w:left="1500" w:hanging="1080"/>
        <w:tabs>
          <w:tab w:val="num" w:pos="1500" w:leader="none"/>
        </w:tabs>
      </w:pPr>
      <w:rPr>
        <w:rFonts w:hint="eastAsia"/>
      </w:rPr>
    </w:lvl>
    <w:lvl w:ilvl="2">
      <w:start w:val="1"/>
      <w:numFmt w:val="decimal"/>
      <w:isLgl w:val="false"/>
      <w:suff w:val="tab"/>
      <w:lvlText w:val="（%3）"/>
      <w:lvlJc w:val="left"/>
      <w:pPr>
        <w:pStyle w:val="1047"/>
        <w:ind w:left="1560" w:hanging="720"/>
        <w:tabs>
          <w:tab w:val="num" w:pos="1560" w:leader="none"/>
        </w:tabs>
      </w:pPr>
      <w:rPr>
        <w:rFonts w:hint="eastAsia"/>
      </w:rPr>
    </w:lvl>
    <w:lvl w:ilvl="3">
      <w:start w:val="1"/>
      <w:numFmt w:val="decimal"/>
      <w:isLgl w:val="false"/>
      <w:suff w:val="tab"/>
      <w:lvlText w:val="%4."/>
      <w:lvlJc w:val="left"/>
      <w:pPr>
        <w:pStyle w:val="1047"/>
        <w:ind w:left="1680" w:hanging="420"/>
        <w:tabs>
          <w:tab w:val="num" w:pos="1680" w:leader="none"/>
        </w:tabs>
      </w:pPr>
    </w:lvl>
    <w:lvl w:ilvl="4">
      <w:start w:val="1"/>
      <w:numFmt w:val="lowerLetter"/>
      <w:isLgl w:val="false"/>
      <w:suff w:val="tab"/>
      <w:lvlText w:val="%5)"/>
      <w:lvlJc w:val="left"/>
      <w:pPr>
        <w:pStyle w:val="1047"/>
        <w:ind w:left="2100" w:hanging="420"/>
        <w:tabs>
          <w:tab w:val="num" w:pos="2100" w:leader="none"/>
        </w:tabs>
      </w:pPr>
    </w:lvl>
    <w:lvl w:ilvl="5">
      <w:start w:val="1"/>
      <w:numFmt w:val="lowerRoman"/>
      <w:isLgl w:val="false"/>
      <w:suff w:val="tab"/>
      <w:lvlText w:val="%6."/>
      <w:lvlJc w:val="right"/>
      <w:pPr>
        <w:pStyle w:val="1047"/>
        <w:ind w:left="2520" w:hanging="420"/>
        <w:tabs>
          <w:tab w:val="num" w:pos="2520" w:leader="none"/>
        </w:tabs>
      </w:pPr>
    </w:lvl>
    <w:lvl w:ilvl="6">
      <w:start w:val="1"/>
      <w:numFmt w:val="decimal"/>
      <w:isLgl w:val="false"/>
      <w:suff w:val="tab"/>
      <w:lvlText w:val="%7."/>
      <w:lvlJc w:val="left"/>
      <w:pPr>
        <w:pStyle w:val="1047"/>
        <w:ind w:left="2940" w:hanging="420"/>
        <w:tabs>
          <w:tab w:val="num" w:pos="2940" w:leader="none"/>
        </w:tabs>
      </w:pPr>
    </w:lvl>
    <w:lvl w:ilvl="7">
      <w:start w:val="1"/>
      <w:numFmt w:val="lowerLetter"/>
      <w:isLgl w:val="false"/>
      <w:suff w:val="tab"/>
      <w:lvlText w:val="%8)"/>
      <w:lvlJc w:val="left"/>
      <w:pPr>
        <w:pStyle w:val="1047"/>
        <w:ind w:left="3360" w:hanging="420"/>
        <w:tabs>
          <w:tab w:val="num" w:pos="3360" w:leader="none"/>
        </w:tabs>
      </w:pPr>
    </w:lvl>
    <w:lvl w:ilvl="8">
      <w:start w:val="1"/>
      <w:numFmt w:val="lowerRoman"/>
      <w:isLgl w:val="false"/>
      <w:suff w:val="tab"/>
      <w:lvlText w:val="%9."/>
      <w:lvlJc w:val="right"/>
      <w:pPr>
        <w:pStyle w:val="1047"/>
        <w:ind w:left="3780" w:hanging="420"/>
        <w:tabs>
          <w:tab w:val="num" w:pos="3780" w:leader="none"/>
        </w:tabs>
      </w:pPr>
    </w:lvl>
  </w:abstractNum>
  <w:abstractNum w:abstractNumId="20">
    <w:multiLevelType w:val="hybridMultilevel"/>
    <w:lvl w:ilvl="0">
      <w:start w:val="1"/>
      <w:numFmt w:val="decimal"/>
      <w:pStyle w:val="1429"/>
      <w:isLgl w:val="false"/>
      <w:suff w:val="tab"/>
      <w:lvlText w:val="(%1)"/>
      <w:lvlJc w:val="left"/>
      <w:pPr>
        <w:pStyle w:val="104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47"/>
        <w:ind w:left="840" w:hanging="420"/>
        <w:tabs>
          <w:tab w:val="num" w:pos="840" w:leader="none"/>
        </w:tabs>
      </w:pPr>
    </w:lvl>
    <w:lvl w:ilvl="2">
      <w:start w:val="1"/>
      <w:numFmt w:val="lowerRoman"/>
      <w:isLgl w:val="false"/>
      <w:suff w:val="tab"/>
      <w:lvlText w:val="%3."/>
      <w:lvlJc w:val="right"/>
      <w:pPr>
        <w:pStyle w:val="1047"/>
        <w:ind w:left="1260" w:hanging="420"/>
        <w:tabs>
          <w:tab w:val="num" w:pos="1260" w:leader="none"/>
        </w:tabs>
      </w:pPr>
    </w:lvl>
    <w:lvl w:ilvl="3">
      <w:start w:val="1"/>
      <w:numFmt w:val="decimal"/>
      <w:isLgl w:val="false"/>
      <w:suff w:val="tab"/>
      <w:lvlText w:val="%4."/>
      <w:lvlJc w:val="left"/>
      <w:pPr>
        <w:pStyle w:val="1047"/>
        <w:ind w:left="1680" w:hanging="420"/>
        <w:tabs>
          <w:tab w:val="num" w:pos="1680" w:leader="none"/>
        </w:tabs>
      </w:pPr>
    </w:lvl>
    <w:lvl w:ilvl="4">
      <w:start w:val="1"/>
      <w:numFmt w:val="lowerLetter"/>
      <w:pStyle w:val="1413"/>
      <w:isLgl w:val="false"/>
      <w:suff w:val="tab"/>
      <w:lvlText w:val="%5)"/>
      <w:lvlJc w:val="left"/>
      <w:pPr>
        <w:pStyle w:val="1047"/>
        <w:ind w:left="2100" w:hanging="420"/>
        <w:tabs>
          <w:tab w:val="num" w:pos="2100" w:leader="none"/>
        </w:tabs>
      </w:pPr>
    </w:lvl>
    <w:lvl w:ilvl="5">
      <w:start w:val="1"/>
      <w:numFmt w:val="lowerRoman"/>
      <w:isLgl w:val="false"/>
      <w:suff w:val="tab"/>
      <w:lvlText w:val="%6."/>
      <w:lvlJc w:val="right"/>
      <w:pPr>
        <w:pStyle w:val="1047"/>
        <w:ind w:left="2520" w:hanging="420"/>
        <w:tabs>
          <w:tab w:val="num" w:pos="2520" w:leader="none"/>
        </w:tabs>
      </w:pPr>
    </w:lvl>
    <w:lvl w:ilvl="6">
      <w:start w:val="1"/>
      <w:numFmt w:val="decimal"/>
      <w:isLgl w:val="false"/>
      <w:suff w:val="tab"/>
      <w:lvlText w:val="%7."/>
      <w:lvlJc w:val="left"/>
      <w:pPr>
        <w:pStyle w:val="1047"/>
        <w:ind w:left="2940" w:hanging="420"/>
        <w:tabs>
          <w:tab w:val="num" w:pos="2940" w:leader="none"/>
        </w:tabs>
      </w:pPr>
    </w:lvl>
    <w:lvl w:ilvl="7">
      <w:start w:val="1"/>
      <w:numFmt w:val="lowerLetter"/>
      <w:isLgl w:val="false"/>
      <w:suff w:val="tab"/>
      <w:lvlText w:val="%8)"/>
      <w:lvlJc w:val="left"/>
      <w:pPr>
        <w:pStyle w:val="1047"/>
        <w:ind w:left="3360" w:hanging="420"/>
        <w:tabs>
          <w:tab w:val="num" w:pos="3360" w:leader="none"/>
        </w:tabs>
      </w:pPr>
    </w:lvl>
    <w:lvl w:ilvl="8">
      <w:start w:val="1"/>
      <w:numFmt w:val="lowerRoman"/>
      <w:isLgl w:val="false"/>
      <w:suff w:val="tab"/>
      <w:lvlText w:val="%9."/>
      <w:lvlJc w:val="right"/>
      <w:pPr>
        <w:pStyle w:val="1047"/>
        <w:ind w:left="3780" w:hanging="420"/>
        <w:tabs>
          <w:tab w:val="num" w:pos="3780" w:leader="none"/>
        </w:tabs>
      </w:pPr>
    </w:lvl>
  </w:abstractNum>
  <w:abstractNum w:abstractNumId="21">
    <w:multiLevelType w:val="hybridMultilevel"/>
    <w:lvl w:ilvl="0">
      <w:start w:val="1"/>
      <w:numFmt w:val="bullet"/>
      <w:pStyle w:val="1310"/>
      <w:isLgl w:val="false"/>
      <w:suff w:val="tab"/>
      <w:lvlText w:val=""/>
      <w:lvlJc w:val="left"/>
      <w:pPr>
        <w:pStyle w:val="104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72"/>
      <w:isLgl w:val="false"/>
      <w:suff w:val="tab"/>
      <w:lvlText w:val="%1"/>
      <w:lvlJc w:val="left"/>
      <w:pPr>
        <w:pStyle w:val="1047"/>
        <w:ind w:left="567" w:hanging="567"/>
        <w:tabs>
          <w:tab w:val="num" w:pos="567" w:leader="none"/>
        </w:tabs>
      </w:pPr>
      <w:rPr>
        <w:rFonts w:hint="eastAsia"/>
      </w:rPr>
    </w:lvl>
    <w:lvl w:ilvl="1">
      <w:start w:val="1"/>
      <w:numFmt w:val="decimal"/>
      <w:pStyle w:val="1381"/>
      <w:isLgl w:val="false"/>
      <w:suff w:val="tab"/>
      <w:lvlText w:val="%1.%2"/>
      <w:lvlJc w:val="left"/>
      <w:pPr>
        <w:pStyle w:val="1047"/>
        <w:ind w:left="567" w:hanging="283"/>
        <w:tabs>
          <w:tab w:val="num" w:pos="1004" w:leader="none"/>
        </w:tabs>
      </w:pPr>
      <w:rPr>
        <w:rFonts w:hint="eastAsia"/>
      </w:rPr>
    </w:lvl>
    <w:lvl w:ilvl="2">
      <w:start w:val="1"/>
      <w:numFmt w:val="decimal"/>
      <w:pStyle w:val="1382"/>
      <w:isLgl w:val="false"/>
      <w:suff w:val="tab"/>
      <w:lvlText w:val="%1.%2.%3"/>
      <w:lvlJc w:val="left"/>
      <w:pPr>
        <w:pStyle w:val="1047"/>
        <w:ind w:left="1134" w:hanging="567"/>
        <w:tabs>
          <w:tab w:val="num" w:pos="1647" w:leader="none"/>
        </w:tabs>
      </w:pPr>
      <w:rPr>
        <w:rFonts w:hint="eastAsia"/>
      </w:rPr>
    </w:lvl>
    <w:lvl w:ilvl="3">
      <w:start w:val="1"/>
      <w:numFmt w:val="decimal"/>
      <w:isLgl w:val="false"/>
      <w:suff w:val="tab"/>
      <w:lvlText w:val="%1.%2.%3.%4"/>
      <w:lvlJc w:val="left"/>
      <w:pPr>
        <w:pStyle w:val="1047"/>
        <w:ind w:left="2851" w:hanging="708"/>
        <w:tabs>
          <w:tab w:val="num" w:pos="3223" w:leader="none"/>
        </w:tabs>
      </w:pPr>
      <w:rPr>
        <w:rFonts w:hint="eastAsia"/>
      </w:rPr>
    </w:lvl>
    <w:lvl w:ilvl="4">
      <w:start w:val="1"/>
      <w:numFmt w:val="decimal"/>
      <w:isLgl w:val="false"/>
      <w:suff w:val="tab"/>
      <w:lvlText w:val="%1.%2.%3.%4.%5"/>
      <w:lvlJc w:val="left"/>
      <w:pPr>
        <w:pStyle w:val="1047"/>
        <w:ind w:left="3418" w:hanging="850"/>
        <w:tabs>
          <w:tab w:val="num" w:pos="3648" w:leader="none"/>
        </w:tabs>
      </w:pPr>
      <w:rPr>
        <w:rFonts w:hint="eastAsia"/>
      </w:rPr>
    </w:lvl>
    <w:lvl w:ilvl="5">
      <w:start w:val="1"/>
      <w:numFmt w:val="decimal"/>
      <w:isLgl w:val="false"/>
      <w:suff w:val="tab"/>
      <w:lvlText w:val="%1.%2.%3.%4.%5.%6"/>
      <w:lvlJc w:val="left"/>
      <w:pPr>
        <w:pStyle w:val="1047"/>
        <w:ind w:left="4127" w:hanging="1134"/>
        <w:tabs>
          <w:tab w:val="num" w:pos="4433" w:leader="none"/>
        </w:tabs>
      </w:pPr>
      <w:rPr>
        <w:rFonts w:hint="eastAsia"/>
      </w:rPr>
    </w:lvl>
    <w:lvl w:ilvl="6">
      <w:start w:val="1"/>
      <w:numFmt w:val="decimal"/>
      <w:isLgl w:val="false"/>
      <w:suff w:val="tab"/>
      <w:lvlText w:val="%1.%2.%3.%4.%5.%6.%7"/>
      <w:lvlJc w:val="left"/>
      <w:pPr>
        <w:pStyle w:val="1047"/>
        <w:ind w:left="4694" w:hanging="1276"/>
        <w:tabs>
          <w:tab w:val="num" w:pos="4858" w:leader="none"/>
        </w:tabs>
      </w:pPr>
      <w:rPr>
        <w:rFonts w:hint="eastAsia"/>
      </w:rPr>
    </w:lvl>
    <w:lvl w:ilvl="7">
      <w:start w:val="1"/>
      <w:numFmt w:val="decimal"/>
      <w:isLgl w:val="false"/>
      <w:suff w:val="tab"/>
      <w:lvlText w:val="%1.%2.%3.%4.%5.%6.%7.%8"/>
      <w:lvlJc w:val="left"/>
      <w:pPr>
        <w:pStyle w:val="1047"/>
        <w:ind w:left="5261" w:hanging="1418"/>
        <w:tabs>
          <w:tab w:val="num" w:pos="5643" w:leader="none"/>
        </w:tabs>
      </w:pPr>
      <w:rPr>
        <w:rFonts w:hint="eastAsia"/>
      </w:rPr>
    </w:lvl>
    <w:lvl w:ilvl="8">
      <w:start w:val="1"/>
      <w:numFmt w:val="decimal"/>
      <w:isLgl w:val="false"/>
      <w:suff w:val="tab"/>
      <w:lvlText w:val="%1.%2.%3.%4.%5.%6.%7.%8.%9"/>
      <w:lvlJc w:val="left"/>
      <w:pPr>
        <w:pStyle w:val="1047"/>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47"/>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47"/>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104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1"/>
  </w:num>
  <w:num w:numId="7">
    <w:abstractNumId w:val="41"/>
  </w:num>
  <w:num w:numId="8">
    <w:abstractNumId w:val="42"/>
  </w:num>
  <w:num w:numId="9">
    <w:abstractNumId w:val="0"/>
  </w:num>
  <w:num w:numId="10">
    <w:abstractNumId w:val="2"/>
  </w:num>
  <w:num w:numId="11">
    <w:abstractNumId w:val="14"/>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5"/>
  </w:num>
  <w:num w:numId="20">
    <w:abstractNumId w:val="3"/>
  </w:num>
  <w:num w:numId="21">
    <w:abstractNumId w:val="13"/>
  </w:num>
  <w:num w:numId="22">
    <w:abstractNumId w:val="36"/>
  </w:num>
  <w:num w:numId="23">
    <w:abstractNumId w:val="37"/>
  </w:num>
  <w:num w:numId="24">
    <w:abstractNumId w:val="34"/>
  </w:num>
  <w:num w:numId="25">
    <w:abstractNumId w:val="40"/>
  </w:num>
  <w:num w:numId="26">
    <w:abstractNumId w:val="12"/>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6"/>
  </w:num>
  <w:num w:numId="42">
    <w:abstractNumId w:val="17"/>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7"/>
    <w:next w:val="1047"/>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7"/>
    <w:next w:val="1047"/>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7"/>
    <w:next w:val="1047"/>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7"/>
    <w:next w:val="1047"/>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7"/>
    <w:next w:val="1047"/>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7"/>
    <w:next w:val="1047"/>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7"/>
    <w:next w:val="1047"/>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7"/>
    <w:next w:val="1047"/>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7"/>
    <w:next w:val="1047"/>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Title"/>
    <w:basedOn w:val="1047"/>
    <w:next w:val="1047"/>
    <w:link w:val="890"/>
    <w:uiPriority w:val="10"/>
    <w:qFormat/>
    <w:pPr>
      <w:contextualSpacing/>
      <w:spacing w:before="300" w:after="200"/>
    </w:pPr>
    <w:rPr>
      <w:sz w:val="48"/>
      <w:szCs w:val="48"/>
    </w:rPr>
  </w:style>
  <w:style w:type="character" w:styleId="890">
    <w:name w:val="Title Char"/>
    <w:link w:val="889"/>
    <w:uiPriority w:val="10"/>
    <w:rPr>
      <w:sz w:val="48"/>
      <w:szCs w:val="48"/>
    </w:rPr>
  </w:style>
  <w:style w:type="paragraph" w:styleId="891">
    <w:name w:val="Subtitle"/>
    <w:basedOn w:val="1047"/>
    <w:next w:val="1047"/>
    <w:link w:val="892"/>
    <w:uiPriority w:val="11"/>
    <w:qFormat/>
    <w:pPr>
      <w:spacing w:before="200" w:after="200"/>
    </w:pPr>
    <w:rPr>
      <w:sz w:val="24"/>
      <w:szCs w:val="24"/>
    </w:rPr>
  </w:style>
  <w:style w:type="character" w:styleId="892">
    <w:name w:val="Subtitle Char"/>
    <w:link w:val="891"/>
    <w:uiPriority w:val="11"/>
    <w:rPr>
      <w:sz w:val="24"/>
      <w:szCs w:val="24"/>
    </w:rPr>
  </w:style>
  <w:style w:type="paragraph" w:styleId="893">
    <w:name w:val="Quote"/>
    <w:basedOn w:val="1047"/>
    <w:next w:val="1047"/>
    <w:link w:val="894"/>
    <w:uiPriority w:val="29"/>
    <w:qFormat/>
    <w:pPr>
      <w:ind w:left="720" w:right="720"/>
    </w:pPr>
    <w:rPr>
      <w:i/>
    </w:rPr>
  </w:style>
  <w:style w:type="character" w:styleId="894">
    <w:name w:val="Quote Char"/>
    <w:link w:val="893"/>
    <w:uiPriority w:val="29"/>
    <w:rPr>
      <w:i/>
    </w:rPr>
  </w:style>
  <w:style w:type="paragraph" w:styleId="895">
    <w:name w:val="Intense Quote"/>
    <w:basedOn w:val="1047"/>
    <w:next w:val="1047"/>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paragraph" w:styleId="897">
    <w:name w:val="Header"/>
    <w:basedOn w:val="1047"/>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7"/>
    <w:link w:val="902"/>
    <w:uiPriority w:val="99"/>
    <w:unhideWhenUsed/>
    <w:pPr>
      <w:spacing w:after="0" w:line="240" w:lineRule="auto"/>
      <w:tabs>
        <w:tab w:val="center" w:pos="7143" w:leader="none"/>
        <w:tab w:val="right" w:pos="14287" w:leader="none"/>
      </w:tabs>
    </w:pPr>
  </w:style>
  <w:style w:type="character" w:styleId="900">
    <w:name w:val="Footer Char"/>
    <w:link w:val="899"/>
    <w:uiPriority w:val="99"/>
  </w:style>
  <w:style w:type="paragraph" w:styleId="901">
    <w:name w:val="Caption"/>
    <w:basedOn w:val="1047"/>
    <w:next w:val="1047"/>
    <w:uiPriority w:val="35"/>
    <w:semiHidden/>
    <w:unhideWhenUsed/>
    <w:qFormat/>
    <w:pPr>
      <w:spacing w:line="276" w:lineRule="auto"/>
    </w:pPr>
    <w:rPr>
      <w:b/>
      <w:bCs/>
      <w:color w:val="4f81bd" w:themeColor="accent1"/>
      <w:sz w:val="18"/>
      <w:szCs w:val="18"/>
    </w:rPr>
  </w:style>
  <w:style w:type="character" w:styleId="902">
    <w:name w:val="Caption Char"/>
    <w:basedOn w:val="901"/>
    <w:link w:val="899"/>
    <w:uiPriority w:val="99"/>
  </w:style>
  <w:style w:type="table" w:styleId="9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59"/>
    <w:link w:val="1047"/>
    <w:qFormat/>
    <w:pPr>
      <w:jc w:val="both"/>
      <w:spacing w:before="120" w:after="120" w:line="360" w:lineRule="auto"/>
      <w:widowControl w:val="off"/>
    </w:pPr>
    <w:rPr>
      <w:rFonts w:eastAsia="微软雅黑"/>
      <w:sz w:val="21"/>
      <w:lang w:val="en-US" w:eastAsia="zh-CN" w:bidi="ar-SA"/>
    </w:rPr>
  </w:style>
  <w:style w:type="paragraph" w:styleId="1048">
    <w:name w:val="标题 1"/>
    <w:basedOn w:val="1047"/>
    <w:next w:val="1047"/>
    <w:link w:val="1060"/>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9">
    <w:name w:val="标题 2"/>
    <w:basedOn w:val="1047"/>
    <w:next w:val="1047"/>
    <w:link w:val="1061"/>
    <w:qFormat/>
    <w:pPr>
      <w:jc w:val="left"/>
      <w:keepLines/>
      <w:keepNext/>
      <w:outlineLvl w:val="1"/>
    </w:pPr>
    <w:rPr>
      <w:rFonts w:ascii="宋体" w:hAnsi="宋体"/>
      <w:b/>
      <w:sz w:val="28"/>
      <w:szCs w:val="24"/>
    </w:rPr>
  </w:style>
  <w:style w:type="paragraph" w:styleId="1050">
    <w:name w:val="标题 3"/>
    <w:basedOn w:val="1047"/>
    <w:next w:val="1047"/>
    <w:link w:val="1062"/>
    <w:qFormat/>
    <w:pPr>
      <w:keepLines/>
      <w:keepNext/>
      <w:spacing w:line="390" w:lineRule="atLeast"/>
      <w:shd w:val="clear" w:color="auto" w:fill="ffffff"/>
      <w:outlineLvl w:val="2"/>
    </w:pPr>
    <w:rPr>
      <w:rFonts w:ascii="宋体" w:hAnsi="宋体"/>
      <w:b/>
      <w:sz w:val="24"/>
      <w:szCs w:val="21"/>
    </w:rPr>
  </w:style>
  <w:style w:type="paragraph" w:styleId="1051">
    <w:name w:val="标题 4"/>
    <w:basedOn w:val="1047"/>
    <w:next w:val="1047"/>
    <w:link w:val="1063"/>
    <w:qFormat/>
    <w:pPr>
      <w:keepLines/>
      <w:keepNext/>
      <w:spacing w:before="120" w:after="120"/>
      <w:outlineLvl w:val="3"/>
    </w:pPr>
    <w:rPr>
      <w:rFonts w:ascii="Arial" w:hAnsi="Arial" w:eastAsia="黑体"/>
      <w:b/>
      <w:sz w:val="28"/>
    </w:rPr>
  </w:style>
  <w:style w:type="paragraph" w:styleId="1052">
    <w:name w:val="标题 5"/>
    <w:basedOn w:val="1047"/>
    <w:next w:val="1065"/>
    <w:link w:val="1064"/>
    <w:qFormat/>
    <w:pPr>
      <w:keepNext/>
      <w:spacing w:before="145" w:after="145"/>
      <w:outlineLvl w:val="4"/>
    </w:pPr>
    <w:rPr>
      <w:rFonts w:ascii="黑体" w:eastAsia="黑体"/>
      <w:b/>
      <w:color w:val="000000"/>
      <w:sz w:val="28"/>
    </w:rPr>
  </w:style>
  <w:style w:type="paragraph" w:styleId="1053">
    <w:name w:val="标题 6"/>
    <w:basedOn w:val="1047"/>
    <w:next w:val="1047"/>
    <w:link w:val="1066"/>
    <w:qFormat/>
    <w:pPr>
      <w:keepLines/>
      <w:keepNext/>
      <w:spacing w:before="240" w:after="64" w:line="320" w:lineRule="auto"/>
      <w:outlineLvl w:val="5"/>
    </w:pPr>
    <w:rPr>
      <w:rFonts w:ascii="Arial" w:hAnsi="Arial" w:eastAsia="黑体"/>
      <w:b/>
      <w:bCs/>
      <w:sz w:val="24"/>
      <w:szCs w:val="24"/>
    </w:rPr>
  </w:style>
  <w:style w:type="paragraph" w:styleId="1054">
    <w:name w:val="标题 7"/>
    <w:basedOn w:val="1047"/>
    <w:next w:val="1047"/>
    <w:link w:val="1067"/>
    <w:qFormat/>
    <w:pPr>
      <w:keepLines/>
      <w:keepNext/>
      <w:spacing w:before="240" w:after="64" w:line="320" w:lineRule="auto"/>
      <w:outlineLvl w:val="6"/>
    </w:pPr>
    <w:rPr>
      <w:rFonts w:eastAsia="宋体"/>
      <w:b/>
      <w:bCs/>
      <w:sz w:val="24"/>
      <w:szCs w:val="24"/>
    </w:rPr>
  </w:style>
  <w:style w:type="paragraph" w:styleId="1055">
    <w:name w:val="标题 8"/>
    <w:basedOn w:val="1047"/>
    <w:next w:val="1047"/>
    <w:link w:val="1068"/>
    <w:qFormat/>
    <w:pPr>
      <w:keepLines/>
      <w:keepNext/>
      <w:spacing w:before="240" w:after="64" w:line="320" w:lineRule="auto"/>
      <w:outlineLvl w:val="7"/>
    </w:pPr>
    <w:rPr>
      <w:rFonts w:ascii="Arial" w:hAnsi="Arial" w:eastAsia="黑体"/>
      <w:sz w:val="24"/>
      <w:szCs w:val="24"/>
    </w:rPr>
  </w:style>
  <w:style w:type="paragraph" w:styleId="1056">
    <w:name w:val="标题 9"/>
    <w:basedOn w:val="1047"/>
    <w:next w:val="1047"/>
    <w:link w:val="1069"/>
    <w:qFormat/>
    <w:pPr>
      <w:keepLines/>
      <w:keepNext/>
      <w:spacing w:before="240" w:after="64" w:line="320" w:lineRule="auto"/>
      <w:outlineLvl w:val="8"/>
    </w:pPr>
    <w:rPr>
      <w:rFonts w:ascii="Arial" w:hAnsi="Arial" w:eastAsia="黑体"/>
      <w:szCs w:val="21"/>
    </w:rPr>
  </w:style>
  <w:style w:type="character" w:styleId="1057">
    <w:name w:val="默认段落字体"/>
    <w:next w:val="1057"/>
    <w:link w:val="1047"/>
    <w:rPr>
      <w:rFonts w:ascii="Times New Roman" w:hAnsi="Times New Roman" w:eastAsia="宋体" w:cs="Times New Roman"/>
    </w:rPr>
  </w:style>
  <w:style w:type="table" w:styleId="1058">
    <w:name w:val="普通表格"/>
    <w:next w:val="1058"/>
    <w:link w:val="1047"/>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59">
    <w:name w:val="正文文本"/>
    <w:basedOn w:val="1047"/>
    <w:next w:val="1059"/>
    <w:link w:val="1047"/>
    <w:rPr>
      <w:rFonts w:ascii="楷体_GB2312" w:hAnsi="Arial" w:eastAsia="楷体_GB2312" w:cs="Times New Roman"/>
      <w:sz w:val="28"/>
    </w:rPr>
  </w:style>
  <w:style w:type="character" w:styleId="1060">
    <w:name w:val="标题 1 字符"/>
    <w:next w:val="1060"/>
    <w:link w:val="1048"/>
    <w:rPr>
      <w:rFonts w:ascii="黑体" w:hAnsi="Times New Roman" w:eastAsia="微软雅黑" w:cs="Times New Roman"/>
      <w:b/>
      <w:sz w:val="32"/>
      <w:szCs w:val="28"/>
    </w:rPr>
  </w:style>
  <w:style w:type="character" w:styleId="1061">
    <w:name w:val="标题 2 字符"/>
    <w:next w:val="1061"/>
    <w:link w:val="1049"/>
    <w:rPr>
      <w:rFonts w:ascii="宋体" w:hAnsi="宋体" w:eastAsia="微软雅黑" w:cs="Times New Roman"/>
      <w:b/>
      <w:sz w:val="28"/>
      <w:szCs w:val="24"/>
    </w:rPr>
  </w:style>
  <w:style w:type="character" w:styleId="1062">
    <w:name w:val="标题 3 字符"/>
    <w:next w:val="1062"/>
    <w:link w:val="1050"/>
    <w:rPr>
      <w:rFonts w:ascii="宋体" w:hAnsi="宋体" w:eastAsia="微软雅黑" w:cs="Times New Roman"/>
      <w:b/>
      <w:sz w:val="24"/>
      <w:szCs w:val="21"/>
      <w:shd w:val="clear" w:color="auto" w:fill="ffffff"/>
    </w:rPr>
  </w:style>
  <w:style w:type="character" w:styleId="1063">
    <w:name w:val="标题 4 字符"/>
    <w:next w:val="1063"/>
    <w:link w:val="1051"/>
    <w:rPr>
      <w:rFonts w:ascii="Arial" w:hAnsi="Arial" w:eastAsia="黑体" w:cs="Times New Roman"/>
      <w:b/>
      <w:sz w:val="28"/>
      <w:lang w:val="en-US" w:eastAsia="zh-CN" w:bidi="ar-SA"/>
    </w:rPr>
  </w:style>
  <w:style w:type="character" w:styleId="1064">
    <w:name w:val="标题 5 字符"/>
    <w:next w:val="1064"/>
    <w:link w:val="1052"/>
    <w:rPr>
      <w:rFonts w:ascii="黑体" w:hAnsi="Times New Roman" w:eastAsia="黑体" w:cs="Times New Roman"/>
      <w:b/>
      <w:color w:val="000000"/>
      <w:sz w:val="28"/>
      <w:lang w:val="en-US" w:eastAsia="zh-CN" w:bidi="ar-SA"/>
    </w:rPr>
  </w:style>
  <w:style w:type="paragraph" w:styleId="1065">
    <w:name w:val="正文缩进"/>
    <w:basedOn w:val="1047"/>
    <w:next w:val="1065"/>
    <w:link w:val="1047"/>
    <w:pPr>
      <w:ind w:firstLine="420"/>
    </w:pPr>
    <w:rPr>
      <w:rFonts w:ascii="Times New Roman" w:hAnsi="Times New Roman" w:eastAsia="宋体" w:cs="Times New Roman"/>
    </w:rPr>
  </w:style>
  <w:style w:type="character" w:styleId="1066">
    <w:name w:val="标题 6 字符"/>
    <w:next w:val="1066"/>
    <w:link w:val="1053"/>
    <w:rPr>
      <w:rFonts w:ascii="Arial" w:hAnsi="Arial" w:eastAsia="黑体" w:cs="Times New Roman"/>
      <w:b/>
      <w:bCs/>
      <w:sz w:val="24"/>
      <w:szCs w:val="24"/>
      <w:lang w:val="en-US" w:eastAsia="zh-CN" w:bidi="ar-SA"/>
    </w:rPr>
  </w:style>
  <w:style w:type="character" w:styleId="1067">
    <w:name w:val="标题 7 字符"/>
    <w:next w:val="1067"/>
    <w:link w:val="1054"/>
    <w:rPr>
      <w:rFonts w:ascii="Times New Roman" w:hAnsi="Times New Roman" w:eastAsia="宋体" w:cs="Times New Roman"/>
      <w:b/>
      <w:bCs/>
      <w:sz w:val="24"/>
      <w:szCs w:val="24"/>
      <w:lang w:val="en-US" w:eastAsia="zh-CN" w:bidi="ar-SA"/>
    </w:rPr>
  </w:style>
  <w:style w:type="character" w:styleId="1068">
    <w:name w:val="标题 8 字符"/>
    <w:next w:val="1068"/>
    <w:link w:val="1055"/>
    <w:rPr>
      <w:rFonts w:ascii="Arial" w:hAnsi="Arial" w:eastAsia="黑体" w:cs="Times New Roman"/>
      <w:sz w:val="24"/>
      <w:szCs w:val="24"/>
      <w:lang w:val="en-US" w:eastAsia="zh-CN" w:bidi="ar-SA"/>
    </w:rPr>
  </w:style>
  <w:style w:type="character" w:styleId="1069">
    <w:name w:val="标题 9 字符"/>
    <w:next w:val="1069"/>
    <w:link w:val="1056"/>
    <w:rPr>
      <w:rFonts w:ascii="Arial" w:hAnsi="Arial" w:eastAsia="黑体" w:cs="Times New Roman"/>
      <w:sz w:val="21"/>
      <w:szCs w:val="21"/>
      <w:lang w:val="en-US" w:eastAsia="zh-CN" w:bidi="ar-SA"/>
    </w:rPr>
  </w:style>
  <w:style w:type="paragraph" w:styleId="1070">
    <w:name w:val="列表 3"/>
    <w:basedOn w:val="1047"/>
    <w:next w:val="1070"/>
    <w:link w:val="1047"/>
    <w:pPr>
      <w:ind w:left="1260" w:hanging="420"/>
    </w:pPr>
    <w:rPr>
      <w:rFonts w:ascii="Times New Roman" w:hAnsi="Times New Roman" w:eastAsia="宋体" w:cs="Times New Roman"/>
    </w:rPr>
  </w:style>
  <w:style w:type="paragraph" w:styleId="1071">
    <w:name w:val="目录 7"/>
    <w:basedOn w:val="1047"/>
    <w:next w:val="1047"/>
    <w:link w:val="1047"/>
    <w:pPr>
      <w:ind w:left="1680"/>
      <w:jc w:val="left"/>
      <w:spacing w:before="0" w:after="0"/>
    </w:pPr>
    <w:rPr>
      <w:rFonts w:ascii="Calibri" w:hAnsi="Calibri" w:eastAsia="宋体" w:cs="Times New Roman"/>
      <w:sz w:val="18"/>
      <w:szCs w:val="18"/>
    </w:rPr>
  </w:style>
  <w:style w:type="paragraph" w:styleId="1072">
    <w:name w:val="列表编号 2"/>
    <w:basedOn w:val="1047"/>
    <w:next w:val="1072"/>
    <w:link w:val="1047"/>
    <w:pPr>
      <w:ind w:left="1440" w:hanging="1440"/>
      <w:spacing w:line="360" w:lineRule="auto"/>
      <w:tabs>
        <w:tab w:val="left" w:pos="1440" w:leader="none"/>
      </w:tabs>
    </w:pPr>
    <w:rPr>
      <w:rFonts w:ascii="Times New Roman" w:hAnsi="Times New Roman" w:eastAsia="宋体" w:cs="Times New Roman"/>
      <w:sz w:val="24"/>
      <w:szCs w:val="24"/>
    </w:rPr>
  </w:style>
  <w:style w:type="paragraph" w:styleId="1073">
    <w:name w:val="索引 8"/>
    <w:basedOn w:val="1047"/>
    <w:next w:val="1047"/>
    <w:link w:val="1047"/>
    <w:pPr>
      <w:ind w:left="2940"/>
    </w:pPr>
    <w:rPr>
      <w:rFonts w:ascii="Times New Roman" w:hAnsi="Times New Roman" w:eastAsia="宋体" w:cs="Times New Roman"/>
    </w:rPr>
  </w:style>
  <w:style w:type="paragraph" w:styleId="1074">
    <w:name w:val="列表编号"/>
    <w:basedOn w:val="1047"/>
    <w:next w:val="1074"/>
    <w:link w:val="1047"/>
    <w:pPr>
      <w:ind w:left="2952" w:hanging="432"/>
      <w:tabs>
        <w:tab w:val="left" w:pos="2952" w:leader="none"/>
      </w:tabs>
    </w:pPr>
    <w:rPr>
      <w:rFonts w:ascii="Times New Roman" w:hAnsi="Times New Roman" w:eastAsia="宋体" w:cs="Times New Roman"/>
      <w:szCs w:val="24"/>
    </w:rPr>
  </w:style>
  <w:style w:type="paragraph" w:styleId="1075">
    <w:name w:val="索引 5"/>
    <w:basedOn w:val="1047"/>
    <w:next w:val="1047"/>
    <w:link w:val="1047"/>
    <w:pPr>
      <w:ind w:left="1680"/>
    </w:pPr>
    <w:rPr>
      <w:rFonts w:ascii="Times New Roman" w:hAnsi="Times New Roman" w:eastAsia="宋体" w:cs="Times New Roman"/>
    </w:rPr>
  </w:style>
  <w:style w:type="paragraph" w:styleId="1076">
    <w:name w:val="文档结构图"/>
    <w:basedOn w:val="1047"/>
    <w:next w:val="1076"/>
    <w:link w:val="1077"/>
    <w:pPr>
      <w:shd w:val="clear" w:color="auto" w:fill="000080"/>
    </w:pPr>
    <w:rPr>
      <w:rFonts w:eastAsia="宋体"/>
    </w:rPr>
  </w:style>
  <w:style w:type="character" w:styleId="1077">
    <w:name w:val="文档结构图 字符"/>
    <w:next w:val="1077"/>
    <w:link w:val="1076"/>
    <w:rPr>
      <w:rFonts w:ascii="Times New Roman" w:hAnsi="Times New Roman" w:eastAsia="宋体" w:cs="Times New Roman"/>
      <w:sz w:val="21"/>
      <w:lang w:val="en-US" w:eastAsia="zh-CN" w:bidi="ar-SA"/>
    </w:rPr>
  </w:style>
  <w:style w:type="paragraph" w:styleId="1078">
    <w:name w:val="引文目录标题"/>
    <w:basedOn w:val="1047"/>
    <w:next w:val="1047"/>
    <w:link w:val="1047"/>
    <w:uiPriority w:val="99"/>
    <w:qFormat/>
    <w:pPr>
      <w:spacing w:before="120"/>
    </w:pPr>
    <w:rPr>
      <w:rFonts w:ascii="Cambria" w:hAnsi="Cambria"/>
      <w:sz w:val="24"/>
    </w:rPr>
  </w:style>
  <w:style w:type="paragraph" w:styleId="1079">
    <w:name w:val="批注文字"/>
    <w:basedOn w:val="1047"/>
    <w:next w:val="1079"/>
    <w:link w:val="1080"/>
    <w:pPr>
      <w:jc w:val="left"/>
    </w:pPr>
    <w:rPr>
      <w:rFonts w:hint="eastAsia" w:ascii="微软雅黑" w:hAnsi="微软雅黑"/>
    </w:rPr>
  </w:style>
  <w:style w:type="character" w:styleId="1080">
    <w:name w:val="批注文字 字符"/>
    <w:next w:val="1080"/>
    <w:link w:val="1079"/>
    <w:rPr>
      <w:rFonts w:hint="eastAsia" w:ascii="微软雅黑" w:hAnsi="微软雅黑" w:eastAsia="微软雅黑" w:cs="微软雅黑"/>
      <w:sz w:val="21"/>
    </w:rPr>
  </w:style>
  <w:style w:type="paragraph" w:styleId="1081">
    <w:name w:val="索引 6"/>
    <w:basedOn w:val="1047"/>
    <w:next w:val="1047"/>
    <w:link w:val="1047"/>
    <w:pPr>
      <w:ind w:left="2100"/>
    </w:pPr>
    <w:rPr>
      <w:rFonts w:ascii="Times New Roman" w:hAnsi="Times New Roman" w:eastAsia="宋体" w:cs="Times New Roman"/>
    </w:rPr>
  </w:style>
  <w:style w:type="paragraph" w:styleId="1082">
    <w:name w:val="称呼"/>
    <w:basedOn w:val="1047"/>
    <w:next w:val="1047"/>
    <w:link w:val="1047"/>
    <w:rPr>
      <w:rFonts w:ascii="仿宋_GB2312" w:hAnsi="Times New Roman" w:eastAsia="仿宋_GB2312" w:cs="Times New Roman"/>
      <w:sz w:val="28"/>
    </w:rPr>
  </w:style>
  <w:style w:type="paragraph" w:styleId="1083">
    <w:name w:val="正文文本 3"/>
    <w:basedOn w:val="1047"/>
    <w:next w:val="1083"/>
    <w:link w:val="1047"/>
    <w:rPr>
      <w:rFonts w:ascii="仿宋_GB2312" w:hAnsi="Arial" w:eastAsia="仿宋_GB2312" w:cs="Times New Roman"/>
      <w:sz w:val="32"/>
    </w:rPr>
  </w:style>
  <w:style w:type="paragraph" w:styleId="1084">
    <w:name w:val="正文文本缩进"/>
    <w:basedOn w:val="1047"/>
    <w:next w:val="1084"/>
    <w:link w:val="1085"/>
    <w:pPr>
      <w:ind w:firstLine="645"/>
    </w:pPr>
    <w:rPr>
      <w:rFonts w:ascii="楷体_GB2312" w:eastAsia="楷体_GB2312"/>
      <w:sz w:val="32"/>
    </w:rPr>
  </w:style>
  <w:style w:type="character" w:styleId="1085">
    <w:name w:val="正文文本缩进 字符"/>
    <w:next w:val="1085"/>
    <w:link w:val="1084"/>
    <w:rPr>
      <w:rFonts w:ascii="楷体_GB2312" w:hAnsi="Times New Roman" w:eastAsia="楷体_GB2312" w:cs="Times New Roman"/>
      <w:sz w:val="32"/>
      <w:lang w:val="en-US" w:eastAsia="zh-CN" w:bidi="ar-SA"/>
    </w:rPr>
  </w:style>
  <w:style w:type="paragraph" w:styleId="1086">
    <w:name w:val="文本块"/>
    <w:basedOn w:val="1047"/>
    <w:next w:val="1086"/>
    <w:link w:val="1047"/>
    <w:pPr>
      <w:ind w:left="1440" w:right="1440"/>
      <w:spacing w:after="120"/>
    </w:pPr>
    <w:rPr>
      <w:rFonts w:ascii="Times New Roman" w:hAnsi="Times New Roman" w:eastAsia="宋体" w:cs="Times New Roman"/>
    </w:rPr>
  </w:style>
  <w:style w:type="paragraph" w:styleId="1087">
    <w:name w:val="索引 4"/>
    <w:basedOn w:val="1047"/>
    <w:next w:val="1047"/>
    <w:link w:val="1047"/>
    <w:pPr>
      <w:ind w:left="1260"/>
    </w:pPr>
    <w:rPr>
      <w:rFonts w:ascii="Times New Roman" w:hAnsi="Times New Roman" w:eastAsia="宋体" w:cs="Times New Roman"/>
    </w:rPr>
  </w:style>
  <w:style w:type="paragraph" w:styleId="1088">
    <w:name w:val="目录 5"/>
    <w:basedOn w:val="1047"/>
    <w:next w:val="1047"/>
    <w:link w:val="1047"/>
    <w:pPr>
      <w:ind w:left="1120"/>
      <w:jc w:val="left"/>
      <w:spacing w:before="0" w:after="0"/>
    </w:pPr>
    <w:rPr>
      <w:rFonts w:ascii="Calibri" w:hAnsi="Calibri" w:eastAsia="宋体" w:cs="Times New Roman"/>
      <w:sz w:val="18"/>
      <w:szCs w:val="18"/>
    </w:rPr>
  </w:style>
  <w:style w:type="paragraph" w:styleId="1089">
    <w:name w:val="目录 3"/>
    <w:basedOn w:val="1047"/>
    <w:next w:val="1047"/>
    <w:link w:val="1047"/>
    <w:pPr>
      <w:ind w:left="560"/>
      <w:jc w:val="left"/>
      <w:spacing w:before="0" w:after="0"/>
    </w:pPr>
    <w:rPr>
      <w:rFonts w:ascii="Calibri" w:hAnsi="Calibri" w:eastAsia="宋体" w:cs="Times New Roman"/>
      <w:i/>
      <w:iCs/>
      <w:sz w:val="20"/>
    </w:rPr>
  </w:style>
  <w:style w:type="paragraph" w:styleId="1090">
    <w:name w:val="纯文本"/>
    <w:basedOn w:val="1047"/>
    <w:next w:val="1090"/>
    <w:link w:val="1091"/>
    <w:rPr>
      <w:rFonts w:ascii="宋体" w:hAnsi="Courier New" w:eastAsia="宋体"/>
    </w:rPr>
  </w:style>
  <w:style w:type="character" w:styleId="1091">
    <w:name w:val="纯文本 字符"/>
    <w:next w:val="1091"/>
    <w:link w:val="1090"/>
    <w:rPr>
      <w:rFonts w:ascii="宋体" w:hAnsi="Courier New" w:eastAsia="宋体" w:cs="Times New Roman"/>
      <w:sz w:val="21"/>
      <w:lang w:val="en-US" w:eastAsia="zh-CN" w:bidi="ar-SA"/>
    </w:rPr>
  </w:style>
  <w:style w:type="paragraph" w:styleId="1092">
    <w:name w:val="目录 8"/>
    <w:basedOn w:val="1047"/>
    <w:next w:val="1047"/>
    <w:link w:val="1047"/>
    <w:pPr>
      <w:ind w:left="1960"/>
      <w:jc w:val="left"/>
      <w:spacing w:before="0" w:after="0"/>
    </w:pPr>
    <w:rPr>
      <w:rFonts w:ascii="Calibri" w:hAnsi="Calibri" w:eastAsia="宋体" w:cs="Times New Roman"/>
      <w:sz w:val="18"/>
      <w:szCs w:val="18"/>
    </w:rPr>
  </w:style>
  <w:style w:type="paragraph" w:styleId="1093">
    <w:name w:val="索引 3"/>
    <w:basedOn w:val="1047"/>
    <w:next w:val="1047"/>
    <w:link w:val="1047"/>
    <w:pPr>
      <w:ind w:left="840"/>
    </w:pPr>
    <w:rPr>
      <w:rFonts w:ascii="Times New Roman" w:hAnsi="Times New Roman" w:eastAsia="宋体" w:cs="Times New Roman"/>
    </w:rPr>
  </w:style>
  <w:style w:type="paragraph" w:styleId="1094">
    <w:name w:val="日期"/>
    <w:basedOn w:val="1047"/>
    <w:next w:val="1047"/>
    <w:link w:val="1047"/>
    <w:pPr>
      <w:ind w:left="100"/>
    </w:pPr>
    <w:rPr>
      <w:rFonts w:ascii="Times New Roman" w:hAnsi="Times New Roman" w:eastAsia="宋体" w:cs="Times New Roman"/>
      <w:sz w:val="28"/>
    </w:rPr>
  </w:style>
  <w:style w:type="paragraph" w:styleId="1095">
    <w:name w:val="正文文本缩进 2"/>
    <w:basedOn w:val="1047"/>
    <w:next w:val="1095"/>
    <w:link w:val="1096"/>
    <w:pPr>
      <w:ind w:left="630" w:firstLine="645"/>
    </w:pPr>
    <w:rPr>
      <w:rFonts w:ascii="Arial" w:hAnsi="Arial" w:eastAsia="仿宋_GB2312"/>
      <w:sz w:val="32"/>
    </w:rPr>
  </w:style>
  <w:style w:type="character" w:styleId="1096">
    <w:name w:val="正文文本缩进 2 字符"/>
    <w:next w:val="1096"/>
    <w:link w:val="1095"/>
    <w:rPr>
      <w:rFonts w:ascii="Arial" w:hAnsi="Arial" w:eastAsia="仿宋_GB2312" w:cs="Times New Roman"/>
      <w:sz w:val="32"/>
      <w:lang w:val="en-US" w:eastAsia="zh-CN" w:bidi="ar-SA"/>
    </w:rPr>
  </w:style>
  <w:style w:type="paragraph" w:styleId="1097">
    <w:name w:val="尾注文本"/>
    <w:basedOn w:val="1047"/>
    <w:next w:val="1097"/>
    <w:link w:val="1047"/>
    <w:pPr>
      <w:jc w:val="left"/>
    </w:pPr>
    <w:rPr>
      <w:rFonts w:ascii="Times New Roman" w:hAnsi="Times New Roman" w:eastAsia="宋体" w:cs="Times New Roman"/>
      <w:sz w:val="20"/>
      <w:szCs w:val="24"/>
    </w:rPr>
  </w:style>
  <w:style w:type="paragraph" w:styleId="1098">
    <w:name w:val="批注框文本"/>
    <w:basedOn w:val="1047"/>
    <w:next w:val="1098"/>
    <w:link w:val="1047"/>
    <w:rPr>
      <w:rFonts w:ascii="Times New Roman" w:hAnsi="Times New Roman" w:eastAsia="宋体" w:cs="Times New Roman"/>
      <w:sz w:val="18"/>
      <w:szCs w:val="18"/>
    </w:rPr>
  </w:style>
  <w:style w:type="paragraph" w:styleId="1099">
    <w:name w:val="页脚"/>
    <w:basedOn w:val="1047"/>
    <w:next w:val="1099"/>
    <w:link w:val="1100"/>
    <w:pPr>
      <w:jc w:val="left"/>
      <w:tabs>
        <w:tab w:val="center" w:pos="4153" w:leader="none"/>
        <w:tab w:val="right" w:pos="8306" w:leader="none"/>
      </w:tabs>
    </w:pPr>
    <w:rPr>
      <w:rFonts w:eastAsia="宋体"/>
      <w:sz w:val="18"/>
    </w:rPr>
  </w:style>
  <w:style w:type="character" w:styleId="1100">
    <w:name w:val="页脚 字符"/>
    <w:next w:val="1100"/>
    <w:link w:val="1099"/>
    <w:rPr>
      <w:rFonts w:ascii="Times New Roman" w:hAnsi="Times New Roman" w:eastAsia="宋体" w:cs="Times New Roman"/>
      <w:sz w:val="18"/>
    </w:rPr>
  </w:style>
  <w:style w:type="paragraph" w:styleId="1101">
    <w:name w:val="寄信人地址"/>
    <w:basedOn w:val="1047"/>
    <w:next w:val="1101"/>
    <w:link w:val="1047"/>
    <w:rPr>
      <w:rFonts w:ascii="Arial" w:hAnsi="Arial" w:eastAsia="宋体" w:cs="Times New Roman"/>
    </w:rPr>
  </w:style>
  <w:style w:type="paragraph" w:styleId="1102">
    <w:name w:val="页眉"/>
    <w:basedOn w:val="1047"/>
    <w:next w:val="1102"/>
    <w:link w:val="104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03">
    <w:name w:val="签名"/>
    <w:basedOn w:val="1047"/>
    <w:next w:val="1103"/>
    <w:link w:val="1047"/>
    <w:pPr>
      <w:jc w:val="center"/>
      <w:spacing w:after="600" w:line="312" w:lineRule="atLeast"/>
    </w:pPr>
    <w:rPr>
      <w:rFonts w:ascii="Times New Roman" w:hAnsi="Times New Roman" w:eastAsia="仿宋_GB2312" w:cs="Times New Roman"/>
      <w:sz w:val="24"/>
    </w:rPr>
  </w:style>
  <w:style w:type="paragraph" w:styleId="1104">
    <w:name w:val="目录 1"/>
    <w:basedOn w:val="1047"/>
    <w:next w:val="1047"/>
    <w:link w:val="1047"/>
    <w:pPr>
      <w:jc w:val="left"/>
    </w:pPr>
    <w:rPr>
      <w:rFonts w:ascii="Calibri" w:hAnsi="Calibri" w:eastAsia="宋体" w:cs="Times New Roman"/>
      <w:b/>
      <w:bCs/>
      <w:caps/>
      <w:sz w:val="20"/>
    </w:rPr>
  </w:style>
  <w:style w:type="paragraph" w:styleId="1105">
    <w:name w:val="目录 4"/>
    <w:basedOn w:val="1047"/>
    <w:next w:val="1047"/>
    <w:link w:val="1047"/>
    <w:pPr>
      <w:ind w:left="840"/>
      <w:jc w:val="left"/>
      <w:spacing w:before="0" w:after="0"/>
    </w:pPr>
    <w:rPr>
      <w:rFonts w:ascii="Calibri" w:hAnsi="Calibri" w:eastAsia="宋体" w:cs="Times New Roman"/>
      <w:sz w:val="18"/>
      <w:szCs w:val="18"/>
    </w:rPr>
  </w:style>
  <w:style w:type="paragraph" w:styleId="1106">
    <w:name w:val="索引标题"/>
    <w:basedOn w:val="1047"/>
    <w:next w:val="1107"/>
    <w:link w:val="1047"/>
    <w:rPr>
      <w:rFonts w:ascii="Times New Roman" w:hAnsi="Times New Roman" w:eastAsia="宋体" w:cs="Times New Roman"/>
    </w:rPr>
  </w:style>
  <w:style w:type="paragraph" w:styleId="1107">
    <w:name w:val="索引 1"/>
    <w:basedOn w:val="1047"/>
    <w:next w:val="1047"/>
    <w:link w:val="1047"/>
    <w:rPr>
      <w:rFonts w:ascii="仿宋_GB2312" w:hAnsi="宋体" w:eastAsia="仿宋_GB2312" w:cs="Times New Roman"/>
      <w:sz w:val="30"/>
      <w:szCs w:val="24"/>
    </w:rPr>
  </w:style>
  <w:style w:type="paragraph" w:styleId="1108">
    <w:name w:val="副标题"/>
    <w:basedOn w:val="1047"/>
    <w:next w:val="1047"/>
    <w:link w:val="1047"/>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9">
    <w:name w:val="脚注文本"/>
    <w:basedOn w:val="1047"/>
    <w:next w:val="1109"/>
    <w:link w:val="1047"/>
    <w:pPr>
      <w:jc w:val="left"/>
    </w:pPr>
    <w:rPr>
      <w:rFonts w:ascii="Times New Roman" w:hAnsi="Times New Roman" w:eastAsia="宋体" w:cs="Times New Roman"/>
      <w:sz w:val="18"/>
      <w:szCs w:val="18"/>
    </w:rPr>
  </w:style>
  <w:style w:type="paragraph" w:styleId="1110">
    <w:name w:val="目录 6"/>
    <w:basedOn w:val="1047"/>
    <w:next w:val="1047"/>
    <w:link w:val="1047"/>
    <w:pPr>
      <w:ind w:left="1400"/>
      <w:jc w:val="left"/>
      <w:spacing w:before="0" w:after="0"/>
    </w:pPr>
    <w:rPr>
      <w:rFonts w:ascii="Calibri" w:hAnsi="Calibri" w:eastAsia="宋体" w:cs="Times New Roman"/>
      <w:sz w:val="18"/>
      <w:szCs w:val="18"/>
    </w:rPr>
  </w:style>
  <w:style w:type="paragraph" w:styleId="1111">
    <w:name w:val="正文文本缩进 3"/>
    <w:basedOn w:val="1047"/>
    <w:next w:val="1111"/>
    <w:link w:val="1112"/>
    <w:pPr>
      <w:ind w:left="645" w:firstLine="645"/>
    </w:pPr>
    <w:rPr>
      <w:rFonts w:ascii="Arial" w:hAnsi="Arial" w:eastAsia="仿宋_GB2312"/>
      <w:color w:val="ffff00"/>
      <w:sz w:val="32"/>
    </w:rPr>
  </w:style>
  <w:style w:type="character" w:styleId="1112">
    <w:name w:val="正文文本缩进 3 字符"/>
    <w:next w:val="1112"/>
    <w:link w:val="1111"/>
    <w:rPr>
      <w:rFonts w:ascii="Arial" w:hAnsi="Arial" w:eastAsia="仿宋_GB2312" w:cs="Times New Roman"/>
      <w:color w:val="ffff00"/>
      <w:sz w:val="32"/>
      <w:lang w:val="en-US" w:eastAsia="zh-CN" w:bidi="ar-SA"/>
    </w:rPr>
  </w:style>
  <w:style w:type="paragraph" w:styleId="1113">
    <w:name w:val="索引 7"/>
    <w:basedOn w:val="1047"/>
    <w:next w:val="1047"/>
    <w:link w:val="1047"/>
    <w:pPr>
      <w:ind w:left="2520"/>
    </w:pPr>
    <w:rPr>
      <w:rFonts w:ascii="Times New Roman" w:hAnsi="Times New Roman" w:eastAsia="宋体" w:cs="Times New Roman"/>
    </w:rPr>
  </w:style>
  <w:style w:type="paragraph" w:styleId="1114">
    <w:name w:val="索引 9"/>
    <w:basedOn w:val="1047"/>
    <w:next w:val="1047"/>
    <w:link w:val="1047"/>
    <w:pPr>
      <w:ind w:left="3360"/>
    </w:pPr>
    <w:rPr>
      <w:rFonts w:ascii="Times New Roman" w:hAnsi="Times New Roman" w:eastAsia="宋体" w:cs="Times New Roman"/>
    </w:rPr>
  </w:style>
  <w:style w:type="paragraph" w:styleId="1115">
    <w:name w:val="图表目录"/>
    <w:basedOn w:val="1047"/>
    <w:next w:val="1047"/>
    <w:link w:val="1047"/>
    <w:pPr>
      <w:ind w:left="840" w:hanging="420"/>
    </w:pPr>
    <w:rPr>
      <w:rFonts w:ascii="Times New Roman" w:hAnsi="Times New Roman" w:eastAsia="宋体" w:cs="Times New Roman"/>
    </w:rPr>
  </w:style>
  <w:style w:type="paragraph" w:styleId="1116">
    <w:name w:val="目录 2"/>
    <w:basedOn w:val="1047"/>
    <w:next w:val="1047"/>
    <w:link w:val="1047"/>
    <w:pPr>
      <w:ind w:left="280"/>
      <w:jc w:val="left"/>
      <w:spacing w:before="0" w:after="0"/>
    </w:pPr>
    <w:rPr>
      <w:rFonts w:ascii="Calibri" w:hAnsi="Calibri" w:eastAsia="宋体" w:cs="Times New Roman"/>
      <w:smallCaps/>
      <w:sz w:val="20"/>
    </w:rPr>
  </w:style>
  <w:style w:type="paragraph" w:styleId="1117">
    <w:name w:val="目录 9"/>
    <w:basedOn w:val="1047"/>
    <w:next w:val="1047"/>
    <w:link w:val="1047"/>
    <w:pPr>
      <w:ind w:left="2240"/>
      <w:jc w:val="left"/>
      <w:spacing w:before="0" w:after="0"/>
    </w:pPr>
    <w:rPr>
      <w:rFonts w:ascii="Calibri" w:hAnsi="Calibri" w:eastAsia="宋体" w:cs="Times New Roman"/>
      <w:sz w:val="18"/>
      <w:szCs w:val="18"/>
    </w:rPr>
  </w:style>
  <w:style w:type="paragraph" w:styleId="1118">
    <w:name w:val="正文文本 2"/>
    <w:basedOn w:val="1047"/>
    <w:next w:val="1118"/>
    <w:link w:val="1047"/>
    <w:pPr>
      <w:jc w:val="center"/>
      <w:widowControl/>
    </w:pPr>
    <w:rPr>
      <w:rFonts w:ascii="楷体_GB2312" w:hAnsi="Times New Roman" w:eastAsia="楷体_GB2312" w:cs="Times New Roman"/>
      <w:sz w:val="28"/>
    </w:rPr>
  </w:style>
  <w:style w:type="paragraph" w:styleId="1119">
    <w:name w:val="HTML 预设格式"/>
    <w:basedOn w:val="1047"/>
    <w:next w:val="1119"/>
    <w:link w:val="112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0">
    <w:name w:val="HTML 预设格式 字符"/>
    <w:next w:val="1120"/>
    <w:link w:val="1119"/>
    <w:rPr>
      <w:rFonts w:ascii="黑体" w:hAnsi="Courier New" w:eastAsia="黑体" w:cs="Courier New"/>
      <w:lang w:val="en-US" w:eastAsia="zh-CN" w:bidi="ar-SA"/>
    </w:rPr>
  </w:style>
  <w:style w:type="paragraph" w:styleId="1121">
    <w:name w:val="普通(网站)"/>
    <w:basedOn w:val="1047"/>
    <w:next w:val="1121"/>
    <w:link w:val="1047"/>
    <w:pPr>
      <w:jc w:val="left"/>
      <w:spacing w:before="100" w:beforeAutospacing="1" w:after="100" w:afterAutospacing="1"/>
      <w:widowControl/>
    </w:pPr>
    <w:rPr>
      <w:rFonts w:ascii="Arial" w:hAnsi="Arial" w:eastAsia="Arial Unicode MS" w:cs="Arial"/>
      <w:sz w:val="24"/>
      <w:szCs w:val="24"/>
    </w:rPr>
  </w:style>
  <w:style w:type="paragraph" w:styleId="1122">
    <w:name w:val="索引 2"/>
    <w:basedOn w:val="1047"/>
    <w:next w:val="1047"/>
    <w:link w:val="1047"/>
    <w:pPr>
      <w:ind w:left="420"/>
    </w:pPr>
    <w:rPr>
      <w:rFonts w:ascii="Times New Roman" w:hAnsi="Times New Roman" w:eastAsia="宋体" w:cs="Times New Roman"/>
    </w:rPr>
  </w:style>
  <w:style w:type="paragraph" w:styleId="1123">
    <w:name w:val="标题"/>
    <w:basedOn w:val="1047"/>
    <w:next w:val="1123"/>
    <w:link w:val="1124"/>
    <w:qFormat/>
    <w:pPr>
      <w:jc w:val="center"/>
      <w:spacing w:line="480" w:lineRule="auto"/>
      <w:widowControl/>
    </w:pPr>
    <w:rPr>
      <w:rFonts w:ascii="微软雅黑" w:hAnsi="微软雅黑"/>
      <w:sz w:val="36"/>
      <w:szCs w:val="24"/>
      <w:lang w:val="zh-CN"/>
    </w:rPr>
  </w:style>
  <w:style w:type="character" w:styleId="1124">
    <w:name w:val="标题 字符"/>
    <w:next w:val="1124"/>
    <w:link w:val="1123"/>
    <w:rPr>
      <w:rFonts w:ascii="微软雅黑" w:hAnsi="微软雅黑" w:eastAsia="微软雅黑" w:cs="Times New Roman"/>
      <w:sz w:val="36"/>
      <w:szCs w:val="24"/>
      <w:lang w:val="zh-CN"/>
    </w:rPr>
  </w:style>
  <w:style w:type="paragraph" w:styleId="1125">
    <w:name w:val="批注主题"/>
    <w:basedOn w:val="1079"/>
    <w:next w:val="1079"/>
    <w:link w:val="1126"/>
    <w:rPr>
      <w:rFonts w:ascii="Times New Roman" w:hAnsi="Times New Roman" w:eastAsia="宋体"/>
      <w:b/>
      <w:bCs/>
    </w:rPr>
  </w:style>
  <w:style w:type="character" w:styleId="1126">
    <w:name w:val="批注主题 字符"/>
    <w:next w:val="1126"/>
    <w:link w:val="1125"/>
    <w:rPr>
      <w:rFonts w:ascii="Times New Roman" w:hAnsi="Times New Roman" w:eastAsia="宋体" w:cs="Times New Roman"/>
      <w:b/>
      <w:bCs/>
      <w:sz w:val="21"/>
      <w:lang w:val="en-US" w:eastAsia="zh-CN" w:bidi="ar-SA"/>
    </w:rPr>
  </w:style>
  <w:style w:type="paragraph" w:styleId="1127">
    <w:name w:val="正文首行缩进"/>
    <w:basedOn w:val="1059"/>
    <w:next w:val="1128"/>
    <w:link w:val="1047"/>
    <w:pPr>
      <w:ind w:firstLine="420"/>
      <w:spacing w:after="120"/>
    </w:pPr>
    <w:rPr>
      <w:rFonts w:ascii="Times New Roman" w:hAnsi="Times New Roman" w:eastAsia="宋体" w:cs="Times New Roman"/>
      <w:sz w:val="21"/>
      <w:szCs w:val="24"/>
    </w:rPr>
  </w:style>
  <w:style w:type="paragraph" w:styleId="1128">
    <w:name w:val="正文首行缩进 2"/>
    <w:basedOn w:val="1084"/>
    <w:next w:val="1128"/>
    <w:link w:val="1047"/>
    <w:pPr>
      <w:ind w:left="420" w:firstLine="420"/>
      <w:spacing w:after="120" w:line="240" w:lineRule="auto"/>
    </w:pPr>
    <w:rPr>
      <w:rFonts w:ascii="Times New Roman" w:hAnsi="Times New Roman" w:eastAsia="宋体" w:cs="Times New Roman"/>
      <w:sz w:val="21"/>
    </w:rPr>
  </w:style>
  <w:style w:type="table" w:styleId="1129">
    <w:name w:val="网格型"/>
    <w:basedOn w:val="1058"/>
    <w:next w:val="1129"/>
    <w:link w:val="1047"/>
    <w:pPr>
      <w:jc w:val="both"/>
      <w:widowControl w:val="off"/>
    </w:pPr>
    <w:rPr>
      <w:rFonts w:ascii="Times New Roman" w:hAnsi="Times New Roman" w:eastAsia="宋体" w:cs="Times New Roman"/>
    </w:rPr>
    <w:tblPr/>
  </w:style>
  <w:style w:type="character" w:styleId="1130">
    <w:name w:val="要点"/>
    <w:next w:val="1130"/>
    <w:link w:val="1047"/>
    <w:qFormat/>
    <w:rPr>
      <w:rFonts w:ascii="Times New Roman" w:hAnsi="Times New Roman" w:eastAsia="宋体" w:cs="Times New Roman"/>
      <w:b/>
      <w:bCs/>
    </w:rPr>
  </w:style>
  <w:style w:type="character" w:styleId="1131">
    <w:name w:val="尾注引用"/>
    <w:next w:val="1131"/>
    <w:link w:val="1047"/>
    <w:rPr>
      <w:rFonts w:ascii="Times New Roman" w:hAnsi="Times New Roman" w:eastAsia="宋体" w:cs="Times New Roman"/>
      <w:b w:val="0"/>
      <w:bCs w:val="0"/>
      <w:i w:val="0"/>
      <w:iCs w:val="0"/>
      <w:vertAlign w:val="superscript"/>
    </w:rPr>
  </w:style>
  <w:style w:type="character" w:styleId="1132">
    <w:name w:val="页码"/>
    <w:next w:val="1132"/>
    <w:link w:val="1047"/>
    <w:rPr>
      <w:rFonts w:ascii="Times New Roman" w:hAnsi="Times New Roman" w:eastAsia="宋体" w:cs="Times New Roman"/>
    </w:rPr>
  </w:style>
  <w:style w:type="character" w:styleId="1133">
    <w:name w:val="已访问的超链接"/>
    <w:next w:val="1133"/>
    <w:link w:val="1047"/>
    <w:rPr>
      <w:rFonts w:ascii="Times New Roman" w:hAnsi="Times New Roman" w:eastAsia="宋体" w:cs="Times New Roman"/>
      <w:color w:val="0076be"/>
      <w:u w:val="none"/>
    </w:rPr>
  </w:style>
  <w:style w:type="character" w:styleId="1134">
    <w:name w:val="强调"/>
    <w:next w:val="1134"/>
    <w:link w:val="1047"/>
    <w:qFormat/>
    <w:rPr>
      <w:rFonts w:ascii="Times New Roman" w:hAnsi="Times New Roman" w:eastAsia="宋体" w:cs="Times New Roman"/>
      <w:b/>
      <w:bCs/>
      <w:i/>
      <w:iCs/>
      <w:spacing w:val="10"/>
      <w:shd w:val="clear" w:color="auto" w:fill="auto"/>
    </w:rPr>
  </w:style>
  <w:style w:type="character" w:styleId="1135">
    <w:name w:val="行号"/>
    <w:next w:val="1135"/>
    <w:link w:val="1047"/>
    <w:rPr>
      <w:rFonts w:ascii="Times New Roman" w:hAnsi="Times New Roman" w:eastAsia="宋体" w:cs="Times New Roman"/>
    </w:rPr>
  </w:style>
  <w:style w:type="character" w:styleId="1136">
    <w:name w:val="HTML 定义"/>
    <w:next w:val="1136"/>
    <w:link w:val="1047"/>
    <w:rPr>
      <w:rFonts w:ascii="Times New Roman" w:hAnsi="Times New Roman" w:eastAsia="宋体" w:cs="Times New Roman"/>
      <w:b w:val="0"/>
      <w:i w:val="0"/>
    </w:rPr>
  </w:style>
  <w:style w:type="character" w:styleId="1137">
    <w:name w:val="HTML 打字机"/>
    <w:next w:val="1137"/>
    <w:link w:val="1047"/>
    <w:rPr>
      <w:rFonts w:ascii="宋体" w:hAnsi="宋体" w:eastAsia="宋体" w:cs="宋体"/>
      <w:b w:val="0"/>
      <w:bCs w:val="0"/>
      <w:i w:val="0"/>
      <w:iCs w:val="0"/>
      <w:sz w:val="24"/>
      <w:szCs w:val="24"/>
    </w:rPr>
  </w:style>
  <w:style w:type="character" w:styleId="1138">
    <w:name w:val="HTML 缩写"/>
    <w:next w:val="1138"/>
    <w:link w:val="1047"/>
    <w:rPr>
      <w:rFonts w:ascii="Times New Roman" w:hAnsi="Times New Roman" w:eastAsia="宋体" w:cs="Times New Roman"/>
    </w:rPr>
  </w:style>
  <w:style w:type="character" w:styleId="1139">
    <w:name w:val="HTML 变量"/>
    <w:next w:val="1139"/>
    <w:link w:val="1047"/>
    <w:rPr>
      <w:rFonts w:ascii="Times New Roman" w:hAnsi="Times New Roman" w:eastAsia="宋体" w:cs="Times New Roman"/>
      <w:b w:val="0"/>
      <w:i w:val="0"/>
    </w:rPr>
  </w:style>
  <w:style w:type="character" w:styleId="1140">
    <w:name w:val="超链接"/>
    <w:next w:val="1140"/>
    <w:link w:val="1047"/>
    <w:rPr>
      <w:rFonts w:ascii="Times New Roman" w:hAnsi="Times New Roman" w:eastAsia="宋体" w:cs="Times New Roman"/>
      <w:color w:val="0076be"/>
      <w:u w:val="none"/>
    </w:rPr>
  </w:style>
  <w:style w:type="character" w:styleId="1141">
    <w:name w:val="HTML 代码"/>
    <w:next w:val="1141"/>
    <w:link w:val="1047"/>
    <w:rPr>
      <w:rFonts w:ascii="Courier New" w:hAnsi="Courier New" w:eastAsia="宋体" w:cs="Times New Roman"/>
      <w:b w:val="0"/>
      <w:i w:val="0"/>
      <w:sz w:val="20"/>
    </w:rPr>
  </w:style>
  <w:style w:type="character" w:styleId="1142">
    <w:name w:val="批注引用"/>
    <w:next w:val="1142"/>
    <w:link w:val="1047"/>
    <w:rPr>
      <w:rFonts w:ascii="Times New Roman" w:hAnsi="Times New Roman" w:eastAsia="宋体" w:cs="Times New Roman"/>
      <w:sz w:val="21"/>
    </w:rPr>
  </w:style>
  <w:style w:type="character" w:styleId="1143">
    <w:name w:val="HTML 引文"/>
    <w:next w:val="1143"/>
    <w:link w:val="1047"/>
    <w:rPr>
      <w:rFonts w:ascii="Times New Roman" w:hAnsi="Times New Roman" w:eastAsia="宋体" w:cs="Times New Roman"/>
      <w:b w:val="0"/>
      <w:i w:val="0"/>
    </w:rPr>
  </w:style>
  <w:style w:type="character" w:styleId="1144">
    <w:name w:val="脚注引用"/>
    <w:next w:val="1144"/>
    <w:link w:val="1047"/>
    <w:rPr>
      <w:rFonts w:ascii="Times New Roman" w:hAnsi="Times New Roman" w:eastAsia="宋体" w:cs="Times New Roman"/>
      <w:vertAlign w:val="superscript"/>
    </w:rPr>
  </w:style>
  <w:style w:type="character" w:styleId="1145">
    <w:name w:val="HTML 样本"/>
    <w:next w:val="1145"/>
    <w:link w:val="1047"/>
    <w:rPr>
      <w:rFonts w:ascii="Courier New" w:hAnsi="宋体" w:eastAsia="宋体" w:cs="Courier New"/>
      <w:b w:val="0"/>
      <w:bCs w:val="0"/>
      <w:i w:val="0"/>
      <w:iCs w:val="0"/>
    </w:rPr>
  </w:style>
  <w:style w:type="paragraph" w:styleId="1146">
    <w:name w:val="BodyText1I1"/>
    <w:basedOn w:val="1147"/>
    <w:next w:val="1047"/>
    <w:link w:val="1047"/>
    <w:qFormat/>
    <w:pPr>
      <w:ind w:firstLine="420"/>
      <w:spacing w:after="120"/>
    </w:pPr>
    <w:rPr>
      <w:sz w:val="24"/>
    </w:rPr>
  </w:style>
  <w:style w:type="paragraph" w:styleId="1147">
    <w:name w:val="BodyText1"/>
    <w:basedOn w:val="1047"/>
    <w:next w:val="1147"/>
    <w:link w:val="1047"/>
    <w:qFormat/>
    <w:rPr>
      <w:sz w:val="32"/>
    </w:rPr>
  </w:style>
  <w:style w:type="paragraph" w:styleId="1148">
    <w:name w:val="Default"/>
    <w:next w:val="1148"/>
    <w:link w:val="1047"/>
    <w:pPr>
      <w:widowControl w:val="off"/>
    </w:pPr>
    <w:rPr>
      <w:rFonts w:ascii="宋体" w:cs="宋体"/>
      <w:color w:val="000000"/>
      <w:sz w:val="24"/>
      <w:szCs w:val="24"/>
      <w:lang w:val="en-US" w:eastAsia="zh-CN" w:bidi="ar-SA"/>
    </w:rPr>
  </w:style>
  <w:style w:type="paragraph" w:styleId="1149">
    <w:name w:val="一级条标题"/>
    <w:basedOn w:val="1150"/>
    <w:next w:val="1151"/>
    <w:link w:val="1047"/>
    <w:qFormat/>
    <w:pPr>
      <w:outlineLvl w:val="2"/>
    </w:pPr>
    <w:rPr>
      <w:rFonts w:ascii="Calibri" w:hAnsi="Calibri" w:eastAsia="黑体" w:cs="Times New Roman"/>
      <w:sz w:val="21"/>
      <w:szCs w:val="21"/>
      <w:lang w:val="en-US" w:eastAsia="zh-CN" w:bidi="ar-SA"/>
    </w:rPr>
  </w:style>
  <w:style w:type="paragraph" w:styleId="1150">
    <w:name w:val="章标题"/>
    <w:next w:val="1151"/>
    <w:link w:val="1047"/>
    <w:pPr>
      <w:jc w:val="both"/>
      <w:spacing w:before="156" w:after="156"/>
      <w:outlineLvl w:val="1"/>
    </w:pPr>
    <w:rPr>
      <w:rFonts w:eastAsia="黑体"/>
      <w:sz w:val="21"/>
      <w:lang w:val="en-US" w:eastAsia="zh-CN" w:bidi="ar-SA"/>
    </w:rPr>
  </w:style>
  <w:style w:type="paragraph" w:styleId="1151">
    <w:name w:val="段"/>
    <w:next w:val="1047"/>
    <w:link w:val="1047"/>
    <w:pPr>
      <w:ind w:firstLine="200"/>
      <w:jc w:val="both"/>
    </w:pPr>
    <w:rPr>
      <w:rFonts w:ascii="宋体"/>
      <w:sz w:val="21"/>
      <w:lang w:val="en-US" w:eastAsia="zh-CN" w:bidi="ar-SA"/>
    </w:rPr>
  </w:style>
  <w:style w:type="paragraph" w:styleId="1152">
    <w:name w:val="[Normal]"/>
    <w:next w:val="1152"/>
    <w:link w:val="1047"/>
    <w:rPr>
      <w:rFonts w:ascii="方正仿宋简体" w:hAnsi="方正仿宋简体" w:eastAsia="方正仿宋简体" w:cs="Courier New"/>
      <w:sz w:val="24"/>
      <w:szCs w:val="22"/>
      <w:lang w:val="zh-CN" w:eastAsia="zh-CN" w:bidi="ar-SA"/>
    </w:rPr>
  </w:style>
  <w:style w:type="character" w:styleId="1153">
    <w:name w:val="font01"/>
    <w:next w:val="1153"/>
    <w:link w:val="1047"/>
    <w:rPr>
      <w:rFonts w:hint="eastAsia" w:ascii="宋体" w:hAnsi="宋体" w:eastAsia="宋体" w:cs="宋体"/>
      <w:color w:val="000000"/>
      <w:sz w:val="22"/>
      <w:szCs w:val="22"/>
      <w:u w:val="none"/>
    </w:rPr>
  </w:style>
  <w:style w:type="character" w:styleId="1154">
    <w:name w:val="书籍标题"/>
    <w:next w:val="1154"/>
    <w:link w:val="1047"/>
    <w:qFormat/>
    <w:rPr>
      <w:rFonts w:ascii="Times New Roman" w:hAnsi="Times New Roman" w:eastAsia="宋体" w:cs="Times New Roman"/>
      <w:i/>
      <w:iCs/>
      <w:smallCaps/>
      <w:spacing w:val="5"/>
    </w:rPr>
  </w:style>
  <w:style w:type="character" w:styleId="1155">
    <w:name w:val="纯文本 Char Char Char1"/>
    <w:next w:val="1155"/>
    <w:link w:val="1047"/>
    <w:rPr>
      <w:rFonts w:ascii="宋体" w:hAnsi="Courier New" w:eastAsia="宋体" w:cs="Times New Roman"/>
      <w:sz w:val="21"/>
      <w:szCs w:val="21"/>
      <w:lang w:val="en-US" w:eastAsia="zh-CN" w:bidi="ar-SA"/>
    </w:rPr>
  </w:style>
  <w:style w:type="character" w:styleId="1156">
    <w:name w:val="纯文本 Char1"/>
    <w:next w:val="1156"/>
    <w:link w:val="1047"/>
    <w:rPr>
      <w:rFonts w:ascii="宋体" w:hAnsi="Courier New" w:eastAsia="宋体" w:cs="Courier New"/>
      <w:sz w:val="21"/>
      <w:szCs w:val="21"/>
    </w:rPr>
  </w:style>
  <w:style w:type="character" w:styleId="1157">
    <w:name w:val="不明显参考"/>
    <w:next w:val="1157"/>
    <w:link w:val="1047"/>
    <w:qFormat/>
    <w:rPr>
      <w:rFonts w:ascii="Times New Roman" w:hAnsi="Times New Roman" w:eastAsia="宋体" w:cs="Times New Roman"/>
      <w:smallCaps/>
    </w:rPr>
  </w:style>
  <w:style w:type="character" w:styleId="1158">
    <w:name w:val="标准小四 Char Char"/>
    <w:next w:val="1158"/>
    <w:link w:val="1047"/>
    <w:rPr>
      <w:rFonts w:ascii="Arial" w:hAnsi="Arial" w:eastAsia="宋体" w:cs="Times New Roman"/>
      <w:sz w:val="24"/>
      <w:szCs w:val="21"/>
      <w:lang w:val="en-US" w:eastAsia="zh-CN" w:bidi="ar-SA"/>
    </w:rPr>
  </w:style>
  <w:style w:type="character" w:styleId="1159">
    <w:name w:val="style131"/>
    <w:next w:val="1159"/>
    <w:link w:val="1047"/>
    <w:rPr>
      <w:rFonts w:ascii="Times New Roman" w:hAnsi="Times New Roman" w:eastAsia="宋体" w:cs="Times New Roman"/>
      <w:sz w:val="18"/>
      <w:szCs w:val="18"/>
    </w:rPr>
  </w:style>
  <w:style w:type="character" w:styleId="1160">
    <w:name w:val=" Char Char24"/>
    <w:next w:val="1160"/>
    <w:link w:val="1047"/>
    <w:rPr>
      <w:rFonts w:ascii="Times New Roman" w:hAnsi="Times New Roman" w:eastAsia="宋体" w:cs="Times New Roman"/>
      <w:b/>
      <w:bCs/>
      <w:sz w:val="28"/>
      <w:szCs w:val="28"/>
    </w:rPr>
  </w:style>
  <w:style w:type="character" w:styleId="1161">
    <w:name w:val=" Char Char23"/>
    <w:next w:val="1161"/>
    <w:link w:val="1047"/>
    <w:rPr>
      <w:rFonts w:ascii="Arial" w:hAnsi="Arial" w:eastAsia="黑体" w:cs="Times New Roman"/>
      <w:b/>
      <w:bCs/>
      <w:sz w:val="24"/>
      <w:szCs w:val="24"/>
    </w:rPr>
  </w:style>
  <w:style w:type="character" w:styleId="1162">
    <w:name w:val="t1"/>
    <w:next w:val="1162"/>
    <w:link w:val="1047"/>
    <w:rPr>
      <w:rFonts w:ascii="Times New Roman" w:hAnsi="Times New Roman" w:eastAsia="宋体" w:cs="Times New Roman"/>
      <w:vanish w:val="0"/>
    </w:rPr>
  </w:style>
  <w:style w:type="character" w:styleId="1163">
    <w:name w:val="concon"/>
    <w:next w:val="1163"/>
    <w:link w:val="1047"/>
    <w:rPr>
      <w:rFonts w:ascii="Times New Roman" w:hAnsi="Times New Roman" w:eastAsia="宋体" w:cs="Times New Roman"/>
      <w:b w:val="0"/>
      <w:bCs w:val="0"/>
      <w:i w:val="0"/>
      <w:iCs w:val="0"/>
    </w:rPr>
  </w:style>
  <w:style w:type="character" w:styleId="1164">
    <w:name w:val="Title1 Char,H1 Char,Normal + Font: Helvetica Char,Bold Char,Space Before 12 pt Char,Not Bold Char,h1 Char,H11 Char,H12 Char,H111 Char,H13 Char,H112 Char,1 Char,h:1 Char,h:1app Char,level 1 Char,Level 1 Head Char,heading 1 Char,Huvudrubrik Char,章 Char"/>
    <w:next w:val="1164"/>
    <w:link w:val="1047"/>
    <w:rPr>
      <w:rFonts w:ascii="Times New Roman" w:hAnsi="Times New Roman" w:eastAsia="宋体" w:cs="Times New Roman"/>
      <w:b/>
      <w:bCs/>
      <w:sz w:val="44"/>
      <w:szCs w:val="44"/>
      <w:lang w:val="en-US" w:eastAsia="zh-CN" w:bidi="ar-SA"/>
    </w:rPr>
  </w:style>
  <w:style w:type="character" w:styleId="1165">
    <w:name w:val=" Char Char25"/>
    <w:next w:val="1165"/>
    <w:link w:val="1047"/>
    <w:rPr>
      <w:rFonts w:ascii="Arial" w:hAnsi="Arial" w:eastAsia="黑体" w:cs="Times New Roman"/>
      <w:b/>
      <w:sz w:val="28"/>
    </w:rPr>
  </w:style>
  <w:style w:type="character" w:styleId="1166">
    <w:name w:val=" Char Char20"/>
    <w:next w:val="1166"/>
    <w:link w:val="1047"/>
    <w:rPr>
      <w:rFonts w:ascii="Arial" w:hAnsi="Arial" w:eastAsia="黑体" w:cs="Times New Roman"/>
      <w:sz w:val="21"/>
      <w:szCs w:val="21"/>
    </w:rPr>
  </w:style>
  <w:style w:type="character" w:styleId="1167">
    <w:name w:val="小四 段落 宋体 Char Char Char Char Char"/>
    <w:next w:val="1167"/>
    <w:link w:val="1047"/>
    <w:rPr>
      <w:rFonts w:ascii="Times New Roman" w:hAnsi="Times New Roman" w:eastAsia="宋体" w:cs="Times New Roman"/>
      <w:sz w:val="24"/>
      <w:szCs w:val="24"/>
      <w:lang w:val="en-US" w:eastAsia="zh-CN" w:bidi="ar-SA"/>
    </w:rPr>
  </w:style>
  <w:style w:type="character" w:styleId="1168">
    <w:name w:val="style13"/>
    <w:next w:val="1168"/>
    <w:link w:val="1047"/>
    <w:rPr>
      <w:rFonts w:ascii="Times New Roman" w:hAnsi="Times New Roman" w:eastAsia="宋体" w:cs="Times New Roman"/>
      <w:sz w:val="18"/>
      <w:szCs w:val="18"/>
    </w:rPr>
  </w:style>
  <w:style w:type="character" w:styleId="1169">
    <w:name w:val="2nd level Char,h2 Char,2 Char,Header 2 Char,l2 Char,Titre2 Char,Head 2 Char,H2 Char,Heading 2 Hidden Char,Heading 2 CCBS Char,heading 2 Char,第一章 标题 2 Char,ISO1 Char,UNDERRUBRIK 1-2 Char,Underrubrik1 Char,prop2 Char,Level 2 Topic Heading Char,H21 Char"/>
    <w:next w:val="1169"/>
    <w:link w:val="1047"/>
    <w:rPr>
      <w:rFonts w:ascii="Arial" w:hAnsi="Arial" w:eastAsia="黑体" w:cs="Times New Roman"/>
      <w:b/>
      <w:bCs/>
      <w:sz w:val="32"/>
      <w:szCs w:val="32"/>
      <w:lang w:val="en-US" w:eastAsia="zh-CN" w:bidi="ar-SA"/>
    </w:rPr>
  </w:style>
  <w:style w:type="character" w:styleId="1170">
    <w:name w:val="l-selected"/>
    <w:next w:val="1170"/>
    <w:link w:val="1047"/>
    <w:rPr>
      <w:rFonts w:ascii="Times New Roman" w:hAnsi="Times New Roman" w:eastAsia="宋体" w:cs="Times New Roman"/>
      <w:color w:val="355686"/>
      <w:shd w:val="clear" w:color="auto" w:fill="ffffff"/>
    </w:rPr>
  </w:style>
  <w:style w:type="character" w:styleId="1171">
    <w:name w:val=" Char Char21"/>
    <w:next w:val="1171"/>
    <w:link w:val="1047"/>
    <w:rPr>
      <w:rFonts w:ascii="Arial" w:hAnsi="Arial" w:eastAsia="黑体" w:cs="Times New Roman"/>
      <w:sz w:val="24"/>
      <w:szCs w:val="24"/>
    </w:rPr>
  </w:style>
  <w:style w:type="character" w:styleId="1172">
    <w:name w:val="content"/>
    <w:next w:val="1172"/>
    <w:link w:val="1047"/>
    <w:rPr>
      <w:rFonts w:ascii="Times New Roman" w:hAnsi="Times New Roman" w:eastAsia="宋体" w:cs="Times New Roman"/>
    </w:rPr>
  </w:style>
  <w:style w:type="character" w:styleId="1173">
    <w:name w:val="l-open"/>
    <w:next w:val="1173"/>
    <w:link w:val="1047"/>
    <w:rPr>
      <w:rFonts w:ascii="Times New Roman" w:hAnsi="Times New Roman" w:eastAsia="宋体" w:cs="Times New Roman"/>
    </w:rPr>
  </w:style>
  <w:style w:type="character" w:styleId="1174">
    <w:name w:val="title_emph1"/>
    <w:next w:val="1174"/>
    <w:link w:val="1047"/>
    <w:rPr>
      <w:rFonts w:ascii="Arial" w:hAnsi="Times New Roman" w:eastAsia="宋体" w:cs="Arial"/>
      <w:b/>
      <w:bCs/>
      <w:i w:val="0"/>
      <w:iCs w:val="0"/>
      <w:sz w:val="18"/>
      <w:szCs w:val="18"/>
    </w:rPr>
  </w:style>
  <w:style w:type="character" w:styleId="1175">
    <w:name w:val="textcontents"/>
    <w:next w:val="1175"/>
    <w:link w:val="1047"/>
    <w:rPr>
      <w:rFonts w:ascii="Times New Roman" w:hAnsi="Times New Roman" w:eastAsia="宋体" w:cs="Times New Roman"/>
    </w:rPr>
  </w:style>
  <w:style w:type="character" w:styleId="1176">
    <w:name w:val="正文 + 宋体 Char,小四 Char,黑色 Char,行距: 1.5 倍行距 Char"/>
    <w:next w:val="1176"/>
    <w:link w:val="1047"/>
    <w:rPr>
      <w:rFonts w:ascii="Times New Roman" w:hAnsi="Times New Roman" w:eastAsia="宋体" w:cs="Times New Roman"/>
      <w:sz w:val="21"/>
      <w:szCs w:val="24"/>
      <w:lang w:val="en-US" w:eastAsia="zh-CN" w:bidi="ar-SA"/>
    </w:rPr>
  </w:style>
  <w:style w:type="character" w:styleId="1177">
    <w:name w:val="param-value"/>
    <w:next w:val="1177"/>
    <w:link w:val="1047"/>
    <w:rPr>
      <w:rFonts w:ascii="Times New Roman" w:hAnsi="Times New Roman" w:eastAsia="宋体" w:cs="Times New Roman"/>
    </w:rPr>
  </w:style>
  <w:style w:type="character" w:styleId="1178">
    <w:name w:val=" Char Char2"/>
    <w:next w:val="1178"/>
    <w:link w:val="1047"/>
    <w:rPr>
      <w:rFonts w:ascii="宋体" w:hAnsi="Courier New" w:eastAsia="宋体" w:cs="Times New Roman"/>
      <w:sz w:val="21"/>
      <w:szCs w:val="21"/>
      <w:lang w:val="en-US" w:eastAsia="zh-CN" w:bidi="ar-SA"/>
    </w:rPr>
  </w:style>
  <w:style w:type="character" w:styleId="1179">
    <w:name w:val="小四 段落 宋体 Char Char Char Char1"/>
    <w:next w:val="1179"/>
    <w:link w:val="1047"/>
    <w:rPr>
      <w:rFonts w:ascii="Times New Roman" w:hAnsi="Times New Roman" w:eastAsia="宋体" w:cs="Times New Roman"/>
      <w:sz w:val="24"/>
      <w:szCs w:val="24"/>
      <w:lang w:val="en-US" w:eastAsia="zh-CN" w:bidi="ar-SA"/>
    </w:rPr>
  </w:style>
  <w:style w:type="character" w:styleId="1180">
    <w:name w:val=" Char Char28"/>
    <w:next w:val="1180"/>
    <w:link w:val="1047"/>
    <w:rPr>
      <w:rFonts w:ascii="Arial" w:hAnsi="Arial" w:eastAsia="黑体" w:cs="Arial"/>
      <w:b/>
      <w:bCs/>
      <w:sz w:val="32"/>
      <w:szCs w:val="32"/>
    </w:rPr>
  </w:style>
  <w:style w:type="character" w:styleId="1181">
    <w:name w:val="普通文字1 Char,普通文字2 Char,普通文字3 Char,普通文字4 Char,普通文字5 Char,普通文字6 Char,普通文字11 Char,普通文字21 Char,普通文字31 Char,普通文字41 Char,普通文字7 Char Char,普通文字 Char1,普通文字 Char Char"/>
    <w:next w:val="1181"/>
    <w:link w:val="1047"/>
    <w:rPr>
      <w:rFonts w:ascii="宋体" w:hAnsi="Times New Roman" w:eastAsia="宋体" w:cs="Times New Roman"/>
      <w:b w:val="0"/>
      <w:bCs w:val="0"/>
      <w:i w:val="0"/>
      <w:iCs w:val="0"/>
      <w:sz w:val="21"/>
      <w:szCs w:val="21"/>
      <w:lang w:val="en-US" w:eastAsia="zh-CN" w:bidi="ar-SA"/>
    </w:rPr>
  </w:style>
  <w:style w:type="character" w:styleId="1182">
    <w:name w:val="font31"/>
    <w:next w:val="1182"/>
    <w:link w:val="1047"/>
    <w:rPr>
      <w:rFonts w:hint="eastAsia" w:ascii="宋体" w:hAnsi="宋体" w:eastAsia="宋体" w:cs="宋体"/>
      <w:i w:val="0"/>
      <w:iCs w:val="0"/>
      <w:color w:val="000000"/>
      <w:sz w:val="18"/>
      <w:szCs w:val="18"/>
      <w:u w:val="none"/>
    </w:rPr>
  </w:style>
  <w:style w:type="character" w:styleId="1183">
    <w:name w:val="￥正文 Char"/>
    <w:next w:val="1183"/>
    <w:link w:val="1184"/>
    <w:rPr>
      <w:rFonts w:ascii="Times New Roman" w:hAnsi="Times New Roman" w:eastAsia="宋体" w:cs="Times New Roman"/>
      <w:sz w:val="24"/>
    </w:rPr>
  </w:style>
  <w:style w:type="paragraph" w:styleId="1184">
    <w:name w:val="￥正文"/>
    <w:basedOn w:val="1047"/>
    <w:next w:val="1184"/>
    <w:link w:val="1183"/>
    <w:pPr>
      <w:ind w:firstLine="200"/>
      <w:spacing w:before="0" w:after="0"/>
    </w:pPr>
    <w:rPr>
      <w:rFonts w:eastAsia="宋体"/>
      <w:sz w:val="24"/>
    </w:rPr>
  </w:style>
  <w:style w:type="character" w:styleId="1185">
    <w:name w:val="已访问的超链接1"/>
    <w:next w:val="1185"/>
    <w:link w:val="1047"/>
    <w:rPr>
      <w:rFonts w:ascii="Times New Roman" w:hAnsi="Times New Roman" w:eastAsia="宋体" w:cs="Times New Roman"/>
      <w:b w:val="0"/>
      <w:bCs w:val="0"/>
      <w:i w:val="0"/>
      <w:iCs w:val="0"/>
      <w:color w:val="000000"/>
      <w:u w:val="none"/>
    </w:rPr>
  </w:style>
  <w:style w:type="character" w:styleId="1186">
    <w:name w:val="小四 段落 宋体 Char Char Char1"/>
    <w:next w:val="1186"/>
    <w:link w:val="1047"/>
    <w:rPr>
      <w:rFonts w:ascii="宋体" w:hAnsi="宋体" w:eastAsia="宋体" w:cs="Times New Roman"/>
      <w:sz w:val="24"/>
      <w:szCs w:val="24"/>
      <w:lang w:val="en-US" w:eastAsia="zh-CN" w:bidi="ar-SA"/>
    </w:rPr>
  </w:style>
  <w:style w:type="character" w:styleId="1187">
    <w:name w:val="批注文字 Char"/>
    <w:next w:val="1187"/>
    <w:link w:val="1047"/>
    <w:rPr>
      <w:rFonts w:ascii="Times New Roman" w:hAnsi="Times New Roman" w:eastAsia="宋体" w:cs="Times New Roman"/>
      <w:sz w:val="21"/>
      <w:lang w:val="en-US" w:eastAsia="zh-CN" w:bidi="ar-SA"/>
    </w:rPr>
  </w:style>
  <w:style w:type="character" w:styleId="118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88"/>
    <w:link w:val="1047"/>
    <w:rPr>
      <w:rFonts w:ascii="Times New Roman" w:hAnsi="Times New Roman" w:eastAsia="宋体" w:cs="Times New Roman"/>
      <w:b/>
      <w:bCs/>
      <w:sz w:val="32"/>
      <w:szCs w:val="32"/>
      <w:lang w:val="en-US" w:eastAsia="zh-CN" w:bidi="ar-SA"/>
    </w:rPr>
  </w:style>
  <w:style w:type="character" w:styleId="1189">
    <w:name w:val="标准文本 Char"/>
    <w:next w:val="1189"/>
    <w:link w:val="1047"/>
    <w:rPr>
      <w:rFonts w:ascii="Times New Roman" w:hAnsi="Times New Roman" w:eastAsia="宋体" w:cs="宋体"/>
      <w:sz w:val="24"/>
      <w:szCs w:val="24"/>
      <w:lang w:val="en-US" w:eastAsia="zh-CN" w:bidi="ar-SA"/>
    </w:rPr>
  </w:style>
  <w:style w:type="character" w:styleId="1190">
    <w:name w:val="point_normal1"/>
    <w:next w:val="1190"/>
    <w:link w:val="1047"/>
    <w:rPr>
      <w:rFonts w:ascii="Arial" w:hAnsi="Arial" w:eastAsia="宋体" w:cs="Arial"/>
      <w:sz w:val="18"/>
      <w:szCs w:val="18"/>
    </w:rPr>
  </w:style>
  <w:style w:type="character" w:styleId="1191">
    <w:name w:val="font101"/>
    <w:next w:val="1191"/>
    <w:link w:val="1047"/>
    <w:rPr>
      <w:rFonts w:hint="eastAsia" w:ascii="宋体" w:hAnsi="宋体" w:eastAsia="宋体" w:cs="宋体"/>
      <w:i w:val="0"/>
      <w:iCs w:val="0"/>
      <w:color w:val="000000"/>
      <w:sz w:val="16"/>
      <w:szCs w:val="16"/>
      <w:u w:val="none"/>
    </w:rPr>
  </w:style>
  <w:style w:type="character" w:styleId="1192">
    <w:name w:val="subtitle1"/>
    <w:next w:val="1192"/>
    <w:link w:val="1047"/>
    <w:rPr>
      <w:rFonts w:ascii="Georgia" w:hAnsi="Georgia" w:eastAsia="宋体" w:cs="Times New Roman"/>
      <w:b/>
      <w:bCs/>
      <w:i w:val="0"/>
      <w:iCs w:val="0"/>
      <w:color w:val="666666"/>
      <w:sz w:val="18"/>
      <w:szCs w:val="18"/>
    </w:rPr>
  </w:style>
  <w:style w:type="character" w:styleId="1193">
    <w:name w:val="l-selected2"/>
    <w:next w:val="1193"/>
    <w:link w:val="1047"/>
    <w:rPr>
      <w:rFonts w:ascii="Times New Roman" w:hAnsi="Times New Roman" w:eastAsia="宋体" w:cs="Times New Roman"/>
      <w:color w:val="355686"/>
      <w:shd w:val="clear" w:color="auto" w:fill="ffffff"/>
    </w:rPr>
  </w:style>
  <w:style w:type="character" w:styleId="1194">
    <w:name w:val="标题 Char1"/>
    <w:next w:val="1194"/>
    <w:link w:val="1047"/>
    <w:rPr>
      <w:rFonts w:ascii="Cambria" w:hAnsi="Times New Roman" w:eastAsia="宋体" w:cs="Times New Roman"/>
      <w:b/>
      <w:bCs/>
      <w:i w:val="0"/>
      <w:iCs w:val="0"/>
      <w:sz w:val="32"/>
      <w:szCs w:val="32"/>
    </w:rPr>
  </w:style>
  <w:style w:type="character" w:styleId="1195">
    <w:name w:val="小四 段落 宋体 Char1"/>
    <w:next w:val="1195"/>
    <w:link w:val="1047"/>
    <w:rPr>
      <w:rFonts w:ascii="Times New Roman" w:hAnsi="Times New Roman" w:eastAsia="宋体" w:cs="Times New Roman"/>
      <w:sz w:val="24"/>
      <w:szCs w:val="24"/>
      <w:lang w:val="en-US" w:eastAsia="zh-CN" w:bidi="ar-SA"/>
    </w:rPr>
  </w:style>
  <w:style w:type="character" w:styleId="119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96"/>
    <w:link w:val="1047"/>
    <w:rPr>
      <w:rFonts w:ascii="Times New Roman" w:hAnsi="Times New Roman" w:eastAsia="宋体" w:cs="Times New Roman"/>
      <w:sz w:val="21"/>
      <w:lang w:val="en-US" w:eastAsia="zh-CN" w:bidi="ar-SA"/>
    </w:rPr>
  </w:style>
  <w:style w:type="character" w:styleId="1197">
    <w:name w:val="标题 3 Char Char"/>
    <w:next w:val="1197"/>
    <w:link w:val="1047"/>
    <w:rPr>
      <w:rFonts w:ascii="Times New Roman" w:hAnsi="Times New Roman" w:eastAsia="仿宋_GB2312" w:cs="Times New Roman"/>
      <w:b/>
      <w:bCs/>
      <w:sz w:val="28"/>
      <w:szCs w:val="32"/>
      <w:lang w:val="en-US" w:eastAsia="zh-CN" w:bidi="ar-SA"/>
    </w:rPr>
  </w:style>
  <w:style w:type="character" w:styleId="1198">
    <w:name w:val="不明显强调"/>
    <w:next w:val="1198"/>
    <w:link w:val="1047"/>
    <w:qFormat/>
    <w:rPr>
      <w:rFonts w:ascii="Times New Roman" w:hAnsi="Times New Roman" w:eastAsia="宋体" w:cs="Times New Roman"/>
      <w:i/>
      <w:iCs/>
    </w:rPr>
  </w:style>
  <w:style w:type="character" w:styleId="1199">
    <w:name w:val=" Char Char26"/>
    <w:next w:val="1199"/>
    <w:link w:val="1047"/>
    <w:rPr>
      <w:rFonts w:ascii="Times New Roman" w:hAnsi="Times New Roman" w:eastAsia="宋体" w:cs="Times New Roman"/>
      <w:b/>
      <w:bCs/>
      <w:sz w:val="32"/>
      <w:szCs w:val="32"/>
    </w:rPr>
  </w:style>
  <w:style w:type="character" w:styleId="1200">
    <w:name w:val="l-over"/>
    <w:next w:val="1200"/>
    <w:link w:val="1047"/>
    <w:rPr>
      <w:rFonts w:ascii="Times New Roman" w:hAnsi="Times New Roman" w:eastAsia="宋体" w:cs="Times New Roman"/>
    </w:rPr>
  </w:style>
  <w:style w:type="character" w:styleId="1201">
    <w:name w:val="样式 首行缩进:  2 字符 Char"/>
    <w:next w:val="1201"/>
    <w:link w:val="1047"/>
    <w:rPr>
      <w:rFonts w:ascii="Times New Roman" w:hAnsi="Times New Roman" w:eastAsia="宋体" w:cs="宋体"/>
      <w:sz w:val="24"/>
      <w:lang w:val="en-US" w:eastAsia="zh-CN" w:bidi="ar-SA"/>
    </w:rPr>
  </w:style>
  <w:style w:type="character" w:styleId="1202">
    <w:name w:val="新图表正文 Char Char"/>
    <w:next w:val="1202"/>
    <w:link w:val="1203"/>
    <w:rPr>
      <w:rFonts w:ascii="宋体" w:hAnsi="宋体"/>
      <w:sz w:val="18"/>
      <w:szCs w:val="21"/>
      <w:lang w:val="en-US" w:eastAsia="zh-CN" w:bidi="ar-SA"/>
    </w:rPr>
  </w:style>
  <w:style w:type="paragraph" w:styleId="1203">
    <w:name w:val="新图表正文"/>
    <w:next w:val="1203"/>
    <w:link w:val="1202"/>
    <w:pPr>
      <w:jc w:val="both"/>
    </w:pPr>
    <w:rPr>
      <w:rFonts w:ascii="宋体" w:hAnsi="宋体"/>
      <w:sz w:val="18"/>
      <w:szCs w:val="21"/>
      <w:lang w:val="en-US" w:eastAsia="zh-CN" w:bidi="ar-SA"/>
    </w:rPr>
  </w:style>
  <w:style w:type="character" w:styleId="1204">
    <w:name w:val="listbenefit"/>
    <w:next w:val="1204"/>
    <w:link w:val="1047"/>
    <w:rPr>
      <w:rFonts w:ascii="Times New Roman" w:hAnsi="Times New Roman" w:eastAsia="宋体" w:cs="Times New Roman"/>
      <w:b w:val="0"/>
      <w:bCs w:val="0"/>
      <w:i w:val="0"/>
      <w:iCs w:val="0"/>
    </w:rPr>
  </w:style>
  <w:style w:type="character" w:styleId="1205">
    <w:name w:val="列出段落 Char,Bullet List Char,numbered Char,FooterText Char,List Paragraph1 Char,Paragraphe de liste1 Char"/>
    <w:next w:val="1205"/>
    <w:link w:val="1206"/>
    <w:rPr>
      <w:rFonts w:ascii="Arial" w:hAnsi="Arial" w:eastAsia="黑体" w:cs="Times New Roman"/>
      <w:sz w:val="24"/>
      <w:szCs w:val="24"/>
      <w:lang w:eastAsia="en-US"/>
    </w:rPr>
  </w:style>
  <w:style w:type="paragraph" w:styleId="1206">
    <w:name w:val="列出段落1"/>
    <w:basedOn w:val="1047"/>
    <w:next w:val="1206"/>
    <w:link w:val="1205"/>
    <w:pPr>
      <w:contextualSpacing/>
      <w:ind w:left="720"/>
      <w:jc w:val="left"/>
      <w:widowControl/>
    </w:pPr>
    <w:rPr>
      <w:rFonts w:ascii="Arial" w:hAnsi="Arial" w:eastAsia="黑体"/>
      <w:sz w:val="24"/>
      <w:szCs w:val="24"/>
      <w:lang w:eastAsia="en-US"/>
    </w:rPr>
  </w:style>
  <w:style w:type="character" w:styleId="1207">
    <w:name w:val="正文缩进 Char1"/>
    <w:next w:val="1207"/>
    <w:link w:val="1208"/>
    <w:rPr>
      <w:rFonts w:ascii="Times New Roman" w:hAnsi="Times New Roman" w:eastAsia="宋体" w:cs="Times New Roman"/>
      <w:lang w:bidi="ar-SA"/>
    </w:rPr>
  </w:style>
  <w:style w:type="paragraph" w:styleId="1208">
    <w:name w:val="Normal Indent1"/>
    <w:basedOn w:val="1047"/>
    <w:next w:val="1208"/>
    <w:link w:val="1207"/>
    <w:pPr>
      <w:ind w:firstLine="420"/>
    </w:pPr>
    <w:rPr>
      <w:rFonts w:eastAsia="宋体"/>
      <w:sz w:val="20"/>
    </w:rPr>
  </w:style>
  <w:style w:type="character" w:styleId="1209">
    <w:name w:val="font81"/>
    <w:next w:val="1209"/>
    <w:link w:val="1047"/>
    <w:rPr>
      <w:rFonts w:hint="eastAsia" w:ascii="宋体" w:hAnsi="宋体" w:eastAsia="宋体" w:cs="宋体"/>
      <w:i w:val="0"/>
      <w:iCs w:val="0"/>
      <w:color w:val="000000"/>
      <w:sz w:val="16"/>
      <w:szCs w:val="16"/>
      <w:u w:val="none"/>
    </w:rPr>
  </w:style>
  <w:style w:type="character" w:styleId="1210">
    <w:name w:val="ih151"/>
    <w:next w:val="1210"/>
    <w:link w:val="1047"/>
    <w:rPr>
      <w:rFonts w:ascii="Times New Roman" w:hAnsi="Times New Roman" w:eastAsia="宋体" w:cs="Times New Roman"/>
      <w:b w:val="0"/>
      <w:bCs w:val="0"/>
      <w:i w:val="0"/>
      <w:iCs w:val="0"/>
      <w:caps w:val="0"/>
      <w:smallCaps w:val="0"/>
      <w:color w:val="666666"/>
      <w:sz w:val="18"/>
      <w:szCs w:val="18"/>
      <w:u w:val="none"/>
    </w:rPr>
  </w:style>
  <w:style w:type="character" w:styleId="1211">
    <w:name w:val="纯文本 Char Char Char"/>
    <w:next w:val="1211"/>
    <w:link w:val="1047"/>
    <w:rPr>
      <w:rFonts w:ascii="宋体" w:hAnsi="Courier New" w:eastAsia="宋体" w:cs="Times New Roman"/>
      <w:sz w:val="21"/>
      <w:szCs w:val="21"/>
      <w:lang w:val="en-US" w:eastAsia="zh-CN" w:bidi="ar-SA"/>
    </w:rPr>
  </w:style>
  <w:style w:type="character" w:styleId="1212">
    <w:name w:val="引用 字符"/>
    <w:next w:val="1212"/>
    <w:link w:val="1213"/>
    <w:rPr>
      <w:rFonts w:ascii="Calibri" w:hAnsi="Calibri" w:eastAsia="宋体" w:cs="Times New Roman"/>
      <w:i/>
      <w:iCs/>
      <w:sz w:val="22"/>
      <w:szCs w:val="22"/>
      <w:lang w:val="en-US" w:eastAsia="en-US" w:bidi="en-US"/>
    </w:rPr>
  </w:style>
  <w:style w:type="paragraph" w:styleId="1213">
    <w:name w:val="引用"/>
    <w:basedOn w:val="1047"/>
    <w:next w:val="1047"/>
    <w:link w:val="1212"/>
    <w:qFormat/>
    <w:pPr>
      <w:ind w:left="360" w:right="360"/>
      <w:jc w:val="left"/>
      <w:spacing w:before="200" w:line="276" w:lineRule="auto"/>
      <w:widowControl/>
    </w:pPr>
    <w:rPr>
      <w:rFonts w:ascii="Calibri" w:hAnsi="Calibri" w:eastAsia="宋体"/>
      <w:i/>
      <w:iCs/>
      <w:sz w:val="22"/>
      <w:szCs w:val="22"/>
      <w:lang w:eastAsia="en-US" w:bidi="en-US"/>
    </w:rPr>
  </w:style>
  <w:style w:type="character" w:styleId="1214">
    <w:name w:val="font91"/>
    <w:next w:val="1214"/>
    <w:link w:val="1047"/>
    <w:rPr>
      <w:rFonts w:ascii="Arial" w:hAnsi="Arial" w:eastAsia="宋体" w:cs="Arial"/>
      <w:i w:val="0"/>
      <w:iCs w:val="0"/>
      <w:color w:val="000000"/>
      <w:sz w:val="16"/>
      <w:szCs w:val="16"/>
      <w:u w:val="none"/>
    </w:rPr>
  </w:style>
  <w:style w:type="character" w:styleId="1215">
    <w:name w:val="3zw"/>
    <w:next w:val="1215"/>
    <w:link w:val="1047"/>
    <w:rPr>
      <w:rFonts w:ascii="Times New Roman" w:hAnsi="Times New Roman" w:eastAsia="宋体" w:cs="Times New Roman"/>
    </w:rPr>
  </w:style>
  <w:style w:type="character" w:styleId="1216">
    <w:name w:val="样式 首行缩进:  2 字符 Char Char"/>
    <w:next w:val="1216"/>
    <w:link w:val="1217"/>
    <w:rPr>
      <w:rFonts w:ascii="Times New Roman" w:hAnsi="Times New Roman" w:eastAsia="宋体" w:cs="宋体"/>
      <w:sz w:val="24"/>
      <w:lang w:val="en-US" w:eastAsia="zh-CN" w:bidi="ar-SA"/>
    </w:rPr>
  </w:style>
  <w:style w:type="paragraph" w:styleId="1217">
    <w:name w:val="样式 首行缩进:  2 字符"/>
    <w:basedOn w:val="1047"/>
    <w:next w:val="1217"/>
    <w:link w:val="1216"/>
    <w:pPr>
      <w:ind w:firstLine="480"/>
      <w:spacing w:line="360" w:lineRule="auto"/>
    </w:pPr>
    <w:rPr>
      <w:rFonts w:eastAsia="宋体" w:cs="宋体"/>
      <w:sz w:val="24"/>
    </w:rPr>
  </w:style>
  <w:style w:type="character" w:styleId="1218">
    <w:name w:val="A2"/>
    <w:next w:val="1218"/>
    <w:link w:val="1047"/>
    <w:rPr>
      <w:rFonts w:ascii="Times New Roman" w:hAnsi="Times New Roman" w:eastAsia="宋体" w:cs="Helvetica"/>
      <w:color w:val="000000"/>
      <w:sz w:val="18"/>
      <w:szCs w:val="18"/>
    </w:rPr>
  </w:style>
  <w:style w:type="character" w:styleId="1219">
    <w:name w:val=" Char Char27"/>
    <w:next w:val="1219"/>
    <w:link w:val="1047"/>
    <w:rPr>
      <w:rFonts w:ascii="Times New Roman" w:hAnsi="Times New Roman" w:eastAsia="宋体" w:cs="Times New Roman"/>
      <w:b/>
      <w:bCs/>
      <w:sz w:val="44"/>
      <w:szCs w:val="44"/>
    </w:rPr>
  </w:style>
  <w:style w:type="character" w:styleId="1220">
    <w:name w:val="无间隔 字符"/>
    <w:next w:val="1220"/>
    <w:link w:val="1221"/>
    <w:rPr>
      <w:rFonts w:eastAsia="微软雅黑"/>
      <w:sz w:val="24"/>
      <w:szCs w:val="22"/>
      <w:lang w:val="en-US" w:eastAsia="zh-CN" w:bidi="ar-SA"/>
    </w:rPr>
  </w:style>
  <w:style w:type="paragraph" w:styleId="1221">
    <w:name w:val="无间隔"/>
    <w:next w:val="1221"/>
    <w:link w:val="1220"/>
    <w:qFormat/>
    <w:pPr>
      <w:jc w:val="both"/>
      <w:widowControl w:val="off"/>
    </w:pPr>
    <w:rPr>
      <w:rFonts w:eastAsia="微软雅黑"/>
      <w:sz w:val="24"/>
      <w:szCs w:val="22"/>
      <w:lang w:val="en-US" w:eastAsia="zh-CN" w:bidi="ar-SA"/>
    </w:rPr>
  </w:style>
  <w:style w:type="character" w:styleId="1222">
    <w:name w:val="标准文本 Char Char"/>
    <w:next w:val="1222"/>
    <w:link w:val="1047"/>
    <w:rPr>
      <w:rFonts w:ascii="Times New Roman" w:hAnsi="Times New Roman" w:eastAsia="宋体" w:cs="宋体"/>
      <w:sz w:val="24"/>
      <w:szCs w:val="24"/>
      <w:lang w:val="en-US" w:eastAsia="zh-CN" w:bidi="ar-SA"/>
    </w:rPr>
  </w:style>
  <w:style w:type="character" w:styleId="1223">
    <w:name w:val=" Char Char29"/>
    <w:next w:val="1223"/>
    <w:link w:val="1047"/>
    <w:rPr>
      <w:rFonts w:ascii="Times New Roman" w:hAnsi="Times New Roman" w:eastAsia="宋体" w:cs="Times New Roman"/>
      <w:b/>
      <w:bCs/>
      <w:sz w:val="44"/>
      <w:szCs w:val="44"/>
    </w:rPr>
  </w:style>
  <w:style w:type="character" w:styleId="1224">
    <w:name w:val="标准小四 Char"/>
    <w:next w:val="1224"/>
    <w:link w:val="1047"/>
    <w:rPr>
      <w:rFonts w:ascii="Arial" w:hAnsi="Arial" w:eastAsia="宋体" w:cs="Times New Roman"/>
      <w:sz w:val="24"/>
      <w:szCs w:val="21"/>
      <w:lang w:val="en-US" w:eastAsia="zh-CN" w:bidi="ar-SA"/>
    </w:rPr>
  </w:style>
  <w:style w:type="character" w:styleId="1225">
    <w:name w:val="华宇段落1 Char Char Char"/>
    <w:next w:val="1225"/>
    <w:link w:val="1047"/>
    <w:rPr>
      <w:rFonts w:ascii="Times New Roman" w:hAnsi="Times New Roman" w:eastAsia="宋体" w:cs="Times New Roman"/>
      <w:bCs/>
      <w:sz w:val="24"/>
      <w:szCs w:val="24"/>
      <w:lang w:val="en-US" w:eastAsia="zh-CN" w:bidi="ar-SA"/>
    </w:rPr>
  </w:style>
  <w:style w:type="character" w:styleId="1226">
    <w:name w:val="样式 非加粗"/>
    <w:next w:val="1226"/>
    <w:link w:val="1047"/>
    <w:rPr>
      <w:rFonts w:ascii="Times New Roman" w:hAnsi="Times New Roman" w:eastAsia="宋体" w:cs="Times New Roman"/>
      <w:sz w:val="28"/>
    </w:rPr>
  </w:style>
  <w:style w:type="character" w:styleId="1227">
    <w:name w:val="小四 段落 宋体 Char Char Char Char Char Char Char Char"/>
    <w:next w:val="1227"/>
    <w:link w:val="1047"/>
    <w:rPr>
      <w:rFonts w:ascii="Times New Roman" w:hAnsi="Times New Roman" w:eastAsia="宋体" w:cs="Times New Roman"/>
      <w:sz w:val="24"/>
      <w:szCs w:val="24"/>
      <w:lang w:val="en-US" w:eastAsia="zh-CN" w:bidi="ar-SA"/>
    </w:rPr>
  </w:style>
  <w:style w:type="character" w:styleId="1228">
    <w:name w:val="华宇段落1 Char Char"/>
    <w:next w:val="1228"/>
    <w:link w:val="1047"/>
    <w:rPr>
      <w:rFonts w:ascii="Times New Roman" w:hAnsi="Times New Roman" w:eastAsia="宋体" w:cs="Times New Roman"/>
      <w:bCs/>
      <w:sz w:val="24"/>
      <w:szCs w:val="24"/>
      <w:lang w:val="en-US" w:eastAsia="zh-CN" w:bidi="ar-SA"/>
    </w:rPr>
  </w:style>
  <w:style w:type="character" w:styleId="1229">
    <w:name w:val="小四 段落 宋体 Char Char Char Char Char Char"/>
    <w:next w:val="1229"/>
    <w:link w:val="1047"/>
    <w:rPr>
      <w:rFonts w:ascii="Times New Roman" w:hAnsi="Times New Roman" w:eastAsia="宋体" w:cs="Times New Roman"/>
      <w:sz w:val="24"/>
      <w:szCs w:val="24"/>
      <w:lang w:val="en-US" w:eastAsia="zh-CN" w:bidi="ar-SA"/>
    </w:rPr>
  </w:style>
  <w:style w:type="character" w:styleId="1230">
    <w:name w:val="表格抬头 Char"/>
    <w:next w:val="1230"/>
    <w:link w:val="1231"/>
    <w:rPr>
      <w:rFonts w:ascii="黑体" w:hAnsi="Times New Roman" w:eastAsia="黑体" w:cs="Times New Roman"/>
      <w:b/>
      <w:sz w:val="21"/>
      <w:lang w:bidi="ar-SA"/>
    </w:rPr>
  </w:style>
  <w:style w:type="paragraph" w:styleId="1231">
    <w:name w:val="表格抬头"/>
    <w:basedOn w:val="1047"/>
    <w:next w:val="1231"/>
    <w:link w:val="1230"/>
    <w:pPr>
      <w:jc w:val="center"/>
    </w:pPr>
    <w:rPr>
      <w:rFonts w:ascii="黑体" w:eastAsia="黑体"/>
      <w:b/>
    </w:rPr>
  </w:style>
  <w:style w:type="character" w:styleId="1232">
    <w:name w:val=" Char Char22"/>
    <w:next w:val="1232"/>
    <w:link w:val="1047"/>
    <w:rPr>
      <w:rFonts w:ascii="Times New Roman" w:hAnsi="Times New Roman" w:eastAsia="宋体" w:cs="Times New Roman"/>
      <w:b/>
      <w:bCs/>
      <w:sz w:val="24"/>
      <w:szCs w:val="24"/>
    </w:rPr>
  </w:style>
  <w:style w:type="character" w:styleId="1233">
    <w:name w:val="样式 宋体 小四"/>
    <w:next w:val="1233"/>
    <w:link w:val="1047"/>
    <w:rPr>
      <w:rFonts w:ascii="宋体" w:hAnsi="宋体" w:eastAsia="宋体" w:cs="Times New Roman"/>
      <w:sz w:val="24"/>
    </w:rPr>
  </w:style>
  <w:style w:type="character" w:styleId="1234">
    <w:name w:val="明显引用 字符"/>
    <w:next w:val="1234"/>
    <w:link w:val="1235"/>
    <w:rPr>
      <w:rFonts w:ascii="Calibri" w:hAnsi="Calibri" w:eastAsia="宋体" w:cs="Times New Roman"/>
      <w:b/>
      <w:bCs/>
      <w:i/>
      <w:iCs/>
      <w:sz w:val="22"/>
      <w:szCs w:val="22"/>
      <w:lang w:val="en-US" w:eastAsia="en-US" w:bidi="en-US"/>
    </w:rPr>
  </w:style>
  <w:style w:type="paragraph" w:styleId="1235">
    <w:name w:val="明显引用"/>
    <w:basedOn w:val="1047"/>
    <w:next w:val="1047"/>
    <w:link w:val="1234"/>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36">
    <w:name w:val="明显强调"/>
    <w:next w:val="1236"/>
    <w:link w:val="1047"/>
    <w:qFormat/>
    <w:rPr>
      <w:rFonts w:ascii="Times New Roman" w:hAnsi="Times New Roman" w:eastAsia="宋体" w:cs="Times New Roman"/>
      <w:b/>
      <w:bCs/>
    </w:rPr>
  </w:style>
  <w:style w:type="character" w:styleId="1237">
    <w:name w:val="标题 3 Char,h3 Char,3rd level Char,3 Char,标题4 Char,Heading 3 - old Char,标题 3 Char1,正文 + 小三 Char,H3 Char,sect1.2.3 Char,BOD 0 Char,l3 Char,CT Char,Level 3 Head Char,3rd lev...] Char Char,heading 3 Char,123456 Char,F Char Char,Map Char,H31 Char,level_3 Char"/>
    <w:next w:val="1237"/>
    <w:link w:val="1047"/>
    <w:rPr>
      <w:rFonts w:ascii="宋体" w:hAnsi="宋体" w:eastAsia="宋体" w:cs="Times New Roman"/>
      <w:b/>
      <w:bCs/>
      <w:sz w:val="24"/>
      <w:szCs w:val="32"/>
      <w:lang w:val="en-US" w:eastAsia="zh-CN" w:bidi="ar-SA"/>
    </w:rPr>
  </w:style>
  <w:style w:type="character" w:styleId="1238">
    <w:name w:val="normalfont1"/>
    <w:next w:val="1238"/>
    <w:link w:val="1047"/>
    <w:rPr>
      <w:rFonts w:ascii="ˎ̥" w:hAnsi="ˎ̥" w:eastAsia="宋体" w:cs="Times New Roman"/>
      <w:sz w:val="18"/>
      <w:szCs w:val="18"/>
      <w:u w:val="none"/>
    </w:rPr>
  </w:style>
  <w:style w:type="character" w:styleId="1239">
    <w:name w:val="111111 Char"/>
    <w:next w:val="1239"/>
    <w:link w:val="1240"/>
    <w:rPr>
      <w:rFonts w:ascii="宋体" w:hAnsi="宋体" w:eastAsia="黑体" w:cs="宋体"/>
      <w:b/>
      <w:bCs/>
      <w:sz w:val="21"/>
      <w:szCs w:val="21"/>
      <w:lang w:val="en-US" w:eastAsia="zh-CN" w:bidi="ar-SA"/>
    </w:rPr>
  </w:style>
  <w:style w:type="paragraph" w:styleId="1240">
    <w:name w:val="111111"/>
    <w:basedOn w:val="1047"/>
    <w:next w:val="1240"/>
    <w:link w:val="1239"/>
    <w:pPr>
      <w:jc w:val="center"/>
      <w:spacing w:before="120" w:after="120"/>
    </w:pPr>
    <w:rPr>
      <w:rFonts w:ascii="宋体" w:hAnsi="宋体" w:eastAsia="黑体" w:cs="宋体"/>
      <w:b/>
      <w:bCs/>
      <w:szCs w:val="21"/>
    </w:rPr>
  </w:style>
  <w:style w:type="character" w:styleId="1241">
    <w:name w:val="apple-converted-space"/>
    <w:next w:val="1241"/>
    <w:link w:val="1047"/>
    <w:rPr>
      <w:rFonts w:ascii="Times New Roman" w:hAnsi="Times New Roman" w:eastAsia="宋体" w:cs="Times New Roman"/>
    </w:rPr>
  </w:style>
  <w:style w:type="character" w:styleId="1242">
    <w:name w:val="纯文本 Char Char"/>
    <w:next w:val="1242"/>
    <w:link w:val="1047"/>
    <w:rPr>
      <w:rFonts w:ascii="宋体" w:hAnsi="Courier New" w:eastAsia="宋体" w:cs="Times New Roman"/>
      <w:sz w:val="21"/>
      <w:szCs w:val="21"/>
      <w:lang w:val="en-US" w:eastAsia="zh-CN" w:bidi="ar-SA"/>
    </w:rPr>
  </w:style>
  <w:style w:type="character" w:styleId="1243">
    <w:name w:val="NormalCharacter1"/>
    <w:next w:val="1243"/>
    <w:link w:val="1047"/>
    <w:rPr>
      <w:rFonts w:ascii="Times New Roman" w:hAnsi="Times New Roman" w:eastAsia="宋体" w:cs="Times New Roman"/>
      <w:sz w:val="21"/>
      <w:szCs w:val="22"/>
      <w:lang w:val="en-US" w:eastAsia="zh-CN" w:bidi="ar-SA"/>
    </w:rPr>
  </w:style>
  <w:style w:type="character" w:styleId="1244">
    <w:name w:val=" Char Char17"/>
    <w:next w:val="1244"/>
    <w:link w:val="1047"/>
    <w:rPr>
      <w:rFonts w:ascii="宋体" w:hAnsi="Courier New" w:eastAsia="宋体" w:cs="Times New Roman"/>
      <w:sz w:val="21"/>
      <w:szCs w:val="21"/>
    </w:rPr>
  </w:style>
  <w:style w:type="character" w:styleId="1245">
    <w:name w:val="明显参考"/>
    <w:next w:val="1245"/>
    <w:link w:val="1047"/>
    <w:qFormat/>
    <w:rPr>
      <w:rFonts w:ascii="Times New Roman" w:hAnsi="Times New Roman" w:eastAsia="宋体" w:cs="Times New Roman"/>
      <w:smallCaps/>
      <w:spacing w:val="5"/>
      <w:u w:val="single"/>
    </w:rPr>
  </w:style>
  <w:style w:type="character" w:styleId="1246">
    <w:name w:val="h Char Char"/>
    <w:next w:val="1246"/>
    <w:link w:val="1047"/>
    <w:rPr>
      <w:rFonts w:ascii="Times New Roman" w:hAnsi="Times New Roman" w:eastAsia="宋体" w:cs="Times New Roman"/>
      <w:b w:val="0"/>
      <w:bCs w:val="0"/>
      <w:i w:val="0"/>
      <w:iCs w:val="0"/>
      <w:sz w:val="18"/>
      <w:szCs w:val="18"/>
      <w:lang w:val="en-US" w:eastAsia="zh-CN" w:bidi="ar-SA"/>
    </w:rPr>
  </w:style>
  <w:style w:type="character" w:styleId="1247">
    <w:name w:val="case31"/>
    <w:next w:val="1247"/>
    <w:link w:val="1047"/>
    <w:rPr>
      <w:rFonts w:ascii="Times New Roman" w:hAnsi="Times New Roman" w:eastAsia="宋体" w:cs="Times New Roman"/>
      <w:b w:val="0"/>
      <w:bCs w:val="0"/>
      <w:i w:val="0"/>
      <w:iCs w:val="0"/>
      <w:sz w:val="21"/>
      <w:szCs w:val="21"/>
    </w:rPr>
  </w:style>
  <w:style w:type="character" w:styleId="1248">
    <w:name w:val="para_small"/>
    <w:next w:val="1248"/>
    <w:link w:val="1047"/>
    <w:rPr>
      <w:rFonts w:ascii="Times New Roman" w:hAnsi="Times New Roman" w:eastAsia="宋体" w:cs="Times New Roman"/>
    </w:rPr>
  </w:style>
  <w:style w:type="character" w:styleId="1249">
    <w:name w:val="content_lineheight1"/>
    <w:next w:val="1249"/>
    <w:link w:val="1047"/>
    <w:rPr>
      <w:rFonts w:ascii="Times New Roman" w:hAnsi="Times New Roman" w:eastAsia="宋体" w:cs="Times New Roman"/>
    </w:rPr>
  </w:style>
  <w:style w:type="paragraph" w:styleId="1250">
    <w:name w:val=" Char Char Char Char Char Char Char Char Char Char Char Char Char Char"/>
    <w:basedOn w:val="1047"/>
    <w:next w:val="1250"/>
    <w:link w:val="1047"/>
    <w:rPr>
      <w:rFonts w:ascii="Tahoma" w:hAnsi="Tahoma" w:eastAsia="宋体" w:cs="Times New Roman"/>
      <w:sz w:val="24"/>
    </w:rPr>
  </w:style>
  <w:style w:type="paragraph" w:styleId="1251">
    <w:name w:val="xl58"/>
    <w:basedOn w:val="1047"/>
    <w:next w:val="1251"/>
    <w:link w:val="104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52">
    <w:name w:val="正文缩进2字符"/>
    <w:basedOn w:val="1047"/>
    <w:next w:val="1252"/>
    <w:link w:val="1047"/>
    <w:pPr>
      <w:ind w:firstLine="200"/>
      <w:spacing w:line="300" w:lineRule="auto"/>
    </w:pPr>
    <w:rPr>
      <w:rFonts w:ascii="仿宋_GB2312" w:hAnsi="Times New Roman" w:eastAsia="仿宋_GB2312" w:cs="Times New Roman"/>
      <w:sz w:val="32"/>
      <w:szCs w:val="32"/>
    </w:rPr>
  </w:style>
  <w:style w:type="paragraph" w:styleId="1253">
    <w:name w:val="正文表标题"/>
    <w:next w:val="1151"/>
    <w:link w:val="1047"/>
    <w:pPr>
      <w:ind w:left="900" w:hanging="420"/>
      <w:jc w:val="center"/>
      <w:tabs>
        <w:tab w:val="left" w:pos="900" w:leader="none"/>
      </w:tabs>
    </w:pPr>
    <w:rPr>
      <w:rFonts w:ascii="黑体" w:eastAsia="黑体"/>
      <w:sz w:val="21"/>
      <w:lang w:val="en-US" w:eastAsia="zh-CN" w:bidi="ar-SA"/>
    </w:rPr>
  </w:style>
  <w:style w:type="paragraph" w:styleId="1254">
    <w:name w:val=" Char Char1 Char Char Char Char1 Char Char Char Char Char Char"/>
    <w:basedOn w:val="1047"/>
    <w:next w:val="1254"/>
    <w:link w:val="1047"/>
    <w:rPr>
      <w:rFonts w:ascii="Tahoma" w:hAnsi="Tahoma" w:eastAsia="宋体" w:cs="Times New Roman"/>
      <w:sz w:val="24"/>
    </w:rPr>
  </w:style>
  <w:style w:type="paragraph" w:styleId="1255">
    <w:name w:val="段落"/>
    <w:basedOn w:val="1047"/>
    <w:next w:val="1255"/>
    <w:link w:val="1047"/>
    <w:pPr>
      <w:ind w:firstLine="480"/>
      <w:spacing w:line="460" w:lineRule="exact"/>
    </w:pPr>
    <w:rPr>
      <w:rFonts w:ascii="Times New Roman" w:hAnsi="Times New Roman" w:eastAsia="宋体" w:cs="Times New Roman"/>
      <w:sz w:val="24"/>
    </w:rPr>
  </w:style>
  <w:style w:type="paragraph" w:styleId="1256">
    <w:name w:val=" Char Char"/>
    <w:basedOn w:val="1047"/>
    <w:next w:val="1256"/>
    <w:link w:val="1047"/>
    <w:rPr>
      <w:rFonts w:ascii="Tahoma" w:hAnsi="Tahoma" w:eastAsia="宋体" w:cs="Times New Roman"/>
      <w:sz w:val="24"/>
    </w:rPr>
  </w:style>
  <w:style w:type="paragraph" w:styleId="1257">
    <w:name w:val="xl44"/>
    <w:basedOn w:val="1047"/>
    <w:next w:val="1257"/>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58">
    <w:name w:val="flNote"/>
    <w:basedOn w:val="1047"/>
    <w:next w:val="1258"/>
    <w:link w:val="1047"/>
    <w:pPr>
      <w:jc w:val="center"/>
      <w:spacing w:before="567" w:line="360" w:lineRule="atLeast"/>
    </w:pPr>
    <w:rPr>
      <w:rFonts w:ascii="Times New Roman" w:hAnsi="Times New Roman" w:eastAsia="黑体" w:cs="Times New Roman"/>
      <w:b/>
      <w:sz w:val="24"/>
    </w:rPr>
  </w:style>
  <w:style w:type="paragraph" w:styleId="1259">
    <w:name w:val="正文文本 New New"/>
    <w:basedOn w:val="1047"/>
    <w:next w:val="1259"/>
    <w:link w:val="1047"/>
    <w:pPr>
      <w:ind w:firstLine="200"/>
      <w:spacing w:before="60" w:after="60" w:line="360" w:lineRule="auto"/>
      <w:widowControl/>
    </w:pPr>
    <w:rPr>
      <w:rFonts w:ascii="Times New Roman" w:hAnsi="Times New Roman" w:eastAsia="华文楷体" w:cs="Times New Roman"/>
      <w:sz w:val="24"/>
      <w:szCs w:val="24"/>
    </w:rPr>
  </w:style>
  <w:style w:type="paragraph" w:styleId="1260">
    <w:name w:val=" Char1"/>
    <w:basedOn w:val="1047"/>
    <w:next w:val="1260"/>
    <w:link w:val="1047"/>
    <w:pPr>
      <w:jc w:val="left"/>
      <w:spacing w:after="160" w:line="240" w:lineRule="exact"/>
      <w:widowControl/>
    </w:pPr>
    <w:rPr>
      <w:rFonts w:ascii="Verdana" w:hAnsi="Verdana" w:eastAsia="仿宋_GB2312" w:cs="Times New Roman"/>
      <w:sz w:val="24"/>
      <w:lang w:eastAsia="en-US"/>
    </w:rPr>
  </w:style>
  <w:style w:type="paragraph" w:styleId="1261">
    <w:name w:val="xl30"/>
    <w:basedOn w:val="1047"/>
    <w:next w:val="1261"/>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2">
    <w:name w:val="列表内容"/>
    <w:basedOn w:val="1047"/>
    <w:next w:val="1047"/>
    <w:link w:val="1047"/>
    <w:pPr>
      <w:ind w:left="840" w:hanging="420"/>
      <w:jc w:val="left"/>
      <w:widowControl/>
      <w:tabs>
        <w:tab w:val="left" w:pos="840" w:leader="none"/>
      </w:tabs>
    </w:pPr>
    <w:rPr>
      <w:rFonts w:ascii="Times New Roman" w:hAnsi="Times New Roman" w:eastAsia="宋体" w:cs="Times New Roman"/>
      <w:sz w:val="18"/>
      <w:szCs w:val="24"/>
    </w:rPr>
  </w:style>
  <w:style w:type="paragraph" w:styleId="1263">
    <w:name w:val="样式 样式 首行缩进:  0.74 厘米 行距: 1.5 倍行距 + 段后: 0.5 行"/>
    <w:basedOn w:val="1047"/>
    <w:next w:val="1263"/>
    <w:link w:val="1047"/>
    <w:pPr>
      <w:ind w:firstLine="420"/>
      <w:spacing w:line="360" w:lineRule="auto"/>
    </w:pPr>
    <w:rPr>
      <w:rFonts w:ascii="楷体_GB2312" w:hAnsi="Times New Roman" w:eastAsia="楷体_GB2312" w:cs="Times New Roman"/>
      <w:bCs/>
      <w:sz w:val="24"/>
    </w:rPr>
  </w:style>
  <w:style w:type="paragraph" w:styleId="1264">
    <w:name w:val="文档正文"/>
    <w:basedOn w:val="1047"/>
    <w:next w:val="1264"/>
    <w:link w:val="1047"/>
    <w:pPr>
      <w:spacing w:line="360" w:lineRule="auto"/>
    </w:pPr>
    <w:rPr>
      <w:rFonts w:ascii="宋体" w:hAnsi="宋体" w:eastAsia="宋体" w:cs="Times New Roman"/>
      <w:b/>
      <w:bCs/>
      <w:szCs w:val="24"/>
    </w:rPr>
  </w:style>
  <w:style w:type="paragraph" w:styleId="1265">
    <w:name w:val="_Style 1"/>
    <w:basedOn w:val="1047"/>
    <w:next w:val="1265"/>
    <w:link w:val="1047"/>
    <w:pPr>
      <w:ind w:firstLine="420"/>
    </w:pPr>
    <w:rPr>
      <w:rFonts w:ascii="Calibri" w:hAnsi="Calibri" w:eastAsia="宋体" w:cs="Times New Roman"/>
      <w:szCs w:val="22"/>
    </w:rPr>
  </w:style>
  <w:style w:type="paragraph" w:styleId="1266">
    <w:name w:val="马刚标题3"/>
    <w:basedOn w:val="1047"/>
    <w:next w:val="1047"/>
    <w:link w:val="1047"/>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67">
    <w:name w:val="马刚标题4"/>
    <w:basedOn w:val="1266"/>
    <w:next w:val="1047"/>
    <w:link w:val="1047"/>
    <w:pPr>
      <w:spacing w:before="100" w:after="40"/>
      <w:tabs>
        <w:tab w:val="left" w:pos="1050" w:leader="none"/>
      </w:tabs>
      <w:outlineLvl w:val="3"/>
    </w:pPr>
    <w:rPr>
      <w:rFonts w:ascii="Times New Roman" w:hAnsi="Times New Roman" w:eastAsia="宋体" w:cs="Times New Roman"/>
      <w:b w:val="0"/>
    </w:rPr>
  </w:style>
  <w:style w:type="paragraph" w:styleId="1268">
    <w:name w:val="四号正文"/>
    <w:basedOn w:val="1047"/>
    <w:next w:val="1268"/>
    <w:link w:val="1047"/>
    <w:pPr>
      <w:ind w:firstLine="560"/>
      <w:spacing w:before="0" w:after="0"/>
    </w:pPr>
    <w:rPr>
      <w:rFonts w:ascii="Times New Roman" w:hAnsi="Times New Roman" w:eastAsia="宋体" w:cs="Times New Roman"/>
      <w:sz w:val="28"/>
      <w:szCs w:val="28"/>
    </w:rPr>
  </w:style>
  <w:style w:type="paragraph" w:styleId="1269">
    <w:name w:val="flName"/>
    <w:basedOn w:val="1258"/>
    <w:next w:val="1269"/>
    <w:link w:val="1047"/>
    <w:pPr>
      <w:spacing w:before="0" w:line="113" w:lineRule="atLeast"/>
    </w:pPr>
    <w:rPr>
      <w:rFonts w:ascii="Times New Roman" w:hAnsi="Times New Roman" w:eastAsia="宋体" w:cs="Times New Roman"/>
    </w:rPr>
  </w:style>
  <w:style w:type="paragraph" w:styleId="1270">
    <w:name w:val="表格内容"/>
    <w:basedOn w:val="1047"/>
    <w:next w:val="1270"/>
    <w:link w:val="1047"/>
    <w:pPr>
      <w:jc w:val="center"/>
      <w:spacing w:before="60" w:line="300" w:lineRule="auto"/>
      <w:widowControl/>
    </w:pPr>
    <w:rPr>
      <w:rFonts w:ascii="Times New Roman" w:hAnsi="Times New Roman" w:eastAsia="宋体" w:cs="Times New Roman"/>
    </w:rPr>
  </w:style>
  <w:style w:type="paragraph" w:styleId="1271">
    <w:name w:val="丁华正文"/>
    <w:basedOn w:val="1111"/>
    <w:next w:val="1271"/>
    <w:link w:val="1047"/>
    <w:pPr>
      <w:ind w:left="0" w:firstLine="510"/>
      <w:spacing w:line="360" w:lineRule="auto"/>
    </w:pPr>
    <w:rPr>
      <w:rFonts w:ascii="Times New Roman" w:hAnsi="Times New Roman" w:eastAsia="宋体" w:cs="Times New Roman"/>
      <w:color w:val="000000"/>
      <w:sz w:val="24"/>
      <w:szCs w:val="16"/>
    </w:rPr>
  </w:style>
  <w:style w:type="paragraph" w:styleId="1272">
    <w:name w:val="丁华标题1"/>
    <w:basedOn w:val="1048"/>
    <w:next w:val="1271"/>
    <w:link w:val="1047"/>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73">
    <w:name w:val=" Char1 Char Char Char"/>
    <w:basedOn w:val="1047"/>
    <w:next w:val="1273"/>
    <w:link w:val="1047"/>
    <w:rPr>
      <w:rFonts w:ascii="Tahoma" w:hAnsi="Tahoma" w:eastAsia="宋体" w:cs="Times New Roman"/>
      <w:sz w:val="24"/>
    </w:rPr>
  </w:style>
  <w:style w:type="paragraph" w:styleId="1274">
    <w:name w:val="正文 + 宋体"/>
    <w:basedOn w:val="1047"/>
    <w:next w:val="1274"/>
    <w:link w:val="1047"/>
    <w:pPr>
      <w:ind w:firstLine="420"/>
      <w:spacing w:line="360" w:lineRule="auto"/>
    </w:pPr>
    <w:rPr>
      <w:rFonts w:ascii="Times New Roman" w:hAnsi="Times New Roman" w:eastAsia="宋体" w:cs="Times New Roman"/>
      <w:szCs w:val="24"/>
    </w:rPr>
  </w:style>
  <w:style w:type="paragraph" w:styleId="1275">
    <w:name w:val="二级标题"/>
    <w:basedOn w:val="1047"/>
    <w:next w:val="1275"/>
    <w:link w:val="1047"/>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76">
    <w:name w:val="Char Char Char Char Char Char Char Char Char Char Char"/>
    <w:basedOn w:val="1047"/>
    <w:next w:val="1276"/>
    <w:link w:val="1047"/>
    <w:rPr>
      <w:rFonts w:ascii="Tahoma" w:hAnsi="Tahoma" w:eastAsia="宋体" w:cs="Tahoma"/>
      <w:sz w:val="24"/>
    </w:rPr>
  </w:style>
  <w:style w:type="paragraph" w:styleId="1277">
    <w:name w:val="xl49"/>
    <w:basedOn w:val="1047"/>
    <w:next w:val="1277"/>
    <w:link w:val="104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78">
    <w:name w:val="Char Char1"/>
    <w:basedOn w:val="1047"/>
    <w:next w:val="1278"/>
    <w:link w:val="1047"/>
    <w:rPr>
      <w:rFonts w:ascii="Tahoma" w:hAnsi="Tahoma" w:eastAsia="宋体" w:cs="Tahoma"/>
      <w:sz w:val="24"/>
    </w:rPr>
  </w:style>
  <w:style w:type="paragraph" w:styleId="1279">
    <w:name w:val="List Paragraph"/>
    <w:basedOn w:val="1047"/>
    <w:next w:val="1279"/>
    <w:link w:val="1047"/>
    <w:pPr>
      <w:contextualSpacing/>
      <w:ind w:left="720"/>
      <w:jc w:val="left"/>
      <w:widowControl/>
    </w:pPr>
    <w:rPr>
      <w:rFonts w:ascii="Arial" w:hAnsi="Arial" w:eastAsia="黑体" w:cs="Times New Roman"/>
      <w:sz w:val="24"/>
      <w:szCs w:val="24"/>
      <w:lang w:eastAsia="en-US"/>
    </w:rPr>
  </w:style>
  <w:style w:type="paragraph" w:styleId="1280">
    <w:name w:val="样式"/>
    <w:basedOn w:val="1047"/>
    <w:next w:val="1280"/>
    <w:link w:val="1047"/>
    <w:pPr>
      <w:spacing w:before="120" w:after="120" w:line="360" w:lineRule="auto"/>
    </w:pPr>
    <w:rPr>
      <w:rFonts w:ascii="宋体" w:hAnsi="Times New Roman" w:eastAsia="宋体" w:cs="Times New Roman"/>
      <w:sz w:val="24"/>
    </w:rPr>
  </w:style>
  <w:style w:type="paragraph" w:styleId="1281">
    <w:name w:val="font14"/>
    <w:basedOn w:val="1047"/>
    <w:next w:val="1281"/>
    <w:link w:val="1047"/>
    <w:pPr>
      <w:jc w:val="left"/>
      <w:spacing w:before="100" w:beforeAutospacing="1" w:after="100" w:afterAutospacing="1"/>
      <w:widowControl/>
    </w:pPr>
    <w:rPr>
      <w:rFonts w:ascii="Times New Roman" w:hAnsi="Times New Roman" w:eastAsia="宋体" w:cs="Times New Roman"/>
      <w:sz w:val="36"/>
      <w:szCs w:val="36"/>
    </w:rPr>
  </w:style>
  <w:style w:type="paragraph" w:styleId="1282">
    <w:name w:val="正文 首行缩进:  2 字符 Char Char"/>
    <w:basedOn w:val="1047"/>
    <w:next w:val="1282"/>
    <w:link w:val="1047"/>
    <w:pPr>
      <w:ind w:firstLine="480"/>
      <w:spacing w:line="360" w:lineRule="auto"/>
    </w:pPr>
    <w:rPr>
      <w:rFonts w:ascii="楷体_GB2312" w:hAnsi="Times New Roman" w:eastAsia="楷体_GB2312" w:cs="Times New Roman"/>
      <w:bCs/>
      <w:sz w:val="24"/>
      <w:szCs w:val="24"/>
    </w:rPr>
  </w:style>
  <w:style w:type="paragraph" w:styleId="1283">
    <w:name w:val="样式1"/>
    <w:basedOn w:val="1047"/>
    <w:next w:val="1283"/>
    <w:link w:val="1047"/>
    <w:pPr>
      <w:ind w:firstLine="480"/>
      <w:spacing w:line="300" w:lineRule="auto"/>
    </w:pPr>
    <w:rPr>
      <w:rFonts w:ascii="Times New Roman" w:hAnsi="Times New Roman" w:eastAsia="宋体" w:cs="Times New Roman"/>
      <w:sz w:val="24"/>
      <w:szCs w:val="24"/>
    </w:rPr>
  </w:style>
  <w:style w:type="paragraph" w:styleId="1284">
    <w:name w:val="Char Char Char Char Char"/>
    <w:basedOn w:val="1047"/>
    <w:next w:val="1284"/>
    <w:link w:val="1047"/>
    <w:rPr>
      <w:rFonts w:ascii="Tahoma" w:hAnsi="Tahoma" w:eastAsia="宋体" w:cs="Tahoma"/>
      <w:sz w:val="24"/>
    </w:rPr>
  </w:style>
  <w:style w:type="paragraph" w:styleId="1285">
    <w:name w:val="xl31"/>
    <w:basedOn w:val="1047"/>
    <w:next w:val="1285"/>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6">
    <w:name w:val="正文 首行缩进:  2 字符 Char"/>
    <w:basedOn w:val="1047"/>
    <w:next w:val="1286"/>
    <w:link w:val="1047"/>
    <w:pPr>
      <w:ind w:firstLine="480"/>
      <w:spacing w:line="360" w:lineRule="auto"/>
    </w:pPr>
    <w:rPr>
      <w:rFonts w:ascii="Times New Roman" w:hAnsi="Times New Roman" w:eastAsia="宋体" w:cs="宋体"/>
      <w:sz w:val="24"/>
    </w:rPr>
  </w:style>
  <w:style w:type="paragraph" w:styleId="1287">
    <w:name w:val=" Char Char Char Char Char Char Char Char Char Char Char"/>
    <w:basedOn w:val="1047"/>
    <w:next w:val="1287"/>
    <w:link w:val="1047"/>
    <w:rPr>
      <w:rFonts w:ascii="Tahoma" w:hAnsi="Tahoma" w:eastAsia="宋体" w:cs="Times New Roman"/>
      <w:sz w:val="24"/>
    </w:rPr>
  </w:style>
  <w:style w:type="paragraph" w:styleId="1288">
    <w:name w:val="列出段落"/>
    <w:basedOn w:val="1047"/>
    <w:next w:val="1288"/>
    <w:link w:val="1047"/>
    <w:qFormat/>
    <w:pPr>
      <w:ind w:firstLine="420"/>
    </w:pPr>
    <w:rPr>
      <w:rFonts w:ascii="Times New Roman" w:hAnsi="Times New Roman" w:eastAsia="宋体" w:cs="Times New Roman"/>
      <w:szCs w:val="24"/>
    </w:rPr>
  </w:style>
  <w:style w:type="paragraph" w:styleId="1289">
    <w:name w:val="No Spacing"/>
    <w:next w:val="1289"/>
    <w:link w:val="1047"/>
    <w:pPr>
      <w:jc w:val="both"/>
      <w:widowControl w:val="off"/>
    </w:pPr>
    <w:rPr>
      <w:rFonts w:eastAsia="微软雅黑"/>
      <w:sz w:val="24"/>
      <w:szCs w:val="22"/>
      <w:lang w:val="en-US" w:eastAsia="zh-CN" w:bidi="ar-SA"/>
    </w:rPr>
  </w:style>
  <w:style w:type="paragraph" w:styleId="1290">
    <w:name w:val="retrait3"/>
    <w:basedOn w:val="1047"/>
    <w:next w:val="1290"/>
    <w:link w:val="1047"/>
    <w:pPr>
      <w:ind w:left="851"/>
      <w:jc w:val="left"/>
      <w:spacing w:before="20" w:after="20"/>
      <w:widowControl/>
    </w:pPr>
    <w:rPr>
      <w:rFonts w:ascii="Arial" w:hAnsi="Arial" w:eastAsia="宋体" w:cs="Times New Roman"/>
      <w:sz w:val="24"/>
      <w:lang w:val="en-GB"/>
    </w:rPr>
  </w:style>
  <w:style w:type="paragraph" w:styleId="1291">
    <w:name w:val="tableau"/>
    <w:basedOn w:val="1047"/>
    <w:next w:val="1291"/>
    <w:link w:val="1047"/>
    <w:pPr>
      <w:jc w:val="center"/>
      <w:spacing w:before="20" w:after="20"/>
      <w:widowControl/>
    </w:pPr>
    <w:rPr>
      <w:rFonts w:ascii="Arial" w:hAnsi="Arial" w:eastAsia="宋体" w:cs="Times New Roman"/>
      <w:sz w:val="16"/>
      <w:lang w:val="en-GB" w:eastAsia="en-US"/>
    </w:rPr>
  </w:style>
  <w:style w:type="paragraph" w:styleId="1292">
    <w:name w:val="xl36"/>
    <w:basedOn w:val="1047"/>
    <w:next w:val="1292"/>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93">
    <w:name w:val="Char Char1 Char Char Char Char"/>
    <w:basedOn w:val="1076"/>
    <w:next w:val="1293"/>
    <w:link w:val="1047"/>
    <w:pPr>
      <w:ind w:left="357"/>
      <w:jc w:val="left"/>
      <w:spacing w:line="436" w:lineRule="exact"/>
      <w:outlineLvl w:val="3"/>
    </w:pPr>
    <w:rPr>
      <w:rFonts w:ascii="Tahoma" w:hAnsi="Tahoma" w:eastAsia="宋体" w:cs="Tahoma"/>
      <w:b/>
      <w:sz w:val="24"/>
      <w:szCs w:val="24"/>
    </w:rPr>
  </w:style>
  <w:style w:type="paragraph" w:styleId="1294">
    <w:name w:val="_Style 42"/>
    <w:basedOn w:val="1047"/>
    <w:next w:val="1059"/>
    <w:link w:val="1047"/>
    <w:rPr>
      <w:rFonts w:ascii="楷体_GB2312" w:hAnsi="Arial" w:eastAsia="楷体_GB2312" w:cs="Times New Roman"/>
      <w:sz w:val="28"/>
    </w:rPr>
  </w:style>
  <w:style w:type="paragraph" w:styleId="1295">
    <w:name w:val="xl28"/>
    <w:basedOn w:val="1047"/>
    <w:next w:val="1295"/>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6">
    <w:name w:val="正文格式"/>
    <w:basedOn w:val="1047"/>
    <w:next w:val="1296"/>
    <w:link w:val="1047"/>
    <w:pPr>
      <w:ind w:left="178" w:right="44" w:hanging="178"/>
      <w:jc w:val="left"/>
      <w:spacing w:before="78" w:line="360" w:lineRule="auto"/>
      <w:widowControl/>
    </w:pPr>
    <w:rPr>
      <w:rFonts w:ascii="宋体" w:hAnsi="宋体" w:eastAsia="宋体" w:cs="Times New Roman"/>
      <w:bCs/>
      <w:szCs w:val="21"/>
    </w:rPr>
  </w:style>
  <w:style w:type="paragraph" w:styleId="1297">
    <w:name w:val="项目符号，一级"/>
    <w:basedOn w:val="1296"/>
    <w:next w:val="1296"/>
    <w:link w:val="1047"/>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98">
    <w:name w:val="xl37"/>
    <w:basedOn w:val="1047"/>
    <w:next w:val="1298"/>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9">
    <w:name w:val="项目符号，二级"/>
    <w:basedOn w:val="1296"/>
    <w:next w:val="1296"/>
    <w:link w:val="1047"/>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300">
    <w:name w:val="xl59"/>
    <w:basedOn w:val="1047"/>
    <w:next w:val="1300"/>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1">
    <w:name w:val="小四 段落 宋体 Char"/>
    <w:basedOn w:val="1074"/>
    <w:next w:val="1301"/>
    <w:link w:val="1047"/>
    <w:pPr>
      <w:ind w:left="0" w:right="-33" w:firstLine="600"/>
      <w:jc w:val="left"/>
      <w:tabs>
        <w:tab w:val="clear" w:pos="2952" w:leader="none"/>
      </w:tabs>
    </w:pPr>
    <w:rPr>
      <w:rFonts w:ascii="仿宋_GB2312" w:hAnsi="Times New Roman" w:eastAsia="仿宋_GB2312" w:cs="Times New Roman"/>
      <w:sz w:val="30"/>
      <w:szCs w:val="30"/>
    </w:rPr>
  </w:style>
  <w:style w:type="paragraph" w:styleId="1302">
    <w:name w:val="xl60"/>
    <w:basedOn w:val="1047"/>
    <w:next w:val="1302"/>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03">
    <w:name w:val="Char Char Char Char Char Char Char Char Char Char Char Char Char"/>
    <w:basedOn w:val="1047"/>
    <w:next w:val="1303"/>
    <w:link w:val="1047"/>
    <w:pPr>
      <w:jc w:val="left"/>
      <w:spacing w:after="160" w:line="240" w:lineRule="exact"/>
      <w:widowControl/>
    </w:pPr>
    <w:rPr>
      <w:rFonts w:ascii="Times New Roman" w:hAnsi="Times New Roman" w:eastAsia="宋体" w:cs="Times New Roman"/>
      <w:szCs w:val="24"/>
    </w:rPr>
  </w:style>
  <w:style w:type="paragraph" w:styleId="1304">
    <w:name w:val="表头_5"/>
    <w:basedOn w:val="1047"/>
    <w:next w:val="1304"/>
    <w:link w:val="1047"/>
    <w:pPr>
      <w:spacing w:line="360" w:lineRule="auto"/>
    </w:pPr>
    <w:rPr>
      <w:rFonts w:ascii="Times New Roman" w:hAnsi="Times New Roman" w:eastAsia="宋体" w:cs="Times New Roman"/>
      <w:b/>
      <w:bCs/>
      <w:sz w:val="28"/>
      <w:szCs w:val="21"/>
    </w:rPr>
  </w:style>
  <w:style w:type="paragraph" w:styleId="1305">
    <w:name w:val="样式 标题 3H3sect1.2.3BOD 0Heading 3 - oldh3l3CTLevel 3 Head..."/>
    <w:basedOn w:val="1050"/>
    <w:next w:val="1305"/>
    <w:link w:val="1047"/>
    <w:pPr>
      <w:jc w:val="left"/>
      <w:spacing w:before="156" w:after="156"/>
    </w:pPr>
    <w:rPr>
      <w:rFonts w:ascii="Times New Roman" w:hAnsi="Times New Roman" w:eastAsia="宋体" w:cs="宋体"/>
      <w:bCs/>
      <w:sz w:val="30"/>
    </w:rPr>
  </w:style>
  <w:style w:type="paragraph" w:styleId="1306">
    <w:name w:val="样式2"/>
    <w:basedOn w:val="1047"/>
    <w:next w:val="1306"/>
    <w:link w:val="1047"/>
    <w:pPr>
      <w:ind w:left="200"/>
      <w:spacing w:line="360" w:lineRule="auto"/>
    </w:pPr>
    <w:rPr>
      <w:rFonts w:ascii="宋体" w:hAnsi="宋体" w:eastAsia="宋体" w:cs="Times New Roman"/>
      <w:b/>
      <w:sz w:val="24"/>
      <w:szCs w:val="24"/>
    </w:rPr>
  </w:style>
  <w:style w:type="paragraph" w:styleId="1307">
    <w:name w:val=" Char Char Char Char Char Char Char"/>
    <w:basedOn w:val="1047"/>
    <w:next w:val="1307"/>
    <w:link w:val="1047"/>
    <w:rPr>
      <w:rFonts w:ascii="Tahoma" w:hAnsi="Tahoma" w:eastAsia="宋体" w:cs="Times New Roman"/>
      <w:sz w:val="24"/>
    </w:rPr>
  </w:style>
  <w:style w:type="paragraph" w:styleId="1308">
    <w:name w:val="Default Text"/>
    <w:basedOn w:val="1047"/>
    <w:next w:val="1308"/>
    <w:link w:val="1047"/>
    <w:pPr>
      <w:jc w:val="left"/>
      <w:widowControl/>
    </w:pPr>
    <w:rPr>
      <w:rFonts w:ascii="Times New Roman" w:hAnsi="Times New Roman" w:eastAsia="宋体" w:cs="Times New Roman"/>
      <w:sz w:val="24"/>
      <w:lang w:eastAsia="en-US"/>
    </w:rPr>
  </w:style>
  <w:style w:type="paragraph" w:styleId="1309">
    <w:name w:val="Char Char Char Char Char Char Char Char Char Char Char Char Char Char Char Char Char Char Char Char Char Char Char"/>
    <w:basedOn w:val="1047"/>
    <w:next w:val="1309"/>
    <w:link w:val="1047"/>
    <w:rPr>
      <w:rFonts w:ascii="Tahoma" w:hAnsi="Tahoma" w:eastAsia="宋体" w:cs="Tahoma"/>
      <w:sz w:val="24"/>
    </w:rPr>
  </w:style>
  <w:style w:type="paragraph" w:styleId="1310">
    <w:name w:val="Bullets L1"/>
    <w:basedOn w:val="1047"/>
    <w:next w:val="1310"/>
    <w:link w:val="1047"/>
    <w:pPr>
      <w:numPr>
        <w:ilvl w:val="0"/>
        <w:numId w:val="2"/>
      </w:numPr>
      <w:jc w:val="left"/>
      <w:spacing w:before="60" w:after="60"/>
      <w:widowControl/>
      <w:tabs>
        <w:tab w:val="left" w:pos="360" w:leader="none"/>
      </w:tabs>
    </w:pPr>
    <w:rPr>
      <w:rFonts w:ascii="Arial" w:hAnsi="Arial" w:eastAsia="宋体" w:cs="Times New Roman"/>
      <w:sz w:val="20"/>
    </w:rPr>
  </w:style>
  <w:style w:type="paragraph" w:styleId="1311">
    <w:name w:val=" Char Char Char Char Char Char Char Char Char Char Char Char Char"/>
    <w:basedOn w:val="1076"/>
    <w:next w:val="1311"/>
    <w:link w:val="1047"/>
    <w:rPr>
      <w:rFonts w:ascii="Tahoma" w:hAnsi="Tahoma" w:eastAsia="宋体" w:cs="Times New Roman"/>
      <w:sz w:val="24"/>
      <w:szCs w:val="24"/>
    </w:rPr>
  </w:style>
  <w:style w:type="paragraph" w:styleId="1312">
    <w:name w:val="默认段落字体 Para Char"/>
    <w:basedOn w:val="1047"/>
    <w:next w:val="1312"/>
    <w:link w:val="1047"/>
    <w:rPr>
      <w:rFonts w:ascii="Times New Roman" w:hAnsi="Times New Roman" w:eastAsia="宋体" w:cs="Times New Roman"/>
      <w:sz w:val="24"/>
      <w:szCs w:val="24"/>
    </w:rPr>
  </w:style>
  <w:style w:type="paragraph" w:styleId="1313">
    <w:name w:val="标准小四"/>
    <w:basedOn w:val="1047"/>
    <w:next w:val="1313"/>
    <w:link w:val="1047"/>
    <w:pPr>
      <w:ind w:firstLine="480"/>
      <w:spacing w:line="360" w:lineRule="auto"/>
    </w:pPr>
    <w:rPr>
      <w:rFonts w:ascii="Arial" w:hAnsi="Arial" w:eastAsia="宋体" w:cs="Times New Roman"/>
      <w:sz w:val="24"/>
      <w:szCs w:val="21"/>
    </w:rPr>
  </w:style>
  <w:style w:type="paragraph" w:styleId="1314">
    <w:name w:val="马刚标题1"/>
    <w:basedOn w:val="1048"/>
    <w:next w:val="1047"/>
    <w:link w:val="1047"/>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15">
    <w:name w:val="font13"/>
    <w:basedOn w:val="1047"/>
    <w:next w:val="1315"/>
    <w:link w:val="1047"/>
    <w:pPr>
      <w:jc w:val="left"/>
      <w:spacing w:before="100" w:beforeAutospacing="1" w:after="100" w:afterAutospacing="1"/>
      <w:widowControl/>
    </w:pPr>
    <w:rPr>
      <w:rFonts w:ascii="Times New Roman" w:hAnsi="Times New Roman" w:eastAsia="宋体" w:cs="Times New Roman"/>
      <w:i/>
      <w:iCs/>
      <w:sz w:val="36"/>
      <w:szCs w:val="36"/>
    </w:rPr>
  </w:style>
  <w:style w:type="paragraph" w:styleId="1316">
    <w:name w:val="font11"/>
    <w:basedOn w:val="1047"/>
    <w:next w:val="1316"/>
    <w:link w:val="1047"/>
    <w:pPr>
      <w:jc w:val="left"/>
      <w:spacing w:before="100" w:beforeAutospacing="1" w:after="100" w:afterAutospacing="1"/>
      <w:widowControl/>
    </w:pPr>
    <w:rPr>
      <w:rFonts w:ascii="Times New Roman" w:hAnsi="Times New Roman" w:eastAsia="宋体" w:cs="Times New Roman"/>
      <w:b/>
      <w:bCs/>
      <w:sz w:val="18"/>
      <w:szCs w:val="18"/>
    </w:rPr>
  </w:style>
  <w:style w:type="paragraph" w:styleId="1317">
    <w:name w:val="00-表格的正文"/>
    <w:basedOn w:val="1047"/>
    <w:next w:val="1317"/>
    <w:link w:val="1047"/>
    <w:pPr>
      <w:jc w:val="left"/>
      <w:spacing w:line="440" w:lineRule="exact"/>
    </w:pPr>
    <w:rPr>
      <w:rFonts w:ascii="楷体" w:hAnsi="楷体" w:eastAsia="宋体" w:cs="Times New Roman"/>
      <w:color w:val="000000"/>
      <w:sz w:val="20"/>
      <w:szCs w:val="24"/>
    </w:rPr>
  </w:style>
  <w:style w:type="paragraph" w:styleId="1318">
    <w:name w:val="a0"/>
    <w:basedOn w:val="1047"/>
    <w:next w:val="1318"/>
    <w:link w:val="1047"/>
    <w:pPr>
      <w:spacing w:before="100" w:beforeAutospacing="1" w:after="100" w:afterAutospacing="1"/>
      <w:widowControl/>
    </w:pPr>
    <w:rPr>
      <w:rFonts w:ascii="宋体" w:hAnsi="宋体" w:eastAsia="宋体" w:cs="宋体"/>
      <w:sz w:val="24"/>
      <w:szCs w:val="24"/>
    </w:rPr>
  </w:style>
  <w:style w:type="paragraph" w:styleId="1319">
    <w:name w:val="xl32"/>
    <w:basedOn w:val="1047"/>
    <w:next w:val="131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0">
    <w:name w:val="Char Char Char Char Char Char Char Char"/>
    <w:basedOn w:val="1047"/>
    <w:next w:val="1320"/>
    <w:link w:val="1047"/>
    <w:rPr>
      <w:rFonts w:ascii="Tahoma" w:hAnsi="Tahoma" w:eastAsia="宋体" w:cs="Tahoma"/>
      <w:sz w:val="24"/>
    </w:rPr>
  </w:style>
  <w:style w:type="paragraph" w:styleId="1321">
    <w:name w:val="正文文本 21"/>
    <w:basedOn w:val="1047"/>
    <w:next w:val="1321"/>
    <w:link w:val="1047"/>
    <w:pPr>
      <w:ind w:left="720" w:hanging="720"/>
      <w:widowControl/>
    </w:pPr>
    <w:rPr>
      <w:rFonts w:ascii="Times New Roman" w:hAnsi="Times New Roman" w:eastAsia="宋体" w:cs="Times New Roman"/>
      <w:sz w:val="24"/>
      <w:lang w:val="en-GB"/>
    </w:rPr>
  </w:style>
  <w:style w:type="paragraph" w:styleId="1322">
    <w:name w:val="项目符号：一级"/>
    <w:basedOn w:val="1296"/>
    <w:next w:val="1296"/>
    <w:link w:val="1047"/>
    <w:pPr>
      <w:ind w:right="-134"/>
    </w:pPr>
    <w:rPr>
      <w:rFonts w:ascii="Times New Roman" w:hAnsi="Times New Roman" w:eastAsia="宋体" w:cs="Times New Roman"/>
      <w:bCs w:val="0"/>
    </w:rPr>
  </w:style>
  <w:style w:type="paragraph" w:styleId="1323">
    <w:name w:val="符号与编号 Char"/>
    <w:basedOn w:val="1047"/>
    <w:next w:val="1323"/>
    <w:link w:val="1047"/>
    <w:pPr>
      <w:ind w:left="720"/>
      <w:spacing w:after="156" w:line="400" w:lineRule="atLeast"/>
      <w:tabs>
        <w:tab w:val="left" w:pos="720" w:leader="none"/>
      </w:tabs>
    </w:pPr>
    <w:rPr>
      <w:rFonts w:ascii="Times New Roman" w:hAnsi="Times New Roman" w:eastAsia="宋体" w:cs="Times New Roman"/>
      <w:sz w:val="24"/>
      <w:szCs w:val="24"/>
    </w:rPr>
  </w:style>
  <w:style w:type="paragraph" w:styleId="1324">
    <w:name w:val="a"/>
    <w:basedOn w:val="1047"/>
    <w:next w:val="1324"/>
    <w:link w:val="1047"/>
    <w:pPr>
      <w:spacing w:before="100" w:beforeAutospacing="1" w:after="100" w:afterAutospacing="1"/>
      <w:widowControl/>
    </w:pPr>
    <w:rPr>
      <w:rFonts w:ascii="宋体" w:hAnsi="宋体" w:eastAsia="宋体" w:cs="宋体"/>
      <w:sz w:val="24"/>
      <w:szCs w:val="24"/>
    </w:rPr>
  </w:style>
  <w:style w:type="paragraph" w:styleId="1325">
    <w:name w:val="xl57"/>
    <w:basedOn w:val="1047"/>
    <w:next w:val="1325"/>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26">
    <w:name w:val="正文1"/>
    <w:basedOn w:val="1047"/>
    <w:next w:val="1047"/>
    <w:link w:val="1047"/>
    <w:pPr>
      <w:ind w:firstLine="510"/>
      <w:spacing w:before="156" w:line="360" w:lineRule="auto"/>
    </w:pPr>
    <w:rPr>
      <w:rFonts w:ascii="Times New Roman" w:hAnsi="Times New Roman" w:eastAsia="宋体" w:cs="Times New Roman"/>
      <w:sz w:val="24"/>
    </w:rPr>
  </w:style>
  <w:style w:type="paragraph" w:styleId="1327">
    <w:name w:val="Char Char Char"/>
    <w:basedOn w:val="1047"/>
    <w:next w:val="1327"/>
    <w:link w:val="1047"/>
    <w:rPr>
      <w:rFonts w:ascii="Tahoma" w:hAnsi="Tahoma" w:eastAsia="宋体" w:cs="Times New Roman"/>
      <w:sz w:val="24"/>
    </w:rPr>
  </w:style>
  <w:style w:type="paragraph" w:styleId="1328">
    <w:name w:val="行文"/>
    <w:basedOn w:val="1047"/>
    <w:next w:val="1328"/>
    <w:link w:val="1047"/>
    <w:pPr>
      <w:ind w:firstLine="624"/>
      <w:spacing w:before="0" w:after="0" w:line="480" w:lineRule="exact"/>
    </w:pPr>
    <w:rPr>
      <w:rFonts w:ascii="Times New Roman" w:hAnsi="Times New Roman" w:eastAsia="仿宋_GB2312" w:cs="Times New Roman"/>
      <w:spacing w:val="8"/>
      <w:sz w:val="30"/>
    </w:rPr>
  </w:style>
  <w:style w:type="paragraph" w:styleId="1329">
    <w:name w:val="font7"/>
    <w:basedOn w:val="1047"/>
    <w:next w:val="1329"/>
    <w:link w:val="1047"/>
    <w:pPr>
      <w:jc w:val="left"/>
      <w:spacing w:before="100" w:beforeAutospacing="1" w:after="100" w:afterAutospacing="1"/>
      <w:widowControl/>
    </w:pPr>
    <w:rPr>
      <w:rFonts w:hint="eastAsia" w:ascii="宋体" w:hAnsi="宋体" w:eastAsia="宋体" w:cs="Times New Roman"/>
      <w:b/>
      <w:bCs/>
      <w:sz w:val="24"/>
      <w:szCs w:val="24"/>
    </w:rPr>
  </w:style>
  <w:style w:type="paragraph" w:styleId="1330">
    <w:name w:val=" Char Char Char Char Char Char Char Char"/>
    <w:basedOn w:val="1047"/>
    <w:next w:val="1330"/>
    <w:link w:val="1047"/>
    <w:rPr>
      <w:rFonts w:ascii="Tahoma" w:hAnsi="Tahoma" w:eastAsia="宋体" w:cs="Times New Roman"/>
      <w:sz w:val="24"/>
    </w:rPr>
  </w:style>
  <w:style w:type="paragraph" w:styleId="1331">
    <w:name w:val="样式 正文缩进2字符 + 左侧:  2 字符 首行缩进:  2 字符"/>
    <w:basedOn w:val="1047"/>
    <w:next w:val="1331"/>
    <w:link w:val="1047"/>
    <w:pPr>
      <w:ind w:firstLine="480"/>
      <w:spacing w:line="360" w:lineRule="auto"/>
    </w:pPr>
    <w:rPr>
      <w:rFonts w:ascii="Times New Roman" w:hAnsi="Times New Roman" w:eastAsia="宋体" w:cs="宋体"/>
      <w:bCs/>
      <w:sz w:val="24"/>
      <w:szCs w:val="20"/>
    </w:rPr>
  </w:style>
  <w:style w:type="paragraph" w:styleId="1332">
    <w:name w:val="表格内文字"/>
    <w:basedOn w:val="1047"/>
    <w:next w:val="1332"/>
    <w:link w:val="1047"/>
    <w:pPr>
      <w:spacing w:line="300" w:lineRule="atLeast"/>
    </w:pPr>
    <w:rPr>
      <w:rFonts w:ascii="Times New Roman" w:hAnsi="Times New Roman" w:eastAsia="宋体" w:cs="Times New Roman"/>
      <w:sz w:val="18"/>
      <w:szCs w:val="24"/>
    </w:rPr>
  </w:style>
  <w:style w:type="paragraph" w:styleId="1333">
    <w:name w:val="xl46"/>
    <w:basedOn w:val="1047"/>
    <w:next w:val="1333"/>
    <w:link w:val="1047"/>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34">
    <w:name w:val=" Char Char Char Char"/>
    <w:basedOn w:val="1047"/>
    <w:next w:val="1334"/>
    <w:link w:val="1047"/>
    <w:pPr>
      <w:jc w:val="center"/>
      <w:spacing w:after="160" w:line="240" w:lineRule="exact"/>
      <w:widowControl/>
    </w:pPr>
    <w:rPr>
      <w:rFonts w:ascii="黑体" w:hAnsi="Verdana" w:eastAsia="黑体" w:cs="Times New Roman"/>
      <w:sz w:val="32"/>
      <w:szCs w:val="32"/>
      <w:lang w:eastAsia="en-US"/>
    </w:rPr>
  </w:style>
  <w:style w:type="paragraph" w:styleId="1335">
    <w:name w:val="Normal1"/>
    <w:basedOn w:val="1047"/>
    <w:next w:val="1335"/>
    <w:link w:val="1047"/>
    <w:rPr>
      <w:rFonts w:ascii="Calibri" w:hAnsi="Calibri" w:eastAsia="Calibri" w:cs="宋体"/>
      <w:lang w:val="zh-CN"/>
    </w:rPr>
  </w:style>
  <w:style w:type="paragraph" w:styleId="1336">
    <w:name w:val="样式 小四 行距: 固定值 25 磅8"/>
    <w:basedOn w:val="1047"/>
    <w:next w:val="1047"/>
    <w:link w:val="1047"/>
    <w:pPr>
      <w:ind w:firstLine="464"/>
      <w:spacing w:line="500" w:lineRule="exact"/>
    </w:pPr>
    <w:rPr>
      <w:rFonts w:ascii="Times New Roman" w:hAnsi="Times New Roman" w:eastAsia="宋体" w:cs="宋体"/>
      <w:sz w:val="24"/>
    </w:rPr>
  </w:style>
  <w:style w:type="paragraph" w:styleId="1337">
    <w:name w:val=" Char Char1"/>
    <w:basedOn w:val="1047"/>
    <w:next w:val="1337"/>
    <w:link w:val="1047"/>
    <w:rPr>
      <w:rFonts w:ascii="Tahoma" w:hAnsi="Tahoma" w:eastAsia="宋体" w:cs="Times New Roman"/>
      <w:sz w:val="24"/>
    </w:rPr>
  </w:style>
  <w:style w:type="paragraph" w:styleId="1338">
    <w:name w:val="af17cgridlangnp1033langf"/>
    <w:next w:val="1338"/>
    <w:link w:val="1047"/>
    <w:pPr>
      <w:ind w:left="567" w:firstLine="510"/>
      <w:jc w:val="both"/>
      <w:spacing w:before="156" w:line="360" w:lineRule="atLeast"/>
      <w:widowControl w:val="off"/>
    </w:pPr>
    <w:rPr>
      <w:lang w:val="en-US" w:eastAsia="zh-CN" w:bidi="ar-SA"/>
    </w:rPr>
  </w:style>
  <w:style w:type="paragraph" w:styleId="1339">
    <w:name w:val="华宇段落1 Char"/>
    <w:basedOn w:val="1047"/>
    <w:next w:val="1339"/>
    <w:link w:val="1047"/>
    <w:pPr>
      <w:ind w:firstLine="200"/>
      <w:spacing w:line="360" w:lineRule="auto"/>
    </w:pPr>
    <w:rPr>
      <w:rFonts w:ascii="Times New Roman" w:hAnsi="Times New Roman" w:eastAsia="宋体" w:cs="Times New Roman"/>
      <w:bCs/>
      <w:sz w:val="24"/>
      <w:szCs w:val="24"/>
    </w:rPr>
  </w:style>
  <w:style w:type="paragraph" w:styleId="1340">
    <w:name w:val="正文lzq"/>
    <w:basedOn w:val="1047"/>
    <w:next w:val="1340"/>
    <w:link w:val="1047"/>
    <w:pPr>
      <w:ind w:firstLine="480"/>
      <w:spacing w:line="360" w:lineRule="auto"/>
    </w:pPr>
    <w:rPr>
      <w:rFonts w:ascii="Times New Roman" w:hAnsi="Times New Roman" w:eastAsia="宋体" w:cs="Times New Roman"/>
      <w:sz w:val="24"/>
    </w:rPr>
  </w:style>
  <w:style w:type="paragraph" w:styleId="1341">
    <w:name w:val="正文--表格内正文"/>
    <w:basedOn w:val="1047"/>
    <w:next w:val="1341"/>
    <w:link w:val="1047"/>
    <w:pPr>
      <w:jc w:val="center"/>
      <w:spacing w:before="156" w:line="0" w:lineRule="atLeast"/>
    </w:pPr>
    <w:rPr>
      <w:rFonts w:ascii="宋体" w:hAnsi="宋体" w:eastAsia="宋体" w:cs="Times New Roman"/>
      <w:color w:val="000000"/>
      <w:sz w:val="24"/>
      <w:szCs w:val="24"/>
    </w:rPr>
  </w:style>
  <w:style w:type="paragraph" w:styleId="1342">
    <w:name w:val="xl25"/>
    <w:basedOn w:val="1047"/>
    <w:next w:val="1342"/>
    <w:link w:val="1047"/>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43">
    <w:name w:val="xl34"/>
    <w:basedOn w:val="1047"/>
    <w:next w:val="1343"/>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44">
    <w:name w:val="表格1"/>
    <w:basedOn w:val="1047"/>
    <w:next w:val="1344"/>
    <w:link w:val="1047"/>
    <w:rPr>
      <w:rFonts w:ascii="宋体" w:hAnsi="Times New Roman" w:eastAsia="宋体" w:cs="Times New Roman"/>
      <w:szCs w:val="21"/>
    </w:rPr>
  </w:style>
  <w:style w:type="paragraph" w:styleId="1345">
    <w:name w:val="xl55"/>
    <w:basedOn w:val="1047"/>
    <w:next w:val="1345"/>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46">
    <w:name w:val=" Char Char Char"/>
    <w:basedOn w:val="1076"/>
    <w:next w:val="1346"/>
    <w:link w:val="1047"/>
    <w:pPr>
      <w:spacing w:line="436" w:lineRule="exact"/>
    </w:pPr>
    <w:rPr>
      <w:rFonts w:ascii="Times New Roman" w:hAnsi="Times New Roman" w:eastAsia="宋体" w:cs="Times New Roman"/>
      <w:szCs w:val="24"/>
    </w:rPr>
  </w:style>
  <w:style w:type="paragraph" w:styleId="1347">
    <w:name w:val="表蕊"/>
    <w:basedOn w:val="1047"/>
    <w:next w:val="1347"/>
    <w:link w:val="1047"/>
    <w:pPr>
      <w:jc w:val="left"/>
      <w:spacing w:line="320" w:lineRule="atLeast"/>
    </w:pPr>
    <w:rPr>
      <w:rFonts w:ascii="Times New Roman" w:hAnsi="Times New Roman" w:eastAsia="楷体_GB2312" w:cs="Times New Roman"/>
      <w:spacing w:val="-10"/>
    </w:rPr>
  </w:style>
  <w:style w:type="paragraph" w:styleId="1348">
    <w:name w:val="样式 段后: 0.25 行"/>
    <w:basedOn w:val="1047"/>
    <w:next w:val="1348"/>
    <w:link w:val="1047"/>
    <w:pPr>
      <w:ind w:firstLine="420"/>
      <w:jc w:val="left"/>
      <w:spacing w:after="78" w:line="300" w:lineRule="auto"/>
      <w:widowControl/>
    </w:pPr>
    <w:rPr>
      <w:rFonts w:ascii="Arial" w:hAnsi="Arial" w:eastAsia="宋体" w:cs="宋体"/>
      <w:sz w:val="22"/>
      <w:lang w:eastAsia="en-US" w:bidi="en-US"/>
    </w:rPr>
  </w:style>
  <w:style w:type="paragraph" w:styleId="1349">
    <w:name w:val="xl35"/>
    <w:basedOn w:val="1047"/>
    <w:next w:val="134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50">
    <w:name w:val="Char Char1 Char Char Char Char Char Char Char"/>
    <w:basedOn w:val="1047"/>
    <w:next w:val="1350"/>
    <w:link w:val="1047"/>
    <w:rPr>
      <w:rFonts w:ascii="Tahoma" w:hAnsi="Tahoma" w:eastAsia="宋体" w:cs="Tahoma"/>
      <w:sz w:val="24"/>
    </w:rPr>
  </w:style>
  <w:style w:type="paragraph" w:styleId="1351">
    <w:name w:val="00-合正"/>
    <w:basedOn w:val="1047"/>
    <w:next w:val="1351"/>
    <w:link w:val="1047"/>
    <w:pPr>
      <w:ind w:firstLine="200"/>
      <w:jc w:val="left"/>
      <w:spacing w:line="560" w:lineRule="exact"/>
    </w:pPr>
    <w:rPr>
      <w:rFonts w:ascii="楷体" w:hAnsi="楷体" w:eastAsia="楷体" w:cs="Times New Roman"/>
      <w:color w:val="000000"/>
      <w:sz w:val="28"/>
      <w:szCs w:val="24"/>
    </w:rPr>
  </w:style>
  <w:style w:type="paragraph" w:styleId="1352">
    <w:name w:val="xl48"/>
    <w:basedOn w:val="1047"/>
    <w:next w:val="1352"/>
    <w:link w:val="104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53">
    <w:name w:val="xl47"/>
    <w:basedOn w:val="1047"/>
    <w:next w:val="1353"/>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54">
    <w:name w:val="Char Char Char Char Char Char Char Char Char Char Char1 Char Char Char1"/>
    <w:basedOn w:val="1047"/>
    <w:next w:val="1354"/>
    <w:link w:val="1047"/>
    <w:pPr>
      <w:ind w:firstLine="200"/>
      <w:jc w:val="left"/>
    </w:pPr>
    <w:rPr>
      <w:rFonts w:ascii="Tahoma" w:hAnsi="Tahoma" w:eastAsia="宋体" w:cs="Times New Roman"/>
      <w:sz w:val="24"/>
      <w:szCs w:val="24"/>
    </w:rPr>
  </w:style>
  <w:style w:type="paragraph" w:styleId="1355">
    <w:name w:val="一级标题"/>
    <w:basedOn w:val="1047"/>
    <w:next w:val="1355"/>
    <w:link w:val="1047"/>
    <w:pPr>
      <w:ind w:left="900" w:hanging="420"/>
      <w:spacing w:line="360" w:lineRule="auto"/>
      <w:tabs>
        <w:tab w:val="left" w:pos="903" w:leader="none"/>
      </w:tabs>
    </w:pPr>
    <w:rPr>
      <w:rFonts w:ascii="Arial" w:hAnsi="Arial" w:eastAsia="宋体" w:cs="Arial"/>
      <w:sz w:val="24"/>
    </w:rPr>
  </w:style>
  <w:style w:type="paragraph" w:styleId="1356">
    <w:name w:val="Char Char Char Char Char Char Char Char Char Char Char Char Char Char Char Char Char Char Char Char Char"/>
    <w:basedOn w:val="1047"/>
    <w:next w:val="1356"/>
    <w:link w:val="1047"/>
    <w:rPr>
      <w:rFonts w:ascii="Tahoma" w:hAnsi="Tahoma" w:eastAsia="宋体" w:cs="Tahoma"/>
      <w:sz w:val="24"/>
    </w:rPr>
  </w:style>
  <w:style w:type="paragraph" w:styleId="1357">
    <w:name w:val="xl38"/>
    <w:basedOn w:val="1047"/>
    <w:next w:val="1357"/>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58">
    <w:name w:val="xl40"/>
    <w:basedOn w:val="1047"/>
    <w:next w:val="1358"/>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9">
    <w:name w:val="普通正文"/>
    <w:basedOn w:val="1047"/>
    <w:next w:val="1359"/>
    <w:link w:val="1047"/>
    <w:pPr>
      <w:ind w:firstLine="480"/>
      <w:jc w:val="left"/>
    </w:pPr>
    <w:rPr>
      <w:rFonts w:ascii="Arial" w:hAnsi="Arial" w:eastAsia="宋体" w:cs="Times New Roman"/>
      <w:sz w:val="24"/>
      <w:szCs w:val="24"/>
    </w:rPr>
  </w:style>
  <w:style w:type="paragraph" w:styleId="1360">
    <w:name w:val="Char Char Char Char Char Char Char Char Char Char Char Char Char Char"/>
    <w:basedOn w:val="1047"/>
    <w:next w:val="1360"/>
    <w:link w:val="1047"/>
    <w:rPr>
      <w:rFonts w:ascii="Tahoma" w:hAnsi="Tahoma" w:eastAsia="宋体" w:cs="Tahoma"/>
      <w:sz w:val="24"/>
    </w:rPr>
  </w:style>
  <w:style w:type="paragraph" w:styleId="1361">
    <w:name w:val="标题6"/>
    <w:basedOn w:val="1052"/>
    <w:next w:val="1361"/>
    <w:link w:val="1047"/>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62">
    <w:name w:val="符号与编号 Char Char"/>
    <w:basedOn w:val="1047"/>
    <w:next w:val="1362"/>
    <w:link w:val="1047"/>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63">
    <w:name w:val="公文正文"/>
    <w:basedOn w:val="1084"/>
    <w:next w:val="1363"/>
    <w:link w:val="1047"/>
    <w:pPr>
      <w:ind w:firstLine="200"/>
    </w:pPr>
    <w:rPr>
      <w:rFonts w:ascii="仿宋_GB2312" w:hAnsi="宋体" w:eastAsia="仿宋_GB2312" w:cs="Times New Roman"/>
      <w:sz w:val="28"/>
      <w:szCs w:val="24"/>
    </w:rPr>
  </w:style>
  <w:style w:type="paragraph" w:styleId="1364">
    <w:name w:val="Pa6"/>
    <w:basedOn w:val="1047"/>
    <w:next w:val="1047"/>
    <w:link w:val="1047"/>
    <w:pPr>
      <w:jc w:val="left"/>
      <w:spacing w:line="241" w:lineRule="atLeast"/>
    </w:pPr>
    <w:rPr>
      <w:rFonts w:ascii="汉仪大黑简" w:hAnsi="Times New Roman" w:eastAsia="汉仪大黑简" w:cs="Times New Roman"/>
      <w:sz w:val="24"/>
      <w:szCs w:val="24"/>
    </w:rPr>
  </w:style>
  <w:style w:type="paragraph" w:styleId="1365">
    <w:name w:val="修订"/>
    <w:next w:val="1365"/>
    <w:link w:val="1047"/>
    <w:rPr>
      <w:sz w:val="21"/>
      <w:szCs w:val="24"/>
      <w:lang w:val="en-US" w:eastAsia="zh-CN" w:bidi="ar-SA"/>
    </w:rPr>
  </w:style>
  <w:style w:type="paragraph" w:styleId="1366">
    <w:name w:val="标准文本"/>
    <w:basedOn w:val="1047"/>
    <w:next w:val="1366"/>
    <w:link w:val="1047"/>
    <w:pPr>
      <w:ind w:firstLine="480"/>
      <w:spacing w:line="360" w:lineRule="auto"/>
    </w:pPr>
    <w:rPr>
      <w:rFonts w:ascii="Times New Roman" w:hAnsi="Times New Roman" w:eastAsia="宋体" w:cs="宋体"/>
      <w:sz w:val="24"/>
      <w:szCs w:val="24"/>
    </w:rPr>
  </w:style>
  <w:style w:type="paragraph" w:styleId="1367">
    <w:name w:val="公文标题 2"/>
    <w:basedOn w:val="1047"/>
    <w:next w:val="1363"/>
    <w:link w:val="1047"/>
    <w:pPr>
      <w:outlineLvl w:val="1"/>
    </w:pPr>
    <w:rPr>
      <w:rFonts w:ascii="仿宋_GB2312" w:hAnsi="宋体" w:eastAsia="仿宋_GB2312" w:cs="Times New Roman"/>
      <w:sz w:val="28"/>
      <w:szCs w:val="24"/>
    </w:rPr>
  </w:style>
  <w:style w:type="paragraph" w:styleId="1368">
    <w:name w:val="font12"/>
    <w:basedOn w:val="1047"/>
    <w:next w:val="1368"/>
    <w:link w:val="1047"/>
    <w:pPr>
      <w:jc w:val="left"/>
      <w:spacing w:before="100" w:beforeAutospacing="1" w:after="100" w:afterAutospacing="1"/>
      <w:widowControl/>
    </w:pPr>
    <w:rPr>
      <w:rFonts w:ascii="宋体" w:hAnsi="宋体" w:eastAsia="宋体" w:cs="宋体"/>
      <w:sz w:val="36"/>
      <w:szCs w:val="36"/>
    </w:rPr>
  </w:style>
  <w:style w:type="paragraph" w:styleId="1369">
    <w:name w:val="正文 + Arial Char"/>
    <w:basedOn w:val="1047"/>
    <w:next w:val="1369"/>
    <w:link w:val="1047"/>
    <w:pPr>
      <w:ind w:left="315" w:hanging="315"/>
      <w:spacing w:line="300" w:lineRule="auto"/>
      <w:widowControl/>
      <w:tabs>
        <w:tab w:val="left" w:pos="315" w:leader="none"/>
      </w:tabs>
    </w:pPr>
    <w:rPr>
      <w:rFonts w:ascii="Arial" w:hAnsi="Arial" w:eastAsia="宋体" w:cs="Arial"/>
      <w:b/>
      <w:color w:val="000000"/>
    </w:rPr>
  </w:style>
  <w:style w:type="paragraph" w:styleId="1370">
    <w:name w:val="我的正文"/>
    <w:basedOn w:val="1047"/>
    <w:next w:val="1370"/>
    <w:link w:val="1047"/>
    <w:pPr>
      <w:ind w:firstLine="420"/>
      <w:jc w:val="left"/>
      <w:spacing w:line="360" w:lineRule="auto"/>
      <w:widowControl/>
    </w:pPr>
    <w:rPr>
      <w:rFonts w:ascii="宋体" w:hAnsi="宋体" w:eastAsia="宋体" w:cs="宋体"/>
      <w:szCs w:val="21"/>
    </w:rPr>
  </w:style>
  <w:style w:type="paragraph" w:styleId="1371">
    <w:name w:val="xl24"/>
    <w:basedOn w:val="1047"/>
    <w:next w:val="1371"/>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2">
    <w:name w:val="标题4，章节第四层"/>
    <w:basedOn w:val="1047"/>
    <w:next w:val="1047"/>
    <w:link w:val="1047"/>
    <w:pPr>
      <w:spacing w:line="360" w:lineRule="auto"/>
      <w:tabs>
        <w:tab w:val="left" w:pos="0" w:leader="none"/>
      </w:tabs>
      <w:outlineLvl w:val="3"/>
    </w:pPr>
    <w:rPr>
      <w:rFonts w:ascii="宋体" w:hAnsi="宋体" w:eastAsia="宋体" w:cs="Times New Roman"/>
      <w:b/>
      <w:sz w:val="24"/>
      <w:szCs w:val="24"/>
    </w:rPr>
  </w:style>
  <w:style w:type="paragraph" w:styleId="1373">
    <w:name w:val="font10"/>
    <w:basedOn w:val="1047"/>
    <w:next w:val="1373"/>
    <w:link w:val="1047"/>
    <w:pPr>
      <w:jc w:val="left"/>
      <w:spacing w:before="100" w:beforeAutospacing="1" w:after="100" w:afterAutospacing="1"/>
      <w:widowControl/>
    </w:pPr>
    <w:rPr>
      <w:rFonts w:ascii="楷体_GB2312" w:hAnsi="宋体" w:eastAsia="楷体_GB2312" w:cs="宋体"/>
      <w:b/>
      <w:bCs/>
      <w:sz w:val="18"/>
      <w:szCs w:val="18"/>
    </w:rPr>
  </w:style>
  <w:style w:type="paragraph" w:styleId="1374">
    <w:name w:val="样式 加点正文 + 段前: 0.5 行 段后: 0.5 行1"/>
    <w:basedOn w:val="1047"/>
    <w:next w:val="1374"/>
    <w:link w:val="1047"/>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75">
    <w:name w:val="xl42"/>
    <w:basedOn w:val="1047"/>
    <w:next w:val="1375"/>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6">
    <w:name w:val="font5"/>
    <w:basedOn w:val="1047"/>
    <w:next w:val="1376"/>
    <w:link w:val="1047"/>
    <w:pPr>
      <w:jc w:val="left"/>
      <w:spacing w:before="100" w:beforeAutospacing="1" w:after="100" w:afterAutospacing="1"/>
      <w:widowControl/>
    </w:pPr>
    <w:rPr>
      <w:rFonts w:ascii="宋体" w:hAnsi="宋体" w:eastAsia="宋体" w:cs="宋体"/>
      <w:sz w:val="18"/>
      <w:szCs w:val="18"/>
    </w:rPr>
  </w:style>
  <w:style w:type="paragraph" w:styleId="1377">
    <w:name w:val="xl41"/>
    <w:basedOn w:val="1047"/>
    <w:next w:val="1377"/>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8">
    <w:name w:val="p0"/>
    <w:basedOn w:val="1047"/>
    <w:next w:val="1378"/>
    <w:link w:val="1047"/>
    <w:pPr>
      <w:jc w:val="left"/>
      <w:spacing w:before="100" w:beforeAutospacing="1" w:after="100" w:afterAutospacing="1"/>
      <w:widowControl/>
    </w:pPr>
    <w:rPr>
      <w:rFonts w:ascii="宋体" w:hAnsi="宋体" w:eastAsia="宋体" w:cs="宋体"/>
      <w:sz w:val="24"/>
      <w:szCs w:val="24"/>
    </w:rPr>
  </w:style>
  <w:style w:type="paragraph" w:styleId="1379">
    <w:name w:val="xl52"/>
    <w:basedOn w:val="1047"/>
    <w:next w:val="1379"/>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80">
    <w:name w:val="小四 段落 宋体 Char Char Char"/>
    <w:basedOn w:val="1074"/>
    <w:next w:val="1380"/>
    <w:link w:val="1047"/>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81">
    <w:name w:val="丁华标题2"/>
    <w:basedOn w:val="1049"/>
    <w:next w:val="1271"/>
    <w:link w:val="1047"/>
    <w:pPr>
      <w:numPr>
        <w:ilvl w:val="1"/>
        <w:numId w:val="1"/>
      </w:numPr>
      <w:spacing w:line="415" w:lineRule="auto"/>
      <w:tabs>
        <w:tab w:val="left" w:pos="1004" w:leader="none"/>
      </w:tabs>
    </w:pPr>
    <w:rPr>
      <w:rFonts w:ascii="Arial" w:hAnsi="Arial" w:eastAsia="黑体" w:cs="Times New Roman"/>
      <w:b w:val="0"/>
      <w:sz w:val="28"/>
      <w:szCs w:val="20"/>
    </w:rPr>
  </w:style>
  <w:style w:type="paragraph" w:styleId="1382">
    <w:name w:val="丁华标题3"/>
    <w:basedOn w:val="1381"/>
    <w:next w:val="1271"/>
    <w:link w:val="1047"/>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83">
    <w:name w:val="Char Char"/>
    <w:basedOn w:val="1047"/>
    <w:next w:val="1383"/>
    <w:link w:val="1047"/>
    <w:rPr>
      <w:rFonts w:ascii="Tahoma" w:hAnsi="Tahoma" w:eastAsia="宋体" w:cs="Tahoma"/>
      <w:sz w:val="24"/>
    </w:rPr>
  </w:style>
  <w:style w:type="paragraph" w:styleId="1384">
    <w:name w:val="Char Char Char Char Char Char Char"/>
    <w:basedOn w:val="1047"/>
    <w:next w:val="1384"/>
    <w:link w:val="1047"/>
    <w:pPr>
      <w:jc w:val="left"/>
    </w:pPr>
    <w:rPr>
      <w:rFonts w:ascii="Tahoma" w:hAnsi="Tahoma" w:eastAsia="宋体" w:cs="Times New Roman"/>
      <w:sz w:val="24"/>
    </w:rPr>
  </w:style>
  <w:style w:type="paragraph" w:styleId="1385">
    <w:name w:val=" Char Char Char Char Char Char Char Char Char Char Char Char Char Char Char Char Char Char Char Char Char"/>
    <w:basedOn w:val="1047"/>
    <w:next w:val="1385"/>
    <w:link w:val="1047"/>
    <w:rPr>
      <w:rFonts w:ascii="Tahoma" w:hAnsi="Tahoma" w:eastAsia="宋体" w:cs="Times New Roman"/>
      <w:sz w:val="24"/>
    </w:rPr>
  </w:style>
  <w:style w:type="paragraph" w:styleId="1386">
    <w:name w:val="小四 段落 宋体"/>
    <w:basedOn w:val="1074"/>
    <w:next w:val="1386"/>
    <w:link w:val="1047"/>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87">
    <w:name w:val="正文2"/>
    <w:basedOn w:val="1047"/>
    <w:next w:val="1387"/>
    <w:link w:val="1047"/>
    <w:pPr>
      <w:ind w:firstLine="510"/>
      <w:spacing w:before="156" w:line="360" w:lineRule="auto"/>
    </w:pPr>
    <w:rPr>
      <w:rFonts w:ascii="Times New Roman" w:hAnsi="Times New Roman" w:eastAsia="宋体" w:cs="Times New Roman"/>
      <w:sz w:val="24"/>
    </w:rPr>
  </w:style>
  <w:style w:type="paragraph" w:styleId="1388">
    <w:name w:val="插图"/>
    <w:basedOn w:val="1047"/>
    <w:next w:val="1388"/>
    <w:link w:val="1047"/>
    <w:pPr>
      <w:jc w:val="center"/>
      <w:tabs>
        <w:tab w:val="left" w:pos="1620" w:leader="none"/>
      </w:tabs>
    </w:pPr>
    <w:rPr>
      <w:rFonts w:ascii="Times New Roman" w:hAnsi="Times New Roman" w:eastAsia="宋体" w:cs="Times New Roman"/>
      <w:bCs/>
      <w:color w:val="000000"/>
      <w:szCs w:val="22"/>
    </w:rPr>
  </w:style>
  <w:style w:type="paragraph" w:styleId="1389">
    <w:name w:val="Char1"/>
    <w:basedOn w:val="1047"/>
    <w:next w:val="1389"/>
    <w:link w:val="1047"/>
    <w:rPr>
      <w:rFonts w:ascii="仿宋_GB2312" w:hAnsi="宋体" w:eastAsia="仿宋_GB2312" w:cs="宋体"/>
      <w:b/>
      <w:sz w:val="32"/>
      <w:szCs w:val="32"/>
    </w:rPr>
  </w:style>
  <w:style w:type="paragraph" w:styleId="1390">
    <w:name w:val=" Char Char Char Char Char"/>
    <w:basedOn w:val="1047"/>
    <w:next w:val="1390"/>
    <w:link w:val="1047"/>
    <w:rPr>
      <w:rFonts w:ascii="Tahoma" w:hAnsi="Tahoma" w:eastAsia="宋体" w:cs="Times New Roman"/>
      <w:sz w:val="24"/>
    </w:rPr>
  </w:style>
  <w:style w:type="paragraph" w:styleId="1391">
    <w:name w:val="zw"/>
    <w:basedOn w:val="1047"/>
    <w:next w:val="1391"/>
    <w:link w:val="1047"/>
    <w:pPr>
      <w:ind w:firstLine="480"/>
      <w:jc w:val="left"/>
      <w:spacing w:line="360" w:lineRule="auto"/>
      <w:widowControl/>
    </w:pPr>
    <w:rPr>
      <w:rFonts w:ascii="宋体" w:hAnsi="宋体" w:eastAsia="宋体" w:cs="Times New Roman"/>
      <w:bCs/>
      <w:sz w:val="24"/>
    </w:rPr>
  </w:style>
  <w:style w:type="paragraph" w:styleId="1392">
    <w:name w:val="xl56"/>
    <w:basedOn w:val="1047"/>
    <w:next w:val="1392"/>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3">
    <w:name w:val="正文 New New New New New New New New New New New New New New"/>
    <w:next w:val="1393"/>
    <w:link w:val="1047"/>
    <w:pPr>
      <w:jc w:val="both"/>
      <w:widowControl w:val="off"/>
    </w:pPr>
    <w:rPr>
      <w:rFonts w:hint="eastAsia"/>
      <w:sz w:val="21"/>
      <w:lang w:val="en-US" w:eastAsia="zh-CN" w:bidi="ar-SA"/>
    </w:rPr>
  </w:style>
  <w:style w:type="paragraph" w:styleId="1394">
    <w:name w:val="xl50"/>
    <w:basedOn w:val="1047"/>
    <w:next w:val="1394"/>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95">
    <w:name w:val="Char Char Char Char"/>
    <w:basedOn w:val="1076"/>
    <w:next w:val="1395"/>
    <w:link w:val="1047"/>
    <w:pPr>
      <w:spacing w:line="360" w:lineRule="auto"/>
    </w:pPr>
    <w:rPr>
      <w:rFonts w:ascii="Tahoma" w:hAnsi="Tahoma" w:eastAsia="宋体" w:cs="Times New Roman"/>
      <w:sz w:val="24"/>
      <w:szCs w:val="24"/>
    </w:rPr>
  </w:style>
  <w:style w:type="paragraph" w:styleId="1396">
    <w:name w:val="样式 样式 首行缩进:  2 字符 + 行距: 1.5 倍行距"/>
    <w:basedOn w:val="1047"/>
    <w:next w:val="1396"/>
    <w:link w:val="1047"/>
    <w:pPr>
      <w:ind w:firstLine="470"/>
      <w:spacing w:line="360" w:lineRule="auto"/>
    </w:pPr>
    <w:rPr>
      <w:rFonts w:ascii="Times New Roman" w:hAnsi="Times New Roman" w:eastAsia="宋体" w:cs="Times New Roman"/>
      <w:sz w:val="24"/>
    </w:rPr>
  </w:style>
  <w:style w:type="paragraph" w:styleId="1397">
    <w:name w:val="标题1，章节第一层"/>
    <w:basedOn w:val="1296"/>
    <w:next w:val="1296"/>
    <w:link w:val="1047"/>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98">
    <w:name w:val="标题3"/>
    <w:basedOn w:val="1050"/>
    <w:next w:val="1398"/>
    <w:link w:val="1047"/>
    <w:pPr>
      <w:keepLines w:val="0"/>
      <w:keepNext w:val="0"/>
      <w:spacing w:before="0" w:after="0" w:line="360" w:lineRule="auto"/>
    </w:pPr>
    <w:rPr>
      <w:rFonts w:ascii="Times New Roman" w:hAnsi="Times New Roman" w:eastAsia="仿宋_GB2312" w:cs="Times New Roman"/>
      <w:b w:val="0"/>
      <w:bCs/>
      <w:sz w:val="30"/>
      <w:szCs w:val="32"/>
    </w:rPr>
  </w:style>
  <w:style w:type="paragraph" w:styleId="1399">
    <w:name w:val="font9"/>
    <w:basedOn w:val="1047"/>
    <w:next w:val="1399"/>
    <w:link w:val="1047"/>
    <w:pPr>
      <w:jc w:val="left"/>
      <w:spacing w:before="100" w:beforeAutospacing="1" w:after="100" w:afterAutospacing="1"/>
      <w:widowControl/>
    </w:pPr>
    <w:rPr>
      <w:rFonts w:ascii="Times New Roman" w:hAnsi="Times New Roman" w:eastAsia="宋体" w:cs="Times New Roman"/>
      <w:b/>
      <w:bCs/>
      <w:sz w:val="20"/>
    </w:rPr>
  </w:style>
  <w:style w:type="paragraph" w:styleId="1400">
    <w:name w:val=" Char Char Char Char Char Char Char Char Char"/>
    <w:basedOn w:val="1047"/>
    <w:next w:val="1400"/>
    <w:link w:val="1047"/>
    <w:pPr>
      <w:ind w:left="360" w:hanging="360"/>
      <w:tabs>
        <w:tab w:val="left" w:pos="360" w:leader="none"/>
      </w:tabs>
    </w:pPr>
    <w:rPr>
      <w:rFonts w:ascii="Times New Roman" w:hAnsi="Times New Roman" w:eastAsia="宋体" w:cs="Times New Roman"/>
      <w:sz w:val="24"/>
      <w:szCs w:val="24"/>
    </w:rPr>
  </w:style>
  <w:style w:type="paragraph" w:styleId="1401">
    <w:name w:val="样式 段后: 0.5 行 左  0.75 字符"/>
    <w:basedOn w:val="1047"/>
    <w:next w:val="1401"/>
    <w:link w:val="1047"/>
    <w:pPr>
      <w:ind w:firstLine="420"/>
      <w:spacing w:line="360" w:lineRule="auto"/>
      <w:widowControl/>
    </w:pPr>
    <w:rPr>
      <w:rFonts w:ascii="Times New Roman" w:hAnsi="Arial" w:eastAsia="宋体" w:cs="Arial"/>
      <w:szCs w:val="21"/>
    </w:rPr>
  </w:style>
  <w:style w:type="paragraph" w:styleId="1402">
    <w:name w:val="font8"/>
    <w:basedOn w:val="1047"/>
    <w:next w:val="1402"/>
    <w:link w:val="1047"/>
    <w:pPr>
      <w:jc w:val="left"/>
      <w:spacing w:before="100" w:beforeAutospacing="1" w:after="100" w:afterAutospacing="1"/>
      <w:widowControl/>
    </w:pPr>
    <w:rPr>
      <w:rFonts w:ascii="宋体" w:hAnsi="宋体" w:eastAsia="宋体" w:cs="宋体"/>
      <w:b/>
      <w:bCs/>
      <w:i/>
      <w:iCs/>
      <w:sz w:val="20"/>
    </w:rPr>
  </w:style>
  <w:style w:type="paragraph" w:styleId="1403">
    <w:name w:val="标题 4宋体"/>
    <w:basedOn w:val="1051"/>
    <w:next w:val="1403"/>
    <w:link w:val="1047"/>
    <w:pPr>
      <w:jc w:val="left"/>
      <w:keepLines w:val="0"/>
      <w:spacing w:before="0" w:after="0" w:line="360" w:lineRule="auto"/>
    </w:pPr>
    <w:rPr>
      <w:rFonts w:ascii="宋体" w:hAnsi="宋体" w:eastAsia="宋体" w:cs="Times New Roman"/>
      <w:bCs/>
      <w:color w:val="000000"/>
      <w:sz w:val="24"/>
    </w:rPr>
  </w:style>
  <w:style w:type="paragraph" w:styleId="1404">
    <w:name w:val="小四 段落 宋体 Char Char"/>
    <w:basedOn w:val="1047"/>
    <w:next w:val="1404"/>
    <w:link w:val="1047"/>
    <w:pPr>
      <w:ind w:firstLine="480"/>
      <w:spacing w:line="360" w:lineRule="auto"/>
    </w:pPr>
    <w:rPr>
      <w:rFonts w:ascii="宋体" w:hAnsi="宋体" w:eastAsia="宋体" w:cs="Times New Roman"/>
      <w:sz w:val="24"/>
      <w:szCs w:val="24"/>
    </w:rPr>
  </w:style>
  <w:style w:type="paragraph" w:styleId="1405">
    <w:name w:val="纯文本1"/>
    <w:basedOn w:val="1047"/>
    <w:next w:val="1405"/>
    <w:link w:val="1047"/>
    <w:rPr>
      <w:rFonts w:ascii="宋体" w:hAnsi="宋体" w:eastAsia="楷体_GB2312" w:cs="宋体"/>
      <w:sz w:val="28"/>
    </w:rPr>
  </w:style>
  <w:style w:type="paragraph" w:styleId="1406">
    <w:name w:val="xl27"/>
    <w:basedOn w:val="1047"/>
    <w:next w:val="1406"/>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07">
    <w:name w:val="标题5，章节第五层"/>
    <w:basedOn w:val="1047"/>
    <w:next w:val="1047"/>
    <w:link w:val="1047"/>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08">
    <w:name w:val="content_lineheight"/>
    <w:basedOn w:val="1047"/>
    <w:next w:val="1408"/>
    <w:link w:val="1047"/>
    <w:pPr>
      <w:jc w:val="left"/>
      <w:spacing w:before="100" w:beforeAutospacing="1" w:after="100" w:afterAutospacing="1"/>
      <w:widowControl/>
    </w:pPr>
    <w:rPr>
      <w:rFonts w:ascii="宋体" w:hAnsi="宋体" w:eastAsia="宋体" w:cs="Times New Roman"/>
      <w:sz w:val="24"/>
      <w:szCs w:val="24"/>
    </w:rPr>
  </w:style>
  <w:style w:type="paragraph" w:styleId="1409">
    <w:name w:val="Pa5"/>
    <w:basedOn w:val="1047"/>
    <w:next w:val="1047"/>
    <w:link w:val="1047"/>
    <w:pPr>
      <w:jc w:val="left"/>
      <w:spacing w:line="241" w:lineRule="atLeast"/>
    </w:pPr>
    <w:rPr>
      <w:rFonts w:ascii="汉仪大黑简" w:hAnsi="Times New Roman" w:eastAsia="汉仪大黑简" w:cs="Times New Roman"/>
      <w:sz w:val="24"/>
      <w:szCs w:val="24"/>
    </w:rPr>
  </w:style>
  <w:style w:type="paragraph" w:styleId="1410">
    <w:name w:val="xl63"/>
    <w:basedOn w:val="1047"/>
    <w:next w:val="1410"/>
    <w:link w:val="1047"/>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11">
    <w:name w:val="小四 段落 宋体 Char Char Char Char"/>
    <w:basedOn w:val="1047"/>
    <w:next w:val="1411"/>
    <w:link w:val="1047"/>
    <w:pPr>
      <w:ind w:right="-33" w:firstLine="480"/>
      <w:jc w:val="left"/>
      <w:spacing w:line="360" w:lineRule="auto"/>
    </w:pPr>
    <w:rPr>
      <w:rFonts w:ascii="Times New Roman" w:hAnsi="Times New Roman" w:eastAsia="宋体" w:cs="Times New Roman"/>
      <w:sz w:val="24"/>
      <w:szCs w:val="24"/>
    </w:rPr>
  </w:style>
  <w:style w:type="paragraph" w:styleId="1412">
    <w:name w:val="列出段落2"/>
    <w:basedOn w:val="1047"/>
    <w:next w:val="1412"/>
    <w:link w:val="1047"/>
    <w:pPr>
      <w:ind w:left="720"/>
      <w:jc w:val="left"/>
      <w:widowControl/>
    </w:pPr>
    <w:rPr>
      <w:rFonts w:ascii="Arial" w:hAnsi="Arial" w:eastAsia="黑体" w:cs="Arial"/>
      <w:sz w:val="24"/>
      <w:szCs w:val="24"/>
      <w:lang w:eastAsia="en-US"/>
    </w:rPr>
  </w:style>
  <w:style w:type="paragraph" w:styleId="1413">
    <w:name w:val="标题2，章节第二层"/>
    <w:basedOn w:val="1047"/>
    <w:next w:val="1296"/>
    <w:link w:val="104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14">
    <w:name w:val="Test2"/>
    <w:basedOn w:val="1049"/>
    <w:next w:val="1414"/>
    <w:link w:val="1047"/>
    <w:pPr>
      <w:jc w:val="center"/>
      <w:spacing w:before="156" w:after="156" w:line="480" w:lineRule="exact"/>
      <w:widowControl/>
    </w:pPr>
    <w:rPr>
      <w:rFonts w:ascii="黑体" w:hAnsi="Arial" w:eastAsia="黑体" w:cs="Times New Roman"/>
      <w:bCs/>
      <w:sz w:val="24"/>
    </w:rPr>
  </w:style>
  <w:style w:type="paragraph" w:styleId="1415">
    <w:name w:val="样式 样式 标题 3H3sect1.2.3BOD 0Heading 3 - oldh3l3CTLevel 3 Head... +..."/>
    <w:basedOn w:val="1047"/>
    <w:next w:val="1415"/>
    <w:link w:val="1047"/>
    <w:pPr>
      <w:jc w:val="left"/>
      <w:keepLines/>
      <w:keepNext/>
      <w:spacing w:before="156" w:after="156"/>
      <w:outlineLvl w:val="2"/>
    </w:pPr>
    <w:rPr>
      <w:rFonts w:ascii="Times New Roman" w:hAnsi="Times New Roman" w:eastAsia="宋体" w:cs="宋体"/>
      <w:b/>
      <w:bCs/>
      <w:sz w:val="24"/>
    </w:rPr>
  </w:style>
  <w:style w:type="paragraph" w:styleId="1416">
    <w:name w:val="Char Char Char Char Char Char Char1 Char"/>
    <w:basedOn w:val="1047"/>
    <w:next w:val="1416"/>
    <w:link w:val="1047"/>
    <w:rPr>
      <w:rFonts w:ascii="Tahoma" w:hAnsi="Tahoma" w:eastAsia="宋体" w:cs="Tahoma"/>
      <w:sz w:val="24"/>
    </w:rPr>
  </w:style>
  <w:style w:type="paragraph" w:styleId="1417">
    <w:name w:val="xl51"/>
    <w:basedOn w:val="1047"/>
    <w:next w:val="1417"/>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18">
    <w:name w:val="qw"/>
    <w:next w:val="1418"/>
    <w:link w:val="1047"/>
    <w:pPr>
      <w:jc w:val="both"/>
      <w:spacing w:line="312" w:lineRule="atLeast"/>
      <w:widowControl w:val="off"/>
    </w:pPr>
    <w:rPr>
      <w:rFonts w:ascii="宋体"/>
      <w:sz w:val="24"/>
      <w:lang w:val="en-US" w:eastAsia="zh-CN" w:bidi="ar-SA"/>
    </w:rPr>
  </w:style>
  <w:style w:type="paragraph" w:styleId="1419">
    <w:name w:val="xl26"/>
    <w:basedOn w:val="1047"/>
    <w:next w:val="1419"/>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20">
    <w:name w:val="1"/>
    <w:basedOn w:val="1047"/>
    <w:next w:val="1118"/>
    <w:link w:val="1047"/>
    <w:pPr>
      <w:spacing w:line="360" w:lineRule="auto"/>
    </w:pPr>
    <w:rPr>
      <w:rFonts w:ascii="Times New Roman" w:hAnsi="Times New Roman" w:eastAsia="仿宋_GB2312" w:cs="Times New Roman"/>
      <w:sz w:val="24"/>
      <w:szCs w:val="24"/>
    </w:rPr>
  </w:style>
  <w:style w:type="paragraph" w:styleId="1421">
    <w:name w:val=" Char"/>
    <w:basedOn w:val="1047"/>
    <w:next w:val="1421"/>
    <w:link w:val="1047"/>
    <w:pPr>
      <w:spacing w:after="156" w:line="360" w:lineRule="auto"/>
    </w:pPr>
    <w:rPr>
      <w:rFonts w:ascii="Tahoma" w:hAnsi="Tahoma" w:eastAsia="宋体" w:cs="Times New Roman"/>
      <w:sz w:val="24"/>
    </w:rPr>
  </w:style>
  <w:style w:type="paragraph" w:styleId="1422">
    <w:name w:val="Body Text 21"/>
    <w:basedOn w:val="1047"/>
    <w:next w:val="1422"/>
    <w:link w:val="1047"/>
    <w:pPr>
      <w:ind w:left="720" w:hanging="720"/>
      <w:widowControl/>
    </w:pPr>
    <w:rPr>
      <w:rFonts w:ascii="Times New Roman" w:hAnsi="Times New Roman" w:eastAsia="宋体" w:cs="Times New Roman"/>
      <w:sz w:val="24"/>
      <w:lang w:val="en-GB"/>
    </w:rPr>
  </w:style>
  <w:style w:type="paragraph" w:styleId="1423">
    <w:name w:val="大标题"/>
    <w:basedOn w:val="1047"/>
    <w:next w:val="1047"/>
    <w:link w:val="1047"/>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24">
    <w:name w:val="xl43"/>
    <w:basedOn w:val="1047"/>
    <w:next w:val="1424"/>
    <w:link w:val="10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25">
    <w:name w:val="font6"/>
    <w:basedOn w:val="1047"/>
    <w:next w:val="1425"/>
    <w:link w:val="1047"/>
    <w:pPr>
      <w:jc w:val="left"/>
      <w:spacing w:before="100" w:beforeAutospacing="1" w:after="100" w:afterAutospacing="1"/>
      <w:widowControl/>
    </w:pPr>
    <w:rPr>
      <w:rFonts w:ascii="宋体" w:hAnsi="宋体" w:eastAsia="宋体" w:cs="宋体"/>
      <w:b/>
      <w:bCs/>
      <w:sz w:val="20"/>
    </w:rPr>
  </w:style>
  <w:style w:type="paragraph" w:styleId="1426">
    <w:name w:val="Char Char1 Char"/>
    <w:basedOn w:val="1047"/>
    <w:next w:val="1426"/>
    <w:link w:val="1047"/>
    <w:pPr>
      <w:jc w:val="left"/>
      <w:spacing w:after="160" w:line="240" w:lineRule="exact"/>
      <w:widowControl/>
    </w:pPr>
    <w:rPr>
      <w:rFonts w:ascii="Verdana" w:hAnsi="Verdana" w:eastAsia="宋体" w:cs="Times New Roman"/>
      <w:sz w:val="20"/>
      <w:lang w:eastAsia="en-US"/>
    </w:rPr>
  </w:style>
  <w:style w:type="paragraph" w:styleId="1427">
    <w:name w:val="Body Text 22"/>
    <w:basedOn w:val="1047"/>
    <w:next w:val="1427"/>
    <w:link w:val="1047"/>
    <w:pPr>
      <w:ind w:left="720" w:hanging="720"/>
      <w:widowControl/>
    </w:pPr>
    <w:rPr>
      <w:rFonts w:ascii="Times New Roman" w:hAnsi="Times New Roman" w:eastAsia="宋体" w:cs="Times New Roman"/>
      <w:sz w:val="24"/>
      <w:lang w:val="en-GB"/>
    </w:rPr>
  </w:style>
  <w:style w:type="paragraph" w:styleId="1428">
    <w:name w:val="xl54"/>
    <w:basedOn w:val="1047"/>
    <w:next w:val="1428"/>
    <w:link w:val="10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9">
    <w:name w:val="Item Step in Table"/>
    <w:next w:val="1429"/>
    <w:link w:val="104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30">
    <w:name w:val=" Char Char1 Char"/>
    <w:basedOn w:val="1047"/>
    <w:next w:val="1430"/>
    <w:link w:val="1047"/>
    <w:pPr>
      <w:jc w:val="left"/>
      <w:spacing w:after="160" w:line="240" w:lineRule="exact"/>
      <w:widowControl/>
    </w:pPr>
    <w:rPr>
      <w:rFonts w:ascii="Verdana" w:hAnsi="Verdana" w:eastAsia="宋体" w:cs="Times New Roman"/>
      <w:sz w:val="20"/>
      <w:lang w:eastAsia="en-US"/>
    </w:rPr>
  </w:style>
  <w:style w:type="paragraph" w:styleId="1431">
    <w:name w:val="部分1"/>
    <w:basedOn w:val="1047"/>
    <w:next w:val="1431"/>
    <w:link w:val="1047"/>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32">
    <w:name w:val="Item List Char Char"/>
    <w:next w:val="1432"/>
    <w:link w:val="1047"/>
    <w:pPr>
      <w:jc w:val="both"/>
      <w:spacing w:line="288" w:lineRule="auto"/>
    </w:pPr>
    <w:rPr>
      <w:rFonts w:ascii="Arial" w:hAnsi="Arial" w:cs="Arial"/>
      <w:b/>
      <w:bCs/>
      <w:sz w:val="21"/>
      <w:szCs w:val="28"/>
      <w:lang w:val="en-US" w:eastAsia="zh-CN" w:bidi="ar-SA"/>
    </w:rPr>
  </w:style>
  <w:style w:type="paragraph" w:styleId="1433">
    <w:name w:val="中等深浅网格 1 - 强调文字颜色 21"/>
    <w:basedOn w:val="1047"/>
    <w:next w:val="1433"/>
    <w:link w:val="1047"/>
    <w:pPr>
      <w:ind w:firstLine="420"/>
    </w:pPr>
    <w:rPr>
      <w:rFonts w:ascii="Calibri" w:hAnsi="Calibri" w:eastAsia="宋体" w:cs="Times New Roman"/>
      <w:szCs w:val="22"/>
    </w:rPr>
  </w:style>
  <w:style w:type="paragraph" w:styleId="1434">
    <w:name w:val="Normal2"/>
    <w:basedOn w:val="1047"/>
    <w:next w:val="1434"/>
    <w:link w:val="1047"/>
    <w:rPr>
      <w:rFonts w:ascii="Calibri" w:hAnsi="Calibri" w:eastAsia="Calibri" w:cs="宋体"/>
      <w:lang w:val="zh-CN"/>
    </w:rPr>
  </w:style>
  <w:style w:type="paragraph" w:styleId="1435">
    <w:name w:val=" Char Char Char Char Char Char Char Char Char Char Char Char Char Char Char Char Char Char Char Char Char Char Char"/>
    <w:basedOn w:val="1047"/>
    <w:next w:val="1435"/>
    <w:link w:val="1047"/>
    <w:rPr>
      <w:rFonts w:ascii="Tahoma" w:hAnsi="Tahoma" w:eastAsia="宋体" w:cs="Times New Roman"/>
      <w:sz w:val="24"/>
    </w:rPr>
  </w:style>
  <w:style w:type="paragraph" w:styleId="1436">
    <w:name w:val="样式3"/>
    <w:basedOn w:val="1047"/>
    <w:next w:val="1047"/>
    <w:link w:val="1047"/>
    <w:pPr>
      <w:spacing w:line="360" w:lineRule="auto"/>
    </w:pPr>
    <w:rPr>
      <w:rFonts w:ascii="Times New Roman" w:hAnsi="Times New Roman" w:eastAsia="宋体" w:cs="Times New Roman"/>
    </w:rPr>
  </w:style>
  <w:style w:type="paragraph" w:styleId="1437">
    <w:name w:val="样式 标题 2第一章 标题 2Heading 2 HiddenHeading 2 CCBSheading 2H2h2..."/>
    <w:basedOn w:val="1049"/>
    <w:next w:val="1437"/>
    <w:link w:val="104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8">
    <w:name w:val="xl61"/>
    <w:basedOn w:val="1047"/>
    <w:next w:val="1438"/>
    <w:link w:val="104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9">
    <w:name w:val="xl53"/>
    <w:basedOn w:val="1047"/>
    <w:next w:val="1439"/>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0">
    <w:name w:val="xl62"/>
    <w:basedOn w:val="1047"/>
    <w:next w:val="1440"/>
    <w:link w:val="10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1">
    <w:name w:val="条1"/>
    <w:basedOn w:val="1047"/>
    <w:next w:val="1441"/>
    <w:link w:val="1047"/>
    <w:pPr>
      <w:ind w:left="780" w:hanging="360"/>
      <w:spacing w:before="156" w:line="360" w:lineRule="auto"/>
      <w:tabs>
        <w:tab w:val="left" w:pos="780" w:leader="none"/>
      </w:tabs>
    </w:pPr>
    <w:rPr>
      <w:rFonts w:ascii="Times New Roman" w:hAnsi="Times New Roman" w:eastAsia="黑体" w:cs="Times New Roman"/>
      <w:sz w:val="24"/>
    </w:rPr>
  </w:style>
  <w:style w:type="paragraph" w:styleId="1442">
    <w:name w:val="样式4 Char"/>
    <w:basedOn w:val="1047"/>
    <w:next w:val="1442"/>
    <w:link w:val="1047"/>
    <w:pPr>
      <w:ind w:firstLine="480"/>
      <w:jc w:val="left"/>
      <w:spacing w:line="360" w:lineRule="auto"/>
      <w:widowControl/>
    </w:pPr>
    <w:rPr>
      <w:rFonts w:ascii="Times New Roman" w:hAnsi="Times New Roman" w:eastAsia="宋体" w:cs="宋体"/>
      <w:color w:val="000000"/>
      <w:sz w:val="24"/>
      <w:szCs w:val="24"/>
    </w:rPr>
  </w:style>
  <w:style w:type="paragraph" w:styleId="1443">
    <w:name w:val="Char Char Char Char Char Char"/>
    <w:basedOn w:val="1047"/>
    <w:next w:val="1443"/>
    <w:link w:val="1047"/>
    <w:rPr>
      <w:rFonts w:ascii="Tahoma" w:hAnsi="Tahoma" w:eastAsia="宋体" w:cs="Tahoma"/>
      <w:sz w:val="24"/>
    </w:rPr>
  </w:style>
  <w:style w:type="paragraph" w:styleId="1444">
    <w:name w:val="7"/>
    <w:basedOn w:val="1047"/>
    <w:next w:val="1121"/>
    <w:link w:val="1047"/>
    <w:pPr>
      <w:jc w:val="left"/>
      <w:spacing w:before="100" w:beforeAutospacing="1" w:after="100" w:afterAutospacing="1"/>
      <w:widowControl/>
    </w:pPr>
    <w:rPr>
      <w:rFonts w:ascii="宋体" w:hAnsi="宋体" w:eastAsia="宋体" w:cs="Times New Roman"/>
      <w:sz w:val="24"/>
    </w:rPr>
  </w:style>
  <w:style w:type="paragraph" w:styleId="1445">
    <w:name w:val="普通文字"/>
    <w:basedOn w:val="1047"/>
    <w:next w:val="1047"/>
    <w:link w:val="1047"/>
    <w:rPr>
      <w:rFonts w:ascii="宋体" w:hAnsi="宋体" w:eastAsia="宋体" w:cs="宋体"/>
      <w:sz w:val="24"/>
    </w:rPr>
  </w:style>
  <w:style w:type="paragraph" w:styleId="1446">
    <w:name w:val="Char1 Char Char Char"/>
    <w:basedOn w:val="1047"/>
    <w:next w:val="1446"/>
    <w:link w:val="1047"/>
    <w:rPr>
      <w:rFonts w:ascii="Tahoma" w:hAnsi="Tahoma" w:eastAsia="宋体" w:cs="Tahoma"/>
      <w:sz w:val="24"/>
    </w:rPr>
  </w:style>
  <w:style w:type="paragraph" w:styleId="1447">
    <w:name w:val="Char2 Char Char Char Char Char Char1"/>
    <w:basedOn w:val="1047"/>
    <w:next w:val="1447"/>
    <w:link w:val="1047"/>
    <w:pPr>
      <w:ind w:hanging="425"/>
      <w:keepNext/>
      <w:spacing w:before="80" w:after="80"/>
      <w:widowControl/>
      <w:tabs>
        <w:tab w:val="left" w:pos="425" w:leader="none"/>
      </w:tabs>
    </w:pPr>
    <w:rPr>
      <w:rFonts w:ascii="Arial" w:hAnsi="Arial" w:eastAsia="宋体" w:cs="Arial"/>
      <w:sz w:val="20"/>
    </w:rPr>
  </w:style>
  <w:style w:type="paragraph" w:styleId="1448">
    <w:name w:val="默认段落字体 Para Char Char Char Char Char Char Char"/>
    <w:basedOn w:val="1047"/>
    <w:next w:val="1448"/>
    <w:link w:val="1047"/>
    <w:rPr>
      <w:rFonts w:ascii="Times New Roman" w:hAnsi="Times New Roman" w:eastAsia="宋体" w:cs="Times New Roman"/>
    </w:rPr>
  </w:style>
  <w:style w:type="paragraph" w:styleId="1449">
    <w:name w:val="正文文本缩进1"/>
    <w:basedOn w:val="1047"/>
    <w:next w:val="1449"/>
    <w:link w:val="1047"/>
    <w:pPr>
      <w:ind w:left="420"/>
      <w:spacing w:after="120"/>
    </w:pPr>
    <w:rPr>
      <w:rFonts w:ascii="Times New Roman" w:hAnsi="Times New Roman" w:eastAsia="宋体" w:cs="Times New Roman"/>
      <w:szCs w:val="24"/>
    </w:rPr>
  </w:style>
  <w:style w:type="paragraph" w:styleId="1450">
    <w:name w:val="Table Text Char"/>
    <w:next w:val="1450"/>
    <w:link w:val="1047"/>
    <w:pPr>
      <w:spacing w:before="80" w:after="80"/>
    </w:pPr>
    <w:rPr>
      <w:rFonts w:ascii="Arial" w:hAnsi="Arial" w:cs="Arial"/>
      <w:sz w:val="18"/>
      <w:szCs w:val="28"/>
      <w:lang w:val="en-US" w:eastAsia="zh-CN" w:bidi="ar-SA"/>
    </w:rPr>
  </w:style>
  <w:style w:type="paragraph" w:styleId="1451">
    <w:name w:val="方案正文"/>
    <w:basedOn w:val="1047"/>
    <w:next w:val="1451"/>
    <w:link w:val="1047"/>
    <w:pPr>
      <w:ind w:firstLine="359"/>
      <w:jc w:val="left"/>
      <w:spacing w:before="156" w:line="360" w:lineRule="auto"/>
    </w:pPr>
    <w:rPr>
      <w:rFonts w:ascii="Arial" w:hAnsi="Arial" w:eastAsia="宋体" w:cs="宋体"/>
      <w:sz w:val="24"/>
      <w:szCs w:val="21"/>
    </w:rPr>
  </w:style>
  <w:style w:type="paragraph" w:styleId="1452">
    <w:name w:val="Char Char Char Char Char Char Char Char Char"/>
    <w:basedOn w:val="1047"/>
    <w:next w:val="1452"/>
    <w:link w:val="1047"/>
    <w:pPr>
      <w:ind w:left="200" w:hanging="200"/>
      <w:tabs>
        <w:tab w:val="left" w:pos="360" w:leader="none"/>
      </w:tabs>
    </w:pPr>
    <w:rPr>
      <w:rFonts w:ascii="Times New Roman" w:hAnsi="Times New Roman" w:eastAsia="宋体" w:cs="Times New Roman"/>
      <w:sz w:val="24"/>
      <w:szCs w:val="24"/>
    </w:rPr>
  </w:style>
  <w:style w:type="paragraph" w:styleId="1453">
    <w:name w:val="Char"/>
    <w:basedOn w:val="1047"/>
    <w:next w:val="1453"/>
    <w:link w:val="1047"/>
    <w:rPr>
      <w:rFonts w:ascii="Tahoma" w:hAnsi="Tahoma" w:eastAsia="宋体" w:cs="仿宋_GB2312"/>
      <w:sz w:val="24"/>
      <w:szCs w:val="28"/>
    </w:rPr>
  </w:style>
  <w:style w:type="paragraph" w:styleId="1454">
    <w:name w:val="标题3，章节第三层"/>
    <w:basedOn w:val="1047"/>
    <w:next w:val="1296"/>
    <w:link w:val="1047"/>
    <w:pPr>
      <w:spacing w:before="78" w:line="300" w:lineRule="auto"/>
      <w:outlineLvl w:val="2"/>
    </w:pPr>
    <w:rPr>
      <w:rFonts w:ascii="Arial" w:hAnsi="Arial" w:eastAsia="华文细黑" w:cs="Times New Roman"/>
      <w:sz w:val="30"/>
      <w:szCs w:val="24"/>
    </w:rPr>
  </w:style>
  <w:style w:type="paragraph" w:styleId="1455">
    <w:name w:val="表格文字"/>
    <w:basedOn w:val="1047"/>
    <w:next w:val="1455"/>
    <w:link w:val="1047"/>
    <w:pPr>
      <w:ind w:firstLine="200"/>
      <w:jc w:val="left"/>
      <w:spacing w:line="360" w:lineRule="auto"/>
    </w:pPr>
    <w:rPr>
      <w:rFonts w:ascii="Arial" w:hAnsi="Arial" w:eastAsia="宋体" w:cs="Times New Roman"/>
      <w:sz w:val="24"/>
    </w:rPr>
  </w:style>
  <w:style w:type="paragraph" w:styleId="1456">
    <w:name w:val="xl45"/>
    <w:basedOn w:val="1047"/>
    <w:next w:val="1456"/>
    <w:link w:val="1047"/>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57">
    <w:name w:val="正文 居中"/>
    <w:basedOn w:val="1047"/>
    <w:next w:val="1457"/>
    <w:link w:val="1047"/>
    <w:pPr>
      <w:jc w:val="center"/>
      <w:spacing w:line="360" w:lineRule="auto"/>
    </w:pPr>
    <w:rPr>
      <w:rFonts w:ascii="Times New Roman" w:hAnsi="Times New Roman" w:eastAsia="宋体" w:cs="Times New Roman"/>
      <w:sz w:val="24"/>
    </w:rPr>
  </w:style>
  <w:style w:type="paragraph" w:styleId="1458">
    <w:name w:val="表格"/>
    <w:basedOn w:val="1047"/>
    <w:next w:val="1458"/>
    <w:link w:val="1047"/>
    <w:pPr>
      <w:ind w:firstLine="21"/>
    </w:pPr>
    <w:rPr>
      <w:rFonts w:ascii="宋体" w:hAnsi="宋体" w:eastAsia="宋体" w:cs="宋体"/>
      <w:sz w:val="20"/>
    </w:rPr>
  </w:style>
  <w:style w:type="paragraph" w:styleId="1459">
    <w:name w:val="greytypebeni"/>
    <w:basedOn w:val="1047"/>
    <w:next w:val="1459"/>
    <w:link w:val="1047"/>
    <w:pPr>
      <w:jc w:val="left"/>
      <w:widowControl/>
    </w:pPr>
    <w:rPr>
      <w:rFonts w:ascii="宋体" w:hAnsi="宋体" w:eastAsia="宋体" w:cs="宋体"/>
      <w:sz w:val="24"/>
      <w:szCs w:val="24"/>
    </w:rPr>
  </w:style>
  <w:style w:type="paragraph" w:styleId="1460">
    <w:name w:val="flType"/>
    <w:basedOn w:val="1269"/>
    <w:next w:val="1460"/>
    <w:link w:val="1047"/>
    <w:pPr>
      <w:spacing w:after="284"/>
    </w:pPr>
    <w:rPr>
      <w:rFonts w:ascii="Times New Roman" w:hAnsi="Times New Roman" w:eastAsia="宋体" w:cs="Times New Roman"/>
      <w:b/>
    </w:rPr>
  </w:style>
  <w:style w:type="paragraph" w:styleId="1461">
    <w:name w:val="符号与编号"/>
    <w:basedOn w:val="1047"/>
    <w:next w:val="1461"/>
    <w:link w:val="1047"/>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62">
    <w:name w:val="xl33"/>
    <w:basedOn w:val="1047"/>
    <w:next w:val="1462"/>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63">
    <w:name w:val="段 Char"/>
    <w:next w:val="1463"/>
    <w:link w:val="1047"/>
    <w:pPr>
      <w:ind w:firstLine="200"/>
      <w:jc w:val="both"/>
    </w:pPr>
    <w:rPr>
      <w:rFonts w:ascii="宋体"/>
      <w:sz w:val="21"/>
      <w:lang w:val="en-US" w:eastAsia="zh-CN" w:bidi="ar-SA"/>
    </w:rPr>
  </w:style>
  <w:style w:type="paragraph" w:styleId="1464">
    <w:name w:val="论文正文"/>
    <w:basedOn w:val="1095"/>
    <w:next w:val="1464"/>
    <w:link w:val="1047"/>
    <w:pPr>
      <w:ind w:left="0" w:firstLine="200"/>
      <w:jc w:val="left"/>
      <w:spacing w:line="360" w:lineRule="auto"/>
    </w:pPr>
    <w:rPr>
      <w:rFonts w:ascii="Times New Roman" w:hAnsi="Times New Roman" w:eastAsia="宋体" w:cs="Times New Roman"/>
      <w:sz w:val="28"/>
      <w:szCs w:val="24"/>
    </w:rPr>
  </w:style>
  <w:style w:type="paragraph" w:styleId="1465">
    <w:name w:val="默认段落字体 Para Char Char Char Char Char Char Char Char Char1 Char Char Char Char Char Char Char"/>
    <w:basedOn w:val="1076"/>
    <w:next w:val="1465"/>
    <w:link w:val="1047"/>
    <w:rPr>
      <w:rFonts w:ascii="Times New Roman" w:hAnsi="Times New Roman" w:eastAsia="宋体" w:cs="Times New Roman"/>
    </w:rPr>
  </w:style>
  <w:style w:type="paragraph" w:styleId="1466">
    <w:name w:val="二级条标题"/>
    <w:basedOn w:val="1047"/>
    <w:next w:val="1151"/>
    <w:link w:val="1047"/>
    <w:pPr>
      <w:ind w:hanging="420"/>
      <w:widowControl/>
      <w:tabs>
        <w:tab w:val="left" w:pos="2240" w:leader="none"/>
      </w:tabs>
      <w:outlineLvl w:val="3"/>
    </w:pPr>
    <w:rPr>
      <w:rFonts w:ascii="Times New Roman" w:hAnsi="Times New Roman" w:eastAsia="黑体" w:cs="Times New Roman"/>
    </w:rPr>
  </w:style>
  <w:style w:type="paragraph" w:styleId="1467">
    <w:name w:val="xl29"/>
    <w:basedOn w:val="1047"/>
    <w:next w:val="1467"/>
    <w:link w:val="10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68">
    <w:name w:val="TOC 71"/>
    <w:next w:val="1047"/>
    <w:link w:val="1047"/>
    <w:qFormat/>
    <w:pPr>
      <w:ind w:left="2550"/>
      <w:jc w:val="both"/>
    </w:pPr>
    <w:rPr>
      <w:sz w:val="21"/>
      <w:szCs w:val="22"/>
      <w:lang w:val="en-US" w:eastAsia="zh-CN" w:bidi="ar-SA"/>
    </w:rPr>
  </w:style>
  <w:style w:type="paragraph" w:styleId="1469">
    <w:name w:val="xl39"/>
    <w:basedOn w:val="1047"/>
    <w:next w:val="1469"/>
    <w:link w:val="10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0">
    <w:name w:val="A."/>
    <w:basedOn w:val="1047"/>
    <w:next w:val="1470"/>
    <w:link w:val="1047"/>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71">
    <w:name w:val="font61"/>
    <w:next w:val="1471"/>
    <w:link w:val="1047"/>
    <w:rPr>
      <w:rFonts w:ascii="Times New Roman" w:hAnsi="Times New Roman" w:eastAsia="宋体" w:cs="Times New Roman"/>
      <w:color w:val="000000"/>
      <w:sz w:val="22"/>
      <w:szCs w:val="22"/>
      <w:u w:val="none"/>
    </w:rPr>
  </w:style>
  <w:style w:type="character" w:styleId="1472">
    <w:name w:val="font51"/>
    <w:next w:val="1472"/>
    <w:link w:val="1047"/>
    <w:rPr>
      <w:rFonts w:hint="eastAsia" w:ascii="宋体" w:hAnsi="宋体" w:eastAsia="宋体" w:cs="宋体"/>
      <w:color w:val="000000"/>
      <w:sz w:val="22"/>
      <w:szCs w:val="22"/>
      <w:u w:val="none"/>
      <w:vertAlign w:val="subscript"/>
    </w:rPr>
  </w:style>
  <w:style w:type="character" w:styleId="1473">
    <w:name w:val="font41"/>
    <w:next w:val="1473"/>
    <w:link w:val="1047"/>
    <w:rPr>
      <w:rFonts w:hint="eastAsia" w:ascii="宋体" w:hAnsi="宋体" w:eastAsia="宋体" w:cs="宋体"/>
      <w:color w:val="000000"/>
      <w:sz w:val="22"/>
      <w:szCs w:val="22"/>
      <w:u w:val="none"/>
    </w:rPr>
  </w:style>
  <w:style w:type="character" w:styleId="1474">
    <w:name w:val="font71"/>
    <w:next w:val="1474"/>
    <w:link w:val="1047"/>
    <w:rPr>
      <w:rFonts w:ascii="Times New Roman" w:hAnsi="Times New Roman" w:eastAsia="宋体" w:cs="Times New Roman"/>
      <w:color w:val="000000"/>
      <w:sz w:val="22"/>
      <w:szCs w:val="22"/>
      <w:u w:val="none"/>
    </w:rPr>
  </w:style>
  <w:style w:type="character" w:styleId="1475">
    <w:name w:val="font21"/>
    <w:next w:val="1475"/>
    <w:link w:val="1047"/>
    <w:rPr>
      <w:rFonts w:ascii="Times New Roman" w:hAnsi="Times New Roman" w:eastAsia="宋体" w:cs="Times New Roman"/>
      <w:color w:val="000000"/>
      <w:sz w:val="22"/>
      <w:szCs w:val="22"/>
      <w:u w:val="none"/>
      <w:vertAlign w:val="superscript"/>
    </w:rPr>
  </w:style>
  <w:style w:type="paragraph" w:styleId="1476">
    <w:name w:val="06列出段落"/>
    <w:basedOn w:val="1047"/>
    <w:next w:val="1288"/>
    <w:link w:val="1047"/>
    <w:pPr>
      <w:ind w:firstLine="420"/>
    </w:pPr>
    <w:rPr>
      <w:rFonts w:ascii="Calibri" w:hAnsi="Calibri" w:eastAsia="宋体" w:cs="Times New Roman"/>
    </w:rPr>
  </w:style>
  <w:style w:type="paragraph" w:styleId="1477">
    <w:name w:val="彩色列表 - 强调文字颜色 11"/>
    <w:basedOn w:val="1047"/>
    <w:next w:val="1477"/>
    <w:link w:val="1047"/>
    <w:qFormat/>
    <w:pPr>
      <w:contextualSpacing/>
      <w:ind w:left="720"/>
      <w:jc w:val="left"/>
      <w:spacing w:before="100" w:after="100" w:line="276" w:lineRule="auto"/>
      <w:widowControl/>
    </w:pPr>
    <w:rPr>
      <w:rFonts w:ascii="Arial" w:hAnsi="Arial" w:cs="Arial"/>
      <w:color w:val="0f0f0f"/>
      <w:sz w:val="20"/>
      <w:lang w:eastAsia="en-US"/>
    </w:rPr>
  </w:style>
  <w:style w:type="paragraph" w:styleId="1478">
    <w:name w:val="讲话正文"/>
    <w:basedOn w:val="1047"/>
    <w:next w:val="1478"/>
    <w:link w:val="1047"/>
    <w:qFormat/>
    <w:pPr>
      <w:ind w:firstLine="200"/>
      <w:spacing w:before="0" w:after="0"/>
    </w:pPr>
    <w:rPr>
      <w:rFonts w:ascii="仿宋" w:hAnsi="仿宋" w:eastAsia="仿宋"/>
      <w:sz w:val="32"/>
      <w:szCs w:val="32"/>
    </w:rPr>
  </w:style>
  <w:style w:type="paragraph" w:styleId="1479">
    <w:name w:val="首行缩进"/>
    <w:basedOn w:val="1047"/>
    <w:next w:val="1479"/>
    <w:link w:val="1047"/>
    <w:qFormat/>
    <w:pPr>
      <w:ind w:firstLine="480"/>
    </w:pPr>
    <w:rPr>
      <w:szCs w:val="20"/>
      <w:lang w:val="zh-CN"/>
    </w:rPr>
  </w:style>
  <w:style w:type="paragraph" w:styleId="1480">
    <w:name w:val="正文首行缩进 21"/>
    <w:basedOn w:val="1449"/>
    <w:next w:val="1480"/>
    <w:link w:val="1047"/>
    <w:qFormat/>
    <w:pPr>
      <w:ind w:firstLine="420"/>
    </w:pPr>
  </w:style>
  <w:style w:type="paragraph" w:styleId="1481">
    <w:name w:val="Table Text"/>
    <w:basedOn w:val="1047"/>
    <w:next w:val="1481"/>
    <w:link w:val="1047"/>
    <w:semiHidden/>
    <w:qFormat/>
    <w:rPr>
      <w:rFonts w:ascii="宋体" w:hAnsi="宋体" w:cs="宋体"/>
      <w:sz w:val="24"/>
    </w:rPr>
  </w:style>
  <w:style w:type="table" w:styleId="1482">
    <w:name w:val="Table Normal"/>
    <w:next w:val="1482"/>
    <w:link w:val="1047"/>
    <w:unhideWhenUsed/>
    <w:qFormat/>
    <w:rPr>
      <w:lang w:val="en-US" w:eastAsia="zh-CN" w:bidi="ar-SA"/>
    </w:rPr>
    <w:tblPr/>
  </w:style>
  <w:style w:type="paragraph" w:styleId="1483">
    <w:name w:val="一级目录"/>
    <w:next w:val="1047"/>
    <w:link w:val="1047"/>
    <w:uiPriority w:val="99"/>
    <w:qFormat/>
    <w:pPr>
      <w:jc w:val="center"/>
      <w:outlineLvl w:val="0"/>
    </w:pPr>
    <w:rPr>
      <w:rFonts w:ascii="黑体" w:eastAsia="黑体"/>
      <w:b/>
      <w:bCs/>
      <w:sz w:val="44"/>
      <w:szCs w:val="44"/>
      <w:lang w:val="en-US" w:eastAsia="zh-CN" w:bidi="ar-SA"/>
    </w:rPr>
  </w:style>
  <w:style w:type="paragraph" w:styleId="1484">
    <w:name w:val="MdHeading2"/>
    <w:next w:val="1484"/>
    <w:link w:val="1047"/>
    <w:qFormat/>
    <w:pPr>
      <w:keepNext/>
      <w:spacing w:before="400" w:after="200"/>
      <w:outlineLvl w:val="1"/>
    </w:pPr>
    <w:rPr>
      <w:rFonts w:ascii="Calibri" w:hAnsi="Calibri"/>
      <w:b/>
      <w:bCs/>
      <w:sz w:val="32"/>
      <w:szCs w:val="32"/>
      <w:lang w:val="en-US" w:eastAsia="zh-CN" w:bidi="ar-SA"/>
    </w:rPr>
  </w:style>
  <w:style w:type="paragraph" w:styleId="1485">
    <w:name w:val="MdParagraph"/>
    <w:next w:val="1485"/>
    <w:link w:val="1047"/>
    <w:qFormat/>
    <w:pPr>
      <w:spacing w:before="120" w:after="120"/>
    </w:pPr>
    <w:rPr>
      <w:rFonts w:ascii="Calibri" w:hAnsi="Calibri"/>
      <w:sz w:val="24"/>
      <w:szCs w:val="24"/>
      <w:lang w:val="en-US" w:eastAsia="zh-CN" w:bidi="ar-SA"/>
    </w:rPr>
  </w:style>
  <w:style w:type="paragraph" w:styleId="1486">
    <w:name w:val="MdSpace"/>
    <w:next w:val="1486"/>
    <w:link w:val="1047"/>
    <w:qFormat/>
    <w:rPr>
      <w:rFonts w:ascii="Calibri" w:hAnsi="Calibri"/>
      <w:sz w:val="12"/>
      <w:szCs w:val="12"/>
      <w:lang w:val="en-US" w:eastAsia="zh-CN" w:bidi="ar-SA"/>
    </w:rPr>
  </w:style>
  <w:style w:type="paragraph" w:styleId="1487">
    <w:name w:val="MdTableHeader"/>
    <w:next w:val="1487"/>
    <w:link w:val="1047"/>
    <w:qFormat/>
    <w:pPr>
      <w:spacing w:before="60" w:after="60"/>
    </w:pPr>
    <w:rPr>
      <w:rFonts w:ascii="Calibri" w:hAnsi="Calibri"/>
      <w:b/>
      <w:bCs/>
      <w:sz w:val="22"/>
      <w:szCs w:val="22"/>
      <w:lang w:val="en-US" w:eastAsia="zh-CN" w:bidi="ar-SA"/>
    </w:rPr>
  </w:style>
  <w:style w:type="paragraph" w:styleId="1488">
    <w:name w:val="MdTableCell"/>
    <w:next w:val="1488"/>
    <w:link w:val="1047"/>
    <w:qFormat/>
    <w:pPr>
      <w:spacing w:before="40" w:after="40"/>
    </w:pPr>
    <w:rPr>
      <w:rFonts w:ascii="Calibri" w:hAnsi="Calibri"/>
      <w:lang w:val="en-US" w:eastAsia="zh-CN" w:bidi="ar-SA"/>
    </w:rPr>
  </w:style>
  <w:style w:type="character" w:styleId="1489">
    <w:name w:val="MdStrong"/>
    <w:next w:val="1489"/>
    <w:link w:val="1047"/>
    <w:uiPriority w:val="99"/>
    <w:unhideWhenUsed/>
    <w:qFormat/>
    <w:rPr>
      <w:b/>
      <w:bCs/>
    </w:rPr>
  </w:style>
  <w:style w:type="paragraph" w:styleId="1490">
    <w:name w:val="标题 21"/>
    <w:basedOn w:val="1047"/>
    <w:next w:val="1047"/>
    <w:link w:val="1047"/>
    <w:qFormat/>
    <w:pPr>
      <w:jc w:val="center"/>
      <w:keepLines/>
      <w:keepNext/>
      <w:spacing w:before="260" w:after="260" w:line="416" w:lineRule="auto"/>
      <w:outlineLvl w:val="1"/>
    </w:pPr>
    <w:rPr>
      <w:rFonts w:ascii="Arial" w:hAnsi="Arial" w:eastAsia="幼圆"/>
      <w:b/>
      <w:bCs/>
      <w:sz w:val="44"/>
      <w:szCs w:val="44"/>
    </w:rPr>
  </w:style>
  <w:style w:type="character" w:styleId="1491" w:default="1">
    <w:name w:val="Default Paragraph Font"/>
    <w:uiPriority w:val="1"/>
    <w:semiHidden/>
    <w:unhideWhenUsed/>
  </w:style>
  <w:style w:type="numbering" w:styleId="1492" w:default="1">
    <w:name w:val="No List"/>
    <w:uiPriority w:val="99"/>
    <w:semiHidden/>
    <w:unhideWhenUsed/>
  </w:style>
  <w:style w:type="table" w:styleId="14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4</cp:revision>
  <dcterms:created xsi:type="dcterms:W3CDTF">2026-09-07T03:53:00Z</dcterms:created>
  <dcterms:modified xsi:type="dcterms:W3CDTF">2026-09-16T08:53:06Z</dcterms:modified>
</cp:coreProperties>
</file>