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239" w:lineRule="atLeast"/>
        <w:tabs>
          <w:tab w:val="left" w:pos="384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ab/>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72"/>
        </w:rPr>
        <w:t xml:space="preserve">泰州市政府采购</w:t>
      </w:r>
      <w:r/>
    </w:p>
    <w:p>
      <w:pPr>
        <w:ind w:left="0" w:right="0" w:firstLine="0"/>
        <w:jc w:val="center"/>
        <w:spacing w:before="0" w:after="0" w:line="85" w:lineRule="atLeast"/>
        <w:tabs>
          <w:tab w:val="left" w:pos="71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52"/>
        </w:rPr>
        <w:t xml:space="preserve">公开</w:t>
        <mc:AlternateContent>
          <mc:Choice Requires="wpg">
            <w:drawing>
              <wp:inline xmlns:wp="http://schemas.openxmlformats.org/drawingml/2006/wordprocessingDrawing" distT="0" distB="0" distL="0" distR="0">
                <wp:extent cx="9525" cy="95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309197"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0.8pt;mso-wrap-distance-left:0.0pt;mso-wrap-distance-top:0.0pt;mso-wrap-distance-right:0.0pt;mso-wrap-distance-bottom:0.0pt;" stroked="false">
                <v:path textboxrect="0,0,0,0"/>
              </v:shape>
            </w:pict>
          </mc:Fallback>
        </mc:AlternateContent>
        <w:t xml:space="preserve">招标文件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（全流程电子化不见面开标）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56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56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项目编号：JSZC-321283-JSHY-G2026-0157</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项目名称：泰兴市人民医院新建医疗综合大楼医疗家具采购项目</w:t>
      </w:r>
      <w:r/>
    </w:p>
    <w:p>
      <w:pPr>
        <w:ind w:left="0" w:right="0" w:firstLine="41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采购人：泰兴市人民医院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采购代理机构：江苏弘业国际技术工程有限公司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2026年9月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第一章 招标公告</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第二章 投标人须知</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第三章 采购需求</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第四章 评标办法及标准</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第五章 合同条款</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第六章 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32"/>
          <w:u w:val="none"/>
        </w:rPr>
        <w:t xml:space="preserve">第一章</w:t>
      </w:r>
      <w:r>
        <w:rPr>
          <w:rFonts w:ascii="SimSun" w:hAnsi="SimSun" w:eastAsia="SimSun" w:cs="SimSun"/>
          <w:color w:val="000000"/>
          <w:sz w:val="32"/>
        </w:rPr>
        <w:t xml:space="preserve"> </w:t>
      </w:r>
      <w:r>
        <w:rPr>
          <w:rFonts w:ascii="SimSun" w:hAnsi="SimSun" w:eastAsia="SimSun" w:cs="SimSun"/>
          <w:b/>
          <w:color w:val="000000"/>
          <w:spacing w:val="15"/>
          <w:sz w:val="32"/>
        </w:rPr>
        <w:t xml:space="preserve">招标公告</w:t>
      </w:r>
      <w:r/>
    </w:p>
    <w:p>
      <w:pPr>
        <w:ind w:left="0" w:right="0" w:firstLine="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8"/>
        <w:jc w:val="both"/>
        <w:spacing w:before="0" w:after="0" w:line="85" w:lineRule="atLeast"/>
        <w:rPr>
          <w:color w:val="000000" w:themeColor="text1"/>
        </w:rPr>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泰兴市人民医院新建医疗综合大楼医疗家具采购项目</w:t>
      </w:r>
      <w:r>
        <w:rPr>
          <w:rFonts w:ascii="SimSun" w:hAnsi="SimSun" w:eastAsia="SimSun" w:cs="SimSun"/>
          <w:color w:val="000000"/>
          <w:sz w:val="24"/>
        </w:rPr>
        <w:t xml:space="preserve">招标项目的潜在投标人可在“江苏政府采购网</w:t>
      </w:r>
      <w:r>
        <w:rPr>
          <w:rFonts w:ascii="SimSun" w:hAnsi="SimSun" w:eastAsia="SimSun" w:cs="SimSun"/>
          <w:color w:val="000000"/>
          <w:sz w:val="24"/>
          <w:u w:val="single"/>
        </w:rPr>
        <w:t xml:space="preserve">-苏采云”系统</w:t>
      </w:r>
      <w:r>
        <w:rPr>
          <w:rFonts w:ascii="SimSun" w:hAnsi="SimSun" w:eastAsia="SimSun" w:cs="SimSun"/>
          <w:color w:val="000000"/>
          <w:sz w:val="24"/>
        </w:rPr>
        <w:t xml:space="preserve">自行下载招标文件</w:t>
      </w:r>
      <w:hyperlink r:id="rId12" w:tooltip="http://jszfcg.jsczt.cn/）获取招标文件，并于2023年11月" w:history="1">
        <w:r>
          <w:rPr>
            <w:rStyle w:val="758"/>
            <w:rFonts w:ascii="SimSun" w:hAnsi="SimSun" w:eastAsia="SimSun" w:cs="SimSun"/>
            <w:color w:val="000000" w:themeColor="text1"/>
            <w:sz w:val="24"/>
            <w:u w:val="single"/>
          </w:rPr>
          <w:t xml:space="preserve">，并于2026年9月</w:t>
        </w:r>
      </w:hyperlink>
      <w:r>
        <w:rPr>
          <w:rFonts w:ascii="SimSun" w:hAnsi="SimSun" w:eastAsia="SimSun" w:cs="SimSun"/>
          <w:color w:val="000000" w:themeColor="text1"/>
          <w:sz w:val="24"/>
          <w:u w:val="single"/>
        </w:rPr>
        <w:t xml:space="preserve">18日14时00分</w:t>
      </w:r>
      <w:r>
        <w:rPr>
          <w:rFonts w:ascii="SimSun" w:hAnsi="SimSun" w:eastAsia="SimSun" w:cs="SimSun"/>
          <w:color w:val="000000" w:themeColor="text1"/>
          <w:sz w:val="24"/>
        </w:rPr>
        <w:t xml:space="preserve">（北京时间）前上传投标文件。</w:t>
      </w:r>
      <w:r>
        <w:rPr>
          <w:color w:val="000000" w:themeColor="text1"/>
        </w:rPr>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项目编号：JSZC-321283-JSHY-G2026-0157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项目名称：泰兴市人民医院新建医疗综合大楼医疗家具采购项目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预算金额：228.187454 万元</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最高限价：2281874.54元</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采购需求：详见招标文件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合同履行期限：合同签订后30天内</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本项目不接受进口产品投标。</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1.满足《中华人民共和国政府采购法》第二十二条规定；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1）具有独立承担民事责任的能力（提供法人或者其他组织的营业执照等证明文件；供应商为自然人的，提供其身份证）；</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2）具有良好的商业信誉和健全的财务会计制度（提供2024年度或者2025年度财务报告，至少包含资产负债表、利润表，或投标截止时间前六个月内银行出具的资信证明，成立不满一年的无须提供）；</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3）具有履行合同所必需的设备和专业技术能力（供应商根据履行采购项目合同需要，提供履行合同所必需的设备和专业技术能力的声明函或证明材料）；</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提供投标截止时间前六个月内）中任一月份的依法缴纳税收和社会保险费的相关材料（提供相关主管部门证明或银行代扣证明的复印件，根据国家相关政策免缴或迟缴的需提供相关证明材料）；</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5）参加政府采购活动前三年内，在经营活动中没有重大违法记录（提供承诺书）；</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2.落实政府采购政策满足的资格要求：</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（一）拒绝被“信用中国”（www.creditchina.gov.cn）、“中国政府采购网”(www.ccgp.gov.cn）列入失信被执行人、重大税收违法案件当事人、政府采购严重失信行为的供应商参加投标。</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（二）其它：</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（1）根据所投产品类别，投标人具有所投产品医疗器械生产许可（或备案）证或经营许可（或备案）证。</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三、获取招标文件</w:t>
      </w:r>
      <w:r>
        <w:rPr>
          <w:rFonts w:ascii="SimSun" w:hAnsi="SimSun" w:eastAsia="SimSun" w:cs="SimSun"/>
          <w:b/>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w:t>
      </w:r>
      <w:r>
        <w:rPr>
          <w:rFonts w:ascii="SimSun" w:hAnsi="SimSun" w:eastAsia="SimSun" w:cs="SimSun"/>
          <w:color w:val="000000"/>
          <w:sz w:val="24"/>
        </w:rPr>
        <w:t xml:space="preserve">个</w:t>
      </w:r>
      <w:r>
        <w:rPr>
          <w:rFonts w:ascii="SimSun" w:hAnsi="SimSun" w:eastAsia="SimSun" w:cs="SimSun"/>
          <w:color w:val="000000"/>
          <w:sz w:val="24"/>
        </w:rPr>
        <w:t xml:space="preserve">工作日</w:t>
      </w:r>
      <w:r>
        <w:rPr>
          <w:rFonts w:ascii="SimSun" w:hAnsi="SimSun" w:eastAsia="SimSun" w:cs="SimSun"/>
          <w:color w:val="000000"/>
          <w:sz w:val="24"/>
        </w:rPr>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地点：投标人完成注册并办理CA证书后登录“江苏政府采购‘苏采云’系统”下载本项目招标文件。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方式：登录江苏政府采购“苏采云”系统免费下载。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售价：免费。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注意事项：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本项目采用网上注册登记方式。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1.潜在投标人访问电子招标投标交易平台的网络地址和方法：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（1）登录 http://jszfcg.jsczt.cn/，点击“苏采云”进入系统。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2.采购代理机构将数据电文形式的招标文件加载至电子招标投标交易平台，供潜在投标人下载或者查阅。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3.如潜在投标人未按上述要求操作，将自行承担所产生的风险。</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四、提交投标文件</w:t>
      </w:r>
      <w:r>
        <w:rPr>
          <w:rFonts w:ascii="SimSun" w:hAnsi="SimSun" w:eastAsia="SimSun" w:cs="SimSun"/>
          <w:b/>
          <w:color w:val="000000"/>
          <w:sz w:val="24"/>
        </w:rPr>
        <w:t xml:space="preserve">截止时间、开标时间和地点</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时间：2026年9月18日14时00分（北京时间）</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地点：江苏政府采购“苏采云”系统不见面开标大厅</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五、公告期限</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1、本项目不收取</w:t>
      </w:r>
      <w:r>
        <w:rPr>
          <w:rFonts w:ascii="SimSun" w:hAnsi="SimSun" w:eastAsia="SimSun" w:cs="SimSun"/>
          <w:color w:val="000000"/>
          <w:sz w:val="24"/>
        </w:rPr>
        <w:t xml:space="preserve">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none"/>
        </w:rPr>
        <w:t xml:space="preserve">本项目支持</w:t>
      </w:r>
      <w:r>
        <w:rPr>
          <w:rFonts w:ascii="SimSun" w:hAnsi="SimSun" w:eastAsia="SimSun" w:cs="SimSun"/>
          <w:color w:val="000000"/>
          <w:sz w:val="24"/>
        </w:rPr>
        <w:t xml:space="preserve">1）.小微企业价格扣除《江苏省财政厅关于进一步加大政府采购支持中小企业力度的通知》（苏财购〔2022〕45号）2）.节能、环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w:t>
      </w:r>
      <w:r>
        <w:rPr>
          <w:rFonts w:ascii="SimSun" w:hAnsi="SimSun" w:eastAsia="SimSun" w:cs="SimSun"/>
          <w:color w:val="000000"/>
          <w:sz w:val="24"/>
        </w:rPr>
        <w:t xml:space="preserve">知》（苏财购〔2023〕150 号）等政策。</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3、本项目不属于专门面向中小企业采购的项目</w:t>
      </w:r>
      <w:r/>
    </w:p>
    <w:p>
      <w:pPr>
        <w:ind w:left="0" w:right="0" w:firstLine="2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4、项目演示、样品、答辩等：按招标文件要求提供样品。</w:t>
      </w:r>
      <w:r/>
    </w:p>
    <w:p>
      <w:pPr>
        <w:ind w:left="0" w:right="0" w:firstLine="7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提交时间：2026年9月17日9时至17时00</w:t>
      </w:r>
      <w:r>
        <w:rPr>
          <w:rFonts w:ascii="SimSun" w:hAnsi="SimSun" w:eastAsia="SimSun" w:cs="SimSun"/>
          <w:color w:val="000000"/>
          <w:sz w:val="24"/>
        </w:rPr>
        <w:t xml:space="preserve">分</w:t>
      </w:r>
      <w:r>
        <w:rPr>
          <w:rFonts w:ascii="SimSun" w:hAnsi="SimSun" w:eastAsia="SimSun" w:cs="SimSun"/>
          <w:color w:val="000000"/>
          <w:sz w:val="24"/>
        </w:rPr>
        <w:t xml:space="preserve">（</w:t>
      </w:r>
      <w:r>
        <w:rPr>
          <w:rFonts w:ascii="SimSun" w:hAnsi="SimSun" w:eastAsia="SimSun" w:cs="SimSun"/>
          <w:color w:val="000000"/>
          <w:sz w:val="24"/>
        </w:rPr>
        <w:t xml:space="preserve">北京</w:t>
      </w:r>
      <w:r>
        <w:rPr>
          <w:rFonts w:ascii="SimSun" w:hAnsi="SimSun" w:eastAsia="SimSun" w:cs="SimSun"/>
          <w:color w:val="000000"/>
          <w:sz w:val="24"/>
        </w:rPr>
        <w:t xml:space="preserve">时间</w:t>
      </w:r>
      <w:r>
        <w:rPr>
          <w:rFonts w:ascii="SimSun" w:hAnsi="SimSun" w:eastAsia="SimSun" w:cs="SimSun"/>
          <w:color w:val="000000"/>
          <w:sz w:val="24"/>
        </w:rPr>
        <w:t xml:space="preserve">）</w:t>
      </w:r>
      <w:r>
        <w:rPr>
          <w:rFonts w:ascii="SimSun" w:hAnsi="SimSun" w:eastAsia="SimSun" w:cs="SimSun"/>
          <w:color w:val="000000"/>
          <w:sz w:val="24"/>
        </w:rPr>
      </w:r>
      <w:r/>
    </w:p>
    <w:p>
      <w:pPr>
        <w:ind w:left="0" w:right="0" w:firstLine="7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递交地址：江苏省南京市秦淮区中华路50号弘业大厦1楼</w:t>
      </w:r>
      <w:r>
        <w:rPr>
          <w:rFonts w:ascii="SimSun" w:hAnsi="SimSun" w:eastAsia="SimSun" w:cs="SimSun"/>
          <w:color w:val="000000"/>
          <w:sz w:val="24"/>
        </w:rPr>
        <w:t xml:space="preserve">开标</w:t>
      </w:r>
      <w:r>
        <w:rPr>
          <w:rFonts w:ascii="SimSun" w:hAnsi="SimSun" w:eastAsia="SimSun" w:cs="SimSun"/>
          <w:color w:val="000000"/>
          <w:sz w:val="24"/>
        </w:rPr>
        <w:t xml:space="preserve">大厅</w:t>
      </w:r>
      <w:r/>
    </w:p>
    <w:p>
      <w:pPr>
        <w:ind w:left="0" w:right="0" w:firstLine="7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样品接收人：王女士18352665859。</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称：泰兴市人民医院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地址：江苏省泰兴市长征路1号（泰兴市润泰南路98号）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联系方式：0523-87919687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称：江苏弘业国际技术工程有限公司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址：南京市秦淮区中华路50号弘业大厦10楼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联系方式：025-52278761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项目联系人：王苏琪</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话：18352665859 </w:t>
      </w:r>
      <w:r/>
    </w:p>
    <w:p>
      <w:pPr>
        <w:ind w:left="0" w:right="840" w:firstLine="53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投标人须知</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投标人须知前附表</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8"/>
        <w:gridCol w:w="1630"/>
        <w:gridCol w:w="6813"/>
      </w:tblGrid>
      <w:tr>
        <w:trPr>
          <w:trHeight w:val="5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泰兴市人民医院新建医疗综合大楼医疗家具采购项目</w:t>
            </w:r>
            <w:r/>
          </w:p>
        </w:tc>
      </w:tr>
      <w:tr>
        <w:trPr>
          <w:trHeight w:val="5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详见第三章采购需求</w:t>
            </w:r>
            <w:r/>
          </w:p>
        </w:tc>
      </w:tr>
      <w:tr>
        <w:trPr>
          <w:trHeight w:val="2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供货期及供货地点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交货期：合同签订后30天内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本项目实施过程中涉及的产品包装及运输事宜，要严格执行《商品包装政府采购需求标准（试行）》《快递包装政府采购需求标准（试行）》（财办库〔2020〕123 号）的要求。</w:t>
            </w:r>
            <w:r/>
          </w:p>
        </w:tc>
      </w:tr>
      <w:tr>
        <w:trPr>
          <w:trHeight w:val="11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最高投标限价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最高限价：228.187454 万元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投标单位报价不得高于最高限价且投标单价不得高于清单单价，否则视为无效投标文件。</w:t>
            </w: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合格投标人资格要求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详见招标公告</w:t>
            </w:r>
            <w:r/>
          </w:p>
        </w:tc>
      </w:tr>
      <w:tr>
        <w:trPr>
          <w:trHeight w:val="8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6"/>
              </w:rPr>
              <w:t xml:space="preserve">☑</w:t>
            </w:r>
            <w:r>
              <w:rPr>
                <w:rFonts w:ascii="SimSun" w:hAnsi="SimSun" w:eastAsia="SimSun" w:cs="SimSun"/>
                <w:color w:val="000000"/>
                <w:sz w:val="24"/>
              </w:rPr>
              <w:t xml:space="preserve">不接受，招标文件中有关联合体规定均不适用。</w:t>
            </w:r>
            <w:r/>
          </w:p>
          <w:p>
            <w:pPr>
              <w:numPr>
                <w:ilvl w:val="0"/>
                <w:numId w:val="8"/>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w:t>
            </w:r>
            <w:r/>
          </w:p>
        </w:tc>
      </w:tr>
      <w:tr>
        <w:trPr>
          <w:trHeight w:val="1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现场勘察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6"/>
              </w:rPr>
              <w:t xml:space="preserve">☑</w:t>
            </w:r>
            <w:r>
              <w:rPr>
                <w:rFonts w:ascii="SimSun" w:hAnsi="SimSun" w:eastAsia="SimSun" w:cs="SimSun"/>
                <w:color w:val="000000"/>
                <w:sz w:val="24"/>
              </w:rPr>
              <w:t xml:space="preserve">不组织，自行勘察;如投标人需自行勘察,费用自理。</w:t>
            </w:r>
            <w:r/>
          </w:p>
          <w:p>
            <w:pPr>
              <w:numPr>
                <w:ilvl w:val="0"/>
                <w:numId w:val="8"/>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组织，勘察时间： 年月日时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集合地点：</w:t>
            </w:r>
            <w:r/>
          </w:p>
          <w:p>
            <w:pPr>
              <w:ind w:left="0" w:right="0" w:firstLine="97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联系人：联系电话：</w:t>
            </w:r>
            <w:r/>
          </w:p>
        </w:tc>
      </w:tr>
      <w:tr>
        <w:trPr>
          <w:trHeight w:val="10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6"/>
              </w:rPr>
              <w:t xml:space="preserve">☑</w:t>
            </w:r>
            <w:r>
              <w:rPr>
                <w:rFonts w:ascii="SimSun" w:hAnsi="SimSun" w:eastAsia="SimSun" w:cs="SimSun"/>
                <w:color w:val="000000"/>
                <w:sz w:val="24"/>
              </w:rPr>
              <w:t xml:space="preserve">不召开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口召开，召开时间：年月日时</w:t>
            </w:r>
            <w:r/>
          </w:p>
          <w:p>
            <w:pPr>
              <w:ind w:left="0" w:right="0" w:firstLine="97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治疗柜</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本项目不收取投标保证金。</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90 </w:t>
            </w:r>
            <w:r>
              <w:rPr>
                <w:rFonts w:ascii="SimSun" w:hAnsi="SimSun" w:eastAsia="SimSun" w:cs="SimSun"/>
                <w:color w:val="000000"/>
                <w:sz w:val="24"/>
              </w:rPr>
              <w:t xml:space="preserve">日历天（从投标截止之日算起）</w:t>
            </w:r>
            <w:r/>
          </w:p>
        </w:tc>
      </w:tr>
      <w:tr>
        <w:trPr>
          <w:trHeight w:val="4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color w:val="000000"/>
                <w:sz w:val="24"/>
                <w:u w:val="single"/>
              </w:rPr>
              <w:t xml:space="preserve"> 2026</w:t>
            </w:r>
            <w:r>
              <w:rPr>
                <w:rFonts w:ascii="SimSun" w:hAnsi="SimSun" w:eastAsia="SimSun" w:cs="SimSun"/>
                <w:color w:val="000000"/>
                <w:sz w:val="24"/>
              </w:rPr>
              <w:t xml:space="preserve">年9月18日14时00分</w:t>
            </w:r>
            <w:r/>
          </w:p>
        </w:tc>
      </w:tr>
      <w:tr>
        <w:trPr>
          <w:trHeight w:val="53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地点：江苏政府采购“苏采云”系统不见面开标大厅 </w:t>
            </w:r>
            <w:r/>
          </w:p>
        </w:tc>
      </w:tr>
      <w:tr>
        <w:trPr>
          <w:trHeight w:val="7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开标时间和地点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color w:val="000000"/>
                <w:sz w:val="24"/>
                <w:u w:val="single"/>
              </w:rPr>
              <w:t xml:space="preserve"> 2026 </w:t>
            </w:r>
            <w:r>
              <w:rPr>
                <w:rFonts w:ascii="SimSun" w:hAnsi="SimSun" w:eastAsia="SimSun" w:cs="SimSun"/>
                <w:color w:val="000000"/>
                <w:sz w:val="24"/>
              </w:rPr>
              <w:t xml:space="preserve">年9月18 日14时00分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地点：江苏政府采购“苏采云”系统不见面开标大厅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4"/>
              </w:rPr>
              <w:t xml:space="preserve">☑</w:t>
            </w:r>
            <w:r>
              <w:rPr>
                <w:rFonts w:ascii="SimSun" w:hAnsi="SimSun" w:eastAsia="SimSun" w:cs="SimSun"/>
                <w:color w:val="000000"/>
                <w:sz w:val="24"/>
              </w:rPr>
              <w:t xml:space="preserve">综合评分法</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定标办法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采购人根据评标委员会推荐的中标候选供应商顺序确定中标人。</w:t>
            </w:r>
            <w:r/>
          </w:p>
        </w:tc>
      </w:tr>
      <w:tr>
        <w:trPr>
          <w:trHeight w:val="20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w:t>
            </w:r>
            <w:r>
              <w:rPr>
                <w:rFonts w:ascii="SimSun" w:hAnsi="SimSun" w:eastAsia="SimSun" w:cs="SimSun"/>
                <w:color w:val="000000"/>
                <w:sz w:val="24"/>
              </w:rPr>
              <w:t xml:space="preserve">不提交，招标文件中有关履约保证金的规定均不适用</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w:t>
            </w:r>
            <w:r>
              <w:rPr>
                <w:rFonts w:ascii="SimSun" w:hAnsi="SimSun" w:eastAsia="SimSun" w:cs="SimSun"/>
                <w:color w:val="000000"/>
                <w:sz w:val="24"/>
              </w:rPr>
              <w:t xml:space="preserve">提交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金额：中标价的6%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形式：保证保险、保函、电汇、转账、汇票、支票、本票等非现金形式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提交时间：收到中标通知书后签订合同前。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退还时间：服务期满且经验收合格后无息退还。</w:t>
            </w:r>
            <w:r/>
          </w:p>
        </w:tc>
      </w:tr>
      <w:tr>
        <w:trPr>
          <w:trHeight w:val="7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中标通知书发出之日起</w:t>
            </w:r>
            <w:r>
              <w:rPr>
                <w:rFonts w:ascii="SimSun" w:hAnsi="SimSun" w:eastAsia="SimSun" w:cs="SimSun"/>
                <w:color w:val="000000"/>
                <w:sz w:val="24"/>
                <w:u w:val="single"/>
              </w:rPr>
              <w:t xml:space="preserve"> 30 </w:t>
            </w:r>
            <w:r>
              <w:rPr>
                <w:rFonts w:ascii="SimSun" w:hAnsi="SimSun" w:eastAsia="SimSun" w:cs="SimSun"/>
                <w:color w:val="000000"/>
                <w:sz w:val="24"/>
              </w:rPr>
              <w:t xml:space="preserve">日内</w:t>
            </w:r>
            <w:r/>
          </w:p>
        </w:tc>
      </w:tr>
      <w:tr>
        <w:trPr>
          <w:trHeight w:val="8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117"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项目完成验收合格后付合同价的70%，结工审计，最终结算以合同价和审定价的低价执行，审定后付至应付款的90%，余款一年内付清。</w:t>
            </w:r>
            <w:r/>
          </w:p>
        </w:tc>
      </w:tr>
      <w:tr>
        <w:trPr>
          <w:trHeight w:val="1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中标服务费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top"/>
            <w:textDirection w:val="lrTb"/>
            <w:noWrap w:val="false"/>
          </w:tcPr>
          <w:p>
            <w:pPr>
              <w:ind w:left="0" w:right="0" w:firstLine="240"/>
              <w:jc w:val="both"/>
              <w:spacing w:before="200" w:after="200"/>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项目采购预算仅列支标的物购置经费，无单独列支政府采购代理服务费专项经费；经采购人研究决定，本项目代理服务费由成交供应商承担，该费用全额计入供应商投标报价，不额外增收。                             </w:t>
            </w:r>
            <w:r>
              <w:rPr>
                <w:rFonts w:ascii="SimSun" w:hAnsi="SimSun" w:eastAsia="SimSun" w:cs="SimSun"/>
                <w:color w:val="000000"/>
                <w:sz w:val="24"/>
                <w:szCs w:val="24"/>
                <w:highlight w:val="none"/>
              </w:rPr>
            </w:r>
            <w:r/>
          </w:p>
          <w:p>
            <w:pPr>
              <w:ind w:left="0" w:right="0" w:firstLine="240"/>
              <w:jc w:val="both"/>
              <w:spacing w:before="200" w:after="200"/>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采购代理服务费按照《江苏省招标代理服务收费的指导意见》（苏招协[2022]002号）收取，</w:t>
            </w:r>
            <w:r>
              <w:rPr>
                <w:rFonts w:ascii="SimSun" w:hAnsi="SimSun" w:eastAsia="SimSun" w:cs="SimSun"/>
                <w:color w:val="000000"/>
                <w:sz w:val="24"/>
              </w:rPr>
              <w:t xml:space="preserve">成交</w:t>
            </w:r>
            <w:r>
              <w:rPr>
                <w:rFonts w:ascii="SimSun" w:hAnsi="SimSun" w:eastAsia="SimSun" w:cs="SimSun"/>
                <w:color w:val="000000"/>
                <w:sz w:val="24"/>
              </w:rPr>
              <w:t xml:space="preserve">供应商</w:t>
            </w:r>
            <w:r>
              <w:rPr>
                <w:rFonts w:ascii="SimSun" w:hAnsi="SimSun" w:eastAsia="SimSun" w:cs="SimSun"/>
                <w:color w:val="000000"/>
                <w:sz w:val="24"/>
              </w:rPr>
              <w:t xml:space="preserve">应在领取中标通知书前缴纳。</w:t>
            </w:r>
            <w:r>
              <w:rPr>
                <w:rFonts w:ascii="SimSun" w:hAnsi="SimSun" w:eastAsia="SimSun" w:cs="SimSun"/>
                <w:color w:val="000000"/>
                <w:sz w:val="24"/>
                <w:szCs w:val="24"/>
                <w:highlight w:val="none"/>
              </w:rPr>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账户信息：</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户    名：江苏弘业国际技术工程有限公司</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开户银行：中国银行南京市中华路支行   </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账    号：527460884999</w:t>
            </w:r>
            <w:r/>
          </w:p>
        </w:tc>
      </w:tr>
      <w:tr>
        <w:trPr>
          <w:trHeight w:val="10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投标文件的制作要求</w:t>
            </w:r>
            <w:r/>
          </w:p>
          <w:p>
            <w:pPr>
              <w:ind w:left="0" w:right="0" w:firstLine="24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本次采购采用“苏采云”系统进行政府采购活动。</w:t>
            </w:r>
            <w:r/>
          </w:p>
          <w:p>
            <w:pPr>
              <w:ind w:left="0" w:right="0" w:firstLine="24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w:t>
            </w:r>
            <w:r>
              <w:rPr>
                <w:rFonts w:ascii="SimSun" w:hAnsi="SimSun" w:eastAsia="SimSun" w:cs="SimSun"/>
                <w:color w:val="000000"/>
                <w:sz w:val="24"/>
              </w:rPr>
              <w:t xml:space="preserve">修改，敬请及时关注“江苏省政府采购网”发布的更正公告。</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一、说明和释义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1.说明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1.1本招标文件仅适用于本采购项目的招标、投标、评审、确定中标单位、验收、合同履约、付款等（法律、法规另有规定的，从其规定）。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1.2本次招标活动及因本次招标产生的合同受中国法律制约和保护。</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1.3本招标文件的解释权属于采购人（代理机构）。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2.词语释义</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2.1采购人：指依法进行采购的国家机关、事业单位、团体组织。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供应商、投标人：指向采购人提供货物、工程或服务的法人、其他组织或者自然人，不包括其分公司。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2.3采购代理机构：指依法接受采购人委托，从事货物、工程和服务等采购招标代理业务的社会中介机构。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2.4招标采购单位：采购人及采购代理机构的统称。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2.5评标委员会：是指在招标投标和采购活动中，依法由采购人代表和有关技术、经济等方面的专家组建，负责对投标文件进行评审并提出评审意见的临时性权威机构。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2.6响应：投标人根据采购人或采购代理机构发售的招标文件，编制投标文件并按规定投标的行为。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2.7知识产权：指专利权、商标权、著作权等无形财产专有权的统称。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2.8天：日历天。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2.9服务地点：合同中明确约定的乙方履行服务的最终地点。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2.10不可抗力：不能预见、不能避免并且不能克服的客观情况。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实质性响应：满足有关本次采购标的、数量、质量、价款或者报酬、履行期限、履行地点和方式、违约责任和解决争议方法等要求。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2.12书面形式：指书面文字、合同书、信件等可以有形地表现所载内容的形式。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二、投标人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3.合格投标人资格要求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3.1详见投标人须知前附表规定。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SimSun" w:hAnsi="SimSun" w:eastAsia="SimSun" w:cs="SimSun"/>
          <w:color w:val="000000"/>
          <w:sz w:val="24"/>
        </w:rPr>
        <w:t xml:space="preserve">投标人应在江苏政府采购“苏采云”系统（http://jszfcg.jsczt.cn/，下同）下载招标文件及有关资料，按招标文件要求提交全部资料并对招标文件各项内容做出实质性响应。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5.投标人代表</w:t>
      </w:r>
      <w:r/>
    </w:p>
    <w:p>
      <w:pPr>
        <w:ind w:left="0" w:right="0" w:firstLine="3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5.1指全权代表投标人参加投标活动并签署投标文件的人，如果投标人代表不是法人代表，须具有《法人代表授权委托书》（详见统一格式）。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6.不接受联合体投标。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7.投标人有下列情形之一的不能参加本次投标：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（1）因重大经济问题正在接受国家有关部门审查的；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（2）正在被其他企业兼并（或收购）或因重大经济纠纷正在进行诉讼或仲裁的；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（3）因腐败和欺诈行为而被有关部门处理的。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（4）被责令停业的；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（5）被暂停或取消投标资格的；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（6）财产被接管或冻结的；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（7）在最近三年内有骗取中标或严重违约或重大工程质量问题的；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（8）在投标过程中弄虚作假、行贿或有其他违法违规行为的；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（9）违反法律法规相关规定的。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三、招标文件说明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w:t>
      </w:r>
      <w:r/>
    </w:p>
    <w:p>
      <w:pPr>
        <w:ind w:left="0" w:right="0" w:firstLine="5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9.现场勘察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9.1投标人应按招标文件中所述时间对有关现场和周围环境进行勘察，以获取编制投标文件和签署合同所需的信息。勘察现场所发生的费用由投标人自己承担。</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9.2招标采购单位向投标人提供的有关现场的资料和数据，是招标采购单位现有的并认为能使投标人可利用的资料。招标采购单位对投标人由此而做出的推论、理解和结论概不负责。</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经招标采购单位允许，投标人可为勘察目的进入招标采购单位的项目现场，但投标人不得因此使招标采购单位承担有关的责任和蒙受损失。投标人应承担勘察现场的责任和风险。</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采购人不组织勘察现场或答疑，各投标人可在每天9：00-11：30，14：00-17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10.招标文件的澄清和修改</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10.3招标文件澄清、答复、修改、补充的内容为本文件的组成部分。当招标文件与招标文件的答复、澄清、修改、补充通知就同一内容的表述不一致时，以最后发出的文件为准。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11.投标文件计量单位和使用文字</w:t>
      </w:r>
      <w:r/>
    </w:p>
    <w:p>
      <w:pPr>
        <w:ind w:left="0" w:right="0" w:firstLine="509"/>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11.1投标文件中所使用的计量单位，除招标文件中有特殊要求外，均应使用中华人民共和国法定计量单位。</w:t>
      </w:r>
      <w:r/>
    </w:p>
    <w:p>
      <w:pPr>
        <w:ind w:left="0" w:right="0" w:firstLine="5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11.3投标人应当同时凭CA数字证书登录“江苏政府采购“苏采云”系统”，并在投标截止时间前上传电子投标文件。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b/>
          <w:color w:val="000000"/>
          <w:sz w:val="24"/>
          <w:u w:val="none"/>
        </w:rPr>
        <w:t xml:space="preserve">2.知识产权</w:t>
      </w:r>
      <w:r/>
    </w:p>
    <w:p>
      <w:pPr>
        <w:ind w:left="0" w:right="0" w:firstLine="509"/>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13.投标文件的组成</w:t>
      </w:r>
      <w:r/>
    </w:p>
    <w:p>
      <w:pPr>
        <w:numPr>
          <w:ilvl w:val="0"/>
          <w:numId w:val="9"/>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投标函（格式见附件）</w:t>
      </w:r>
      <w:r/>
    </w:p>
    <w:p>
      <w:pPr>
        <w:numPr>
          <w:ilvl w:val="0"/>
          <w:numId w:val="9"/>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资格、资信证明文件：</w:t>
      </w:r>
      <w:r/>
    </w:p>
    <w:p>
      <w:pPr>
        <w:numPr>
          <w:ilvl w:val="1"/>
          <w:numId w:val="9"/>
        </w:numPr>
        <w:spacing w:before="240" w:after="240" w:line="85" w:lineRule="atLeast"/>
        <w:tabs>
          <w:tab w:val="left" w:pos="360"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资格证明文件（格式见附件）</w:t>
      </w:r>
      <w:r/>
    </w:p>
    <w:p>
      <w:pPr>
        <w:numPr>
          <w:ilvl w:val="1"/>
          <w:numId w:val="9"/>
        </w:numPr>
        <w:spacing w:before="240" w:after="240" w:line="85" w:lineRule="atLeast"/>
        <w:tabs>
          <w:tab w:val="left" w:pos="360"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法人或其他组织的营业执照或相关部门的登记证明文件； </w:t>
      </w:r>
      <w:r/>
    </w:p>
    <w:p>
      <w:pPr>
        <w:numPr>
          <w:ilvl w:val="1"/>
          <w:numId w:val="9"/>
        </w:numPr>
        <w:jc w:val="both"/>
        <w:spacing w:before="0" w:after="0" w:line="85" w:lineRule="atLeast"/>
        <w:tabs>
          <w:tab w:val="left" w:pos="360" w:leader="none"/>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9"/>
        </w:numPr>
        <w:jc w:val="both"/>
        <w:spacing w:before="0" w:after="0" w:line="85" w:lineRule="atLeast"/>
        <w:tabs>
          <w:tab w:val="left" w:pos="360" w:leader="none"/>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具有良好的商业信誉和健全的财务会计制度（提供2024年度或2025年度财务报告，至少包含资产负债表、利润表，或投标截止时间前六个月内银行出具的资信证明，成立不满一年的无须提供）； </w:t>
      </w:r>
      <w:r/>
    </w:p>
    <w:p>
      <w:pPr>
        <w:numPr>
          <w:ilvl w:val="1"/>
          <w:numId w:val="9"/>
        </w:numPr>
        <w:jc w:val="both"/>
        <w:spacing w:before="0" w:after="0" w:line="85" w:lineRule="atLeast"/>
        <w:tabs>
          <w:tab w:val="left" w:pos="360" w:leader="none"/>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有依法缴纳税收和社会保障资金的良好记录（</w:t>
      </w:r>
      <w:r>
        <w:rPr>
          <w:rFonts w:ascii="SimSun" w:hAnsi="SimSun" w:eastAsia="SimSun" w:cs="SimSun"/>
          <w:color w:val="000000"/>
          <w:sz w:val="26"/>
        </w:rPr>
        <w:t xml:space="preserve">投标截止时间前六个月内</w:t>
      </w:r>
      <w:r>
        <w:rPr>
          <w:rFonts w:ascii="SimSun" w:hAnsi="SimSun" w:eastAsia="SimSun" w:cs="SimSun"/>
          <w:color w:val="000000"/>
          <w:sz w:val="24"/>
        </w:rPr>
        <w:t xml:space="preserve">）中任一月份的依法缴纳税收和社会保险费的相关材料（提供相关主管部门证明或银行代扣证明的复印件，根据国家相关政策免缴或迟缴的需提供相关证明材料）；</w:t>
      </w:r>
      <w:r/>
    </w:p>
    <w:p>
      <w:pPr>
        <w:numPr>
          <w:ilvl w:val="1"/>
          <w:numId w:val="9"/>
        </w:numPr>
        <w:jc w:val="both"/>
        <w:spacing w:before="0" w:after="0" w:line="85" w:lineRule="atLeast"/>
        <w:tabs>
          <w:tab w:val="left" w:pos="360" w:leader="none"/>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采购人要求的特定资质证明</w:t>
      </w:r>
      <w:r/>
    </w:p>
    <w:p>
      <w:pPr>
        <w:ind w:left="531" w:right="0" w:firstLine="0"/>
        <w:jc w:val="both"/>
        <w:spacing w:before="0" w:after="0" w:line="85" w:lineRule="atLeast"/>
        <w:tabs>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（9）未被列入“信用中国”网站(www.creditchina.gov.cn)失信被执行人名单、重大税收违法案件当事人名单和中国政府采购网(www.ccgp.gov.cn)政府采购严重违法失信行为记录名单。</w:t>
      </w:r>
      <w:r/>
    </w:p>
    <w:p>
      <w:pPr>
        <w:numPr>
          <w:ilvl w:val="0"/>
          <w:numId w:val="9"/>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开标一览表（格式见附件）</w:t>
      </w:r>
      <w:r/>
    </w:p>
    <w:p>
      <w:pPr>
        <w:numPr>
          <w:ilvl w:val="0"/>
          <w:numId w:val="9"/>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投标报价明细表（格式见附件）</w:t>
      </w:r>
      <w:r/>
    </w:p>
    <w:p>
      <w:pPr>
        <w:numPr>
          <w:ilvl w:val="0"/>
          <w:numId w:val="9"/>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商务偏离表（格式见附件）</w:t>
      </w:r>
      <w:r/>
    </w:p>
    <w:p>
      <w:pPr>
        <w:numPr>
          <w:ilvl w:val="0"/>
          <w:numId w:val="9"/>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技术偏离表（格式见附件）</w:t>
      </w:r>
      <w:r/>
    </w:p>
    <w:p>
      <w:pPr>
        <w:numPr>
          <w:ilvl w:val="0"/>
          <w:numId w:val="9"/>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评分标准中对应的其它所需证明材料（如有自行添加）</w:t>
      </w:r>
      <w:r/>
    </w:p>
    <w:p>
      <w:pPr>
        <w:numPr>
          <w:ilvl w:val="0"/>
          <w:numId w:val="9"/>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其它（投标人认为有必要提供的声明和文件，如有自拟并自行添加）</w:t>
      </w:r>
      <w:r/>
    </w:p>
    <w:p>
      <w:pPr>
        <w:ind w:left="0" w:right="0" w:firstLine="609"/>
        <w:jc w:val="both"/>
        <w:spacing w:before="0" w:after="0" w:line="85" w:lineRule="atLeast"/>
        <w:tabs>
          <w:tab w:val="left" w:pos="2850"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14.投标文件编制及递交要求</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14.1所有文件、往来函件均应使用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（规格、型号辅助符号例外）。</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14.2投标文件由投标人按要求参考给定格式如实填写（编写），须有投标人（盖章）、法定代表人或法定代表人授权代表签字或盖章，方为有效，未尽事宜可自行补充。</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14.3如无特别说明，投标人报价一律以人民币为投标结算货币,结算单位为“元”。</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14.4投标文件不应有涂改、增删和潦草之处，如有必须修改时，修改处必须有投标人盖章、法定代表人或法定代表人授权代表的签字。</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14.5投标费用自理。</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14.6投标人应当同时凭CA数字证书登录“江苏政府采购“苏采云”系统”，并在投标截止时间前上传电子投标文件。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15.投标报价（编制）要求的说明</w:t>
      </w:r>
      <w:r/>
    </w:p>
    <w:p>
      <w:pPr>
        <w:ind w:left="0" w:right="0" w:firstLine="50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ind w:left="0" w:right="0" w:firstLine="50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投标人要认真阅读清单，慎重报价。采购人不再支付报价以外的任何费用。</w:t>
      </w:r>
      <w:r/>
    </w:p>
    <w:p>
      <w:pPr>
        <w:ind w:left="0" w:right="0" w:firstLine="50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15.2投标人应对招标文件内所要采购的全部内容进行报价，只投其中部分内容者，其标书将被拒绝。</w:t>
      </w:r>
      <w:r/>
    </w:p>
    <w:p>
      <w:pPr>
        <w:ind w:left="0" w:right="0" w:firstLine="50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15.3一项投标内容只允许一个报价，招标采购单位不接受任何有选择性的投标报价。</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15.4投标文件报价中的单价和总价全部采用人民币表示，除非合同的特殊条款另有规定。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根据苏财购〔2020〕52号文件，本项目不收取投标保证金。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17.投标文件的有效期</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17.1在本招标文件前附表规定的投标文件有效期内，投标人所提交的投标文件应保持有效。有效期短于这个规定期限的投标文件，将被认定为未实质性响应招标文件要求。</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18.投标文件的拒收</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采购人拒绝接收在其规定的投标截止时间后上传的任何投标文件。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五、投标文件的递交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19.投标文件的递交</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19.1电子投标文件的递交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投标人应当按照《江苏省政府采购管理交易系统（苏采云）供应商操作手册及政府采购客户端》规定，在投标截止时间前制作并上传电子投标文件。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20.投标截止日期</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20.2采购人可以按照规定，通过修改招标文件酌情延长投标截止日期，在此情况下，投标人的所有权利和义务以及投标人受制的截止日期均应以延长后新的截止日期为准。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21.投标文件的修改和撤回</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21.1投标文件的撤回</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投标人可在投标截止时间前，撤回其电子投标文件，具体操作方法见《江苏省政府采购管理交易系统（苏采云）供应商操作手册及政府采购客户端》。</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投标人可在投标截止时间前，对其电子投标文件进行修改，具体操作方法见《江苏省政府采购管理交易系统（苏采云）供应商操作手册及政府采购客户端》。</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21.3在投标截止时间之后，投标人不得对其电子投标文件作任何修改。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六、开标和评标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22.开标</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22.1采购人将在招标公告中规定的时间和地点组织公开开标。投标人应当按照《江苏省政府采购管理交易系统（苏采云）供应商操作手册及政府采购客户端》规定，参加开标活动。</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22.2开标仪式由采购代理机构组织。“江苏政府采购“苏采云”系统”将自动对项目进行开标，并宣读各投标人的《开标一览表》。</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22.5开标时，投标文件中开标一览表内容与投标文件中明细表内容不一致的，以开标一览表为准。</w:t>
      </w:r>
      <w:r/>
    </w:p>
    <w:p>
      <w:pPr>
        <w:ind w:left="0" w:right="0" w:firstLine="480"/>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22.6投标人未参加开标的，视同认可开标结果。</w:t>
      </w:r>
      <w:r/>
    </w:p>
    <w:p>
      <w:pPr>
        <w:ind w:left="0" w:right="0" w:firstLine="0"/>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23.评标委员会</w:t>
        <w:tab/>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23.1评标委员会由招标采购单位依法组建，负责本项目的评标事务。</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23.2评标委员会独立履行下列职责：</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23.2.1审查投标文件是否符合招标文件的要求，并作出评价；</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23.2.2可以要求投标供应商对投标文件有关事项作出解释或澄清；</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23.2.3推荐中标候选供应商名单，或者受采购人委托按照事先确定的办法直接确定中标供应商；</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23.2.4向招标采购单位或者有关部门报告非法干预评标工作的行为。</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23.3评标委员会成员应当履行下列义务：</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23.3.1遵纪守法，客观、公正、廉洁地履行职责；</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23.3.2按照招标文件规定的评标办法和评标标准进行评标，对评审意见承担个人责任；</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23.3.3对评标过程和结果，以及投标人的商业秘密保密；</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23.3.4参与评标报告的起草；</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23.3.5配合相关部门的投诉处理工作；</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23.3.6配合招标采购单位答复投标供应商提出的质疑。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24.评标内容的保密</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24.1公开开标后，直到宣布授予中标人合同为止，凡属于审查、澄清、评价和比较投标的所有资料，有关授予合同的信息都不应向投标人或与评标无关的其他人泄露。</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在投标文件的审查、澄清、评价和比较以及授予合同的过程中，投标人对招标采购单位和评标委员会成员施加影响的任何行为，都将取消其投标资格。</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24.3在评标期间，招标采购单位将通过指定联络人与投标人进行联系。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25.对投标文件初审</w:t>
      </w:r>
      <w:r/>
    </w:p>
    <w:p>
      <w:pPr>
        <w:ind w:left="0" w:right="0" w:firstLine="48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25.1投标文件初审分为资格性检查和符合性检查。</w:t>
      </w:r>
      <w:r/>
    </w:p>
    <w:p>
      <w:pPr>
        <w:ind w:left="0" w:right="0" w:firstLine="48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25.1.1资格性检查。依据法律法规和招标文件的规定，对投标文件中的资格证明、投标保证金等进行审查，以确定投标供应商是否具备投标资格。</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25.1.2符合性检查。依据招标文件的规定，从投标文件的有效性、完整性和对招标文件的响应程度进行审查，以确定是否对招标文件的实质性要求作出响应。</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投标人有下列情况之一者，投标文件无效：</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1）投标人未在规定时间内成功解密电子投标文件的；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2）投标人未按照招标文件要求上传电子投标文件的；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3）投标文件未按照招标文件要求加盖电子签章；</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4）招标人的法定代表人授权代表，无法定代表人授权委托书的；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5）不具备招标文件中规定的资格要求或未按招标文件规定的要求提供资格、资信证明文件的；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6）被“信用中国”网站（www.creditchina.gov.cn）列入失信执行人、重大税收违法案件当事人名单、中国政府采购网(www.ccgp.gov.cn)政府采购严重违法失信行为记录名单的；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7）投标文件未按招标文件规定的内容和要求填写的；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8）投标文件中有招标文件未允许提供的选择性内容；</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9）不同投标人的投标文件由同一单位或者个人编制的；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10）不同投标人委托同一单位或者个人办理投标事宜的；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11）不同投标人的投标文件载明的项目管理成员为同一人的；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12）不同投标人的投标文件异常一致或者投标报价呈规律性差异的；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13）不同投标人的单位负责人为同一人或者存在直接控股、管理关系的；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14）项目（标段）投标总价或单价超过本项目（标段）预算或最高限价的；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15）提供虚假材料的（包括工商营业执照、财务报表、资格证明文件等）；</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16）投标文件含有采购人不能接受的附加条件的；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18）除单一来源采购项目外，为采购项目提供整体设计、规范编制或者项目管理、监理、检测等服务的；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19）投标文件内容不全或不符合招标文件中规定的其它实质性要求的；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20）法律法规和招标文件规定的其它无效情形；</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21）改变招标文件清单给出的名称、实施范围、工作内容、计量单位、工程量、养护标准等。</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25.5招标采购单位对投标文件的判定，只依据投标内容本身，不依靠开标后的任何外来证明。</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25.6招标采购单位将拒绝被确定为非实质性响应的投标，投标人不能通过修正或撤销不符之处而使其投标成为实质性响应的投标。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26.投标的澄清</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对投标文件中含义不明确、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w:t>
      </w:r>
      <w:r>
        <w:rPr>
          <w:rFonts w:ascii="SimSun" w:hAnsi="SimSun" w:eastAsia="SimSun" w:cs="SimSun"/>
          <w:color w:val="000000"/>
          <w:sz w:val="24"/>
        </w:rPr>
        <w:t xml:space="preserve">澄清，其风险由投标人自行承担。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27.废标</w:t>
      </w:r>
      <w:r/>
    </w:p>
    <w:p>
      <w:pPr>
        <w:ind w:left="0" w:right="0" w:firstLine="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在招标采购中，出现下列情形之一的，应予废标：</w:t>
      </w:r>
      <w:r/>
    </w:p>
    <w:p>
      <w:pPr>
        <w:ind w:left="0" w:right="0" w:firstLine="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1．符合专业条件的投标人或者对招标文件作出实质性响应的投标人不足三家；</w:t>
      </w:r>
      <w:r/>
    </w:p>
    <w:p>
      <w:pPr>
        <w:ind w:left="0" w:right="0" w:firstLine="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w:t>
      </w:r>
      <w:r/>
    </w:p>
    <w:p>
      <w:pPr>
        <w:ind w:left="0" w:right="0" w:firstLine="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3．投标人的报价均超过采购预算，采购人不能支付的；</w:t>
      </w:r>
      <w:r/>
    </w:p>
    <w:p>
      <w:pPr>
        <w:ind w:left="0" w:right="0" w:firstLine="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w:t>
      </w:r>
      <w:r/>
    </w:p>
    <w:p>
      <w:pPr>
        <w:ind w:left="485" w:right="0" w:firstLine="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5．因“江苏政府采购“苏采云”系统”系统重大故障原因无法继续开评标的。</w:t>
      </w:r>
      <w:r/>
    </w:p>
    <w:p>
      <w:pPr>
        <w:ind w:left="485" w:right="0" w:firstLine="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6.评审过程中出现下列情形之一的，评审委员会应当启动异常低价投标(响应)审查程序:</w:t>
      </w:r>
      <w:r/>
    </w:p>
    <w:p>
      <w:pPr>
        <w:ind w:left="485" w:right="0" w:firstLine="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(1)投标(响应)报价低于采购项目预算50%的，即投标(响应)报价&lt;采购项目预算x50%;</w:t>
      </w:r>
      <w:r/>
    </w:p>
    <w:p>
      <w:pPr>
        <w:ind w:left="485" w:right="0" w:firstLine="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(2)投标(响应)报价低于采购项目最高限价45%的，即投标(响应)报价&lt;采购项目最高限价x45%:</w:t>
      </w:r>
      <w:r/>
    </w:p>
    <w:p>
      <w:pPr>
        <w:ind w:left="485" w:right="0" w:firstLine="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(3)评审委员会认定的供应商报价过低、有可能影响产品质量或者不能诚信履约的其他情形。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28.投标文件的评价和比较</w:t>
      </w:r>
      <w:r/>
    </w:p>
    <w:p>
      <w:pPr>
        <w:ind w:left="0" w:right="0" w:firstLine="60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28.1评标委员会按招标文件规定的评标方法和标准，对符合性检查合格的投标文件进行商务和技术评估，综合比较与评价。</w:t>
      </w:r>
      <w:r/>
    </w:p>
    <w:p>
      <w:pPr>
        <w:ind w:left="0" w:right="0" w:firstLine="60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28.2最低的投标报价或最高的折扣比例是中标的重要条件，但不是唯一条件。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29.中标人的确认</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29.1评标委员会按招标文件规定的评标方法和标准进行详细评审后，按招标采购单位的委托向招标采购单位推荐中标候选单位或根据采购人授权直接确定中标供应商。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29.2中标无效的确认：</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（1）提供虚假材料谋取中标的；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（2）采取不正当手段诋毁、排挤其他投标人的；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（3）与招标采购单位、其他投标人恶意串通的；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（4）向招标采购单位行贿或者提供其他不正当利益的；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（5）在招标过程中与招标采购单位进行协商谈判、不按照招标文件和中标供应商的投标文件订立合同，或者与采购人另行订立背离合同实质性内容的协议的；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（6）拒绝有关部门监督检查或者提供虚假情况的。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经评标委员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w:t>
      </w:r>
      <w:r>
        <w:rPr>
          <w:rFonts w:ascii="SimSun" w:hAnsi="SimSun" w:eastAsia="SimSun" w:cs="SimSun"/>
          <w:color w:val="000000"/>
          <w:sz w:val="24"/>
        </w:rPr>
        <w:t xml:space="preserve">对该质疑不予答复。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29.5质疑函必须按照《质疑函范本》要求的格式和内容进行填写。投标人如组成联合体参加的，则《质疑函范本》中要求签字、盖章、加盖公章之处，联合体各方均须按要求签字、盖章、加盖公章。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29.6本项目只接收以纸质原件形式送达的质疑，联系方式详见招标公告。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29.7以下情形的质疑不予受理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（1）质疑主体和内容不符合《政府采购质疑和投诉办法》第十一条、第十二条规定的；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（2）供应商超过法定质疑期提出质疑的；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（3）供应商以传真、电子邮件等方式递交的非原件形式的；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（4）供应商组成联合体参加投标（响应）的，联合体中任何一方或多方未按要求签字、盖章、加盖公章的；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（5）供应商对自身提出质疑的。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29.8供应商提出书面质疑必须有理、有据，不得捏造事实、提供虚假材料进行恶意质疑。否则，报请政府采购监管部门对该供应商进行相应的行政处罚和记录该供应商的失信信息。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30.合同授予标准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30.1招标采购单位将把合同授予其投标文件在实质上响应招标文件要求且综合评分得分最高的投标人。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31.中标通知书</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31.2中标通知书将成为合同的组成部分。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31.3招标采购单位对未中标供应商不承担解释未中标原因的义务。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32.履约保证金</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32.1中标人应按规定提交履约保证金，履约保证金的金额为中标金额的6%。</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32.2中标人必须在合同签订前按规定将履约保证金交至采购人指定账户。中标人未按上述要求提交履约保证金的,采购人可取消其中标资格。</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32.3履约保证金（无息）将在合同期结束且经双方验收合格后，采购人凭中标人的收款收据无息退返给中标单位。</w:t>
      </w:r>
      <w:r/>
    </w:p>
    <w:p>
      <w:pPr>
        <w:ind w:left="0" w:right="0" w:firstLine="478"/>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32.3履约保证金用以约束供应商在合同履行中的行为，弥补合同执行中由于自身行为可能给采购人带来的各种损失。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33.合同的签订</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33.1中标人应按中标通知书中规定的时间和地点，由法定代表人或委托代理人与采购人代表签订合同。</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33.2签订合同及合同条款应以招标文件和中标人的投标文件及其澄清文件为依据。</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33.3中标人无正当理由拒签合同的，或在签订合同时向采购人提出附加条件或者更改合同实质性内容的，采购人可取消其中标资格，同时由中标人承担相应的法律责任。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34.特别提醒</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34.1投标单位如有提供不实评审材料，弄虚作假者，一律作废标处理，该不良行为将予以公示。</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34.3政府采购线上合同信用融资功能告知提醒</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我区已正式启用“苏采云”系统，目前已全面开通政府采购线上合同信用融资（以下简称“政采贷”）功能。成交供应商可凭政府采购合同在中征平台发起贷款申请贷款。</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34.3.1.“政采贷”业务流程</w:t>
      </w:r>
      <w:r/>
    </w:p>
    <w:p>
      <w:pPr>
        <w:ind w:left="0" w:right="0" w:firstLine="431"/>
        <w:jc w:val="center"/>
        <w:spacing w:before="240" w:after="24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143500" cy="15240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057324" name=""/>
                        <pic:cNvPicPr>
                          <a:picLocks noChangeAspect="1"/>
                        </pic:cNvPicPr>
                        <pic:nvPr/>
                      </pic:nvPicPr>
                      <pic:blipFill>
                        <a:blip/>
                        <a:stretch/>
                      </pic:blipFill>
                      <pic:spPr bwMode="auto">
                        <a:xfrm>
                          <a:off x="0" y="0"/>
                          <a:ext cx="5143500" cy="15239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5.0pt;height:120.0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34.3.2.操作流程</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34.3.3.常见问题</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Q1：哪些企业能申请“政采贷”？</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答：江苏省内采用国库集中支付的政府采购项目的中标供应商，可凭政府采购合同申请"政采贷"。</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Q2：供应商在哪里申请“政采贷”？</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答：中标供应商在“中征应收账款融资服务平台”（简称“中征平台”）上向意向银行发起融资申请</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Q3：中标供应商要注意什么？</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答：中标供应商要加强和采购单位的沟通协调，尽早确定融资需求。需要“政采贷”融资的，政府采购合同付款账号应当空置。</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Q4：采购单位要做什么？</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答：采购单位在“苏采云”系统中公示政府采购合同时，要勾选融资标识，为中标供应商融资提供便利。如后续融资失败，采购单位要及时维护中标供应商相关账号信息，按时支付款项。</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Q5：“政采贷”融资失败怎么办？</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答：经合作银行审核后不予放款，或者贷款审核时间超过10个工作日的，视为融资失败，该项目回到财政预算管理一体化系统中支付资金。融资失败的，无法重新线上申请“政采贷”。</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34.3.4.网址及联系方式</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政采贷：http://www.ccgp-jiangsu.gov.cn/jiangsu/paying.html</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中征平台：https://www.crcrfsp.com/</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联系人：翟先生联系电话：0523-88816349</w:t>
      </w:r>
      <w:r/>
    </w:p>
    <w:p>
      <w:pPr>
        <w:numPr>
          <w:ilvl w:val="0"/>
          <w:numId w:val="10"/>
        </w:numPr>
        <w:jc w:val="both"/>
        <w:spacing w:before="240" w:after="24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货物（包含与货物相关的服务）的追加</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采购需求</w:t>
      </w:r>
      <w:r/>
    </w:p>
    <w:p>
      <w:pPr>
        <w:numPr>
          <w:ilvl w:val="0"/>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采购说明：</w:t>
      </w:r>
      <w:r/>
    </w:p>
    <w:p>
      <w:pPr>
        <w:ind w:left="0" w:right="0" w:firstLine="56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（一）采购货物清单：</w:t>
      </w:r>
      <w:r>
        <w:rPr>
          <w:rFonts w:ascii="SimSun" w:hAnsi="SimSun" w:eastAsia="SimSun" w:cs="SimSun"/>
          <w:color w:val="000000"/>
          <w:sz w:val="28"/>
        </w:rPr>
        <w:t xml:space="preserve">详见附件详见附件一《泰兴市人民医院新建医疗综合大楼医疗家具清单》。</w:t>
      </w:r>
      <w:r/>
    </w:p>
    <w:p>
      <w:pPr>
        <w:ind w:left="0" w:right="0" w:firstLine="56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备注：采购清单中货物数量按业主实际使用要求而定，货物清单中定制柜的尺寸以现场实际测量为准，最终按实际货物数据审计结算，请供应商投标报价时自行考虑该风险。</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（二）本项目核心产品：治疗柜。</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（三）报价要求：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1.供应商的投标报价应完成本项目所确定的货物清单中的全部货物和服务所发生的费用，报价采用全费用综合单价报价方式</w:t>
      </w:r>
      <w:r>
        <w:rPr>
          <w:rFonts w:ascii="SimSun" w:hAnsi="SimSun" w:eastAsia="SimSun" w:cs="SimSun"/>
          <w:b/>
          <w:color w:val="000000"/>
          <w:sz w:val="28"/>
        </w:rPr>
        <w:t xml:space="preserve">(附件一：泰兴市人民医院1号医疗综合大楼医疗家具清单中，清单单价报价不得高于清单预算单价)</w:t>
      </w:r>
      <w:r>
        <w:rPr>
          <w:rFonts w:ascii="SimSun" w:hAnsi="SimSun" w:eastAsia="SimSun" w:cs="SimSun"/>
          <w:color w:val="000000"/>
          <w:sz w:val="28"/>
        </w:rPr>
        <w:t xml:space="preserve">，综合单价包括（但不限于）货物采购、制作、运输、安装、上楼、分发、装卸、搬运、保管、验收、税金、包装、机械进出场费、市场材料价格风险费、备品备件、专用工具、技术资料售后服务等费用，直至达到正常使用要求。招标文件中所有内容涉及的费用，按常规应当包括的其它费用，投标时一次包定,结算时不再另行追加。请各供应商在报价时请充分考虑各种因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2.友情提醒：本项目涉及搬运、安装等相关内容，各潜在供应商如有需求可自行踏勘现场，并充分考虑报价因素，否则因报价错误导致的相关后果由供应商自行承担。</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3.本项目报总价及分项报价。</w:t>
      </w:r>
      <w:r/>
    </w:p>
    <w:p>
      <w:pPr>
        <w:ind w:left="0" w:right="0" w:firstLine="28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（四）本项目（不接受）进口产品投标</w:t>
      </w:r>
      <w:r/>
    </w:p>
    <w:p>
      <w:pPr>
        <w:ind w:left="0" w:right="0" w:firstLine="28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（五）质保期：三年</w:t>
      </w:r>
      <w:r/>
    </w:p>
    <w:p>
      <w:pPr>
        <w:ind w:left="0" w:right="0" w:firstLine="28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（六）产品质量要求：合格。</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泰兴市人民医院新建医疗综合大楼项目1-22层医用固定家具解决方案：详见附件二。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三、原材料技术要求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（一）电解钢板技术要求：</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检测依据：GB/T 3325-2024、QB/T 3826-1999、QB/T 3832-1999；</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1.外观性能要求：金属件：喷涂层：涂层应无漏喷、锈蚀和脱色、掉色现象；涂层应光滑均匀，色泽一致，应无流挂、疙瘩、皱皮、飞漆等缺陷；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2.耐腐蚀：经过360小时中性盐雾试验后，耐腐蚀等级≥9级；</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★3.产品表面理化性能：金属喷漆（塑）涂层：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(1)冲击强度：冲击高度400mm,应无剥落、裂纹、皱纹；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(2)耐盐浴：划道两侧3mm外,应无鼓泡、锈蚀、剥落和起皱等现象；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4.力学性能(室温拉伸)：抗拉强度Rm：270~410MPa、屈服强度：≤280MPa、断后伸长率≥28%、塑性应变比≥1.、应变硬化指数≥0.2；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（二）粉末技术要求：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检测依据：GB/T 1741-2020、HG /T 2006-2022</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1.挥发性有机化合物（VOC）含量：≤10；</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2.耐碱性(5%Na0H)：168h无异常；</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3.耐酸性(3%HC1)：240h无异常；</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4.耐沸水性：45h无异常；</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5.耐湿热性：360h无异常；</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6.耐盐雾性：≥360h划痕处单向腐蚀蔓延宽度≤4.0mm，未划痕区无起泡、生锈、开裂、剥落等异常现象；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7.可溶性重金属：铅Pb、镉Cd、铬Cr、汞Hg：合格；</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（医用）复合亚克力人造石技术要求：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须</w:t>
      </w:r>
      <w:r>
        <w:rPr>
          <w:rFonts w:ascii="SimSun" w:hAnsi="SimSun" w:eastAsia="SimSun" w:cs="SimSun"/>
          <w:color w:val="000000"/>
          <w:spacing w:val="9"/>
          <w:sz w:val="26"/>
        </w:rPr>
        <w:t xml:space="preserve">提供的国家认可的第三方检验机构出具的带有CMA标识的检测报告，内容含有“符合亚克力人造石”。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检测依据：JC/T 908-2013、GB/T 1741-2020、GB 8624-2012；</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外观质量：（1）色泽:色泽均匀一致，不得有明显色差,（2）板边:板材四边平整，表面不得有缺棱掉角现象,（3）花纹图案:图案清晰、花纹明显,（4）表面:光滑平整、无波纹、方料痕、刮痕、裂纹，不允许有气泡及大于0.5mm的杂质,（5）拼接：拼接不得有可察觉的接驳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8"/>
        </w:rPr>
        <w:t xml:space="preserve">★</w:t>
      </w:r>
      <w:r>
        <w:rPr>
          <w:rFonts w:ascii="SimSun" w:hAnsi="SimSun" w:eastAsia="SimSun" w:cs="SimSun"/>
          <w:color w:val="000000"/>
          <w:sz w:val="28"/>
        </w:rPr>
        <w:t xml:space="preserve">2.落球冲击：450g实心钢球，冲击高度不低于1200mm，样品不破损；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3.弯曲性能：弯曲强度≥40Mpa，弯曲弹性模量：≥6.5GPa；</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4.耐磨性：≤0.6g；</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5.耐污染性：耐污值总和：≤64；最大污迹深度：≤0.12mm；</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6.耐化学药品性：试样表面应无明显损伤，轻度损伤用600目砂纸轻擦即可除去，损伤程度应不影响板材的使用性，并易恢复至原状；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7.耐高温性：试样表面应无破裂、裂缝或鼓泡等显著影响；</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8.铅笔硬度≥4H；</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9.医用复合亚克力人造石抗菌、防霉要求：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需提供具备 CMA 资质的第三方检测机构出具的抗菌防霉检测报告，抗菌率对金黄色葡萄球菌、大肠杆菌等常见致病菌≥99%，防霉等级达到 0 级（无可见霉菌生长），且符合国家环保标准。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8"/>
        </w:rPr>
        <w:t xml:space="preserve">★</w:t>
      </w:r>
      <w:r>
        <w:rPr>
          <w:rFonts w:ascii="SimSun" w:hAnsi="SimSun" w:eastAsia="SimSun" w:cs="SimSun"/>
          <w:color w:val="000000"/>
          <w:sz w:val="28"/>
        </w:rPr>
        <w:t xml:space="preserve">10.燃烧性能B1级。</w:t>
      </w:r>
      <w:r/>
    </w:p>
    <w:p>
      <w:pPr>
        <w:pStyle w:val="713"/>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（四）抽屉导轨技术要求：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检测依据：QB/T 2454-2013、GB/T  3325-2024；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1.过载试验：垂直向下静载荷（300N）：符合要求；水平侧向静载荷（150N）：符合要求；猛开（因子 K=2.5，悬挂配重 质量m=10kg）：符合要求；猛关（因子 K=2.5，悬挂配重质量m=10kg）：符合要求；</w:t>
      </w:r>
      <w:r/>
    </w:p>
    <w:p>
      <w:pPr>
        <w:ind w:left="0" w:right="0" w:firstLine="420"/>
        <w:jc w:val="both"/>
        <w:spacing w:before="0" w:after="0" w:line="85" w:lineRule="atLeast"/>
        <w:tabs>
          <w:tab w:val="left" w:pos="5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功能试验：抽屉导轨组件底部变形：变形量应不超过内部尺寸最窄部分的1/75；耐久性：a）、所有组件或连接件不应断裂损坏；b）、通过手触压证实，用于紧固的组件不应松动；c）所有零部件不应有影响正常运行的变形或磨损；d）五金连接件不应松动；e）所有组件的功能不应损害；f）抽屉导轨应能正常工作；下沉量：下沉量不应超过抽屉导轨拉出长度的4%；</w:t>
      </w:r>
      <w:r/>
    </w:p>
    <w:p>
      <w:pPr>
        <w:ind w:left="0" w:right="0" w:firstLine="420"/>
        <w:jc w:val="both"/>
        <w:spacing w:before="0" w:after="0" w:line="85" w:lineRule="atLeast"/>
        <w:tabs>
          <w:tab w:val="left" w:pos="5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3.耐腐蚀：合格；</w:t>
      </w:r>
      <w:r/>
    </w:p>
    <w:p>
      <w:pPr>
        <w:ind w:left="0" w:right="0" w:firstLine="420"/>
        <w:jc w:val="both"/>
        <w:spacing w:before="0" w:after="0" w:line="85" w:lineRule="atLeast"/>
        <w:tabs>
          <w:tab w:val="left" w:pos="5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4.耐盐浴：划道两侧 3mm 外,应无鼓泡、锈蚀、剥落和起皱等现象。</w:t>
      </w:r>
      <w:r/>
    </w:p>
    <w:p>
      <w:pPr>
        <w:ind w:left="0" w:right="0" w:firstLine="0"/>
        <w:jc w:val="both"/>
        <w:spacing w:before="0" w:after="0" w:line="85" w:lineRule="atLeast"/>
        <w:tabs>
          <w:tab w:val="left" w:pos="58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（五）铰链（304不锈钢缓冲）技术要求：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检测依据：QB/T 2189-2013、QB/T 3827-1999、QB/T 3832-1999、GB/T  3325-2024；</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1.过载：垂直静载荷(30kg)：合格；水平静载荷(70N)：合格；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功能：操作力：在耐久性实验前后，具有自动关闭装置的杯状暗铰链的关闭力应大于0.5N；在耐久性实验前后，打开力和关闭力不应大于20N；垂直静载荷(20kg)：合格；水平静载荷(40N)：合格；耐久性(≥160000次)：合格；下沉量：A型门：下沉量不应大于2.0mm；</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3.耐腐蚀：经过 240小时乙酸盐雾试验后，耐腐蚀等级≥9级;</w:t>
      </w:r>
      <w:r/>
    </w:p>
    <w:p>
      <w:pPr>
        <w:ind w:left="0" w:right="0" w:firstLine="420"/>
        <w:jc w:val="both"/>
        <w:spacing w:before="0" w:after="0" w:line="85" w:lineRule="atLeast"/>
        <w:tabs>
          <w:tab w:val="left" w:pos="5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4.耐盐浴：划道两侧 3mm 外,应无鼓泡、锈蚀、剥落和起皱等现象。</w:t>
      </w:r>
      <w:r/>
    </w:p>
    <w:p>
      <w:pPr>
        <w:pStyle w:val="713"/>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（六）锁具技术要求：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检测依据：QB/T 3827-1999、QB/T 1621-2015 、QB/T 3832-1999、GB/T  3325-2024；</w:t>
      </w:r>
      <w:r/>
    </w:p>
    <w:p>
      <w:pPr>
        <w:numPr>
          <w:ilvl w:val="0"/>
          <w:numId w:val="13"/>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外观质量：</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锁头、钥匙：锁头、钥匙表面应平整光洁，商标字迹应清晰、端正；电镀件：电镀件外露表面应色泽均匀，不应有起泡、起层、露底等明显瑕疵；</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涂层件：涂层件外露表面应色泽均匀，不应有起泡、脱落等明显瑕疵；</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2.牢固度：锁头固定连接静拉力，锁头直径不小于20mm的，在承受200N静拉力后，应无松动；锁头直径小于20mm的 ,在承受140N静拉力后，应无松动；弹子锁、叶片锁使用寿命，锁头直径不小于20mm的弹子锁、叶片锁，使用寿命不应少于20000次；锁头直径小于20mm的弹子锁、叶片锁，使用寿命不应少于10000次；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3.耐腐蚀：经过 240小时乙酸盐雾试验后，耐腐蚀等级≥9级;</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4.耐盐浴：划道两侧 3mm 外,应无鼓泡、锈蚀、剥落和起皱等现象。</w:t>
      </w:r>
      <w:r/>
    </w:p>
    <w:p>
      <w:pPr>
        <w:pStyle w:val="713"/>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（七）304不锈钢板技术要求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检测依据：GB/T 3280-2015、GB/T 3325-2024；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1.外观性能（金属件）：①冲压件：应无脱层、裂缝，②喷漆（塑）涂层：应该无漏喷、锈蚀、脱色、掉色等；应光滑均匀，色泽一致，应无流挂、疙瘩、皱皮、飞漆等；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2.外形：①不平度≤10mm，②镰刀弯≤1.0mm，③切斜度:不大于产品公称宽度×0.5%；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8"/>
          <w:u w:val="none"/>
        </w:rPr>
        <w:t xml:space="preserve">★</w:t>
      </w:r>
      <w:r>
        <w:rPr>
          <w:rFonts w:ascii="SimSun" w:hAnsi="SimSun" w:eastAsia="SimSun" w:cs="SimSun"/>
          <w:color w:val="000000"/>
          <w:sz w:val="28"/>
        </w:rPr>
        <w:t xml:space="preserve">3.化学成分:碳(C)≤0.07%、硅(Si)≤0.75%、锰(Mn)≤2.00%、磷(P)≤0.045%、硫(S)≤0.030%、铬(Cr)17.50～19.50%、镍(Ni)8.00～10.00%；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u w:val="none"/>
        </w:rPr>
        <w:t xml:space="preserve">▲</w:t>
      </w:r>
      <w:r>
        <w:rPr>
          <w:rFonts w:ascii="SimSun" w:hAnsi="SimSun" w:eastAsia="SimSun" w:cs="SimSun"/>
          <w:color w:val="000000"/>
          <w:sz w:val="28"/>
        </w:rPr>
        <w:t xml:space="preserve">4.力学性能：抗拉强度：≥515MPa、规定塑性延伸强度：≥205MPa、断后伸长率：≥40%、布氏硬度（HBW）≤201；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5.冷弯试验：弯曲压头直径5mm，弯曲角度180°，试验后表面无可见裂纹；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6.表面质量：钢板不允许有影响使用的缺陷允许有个别深度小于厚度公差之半的轻微麻点、擦划伤、压痕、凹坑、辊印和色差等不影响使用的缺陷。允许局部修磨,但应保证钢板最小厚度。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四、成品技术要求：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（一）医用环保吊柜（治疗柜上柜）技术要求：</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检测依据：GB/T 3325-2024、GB/T 35607-2024、GB/T 5464-2010、GB/T 21866-2008；</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1.金属喷漆（塑）涂层：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硬度：≥H；</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冲击强度：冲击高度 400mm，应无剥落、裂纹、皱纹；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耐盐浴：划道两侧3mm外，应无鼓泡、锈蚀、剥落和起皱等现象；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附着力：应不低于 2 级</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2.力学性能：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柜类强度和耐久性：搁板定位试验（水平向外的力）、搁板定位试验（垂直向下的力）、搁板弯曲试验、搁板支撑件强度试验、开门垂直加载试验、开门水平加载试验、开门猛关试验、开门耐久性试验：合格；</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类稳定性：开门、推拉构件和翻门开启并解锁：①所有开门、推拉构件和翻门开启空载，所有储存部件空载,无倾翻;②开门、推拉构件和翻门开启加载,所有储存部件空载,在任意可能导致倾翻的点上施加垂直力150N,无倾翻;③开门、推拉构件和翻门开启加载,所有储存部件加载,在任意可能导致倾翻的点上施加垂直力300N,无倾翻;④所有锁闭的开门、推拉构件和翻门开启方向加载,所有储存部件加载,依次对所有锁紧的开门、推拉构件和翻门施加水平向外力100N，无倾翻；</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3.燃烧性能 A 级（A1）：不燃性试验：炉内温升△T：≤30℃; 质量损失率△m(％):≤50;持续燃烧时间tf：0s；燃烧热值试验：匀质制品、整体制品总热值 PCS：≤2.0MJ/kg</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4.耐人工气候老化性：经≥360h，变色、失光、开裂、气泡等级≤1级；</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5.产品有害物质：</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甲醛释放量、 苯、 甲苯、 二甲苯、总挥发性有机化合物(TV0C)：合格；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家具涂层可迁移元素：铅、镉、铬、汞、锑、钡、硒、砷：合格；</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6.抗菌防霉效果：</w:t>
      </w:r>
      <w:r/>
    </w:p>
    <w:p>
      <w:pPr>
        <w:pStyle w:val="713"/>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需提供具备 CMA 资质的第三方检测机构出具的抗菌防霉检测报告，抗菌率对金黄色葡萄球菌、大肠杆菌等常见致病菌≥99%，防霉等级达到 0 级（无可见霉菌生长），且符合国家环保标准。</w:t>
      </w:r>
      <w:r/>
    </w:p>
    <w:p>
      <w:pPr>
        <w:pStyle w:val="713"/>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（二）医用环保治疗柜技术要求：</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检测依据：GB/T 3325-2024、GB/T 35607-2024、GB/T 5464-2010、GB/T 21866-2008；</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1.金属喷漆（塑）涂层：</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硬度：≥H；</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冲击强度:冲击高度 400mm，应无剥落、裂纹、皱纹;</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耐盐浴：划道两侧3mm外，应无鼓泡、锈蚀、剥落和起皱等现象；</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附着力:应不低于 2 级；</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2.力学性能：</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类强度和耐久性：搁板定位试验（水平向外的力）、搁板定位试验（垂直向下的力）、搁板弯曲试验、搁板支撑件强度试验、开门垂直加载试验、开门水平加载试验、开门猛关试验、开门耐久性试验、推拉构件强度试验、推拉构件耐久性试验、推拉构件猛关试验、推拉构件猛开试验：合格；</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类稳定性：开门、推拉构件和翻门开启并解锁：①所有开门、推拉构件和翻门开启空载，所有储存部件空载,无倾翻;②开门、推拉构件和翻门开启加载,所有储存部件空载,在任意可能导致倾翻的点上施加垂直力150N,无倾翻;③开门、推拉构件和翻门开启加载,所有储存部件加载,在任意可能导致倾翻的点上施加垂直力300N,无倾翻;④所有锁闭的开门、推拉构件和翻门开启方向加载,所有储存部件加载,依次对所有锁紧的开门、推拉构件和翻门施加水平向外力100N，无倾翻；</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3.燃烧性能 A 级（A1）：不燃性试验：炉内温升△T：≤30℃; 质量损失率△m(％):≤50;持续燃烧时间tf：0s；燃烧热值试验：匀质制品、整体制品总热值 PCS：≤2.0MJ/kg；</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4.耐人工气候老化性：经≥360h，变色、失光、开裂、气泡等级≤1级；</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5.产品有害物质：</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甲醛释放量、 苯、 甲苯、 二甲苯、总挥发性有机化合物(TV0C)：合格；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家具涂层可迁移元素：铅、镉、铬、汞、锑、钡、硒、砷：合格；</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6.抗菌防霉效果：</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需提供具备 CMA资质的第三方检测机构出具的抗菌防霉检测报告，抗菌率对金黄色葡萄球菌、大肠杆菌等常见致病菌≥99%，防霉等级达到 0 级（无可见霉菌生长），且符合国家环保标准。</w:t>
      </w:r>
      <w:r/>
    </w:p>
    <w:p>
      <w:pPr>
        <w:pStyle w:val="713"/>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（三）医用环保处置柜（垃圾柜）技术要求：</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检测依据：GB/T 3325-2024、GB/T 35607-2024、GB/T 5464-2010、GB/T 30648.1-2014；</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1.金属喷漆（塑）涂层：</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硬度：≥H;</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冲击强度:冲击高度 400mm，应无剥落、裂纹、皱纹；</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耐盐浴：划道两侧3mm外，应无鼓泡、锈蚀、剥落和起皱等现象；</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附着力:应不低于 2 级；</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2.力学性能：</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类强度和耐久性：搁板定位试验（水平向外的力）、搁板定位试验（垂直向下的力）、搁板弯曲试验、搁板支撑件强度试验、开门垂直加载试验、开门水平加载试验、开门猛关试验、开门耐久性试验、推拉构件强度试验、推拉构件耐久性试验、推拉构件猛关试验、推拉构件猛开试验、推拉构件底板强度试验：合格；</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类稳定性：开门、推拉构件和翻门开启并解锁：①所有开门、推拉构件和翻门开启空载，所有储存部件空载,无倾翻;②开门、推拉构件和翻门开启加载,所有储存部件空载,在任意可能导致倾翻的点上施加垂直力150N,无倾翻;③开门、推拉构件和翻门开启加载,所有储存部件加载,在任意可能导致倾翻的点上施加垂直力300N,无倾翻;④所有锁闭的开门、推拉构件和翻门开启方向加载,所有储存部件加载,依次对所有锁紧的开门、推拉构件和翻门施加水平向外力100N，无倾翻；</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3.燃烧性能 A 级（A1）：不燃性试验：炉内温升△T：≤30℃; 质量损失率△m(％):≤50;持续燃烧时间tf：0s；燃烧热值试验：匀质制品、整体制品总热值 PCS：≤2.0MJ/kg；</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4.耐人工气候老化性：经≥360h，变色、失光、开裂、气泡等级≤1级；</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5.产品有害物质：</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甲醛释放量、 苯、 甲苯、 二甲苯、总挥发性有机化合物(TV0C)：合格；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家具涂层可迁移元素：铅、镉、铬、汞、锑、钡、硒、砷：合格；</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6.抗菌防霉效果：</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需提供具备 CMA资质的第三方检测机构出具的抗菌防霉检测报告，抗菌率对金黄色葡萄球菌、大肠杆菌等常见致病菌≥99%，防霉等级达到 0 级（无可见霉菌生长），且符合国家环保标准。</w:t>
      </w:r>
      <w:r/>
    </w:p>
    <w:p>
      <w:pPr>
        <w:pStyle w:val="713"/>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（四）高危药品柜技术要求：</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检测依据：GB/T 3325-2024、GB/T 35607-2024、GB/T 5464-2010；</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1.金属喷漆（塑）涂层：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硬度：≥H;</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冲击强度:冲击高度 400mm，应无剥落、裂纹、皱纹；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耐盐浴：划道两侧3mm外，应无鼓泡、锈蚀、剥落和起皱等现象；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附着力:应不低于 2 级。</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2.力学性能：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类强度和耐久性：顶板和底板持续加载试验、结构、底架和/或腿强度试验、跌落试验、开门垂直加载试验、开门水平加载试验、开门猛关试验、开门耐久性试验、推拉构件强度试验、推拉构件耐久性试验、推拉构件猛关试验、推拉构件猛开试验、推拉构件底板强度试验、推拉构件锁具插销强度试验、锁具、插销耐久性试验：合格；</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类稳定性：开门、推拉构件和翻门开启并解锁：①所有开门、推拉构件和翻门开启空载，所有储存部件空载,无倾翻;②开门、推拉构件和翻门开启加载,所有储存部件空载,在任意可能导致倾翻的点上施加垂直力200N,无倾翻;③开门、推拉构件和翻门开启加载,所有储存部件加载,在任意可能导致倾翻的点上施加垂直力200N,无倾翻;④所有锁闭的开门、推拉构件和翻门开启方向加载,所有储存部件加载,依次对所有锁紧的开门、推拉构件和翻门施加水平向外力100N，无倾翻；</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3.耐人工气候老化性：经≥360h，变色、失光、开裂、气泡等级≤1级；</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4.产品有害物质：甲醛释放量、 苯、 甲苯、 二甲苯、总挥发性有机化合物(TV0C)：合格； 家具涂层可迁移元素：铅、镉、铬、汞、锑、钡、硒、砷：合格。</w:t>
      </w:r>
      <w:r/>
    </w:p>
    <w:p>
      <w:pPr>
        <w:pStyle w:val="713"/>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（五）医用储物柜技术要求：</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检测依据：GB/T 3325-2024、GB/T 35607-2024、GB/T 5464-2010、GB/T 21866-2008；</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1.金属喷漆（塑）涂层：</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硬度：≥H；</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冲击强度：冲击高度 400mm，应无剥落、裂纹、皱纹；</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耐盐浴：划道两侧3mm外，应无鼓泡、锈蚀、剥落和起皱等现象；</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附着力：应不低于2级；</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2.力学性能：</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架类强度和耐久性：搁板定位试验、搁板定位试验（垂直向下的力）、搁板弯曲试验、搁板支撑件强度试验、顶板和底板持续加载试验、结构、底架和/或腿强度试验、跌落试验、开门垂直加载试验、开门水平加载试验、开门猛关试验、开门耐久性试验、推拉构件强度试验、推拉构件耐久性试验、推拉构件猛关试验、推拉构件猛开试验、推拉构件底板强度试验、推拉构件锁具插销强度试验、锁具、插销耐久性试验：合格；</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类稳定性：开门、推拉构件和翻门开启并解锁：①所有开门、推拉构件和翻门开启空载，所有储存部件空载,无倾翻;②开门、推拉构件和翻门开启加载,所有储存部件空载,在任意可能导致倾翻的点上施加垂直力200N,无倾翻;③开门、推拉构件和翻门开启加载,所有储存部件加载,在任意可能导致倾翻的点上施加垂直力200N,无倾翻;④所有锁闭的开门、推拉构件和翻门开启方向加载,所有储存部件加载,依次对所有锁紧的开门、推拉构件和翻门施加水平向外力100N，无倾翻；</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3.燃烧性能A1级（钢板）：不燃性试验：炉内温升△T：≤30℃；质量损失率△m(％)：≤50；持续燃烧时间tf：0s；燃烧热值试验：匀质制品总热值PCS：≤2.0MJ/kg；</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4.耐人工气候老化性：经≥360h，变色、失光、开裂、气泡等级≤1级；</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5.产品有害物质：</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甲醛释放量、苯、甲苯、二甲苯、总挥发性有机化合物(TV0C)：合格；</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家具涂层可迁移元素：铅、镉、铬、汞、锑、钡、硒、砷：合格；</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6.抗菌防霉效果：</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需提供具备 CMA资质的第三方检测机构出具的抗菌防霉检测报告，抗菌率对金黄色葡萄球菌、大肠杆菌等常见致病菌≥99%，防霉等级达到 0 级（无可见霉菌生长），且符合国家环保标准。</w:t>
      </w:r>
      <w:r/>
    </w:p>
    <w:p>
      <w:pPr>
        <w:pStyle w:val="713"/>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（六）医用 304 不锈钢清洗池技术要求：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检测依据：GB/T 3325-2024 、GB/T 14402-2007、GB/T 5464-2010；</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1.安全性能要求：结构安全：合格；</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2.304不锈钢原材料：</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化学成分：碳、硅、锰、磷、硫、铬、镍、铜、氮：合格；</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维氏硬度：HV1≤210；</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冷弯试验：弯曲外表面无可见裂纹；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金相组织：平均晶粒度≥5级；</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3.金属件耐腐蚀：经过≥360h乙酸盐雾试验后，耐腐蚀等级应达到10级；</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4.燃烧性能 A1 级（钢板）：燃烧性能A1级：不燃性试验：炉内温升△T≤10℃；质量损失△m≤1%；持续燃烧时间tf：0s；燃烧热值试验，匀质制品总热值PCS≤0.5MJ/kg；</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5.不锈钢晶间腐蚀：应无晶间腐蚀而产生的裂纹；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6.晶粒度：≥5 级；</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7.产品有害物质：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甲醛释放量、苯、甲苯、二甲苯、总挥发性有机化合物(TV0C)：合格；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家具涂层可迁移元素：铅、镉、铬、汞、锑、钡、硒、砷：合格；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8.力学性能：柜架类强度和耐久性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搁板定位试验（水平向外的力）、搁板定位试验（垂直向下的力）、搁板弯曲试验、搁板支撑件强度试验、顶板和底板持续加载试验、结构、底架和/或腿强度试验、跌落试验、开门垂直加载试验、开门水平加载试验、开门猛关试验、开门耐久性试验：合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类稳定性：开门、推拉构件和翻门开启并解锁：①所有开门、推拉构件和翻门开启空载，所有储存部件空载,无倾翻;②开门、推拉构件和翻门开启加载,所有储存部件空载,在任意可能导致倾翻的点上施加垂直力100N,无倾翻;③开门、推拉构件和翻门开启加载,所有储存部件加载,在任意可能导致倾翻的点上施加垂直力200N,无倾翻;④所有锁闭的开门、推拉构件和翻门开启方向加载,所有储存部件加载,依次对所有锁紧的开门、推拉构件和翻门施加水平向外力100N，无倾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备注：（1）</w:t>
      </w:r>
      <w:r>
        <w:rPr>
          <w:rFonts w:ascii="SimSun" w:hAnsi="SimSun" w:eastAsia="SimSun" w:cs="SimSun"/>
          <w:b/>
          <w:color w:val="000000"/>
          <w:sz w:val="28"/>
          <w:u w:val="none"/>
        </w:rPr>
        <w:t xml:space="preserve">原材料检测：</w:t>
      </w:r>
      <w:r>
        <w:rPr>
          <w:rFonts w:ascii="SimSun" w:hAnsi="SimSun" w:eastAsia="SimSun" w:cs="SimSun"/>
          <w:color w:val="000000"/>
          <w:sz w:val="28"/>
        </w:rPr>
        <w:t xml:space="preserve">标★和▲技术要求须提供相关证明材料，包括国家认可的第三方检验机构出具的带有 CMA标识的检测报告等，并在投标文件技术参数偏离表备注栏中标注相应证明文件页码及相关证明条款，未提供相关证明材料、未标注页码或标注错误则不得分。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rPr>
          <w:rFonts w:ascii="SimSun" w:hAnsi="SimSun" w:eastAsia="SimSun" w:cs="SimSun"/>
          <w:b/>
          <w:color w:val="000000"/>
          <w:sz w:val="28"/>
        </w:rPr>
        <w:t xml:space="preserve">成品检测：</w:t>
      </w:r>
      <w:r>
        <w:rPr>
          <w:rFonts w:ascii="SimSun" w:hAnsi="SimSun" w:eastAsia="SimSun" w:cs="SimSun"/>
          <w:color w:val="000000"/>
          <w:sz w:val="28"/>
        </w:rPr>
        <w:t xml:space="preserve">需在投标书内出具承诺函（加盖投标方公章），承诺在成品验收前，对成品标“</w:t>
      </w:r>
      <w:r>
        <w:rPr>
          <w:rFonts w:ascii="SimSun" w:hAnsi="SimSun" w:eastAsia="SimSun" w:cs="SimSun"/>
          <w:color w:val="000000"/>
          <w:spacing w:val="8"/>
          <w:sz w:val="22"/>
        </w:rPr>
        <w:t xml:space="preserve">△</w:t>
      </w:r>
      <w:r>
        <w:rPr>
          <w:rFonts w:ascii="SimSun" w:hAnsi="SimSun" w:eastAsia="SimSun" w:cs="SimSun"/>
          <w:color w:val="000000"/>
          <w:sz w:val="28"/>
        </w:rPr>
        <w:t xml:space="preserve">”技术要求提供国家认可的第三方检验机构出具的带有 CMA标识的检测报告。否则视为无效投标。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（3）检测报告需满足招标文件中技术参数和执行标准要求，满足现行国家及行业、地方标准规范。</w:t>
      </w:r>
      <w:r/>
    </w:p>
    <w:p>
      <w:pPr>
        <w:ind w:left="0" w:right="0" w:firstLine="723"/>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6"/>
        </w:rPr>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723"/>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附件1：产品工艺要求：</w:t>
      </w:r>
      <w:r>
        <w:rPr>
          <w:rFonts w:ascii="SimSun" w:hAnsi="SimSun" w:eastAsia="SimSun" w:cs="SimSun"/>
          <w:color w:val="000000"/>
          <w:sz w:val="28"/>
        </w:rPr>
        <w:t xml:space="preserve">提供以下产品的深化设计图，需包括：所有应用空间产品三维模型分析图，含细部尺寸分析、前后主视图、侧视图、俯视图、轴侧图；主要部件选配方案和产品细节说明。</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样品需提供低柜实物。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9"/>
        <w:gridCol w:w="670"/>
        <w:gridCol w:w="869"/>
        <w:gridCol w:w="670"/>
        <w:gridCol w:w="4121"/>
        <w:gridCol w:w="2354"/>
      </w:tblGrid>
      <w:tr>
        <w:trPr>
          <w:trHeight w:val="4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品名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样品规格（长*宽）mm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标准和要求</w:t>
            </w:r>
            <w:r/>
          </w:p>
        </w:tc>
      </w:tr>
      <w:tr>
        <w:trPr>
          <w:trHeight w:val="9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吊柜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医用无菌物品吊柜350*600（不包含斜顶部分），斜顶部分尺寸350*250mm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参照清单材质及工艺要求</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低柜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医用级治疗台柜600*850（含背架活动层板）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参照清单材质及工艺要求</w:t>
            </w:r>
            <w:r/>
          </w:p>
        </w:tc>
      </w:tr>
    </w:tbl>
    <w:p>
      <w:pPr>
        <w:ind w:left="0" w:right="0" w:firstLine="5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5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样品参考图纸：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r>
      <w:r>
        <mc:AlternateContent>
          <mc:Choice Requires="wpg">
            <w:drawing>
              <wp:inline xmlns:wp="http://schemas.openxmlformats.org/drawingml/2006/wordprocessingDrawing" distT="0" distB="0" distL="0" distR="0">
                <wp:extent cx="4171950" cy="592455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6543" name=""/>
                        <pic:cNvPicPr>
                          <a:picLocks noChangeAspect="1"/>
                        </pic:cNvPicPr>
                        <pic:nvPr/>
                      </pic:nvPicPr>
                      <pic:blipFill>
                        <a:blip r:embed="rId13"/>
                        <a:stretch/>
                      </pic:blipFill>
                      <pic:spPr bwMode="auto">
                        <a:xfrm>
                          <a:off x="0" y="0"/>
                          <a:ext cx="4171950" cy="59245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8.5pt;height:466.5pt;mso-wrap-distance-left:0.0pt;mso-wrap-distance-top:0.0pt;mso-wrap-distance-right:0.0pt;mso-wrap-distance-bottom:0.0pt;" stroked="false">
                <v:path textboxrect="0,0,0,0"/>
                <v:imagedata r:id="rId13" o:title=""/>
              </v:shape>
            </w:pict>
          </mc:Fallback>
        </mc:AlternateContent>
      </w: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评标办法及标准</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一、资格审查。</w:t>
      </w:r>
      <w:r>
        <w:rPr>
          <w:rFonts w:ascii="SimSun" w:hAnsi="SimSun" w:eastAsia="SimSun" w:cs="SimSun"/>
          <w:color w:val="000000"/>
          <w:sz w:val="24"/>
        </w:rPr>
        <w:t xml:space="preserve">资格审查人员按照下列指标对各供应商的资格进行审查，未通过审查的为无效标，不参与评审。</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8"/>
        <w:gridCol w:w="4438"/>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资格审查因素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审查标准</w:t>
            </w:r>
            <w:r/>
          </w:p>
        </w:tc>
      </w:tr>
      <w:tr>
        <w:trPr>
          <w:trHeight w:val="1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具有独立承担民事责任的能力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无重大违法行为声明</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法律、行政法规规定的其他条件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符合联合体规定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特定资格要求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bl>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二、符合性审查。</w:t>
      </w:r>
      <w:r>
        <w:rPr>
          <w:rFonts w:ascii="SimSun" w:hAnsi="SimSun" w:eastAsia="SimSun" w:cs="SimSun"/>
          <w:color w:val="000000"/>
          <w:sz w:val="24"/>
        </w:rPr>
        <w:t xml:space="preserve">采购小组首先按照下列指标对各供应商进行初步评审，未通过评审的为无效标，不再参与评审。</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4"/>
        <w:gridCol w:w="4458"/>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投标声明及承诺函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开标一览表及投标报价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其他（实质性条款的响应性）</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三、评标办法：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评标采用综合评分法，总分为100分。合格投标人的综合得分为各评分项目汇总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w:t>
      </w:r>
      <w:r>
        <w:rPr>
          <w:rFonts w:ascii="SimSun" w:hAnsi="SimSun" w:eastAsia="SimSun" w:cs="SimSun"/>
          <w:color w:val="000000"/>
          <w:sz w:val="24"/>
          <w:highlight w:val="white"/>
        </w:rPr>
        <w:t xml:space="preserve">标候选人，也可依法重新组织采购。评分过程中采用“四舍五入”法，并保留小数2位。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政府采购政策功能落实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1、小微型企业价格扣除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（1）本项目对小型和微型企业产品给予10%的扣除价格，用扣除后的价格参与评审。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（2）供应商需按照采购文件的要求提供相应的《中小企业声明函》。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（3）企业标准请参照《关于印发中小企业划型标准规定的通知》（工信部联企业[2011]300号）文件规定自行填写。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2、残疾人福利单位价格扣除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（1）本项目对残疾人福利性单位视同小型、微型企业，给予10%的价格扣除，用扣除后的价格参与评审。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（2）残疾人福利单位需按照采购文件的要求提供《残疾人福利性单位声明函》。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（3）残疾人福利单位标准请参照《关于促进残疾人就业政府采购政策的通知》（财库〔2017〕141号）。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3、监狱和戒毒企业价格扣除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（1）本项目对监狱和戒毒企业（简称监狱企业）视同小型、微型企业，给予10%的价格扣除，用扣除后的价格参与评审。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（3）监狱企业标准请参照《关于政府采购支持监狱企业发展有关问题的通知》（财库[2014]68号）。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4、残疾人福利单位、监狱企业属于小型、微型企业的，不重复享受政策。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对国家认定的节能产品和环保产品分别给予投标价的5%价格扣除，用扣除后的价格参与评审（特别说明：节能、环保产品必须纳入“中国政府采购网</w:t>
        <w:br/>
      </w:r>
      <w:hyperlink r:id="rId14" w:tooltip="http://www.ccgp.gov.cn/" w:history="1">
        <w:r>
          <w:rPr>
            <w:rStyle w:val="758"/>
            <w:rFonts w:ascii="SimSun" w:hAnsi="SimSun" w:eastAsia="SimSun" w:cs="SimSun"/>
            <w:color w:val="0000ee"/>
            <w:sz w:val="24"/>
            <w:highlight w:val="white"/>
            <w:u w:val="single"/>
          </w:rPr>
          <w:t xml:space="preserve">http://www.ccgp.gov.cn”等官方网站“节能、环保产品查询系统”</w:t>
        </w:r>
      </w:hyperlink>
      <w:r>
        <w:rPr>
          <w:rFonts w:ascii="SimSun" w:hAnsi="SimSun" w:eastAsia="SimSun" w:cs="SimSun"/>
          <w:color w:val="000000"/>
          <w:sz w:val="24"/>
          <w:highlight w:val="white"/>
        </w:rPr>
        <w:t xml:space="preserve">，且以提供的证书复印件为准）。</w:t>
        <w:br/>
        <w:t xml:space="preserve">   6、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7、联合体各方均为小型、微型企业（残疾人福利单位、监狱企业）的，联合体享受10%价格扣除，用扣除后的价格参与评审。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8、专门面向中小企业采购的项目，小微企业不再享受价格扣除优惠政策。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9、采购本国产品的支持政策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9.1 本项目政府采购活动中既有本国产品又有非本国产品参与竞争的，依法对本国产品给予价格评审优惠，对本国产品的报价给予20%的价格扣除，用扣除后的价格参与评审。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9.3 供应商需按照招标文件的要求提供《关于符合本国产品标准的声明函》（以下简称《声明函》），如不提供将不享受本国产品价格评审优惠。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9.4 供应商需在《声明函》中逐一、准确填写产品名称、厂名、生产厂址三项信息（《声明函》中用横线     划除的地方无需填写），三项信息中任意一项未填写的视为该项产品不符合本国产品标准，不享受本国产品价格评审优惠。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四、评标内容及标准： </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1"/>
        <w:gridCol w:w="1321"/>
        <w:gridCol w:w="6968"/>
        <w:gridCol w:w="534"/>
      </w:tblGrid>
      <w:tr>
        <w:trPr>
          <w:trHeight w:val="32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20"/>
                <w:sz w:val="24"/>
              </w:rPr>
              <w:t xml:space="preserve">评审项目</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6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评分标准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分值</w:t>
            </w:r>
            <w:r/>
          </w:p>
        </w:tc>
      </w:tr>
      <w:tr>
        <w:trPr>
          <w:trHeight w:val="325"/>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价格评审40分</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投标报价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6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1、资格性审查和符合性审查合格且投标价格最低为评标基准价，其价格分为40分。其他投标人的价格分按照下列公式计算：投标报价得分＝（评标基准价/投标报价）×40分（小数点后保留两位）。</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根据《政府采购促进中小企业发展管理办法》（财库﹝2020﹞46 号）规定，对小型和微型企业的产品价格给予10%的扣除，扣除后的价格参与评审。须提供《中小企业声明函》 （格式见附件）</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2、在评标过程中，评标委员会认为投标人报价低于采购标段最高限价 65%的，有可能影响产品质量或者不能诚信履约的，评标委员会应当要求其在合理的时间内提供成本构成书面说明，并提交相关证明材料。书面说明应当按照国家财务会计制度的规定要求，逐项就投标人提供的货物、工程和服务的主营业务成本(应根据投标人企业类型予以区别)、税金及附加、销售费用、管理费用、财务费用等成本构成事项详细陈述。投标人提交的相关说明和证明材料，应当加盖投标人(法定名称)印章，在评标委员会要求的时间内通过交易系统进行提交，否则提交的相关证明材料无</w:t>
            </w:r>
            <w:r>
              <w:rPr>
                <w:rFonts w:ascii="FangSong" w:hAnsi="FangSong" w:eastAsia="FangSong" w:cs="FangSong"/>
                <w:color w:val="000000"/>
                <w:sz w:val="24"/>
              </w:rPr>
              <w:t xml:space="preserve">效。投标人不能证明其投标报价合理性的，评标委员会应当将其投标文件作为无效处理。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40</w:t>
            </w:r>
            <w:r/>
          </w:p>
        </w:tc>
      </w:tr>
      <w:tr>
        <w:trPr>
          <w:trHeight w:val="45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商务技术评审60分</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产品工艺比较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68"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根据招标文件的要求，提供产品深化设计图，需包括：所有应用空间产品三维模型分析图，含细部尺寸分析、前后主视图、侧视图、俯视图、轴侧图；主要部件选配方案和产品细节说明。</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产品：见附件1要求，参照清单材质及工艺要求。</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提供完整产品的三视图、部件结构图（显示内部结构、五金配件及零部件）的得2分；提供部分视图及结构图，关键视图/内部结构、五金配件展示不全，但能大致反映产品构造的，得1分；未提供的不得分。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样品</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6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样品：低柜</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（一）根据样品的外观、材质、质量等方面，由评审小组判定得分：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①样品外观与采购需求比较，是否满足采购需求；外观整体美观度、整体先进性比较；</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②金属件涂饰：应无漏喷、锈蚀，涂层应光滑均匀,色泽一致,应无流挂、疙瘩、皱皮、飞漆等；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③样品配件质量比较，包括但不限于投标产品所选用材料的厚度、配件材料符合性、感官质量；电动互通口材料符合性、配件材料符合性、感官质量等；</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④样品牢固度、承重强度能力、五金配件质量、安装连接紧密度等方面比较。</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以上评分标准进行打分：样品外观、材质、配件、结构、功能完全符合要求，制作工艺、样品质量优于采购文件要求的，得6分；样品外观、材质、配件、结构、功能比较符合要求，制作工艺、样品质量基本符合采购文件要求的，得3分；样品外观、材质、配件、结构、功能基本符合要求，制作工艺、样品质量低于采购文件要求的，得1分，不提供样品或者样品明显不符合要求不得分。</w:t>
            </w:r>
            <w:r/>
          </w:p>
          <w:p>
            <w:pPr>
              <w:ind w:left="0" w:right="0" w:firstLine="0"/>
              <w:spacing w:before="20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（二）根据样品的工艺、功能、参数符合性等方面，由评审小组判定得分：</w:t>
            </w:r>
            <w:r/>
          </w:p>
          <w:p>
            <w:pPr>
              <w:ind w:left="0" w:right="0" w:firstLine="0"/>
              <w:spacing w:before="20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①样品结构、功能与采购需求比较，包括但不限于低柜的存取模块、存取方式、存取性能先进性、稳定性、安全性比较；样品的工艺与采购要求比较。包括但不限于折弯、焊接、喷涂等处理结果比较，连接件的严密性、牢固性、流畅性比较；</w:t>
            </w:r>
            <w:r/>
          </w:p>
          <w:p>
            <w:pPr>
              <w:ind w:left="0" w:right="0" w:firstLine="0"/>
              <w:spacing w:before="20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样品结构、功能与采购需求比较，包括但不限于电动互通口的触碰方式、打开方式、延时关闭、电控部件运行稳定安全，操作便捷，配件质量上乘，符合招标要求。柜与互通口连接合理、使用高效便捷，符合采购需求。</w:t>
            </w:r>
            <w:r/>
          </w:p>
          <w:p>
            <w:pPr>
              <w:ind w:left="0" w:right="0" w:firstLine="0"/>
              <w:spacing w:before="20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③安全性：接触人体或收藏物品的部位应无毛刺、刃口、棱角； </w:t>
            </w:r>
            <w:r/>
          </w:p>
          <w:p>
            <w:pPr>
              <w:ind w:left="0" w:right="0" w:firstLine="0"/>
              <w:spacing w:before="20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④位差度、分缝、底脚平稳性、抽屉摆动度等比较。</w:t>
            </w:r>
            <w:r/>
          </w:p>
          <w:p>
            <w:pPr>
              <w:ind w:left="0" w:right="0" w:firstLine="0"/>
              <w:spacing w:before="20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以上评分标准进行打分：样品外观、材质、配件、结构、功能完全符合要求，制作工艺、样品质量优于采购文件要求的，得6分；样品外观、材质、配件、结构、功能比较符合要求，制作工艺、样品质量一般基本符合采购文件要求的，得3分；样品外观、材质、配件、结构、功能基本符合要求，制作工艺、样品质量较差低于采购文件要求的，得1分；不提供样品或者样品明显不符合要求不得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注：所提供样品不能出现公司名称、产地或其它容易辨认的字眼，如有则作未提供该样品处理。</w:t>
            </w:r>
            <w:r/>
          </w:p>
          <w:p>
            <w:pPr>
              <w:ind w:left="0" w:right="0" w:firstLine="0"/>
              <w:spacing w:before="20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（采购人有权对中标样品封样，并委托第三方权威机构按照招标技术参数对样品逐项检测）</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w:t>
            </w:r>
            <w:r/>
          </w:p>
        </w:tc>
      </w:tr>
      <w:tr>
        <w:trPr>
          <w:trHeight w:val="8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68"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投标人自2022年8月1日以来(需附①中标通知书及中标公示网页查询截图、②合同关键页（含合同首页、采购金额、签约日期、双方签章等内容的清晰复印件）③验收报告加盖公章；④所列业绩项目实施过程中的任意1次交易的银行流水及发票扫描件。)所完成类似项目业绩，业绩供货内容需含类似本项目核心产品（治疗柜），每提供一份得1分，满分5分。</w:t>
            </w:r>
            <w:r/>
          </w:p>
          <w:p>
            <w:pPr>
              <w:ind w:left="0" w:right="0" w:firstLine="0"/>
              <w:spacing w:before="200" w:after="20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w:t>
            </w:r>
            <w:r>
              <w:rPr>
                <w:rFonts w:ascii="FangSong" w:hAnsi="FangSong" w:eastAsia="FangSong" w:cs="FangSong"/>
                <w:b/>
                <w:color w:val="000000"/>
                <w:spacing w:val="9"/>
                <w:sz w:val="24"/>
              </w:rPr>
              <w:t xml:space="preserve">（提供合同原件扫描件上传，否则不得分）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技术参数响应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68"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9"/>
                <w:sz w:val="24"/>
              </w:rPr>
              <w:t xml:space="preserve">评委根据招标文件中</w:t>
            </w:r>
            <w:r>
              <w:rPr>
                <w:rFonts w:ascii="FangSong" w:hAnsi="FangSong" w:eastAsia="FangSong" w:cs="FangSong"/>
                <w:b/>
                <w:color w:val="000000"/>
                <w:spacing w:val="9"/>
                <w:sz w:val="24"/>
              </w:rPr>
              <w:t xml:space="preserve">原材料</w:t>
            </w:r>
            <w:r>
              <w:rPr>
                <w:rFonts w:ascii="FangSong" w:hAnsi="FangSong" w:eastAsia="FangSong" w:cs="FangSong"/>
                <w:color w:val="000000"/>
                <w:spacing w:val="9"/>
                <w:sz w:val="24"/>
              </w:rPr>
              <w:t xml:space="preserve">技术要求，结合投标文件提供的国家认可的第三方检验机构出具的带有CMA标识的检测报告等进行评审。</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9"/>
                <w:sz w:val="24"/>
              </w:rPr>
              <w:t xml:space="preserve">2.1、★项条款为实质性条款，必须无条件响应，否则作无效投标文件处理。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9"/>
                <w:sz w:val="24"/>
              </w:rPr>
              <w:t xml:space="preserve">2.2、原材料标▲号参数为重要参数，需提供检测报告，负偏离一项扣3分。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9"/>
                <w:sz w:val="24"/>
              </w:rPr>
              <w:t xml:space="preserve">2.3、其他技术参数每负偏离一项扣1分，正偏离不加分，本项最高得分24分，最低为0分。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9"/>
                <w:sz w:val="24"/>
              </w:rPr>
              <w:t xml:space="preserve">注：1、★、▲技术参数，须提供相关证明材料，包括国家认可的第三方检验机构出具的带有 CMA 标识的检测报告等，并在投标文件技术参数偏离表备注栏中标注相应证明文件页码及相关证明条款，未提供相关证明材料、未标注页码或标注错误则不得分。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9"/>
                <w:sz w:val="24"/>
              </w:rPr>
              <w:t xml:space="preserve">2、投标人须提交一份所提供加盖投标人公章的相关证明材料（包括国家认可的第三方检验机构出具的带有CMA标识检测报告等）与原件一致的书面承诺。如提供虚假文件，一经查实取消其投标或中标资格。</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200" w:after="20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项目实施及供货保障方案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6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投标人针对本项目的项目实施方案，包含但不限于：①生产组织措施及实施安排计划；②生产保障措施和团队专业技术能力配置；③本项目产品生产加工计划方案和生产工艺、流程④质量保证措施（产品质量保障措施有符合项目要求的质量管理制度和质量保障目标、质量关键控制点、质量检测检验流程）；⑤交货和安装调试验收计划（符合项目的备货计划、有明确的周期安排、详细安装计划表及辅材投入情况；安装调试验收计划有具体的流程安排）</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1、方案内容包含以上全部内容且详实；项目实施及供货保障运行流畅；实施过程中对重点难点的预判均有细致的应对预案的，得5分；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2、方案内容包含以上全部内容但部分内容不详细；项目实施及供货保障能有效的落实于项目实处；实施过程中对重点难点均有应对方案的，得3分；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3、方案内容不完整且粗略、实施有一定的难度，对重点难点的应对方案措施欠缺的，得1分；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4、方案内容不符合或者未提供的不得分。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现场安装方案及</w:t>
            </w:r>
            <w:r>
              <w:rPr>
                <w:rFonts w:ascii="FangSong" w:hAnsi="FangSong" w:eastAsia="FangSong" w:cs="FangSong"/>
                <w:color w:val="000000"/>
                <w:spacing w:val="8"/>
                <w:sz w:val="24"/>
              </w:rPr>
              <w:t xml:space="preserve">人员配置方案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6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投标人针对本项目的现场安装及人员配置，包含但不限于①安装服务承诺，服务响应、应急流程； ②安装技术人员资质及配置情况、保障措施； ③其他服务费用； ④安装期间巡修方案（包含但不限于安装环境保护、废料回收、成品保护、半成品保护、技术培训等）； ⑤安装进度计划时间及增值服务方面内容。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1、方案内容涵盖上述全部内容且细化制定全面，方案完善、内容详实，可操作性强，完全满足安装验收需求得5分；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2、方案内容涵盖上述全部内容且细化制定较好，方案完善、内容详实，可操作性尚可，尚能满足安装验收需求得3分；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3、方案内容涵盖上述全部内容且细化制定一般，方案完善、内容详实，可操作性一般，基本满足安装验收需求得1分；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4、方案内容不符合或者未提供的不得分。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售后服务方案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68"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投标人针对本项目制定售后服务方案，包括但不限于：①整体售后服务方案；②为达成售后响应要求拟采取的措施；③维修保养费用；④配件储备情况；⑤售后服务情况；⑥其它优惠服务措施等内容评审：</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1、方案内容涵盖上述全部内容且细化制定，有完善的服务方案及承诺，故障响应、解决方案及人员到场时间合理高效，有高效的安全保障和应急措施，有充足的专业技术人员的，得5分；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2、方案内容涵盖上述全部内容但内容不具体完整，服务方案及承诺，故障响应、解决方案及人员到场时间合理，有安全保障和应急措施，有专业技术人员的，得3分；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3、方案内容涵盖上述部分内容且简单笼统，服务方案及承诺内容简单漏项，故障响应、解决方案及人员到场时间不及时，安全保障和应急措施不完善，得1分；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4、方案内容不符合或未提供的不得分。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6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免费质保三年，免费质保期每增加1年，得1分，最高得2分。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r>
      <w:tr>
        <w:trPr>
          <w:trHeight w:val="450"/>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2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五、推荐中标候选人:</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汇总上述各项分值（保留两位小数,小数点后第三位四舍五入），按总得分由高到低的顺序排列,综合得分最高的为中标候选人。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合同条款</w:t>
      </w:r>
      <w:r/>
    </w:p>
    <w:p>
      <w:pPr>
        <w:ind w:left="0" w:right="0" w:firstLine="567"/>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注：本合同仅为合同的参考文本，合同签订双方可根据项目的具体要求进行修订，但不得更改实质性要求。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以下为中标后签定本项目合同的通用条款，采购人与中标人应按此签订采购合同。中标人不得提出实质性的修改，关于专用条款将由采购人与中标人结合本项目具体情况协商后签订。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采购合同（合同编号）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注：具体合同条款以实际签订为准。</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根据《中华人民共和国民法典（合同编）》等法律法规的规定以及</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项目采购结果，甲乙双方遵循平等、自愿、公平、诚实信用的原则，就</w:t>
      </w:r>
      <w:r>
        <w:rPr>
          <w:rFonts w:ascii="SimSun" w:hAnsi="SimSun" w:eastAsia="SimSun" w:cs="SimSun"/>
          <w:color w:val="000000"/>
          <w:sz w:val="24"/>
          <w:u w:val="single"/>
        </w:rPr>
        <w:t xml:space="preserve">                       </w:t>
      </w:r>
      <w:r>
        <w:rPr>
          <w:rFonts w:ascii="SimSun" w:hAnsi="SimSun" w:eastAsia="SimSun" w:cs="SimSun"/>
          <w:color w:val="000000"/>
          <w:sz w:val="24"/>
        </w:rPr>
        <w:t xml:space="preserve">项目事宜经双方协商一致，订立本合同。</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一、产品内容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产品名称：</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型号规格：</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数量（单位）：</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质量要求:</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本合同金额为（大写）：____________________________________圆（￥_______________元）人民币。</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乙方应按采购文件规定的时间向甲方提供使用货物的有关技术资料。</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 规格、计划、图纸、样品或资料提供给与履行本合同无关的任何其他人。即使向履行本合同有关的人员提供，也应注意保密并限于履行合同的必需范围。</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乙方应保证甲方在使用、接受本合同货物和服务或其任何一部分时不受第三方提出侵犯其专利权、版权、商标权和工业设计权等知识产权的起诉。一旦出现侵权，由乙方负全部责任。</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乙方保证所交付的货物的所有权完全属于乙方且无任何抵押、查封等产权瑕疵。</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六、转包</w:t>
      </w:r>
      <w:r/>
    </w:p>
    <w:p>
      <w:pPr>
        <w:ind w:left="492" w:right="0" w:hanging="49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6.1本合同范围的货物，应由乙方直接供应，不得转让他人供应。</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七、质保期</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质保期</w:t>
      </w:r>
      <w:r>
        <w:rPr>
          <w:rFonts w:ascii="SimSun" w:hAnsi="SimSun" w:eastAsia="SimSun" w:cs="SimSun"/>
          <w:color w:val="000000"/>
          <w:sz w:val="24"/>
          <w:u w:val="single"/>
        </w:rPr>
        <w:t xml:space="preserve">      </w:t>
      </w:r>
      <w:r>
        <w:rPr>
          <w:rFonts w:ascii="SimSun" w:hAnsi="SimSun" w:eastAsia="SimSun" w:cs="SimSun"/>
          <w:color w:val="000000"/>
          <w:sz w:val="24"/>
        </w:rPr>
        <w:t xml:space="preserve">年。（自交货验收合格之日起计）</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八、交货期、交货方式及交货地点</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交货期：所有设备及软件须在合同签订后的</w:t>
      </w:r>
      <w:r>
        <w:rPr>
          <w:rFonts w:ascii="SimSun" w:hAnsi="SimSun" w:eastAsia="SimSun" w:cs="SimSun"/>
          <w:color w:val="000000"/>
          <w:sz w:val="24"/>
          <w:u w:val="single"/>
        </w:rPr>
        <w:t xml:space="preserve">    </w:t>
      </w:r>
      <w:r>
        <w:rPr>
          <w:rFonts w:ascii="SimSun" w:hAnsi="SimSun" w:eastAsia="SimSun" w:cs="SimSun"/>
          <w:color w:val="000000"/>
          <w:sz w:val="24"/>
        </w:rPr>
        <w:t xml:space="preserve">天内交付验收。</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交货方式：</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交货地点：</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九、货款支付</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由甲方按下列程序在</w:t>
      </w:r>
      <w:r>
        <w:rPr>
          <w:rFonts w:ascii="SimSun" w:hAnsi="SimSun" w:eastAsia="SimSun" w:cs="SimSun"/>
          <w:color w:val="000000"/>
          <w:sz w:val="24"/>
          <w:u w:val="single"/>
        </w:rPr>
        <w:t xml:space="preserve">    </w:t>
      </w:r>
      <w:r>
        <w:rPr>
          <w:rFonts w:ascii="SimSun" w:hAnsi="SimSun" w:eastAsia="SimSun" w:cs="SimSun"/>
          <w:color w:val="000000"/>
          <w:sz w:val="24"/>
        </w:rPr>
        <w:t xml:space="preserve">内付款:</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预付款:签订合同后，支付合同总价的___%。</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设备安装调试结束，提交全部报告材料，调试完成并验收合格后，支付合同余款。</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9.3对于满足合同约定支付条件的，甲方应当自收到发票后</w:t>
      </w:r>
      <w:r>
        <w:rPr>
          <w:rFonts w:ascii="SimSun" w:hAnsi="SimSun" w:eastAsia="SimSun" w:cs="SimSun"/>
          <w:color w:val="000000"/>
          <w:sz w:val="24"/>
          <w:u w:val="single"/>
        </w:rPr>
        <w:t xml:space="preserve"> 30 </w:t>
      </w:r>
      <w:r>
        <w:rPr>
          <w:rFonts w:ascii="SimSun" w:hAnsi="SimSun" w:eastAsia="SimSun" w:cs="SimSun"/>
          <w:color w:val="000000"/>
          <w:sz w:val="24"/>
        </w:rPr>
        <w:t xml:space="preserve">日内将资金支付到合同约定的乙方账户，不得以机构变动、人员更替、政策调整等为由延迟付款，不得将采购文件和合同中未规定的义务作为向乙方付款的条件。</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十.税费</w:t>
      </w:r>
      <w:r/>
    </w:p>
    <w:p>
      <w:pPr>
        <w:ind w:left="612" w:right="0" w:hanging="6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本合同执行中相关的一切税费均由乙方负担。</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十一、质量保修范围和保修期及售后服务</w:t>
      </w:r>
      <w:r/>
    </w:p>
    <w:p>
      <w:pPr>
        <w:ind w:left="612" w:right="0" w:hanging="6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乙方应按采购文件规定的货物性能、技术要求、质量标准向甲方提供未经使用的全新产品。</w:t>
      </w:r>
      <w:r/>
    </w:p>
    <w:p>
      <w:pPr>
        <w:ind w:left="612" w:right="0" w:hanging="6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乙方提供的货物在质保期内因货物本身的质量问题发生故障，乙方应负责免费更换。对达不到技术要求者，根据实际情况，经双方协商，可按以下办法处理：                                                     </w:t>
      </w:r>
      <w:r/>
    </w:p>
    <w:p>
      <w:pPr>
        <w:ind w:left="612" w:right="0" w:hanging="612"/>
        <w:jc w:val="both"/>
        <w:spacing w:before="120" w:after="12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⑴ 更换：由乙方承担所发生的全部费用。                           </w:t>
      </w:r>
      <w:r/>
    </w:p>
    <w:p>
      <w:pPr>
        <w:ind w:left="612" w:right="0" w:hanging="612"/>
        <w:jc w:val="both"/>
        <w:spacing w:before="120" w:after="12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⑵ 贬值处理：由甲乙双方合议定价。                               </w:t>
      </w:r>
      <w:r/>
    </w:p>
    <w:p>
      <w:pPr>
        <w:ind w:left="612" w:right="0" w:hanging="612"/>
        <w:jc w:val="both"/>
        <w:spacing w:before="120" w:after="12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⑶ 退货处理：乙方应退还甲方支付的合同款，同时应承担该货物的直接费用（运输、保险、检验、货款利息及银行手续费等）。</w:t>
      </w:r>
      <w:r/>
    </w:p>
    <w:p>
      <w:pPr>
        <w:ind w:left="612" w:right="0" w:hanging="6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如在使用过程中发生质量问题，乙方在接到甲方通知后在____小时内到达甲方现场。</w:t>
      </w:r>
      <w:r/>
    </w:p>
    <w:p>
      <w:pPr>
        <w:ind w:left="612" w:right="0" w:hanging="6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在质保期内，乙方应对货物出现的质量及安全问题负责处理解决并承担一切费用。</w:t>
      </w:r>
      <w:r/>
    </w:p>
    <w:p>
      <w:pPr>
        <w:ind w:left="612" w:right="0" w:hanging="6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11.5上述的货物免费保修期为</w:t>
      </w:r>
      <w:r>
        <w:rPr>
          <w:rFonts w:ascii="SimSun" w:hAnsi="SimSun" w:eastAsia="SimSun" w:cs="SimSun"/>
          <w:color w:val="000000"/>
          <w:sz w:val="24"/>
          <w:u w:val="single"/>
        </w:rPr>
        <w:t xml:space="preserve">     </w:t>
      </w:r>
      <w:r>
        <w:rPr>
          <w:rFonts w:ascii="SimSun" w:hAnsi="SimSun" w:eastAsia="SimSun" w:cs="SimSun"/>
          <w:color w:val="000000"/>
          <w:sz w:val="24"/>
        </w:rPr>
        <w:t xml:space="preserve">年，因人为因素出现的故障不在免费保修范围内。</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十二、验收、交付标准和方法、</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甲方对乙方提交的货物依据采购文件上的技术规格要求和国家有关质量标准进行现场初步验收，外观、说明书符合采购文件技术要求的，给予签收，初步验收不合格的不予签收。货到后，甲方需在</w:t>
      </w:r>
      <w:r>
        <w:rPr>
          <w:rFonts w:ascii="SimSun" w:hAnsi="SimSun" w:eastAsia="SimSun" w:cs="SimSun"/>
          <w:color w:val="000000"/>
          <w:sz w:val="24"/>
          <w:u w:val="single"/>
        </w:rPr>
        <w:t xml:space="preserve">     </w:t>
      </w:r>
      <w:r>
        <w:rPr>
          <w:rFonts w:ascii="SimSun" w:hAnsi="SimSun" w:eastAsia="SimSun" w:cs="SimSun"/>
          <w:color w:val="000000"/>
          <w:sz w:val="24"/>
        </w:rPr>
        <w:t xml:space="preserve">工作日内验收。</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乙方交货前应对产品作出全面检查和对验收文件进行整理，并列出清单，作为甲方收货验收和使用的技术条件依据，检验的结果应随货物交甲方。</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甲方对乙方提供的货物在使用前进行调试时，乙方需负责安装并培训甲方的使用操作人员，并协助甲方一起调试，直到符合技术要求，甲方才做最终验收。</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对技术复杂的货物，甲方可请国家认可的专业检测机构参与初步验收及最终验收，并由其出具质量检测报告。</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验收时乙方必须在现场，验收完毕后作出验收结果报告。</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十三、货物包装、发运及运输</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乙方应在货物发运前对其进行满足运输距离、防潮、防震、防锈和防破损装卸等要求包装，以保证货物安全运达甲方指定地点。</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使用说明书、质量检验证明书、随配附件和工具以及清单一并附于货物内。</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乙方在货物发运手续办理完毕后24小时内或货到甲方48小时前通知甲方，以准备接货。</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货物在交付甲方前发生的风险均由乙方负责。</w:t>
      </w:r>
      <w:r/>
    </w:p>
    <w:p>
      <w:pPr>
        <w:ind w:left="624" w:right="26" w:hanging="624"/>
        <w:jc w:val="both"/>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 货物在规定的交付期限内由乙方送达甲方指定的地点视为交付，乙方同时需通知甲方货物已送达。</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十四、违约责任</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甲方无正当理由拒收货物的，甲方向乙方偿付拒收货款总值的</w:t>
      </w:r>
      <w:r>
        <w:rPr>
          <w:rFonts w:ascii="SimSun" w:hAnsi="SimSun" w:eastAsia="SimSun" w:cs="SimSun"/>
          <w:color w:val="000000"/>
          <w:sz w:val="24"/>
          <w:u w:val="single"/>
        </w:rPr>
        <w:t xml:space="preserve">     </w:t>
      </w:r>
      <w:r>
        <w:rPr>
          <w:rFonts w:ascii="SimSun" w:hAnsi="SimSun" w:eastAsia="SimSun" w:cs="SimSun"/>
          <w:color w:val="000000"/>
          <w:sz w:val="24"/>
        </w:rPr>
        <w:t xml:space="preserve">违约金。</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甲方无故逾期验收和办理货物款项支付手续的,甲方应按逾期付款总额每日</w:t>
      </w:r>
      <w:r>
        <w:rPr>
          <w:rFonts w:ascii="SimSun" w:hAnsi="SimSun" w:eastAsia="SimSun" w:cs="SimSun"/>
          <w:color w:val="000000"/>
          <w:sz w:val="24"/>
          <w:u w:val="single"/>
        </w:rPr>
        <w:t xml:space="preserve">        </w:t>
      </w:r>
      <w:r>
        <w:rPr>
          <w:rFonts w:ascii="SimSun" w:hAnsi="SimSun" w:eastAsia="SimSun" w:cs="SimSun"/>
          <w:color w:val="000000"/>
          <w:sz w:val="24"/>
        </w:rPr>
        <w:t xml:space="preserve">向乙方支付违约金。</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乙方逾期交付货物的，乙方应按逾期交货总额每日</w:t>
      </w:r>
      <w:r>
        <w:rPr>
          <w:rFonts w:ascii="SimSun" w:hAnsi="SimSun" w:eastAsia="SimSun" w:cs="SimSun"/>
          <w:color w:val="000000"/>
          <w:sz w:val="24"/>
          <w:u w:val="single"/>
        </w:rPr>
        <w:t xml:space="preserve">      </w:t>
      </w:r>
      <w:r>
        <w:rPr>
          <w:rFonts w:ascii="SimSun" w:hAnsi="SimSun" w:eastAsia="SimSun" w:cs="SimSun"/>
          <w:color w:val="000000"/>
          <w:sz w:val="24"/>
        </w:rPr>
        <w:t xml:space="preserve">向甲方支付违约金，由甲方从待付货款中扣除。逾期超过约定日期</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个工作日不能交货的，甲方可解除本合同。乙方因逾期交货或因其他违约行为导致甲方解除合同的，乙方应向甲方支付合同总值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 </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十五、不可抗力事件处理</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在合同有效期内，任何一方因不可抗力事件导致不能履行合同，则合同履行期可延长，其延长期与不可抗力影响期相同。</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不可抗力事件发生后，应立即通知对方，并寄送有关权威机构出具的证明。</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不可抗力事件延续120天以上，双方应通过友好协商，确定是否继续履行合同。</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十六、解决争议的方法</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双方在执行合同中所发生的一切争议，应通过协商解决。如协商不成，可向合同签订地法院起诉，合同签订地在此约定为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十七、其他</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本合同所有附件、招标文件、投标文件、中标通知书均为合同的有效组成部分，与本合同具有同等法律效力。</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如一方地址、电话、传真号码有变更，应在变更当日内书面通知对方，否则，应承担相应责任。</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除甲方事先书面同意外，乙方不得部分或全部转让其应履行的合同项下的义务。</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十八、合同生效</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合同经双方法定代表人或授权委托代表人签字并加盖单位公章后生效。</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18.2本合同未尽事宜，遵照《中华人民共和国民法典（合同编）》有关条文执行。</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本合同正本一式</w:t>
      </w:r>
      <w:r>
        <w:rPr>
          <w:rFonts w:ascii="SimSun" w:hAnsi="SimSun" w:eastAsia="SimSun" w:cs="SimSun"/>
          <w:color w:val="000000"/>
          <w:sz w:val="24"/>
          <w:u w:val="single"/>
        </w:rPr>
        <w:t xml:space="preserve">    </w:t>
      </w:r>
      <w:r>
        <w:rPr>
          <w:rFonts w:ascii="SimSun" w:hAnsi="SimSun" w:eastAsia="SimSun" w:cs="SimSun"/>
          <w:color w:val="000000"/>
          <w:sz w:val="24"/>
        </w:rPr>
        <w:t xml:space="preserve">份。</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甲方：乙方：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法定代表人或授权代表：法定代表人或授权代表：</w:t>
      </w:r>
      <w:r/>
    </w:p>
    <w:p>
      <w:pPr>
        <w:ind w:left="0" w:right="0" w:firstLine="24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26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丙方：</w:t>
      </w:r>
      <w:r/>
    </w:p>
    <w:p>
      <w:pPr>
        <w:ind w:left="0" w:right="0" w:firstLine="24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 </w:t>
      </w:r>
      <w:r/>
    </w:p>
    <w:p>
      <w:pPr>
        <w:ind w:left="0" w:right="0" w:firstLine="24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w:t>
      </w:r>
      <w:r>
        <w:rPr>
          <w:rFonts w:ascii="Times New Roman" w:hAnsi="Times New Roman" w:eastAsia="Times New Roman" w:cs="Times New Roman"/>
          <w:b/>
          <w:color w:val="000000"/>
          <w:sz w:val="36"/>
          <w:u w:val="single"/>
        </w:rPr>
        <w:t xml:space="preserve">CA</w:t>
      </w:r>
      <w:r>
        <w:rPr>
          <w:rFonts w:ascii="SimSun" w:hAnsi="SimSun" w:eastAsia="SimSun" w:cs="SimSun"/>
          <w:b/>
          <w:color w:val="000000"/>
          <w:sz w:val="36"/>
          <w:u w:val="single"/>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一、投标声明及承诺函</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二、投标人基本情况</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三、满足特定资格要求的证明文件（如果设置特定资格要求，则需要提供）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四、法人授权书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六、投标报价明细表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七、中小企业声明函</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八、技术要求响应及偏离表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九、项目组成员</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十、企业业绩</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十一、投标所需其他材料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rPr>
          <w:rFonts w:ascii="SimSun" w:hAnsi="SimSun" w:eastAsia="SimSun" w:cs="SimSun"/>
          <w:color w:val="000000"/>
          <w:sz w:val="28"/>
        </w:rPr>
        <w:t xml:space="preserve">十二、资格证明文件参考格式</w:t>
      </w:r>
      <w:r/>
    </w:p>
    <w:p>
      <w:pPr>
        <w:ind w:left="0" w:right="0" w:firstLine="0"/>
        <w:spacing w:before="120" w:after="120" w:line="400" w:lineRule="atLeast"/>
        <w:tabs>
          <w:tab w:val="left" w:pos="8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一、投标声明及承诺函</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（采购单位名称）：</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根据已收到的项目编号为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项目的招标文件，我方在参加本项目招投标活动中，特做出如下承诺：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一、我方具备《中华人民共和国政府采购法》第二十二条第一款规定的6项条件；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三、我方按招标文件要求提交投标文件，响应招标文件规定的投标有效期；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四、如果我方的投标文件被接受，我方将按《中华人民共和国民法典（第三编合同）》及其他有关法律、法规的规定，按期、按质、按量交付采购单位，全面做到履约守信；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五、我方若违背本声明及承诺约定，经查实，自愿接受采购人及相关主管部门相应的规定处理，并依法承担相应的法律责任。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六、我方同意采购人、采购代理机构将本声明及承诺函上网公开。</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 </w:t>
      </w:r>
      <w:r>
        <w:rPr>
          <w:rFonts w:ascii="SimSun" w:hAnsi="SimSun" w:eastAsia="SimSun" w:cs="SimSun"/>
          <w:color w:val="000000"/>
          <w:sz w:val="24"/>
          <w:u w:val="single"/>
        </w:rPr>
        <w:t xml:space="preserve">          </w:t>
      </w:r>
      <w:r>
        <w:rPr>
          <w:rFonts w:ascii="SimSun" w:hAnsi="SimSun" w:eastAsia="SimSun" w:cs="SimSun"/>
          <w:color w:val="000000"/>
          <w:sz w:val="24"/>
        </w:rPr>
        <w:t xml:space="preserve">（加盖CA电子公章）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二、投标人基本情况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投标人基本情况表</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6"/>
        <w:gridCol w:w="3118"/>
        <w:gridCol w:w="1276"/>
        <w:gridCol w:w="26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注册地区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注册号或社会信用代码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投标人类别</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top"/>
            <w:textDirection w:val="lrTb"/>
            <w:noWrap w:val="false"/>
          </w:tcPr>
          <w:p>
            <w:pPr>
              <w:ind w:left="0" w:right="0" w:firstLine="143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无需提供营业执照等证明材料</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四、法人授权书</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直接在苏采云系统里填写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六、分项报价表（分包号：**）（货物类）</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1、设备报价表</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6"/>
        <w:gridCol w:w="1036"/>
        <w:gridCol w:w="966"/>
        <w:gridCol w:w="1414"/>
        <w:gridCol w:w="784"/>
        <w:gridCol w:w="980"/>
        <w:gridCol w:w="727"/>
        <w:gridCol w:w="1372"/>
        <w:gridCol w:w="124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本采购包中提供的符合本国产品标准的产品成本之和占该采购包提供的全部产品成本之和的比例为</w:t>
            </w:r>
            <w:r>
              <w:rPr>
                <w:rFonts w:ascii="Times New Roman" w:hAnsi="Times New Roman" w:eastAsia="Times New Roman" w:cs="Times New Roman"/>
                <w:color w:val="000000"/>
                <w:sz w:val="24"/>
              </w:rPr>
              <w:t xml:space="preserve">***%</w:t>
            </w:r>
            <w:r>
              <w:rPr>
                <w:rFonts w:ascii="KaiTi" w:hAnsi="KaiTi" w:eastAsia="KaiTi" w:cs="KaiTi"/>
                <w:color w:val="000000"/>
                <w:sz w:val="24"/>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七、</w:t>
      </w:r>
      <w:r>
        <w:rPr>
          <w:rFonts w:ascii="KaiTi" w:hAnsi="KaiTi" w:eastAsia="KaiTi" w:cs="KaiTi"/>
          <w:b/>
          <w:color w:val="000000"/>
          <w:sz w:val="26"/>
        </w:rPr>
        <w:t xml:space="preserve">中小企业声明函及符合本国产品标准的声明函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中小企业声明函（货物）</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 采购活动，提供的货物全部由符合政策要求的中小企业制造。相关企业（含联合体中的中小企业、签订分包意向协议的中小企业）的具体情况如下：</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i/>
          <w:color w:val="000000"/>
          <w:sz w:val="24"/>
          <w:u w:val="single"/>
        </w:rPr>
        <w:t xml:space="preserve">）</w:t>
      </w:r>
      <w:r>
        <w:rPr>
          <w:rFonts w:ascii="SimSun" w:hAnsi="SimSun" w:eastAsia="SimSun" w:cs="SimSun"/>
          <w:color w:val="000000"/>
          <w:sz w:val="24"/>
          <w:u w:val="single"/>
        </w:rPr>
        <w:t xml:space="preserve">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 </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u w:val="single"/>
        </w:rPr>
        <w:t xml:space="preserve">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 </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56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6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vertAlign w:val="superscript"/>
        </w:rPr>
        <w:t xml:space="preserve">1</w:t>
      </w:r>
      <w:r>
        <w:rPr>
          <w:rFonts w:ascii="SimSun" w:hAnsi="SimSun" w:eastAsia="SimSun" w:cs="SimSun"/>
          <w:color w:val="000000"/>
          <w:sz w:val="18"/>
        </w:rPr>
        <w:t xml:space="preserve">从业人员、营业收入、资产总额填报上一年数据，无上一年数据的新成立企业可不填报。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151" w:after="151"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0"/>
        <w:spacing w:before="240" w:after="24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0"/>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381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3629"/>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SimSun" w:hAnsi="SimSun" w:eastAsia="SimSun" w:cs="SimSun"/>
          <w:color w:val="000000"/>
          <w:sz w:val="24"/>
          <w:u w:val="single"/>
        </w:rPr>
        <w:t xml:space="preserve">              </w:t>
      </w:r>
      <w:r>
        <w:rPr>
          <w:rFonts w:ascii="SimSun" w:hAnsi="SimSun" w:eastAsia="SimSun" w:cs="SimSun"/>
          <w:color w:val="000000"/>
          <w:sz w:val="24"/>
        </w:rPr>
        <w:t xml:space="preserve">（加盖CA电子公章）</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1560" w:firstLine="480"/>
        <w:jc w:val="center"/>
        <w:spacing w:before="240" w:after="24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57"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5"/>
        <w:spacing w:before="151" w:after="151"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注：非残疾人福利性单位不需提供此函。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关于符合本国产品标准的声明函（采购包号：如有）</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4"/>
        </w:numPr>
        <w:spacing w:before="30" w:after="30" w:line="360" w:lineRule="atLeast"/>
        <w:tabs>
          <w:tab w:val="left" w:pos="312"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u w:val="single"/>
        </w:rPr>
        <w:t xml:space="preserve">（产品名称1）</w:t>
      </w:r>
      <w:r>
        <w:rPr>
          <w:rFonts w:ascii="Arial" w:hAnsi="Arial" w:eastAsia="Arial" w:cs="Arial"/>
          <w:color w:val="000000"/>
          <w:sz w:val="20"/>
          <w:highlight w:val="white"/>
          <w:vertAlign w:val="superscript"/>
        </w:rPr>
        <w:t xml:space="preserve">1</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0"/>
          <w:highlight w:val="white"/>
          <w:vertAlign w:val="superscript"/>
        </w:rPr>
        <w:t xml:space="preserve">2</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 （</w:t>
      </w:r>
      <w:r>
        <w:rPr>
          <w:rFonts w:ascii="Arial" w:hAnsi="Arial" w:eastAsia="Arial" w:cs="Arial"/>
          <w:strike/>
          <w:color w:val="000000"/>
          <w:sz w:val="24"/>
          <w:highlight w:val="white"/>
          <w:u w:val="single"/>
        </w:rPr>
        <w:t xml:space="preserve">产品名称1</w:t>
      </w:r>
      <w:r>
        <w:rPr>
          <w:rFonts w:ascii="Arial" w:hAnsi="Arial" w:eastAsia="Arial" w:cs="Arial"/>
          <w:color w:val="000000"/>
          <w:sz w:val="24"/>
          <w:highlight w:val="white"/>
          <w:u w:val="single"/>
        </w:rPr>
        <w:t xml:space="preserve">） </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规定比例</w:t>
      </w:r>
      <w:r>
        <w:rPr>
          <w:rFonts w:ascii="Arial" w:hAnsi="Arial" w:eastAsia="Arial" w:cs="Arial"/>
          <w:color w:val="000000"/>
          <w:sz w:val="24"/>
          <w:highlight w:val="white"/>
          <w:u w:val="single"/>
        </w:rPr>
        <w:t xml:space="preserve">）</w:t>
      </w:r>
      <w:r>
        <w:rPr>
          <w:rFonts w:ascii="Arial" w:hAnsi="Arial" w:eastAsia="Arial" w:cs="Arial"/>
          <w:color w:val="000000"/>
          <w:sz w:val="20"/>
          <w:highlight w:val="white"/>
          <w:vertAlign w:val="superscript"/>
        </w:rPr>
        <w:t xml:space="preserve">3</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产品名称1</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关键组件</w:t>
      </w:r>
      <w:r>
        <w:rPr>
          <w:rFonts w:ascii="Arial" w:hAnsi="Arial" w:eastAsia="Arial" w:cs="Arial"/>
          <w:color w:val="000000"/>
          <w:sz w:val="24"/>
          <w:highlight w:val="white"/>
          <w:u w:val="single"/>
        </w:rPr>
        <w:t xml:space="preserve">）</w:t>
      </w:r>
      <w:r>
        <w:rPr>
          <w:rFonts w:ascii="Arial" w:hAnsi="Arial" w:eastAsia="Arial" w:cs="Arial"/>
          <w:color w:val="000000"/>
          <w:sz w:val="20"/>
          <w:highlight w:val="white"/>
          <w:vertAlign w:val="superscript"/>
        </w:rPr>
        <w:t xml:space="preserve">4</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产品名称1</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关键工序</w:t>
      </w:r>
      <w:r>
        <w:rPr>
          <w:rFonts w:ascii="Arial" w:hAnsi="Arial" w:eastAsia="Arial" w:cs="Arial"/>
          <w:color w:val="000000"/>
          <w:sz w:val="24"/>
          <w:highlight w:val="white"/>
          <w:u w:val="single"/>
        </w:rPr>
        <w:t xml:space="preserve">）</w:t>
      </w:r>
      <w:r>
        <w:rPr>
          <w:rFonts w:ascii="Arial" w:hAnsi="Arial" w:eastAsia="Arial" w:cs="Arial"/>
          <w:color w:val="000000"/>
          <w:sz w:val="20"/>
          <w:highlight w:val="white"/>
          <w:vertAlign w:val="superscript"/>
        </w:rPr>
        <w:t xml:space="preserve">5</w:t>
      </w:r>
      <w:r>
        <w:rPr>
          <w:rFonts w:ascii="Arial" w:hAnsi="Arial" w:eastAsia="Arial" w:cs="Arial"/>
          <w:color w:val="000000"/>
          <w:sz w:val="24"/>
          <w:highlight w:val="white"/>
        </w:rPr>
        <w:t xml:space="preserve">在中国境内完成。</w:t>
      </w:r>
      <w:r/>
    </w:p>
    <w:p>
      <w:pPr>
        <w:ind w:left="0" w:right="0" w:firstLine="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 </w:t>
      </w:r>
      <w:r/>
    </w:p>
    <w:p>
      <w:pPr>
        <w:ind w:left="0" w:right="0" w:firstLine="42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2.</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产品名称2</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规定比例</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产品名称2</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关键组件</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产品名称1</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关键工序</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在中国境内完成。</w:t>
      </w:r>
      <w:r/>
    </w:p>
    <w:p>
      <w:pPr>
        <w:ind w:left="0" w:right="0" w:firstLine="42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w:t>
      </w:r>
      <w:r/>
    </w:p>
    <w:p>
      <w:pPr>
        <w:ind w:left="0" w:right="0" w:firstLine="42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本公司（单位）对上述声明内容的真实性负责。如有虚假，愿承担相应法律责任。</w:t>
      </w:r>
      <w:r/>
    </w:p>
    <w:p>
      <w:pPr>
        <w:ind w:left="0" w:right="0" w:firstLine="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480" w:firstLine="420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公司（单位）名称：　</w:t>
      </w:r>
      <w:r>
        <w:rPr>
          <w:rFonts w:ascii="KaiTi" w:hAnsi="KaiTi" w:eastAsia="KaiTi" w:cs="KaiTi"/>
          <w:color w:val="000000"/>
          <w:sz w:val="24"/>
        </w:rPr>
        <w:t xml:space="preserve">（</w:t>
      </w:r>
      <w:r>
        <w:rPr>
          <w:rFonts w:ascii="SimSun" w:hAnsi="SimSun" w:eastAsia="SimSun" w:cs="SimSun"/>
          <w:color w:val="000000"/>
          <w:sz w:val="24"/>
        </w:rPr>
        <w:t xml:space="preserve">加盖CA电子公章</w:t>
      </w:r>
      <w:r>
        <w:rPr>
          <w:rFonts w:ascii="KaiTi" w:hAnsi="KaiTi" w:eastAsia="KaiTi" w:cs="KaiTi"/>
          <w:color w:val="000000"/>
          <w:sz w:val="24"/>
        </w:rPr>
        <w:t xml:space="preserve">）</w:t>
      </w:r>
      <w:r/>
    </w:p>
    <w:p>
      <w:pPr>
        <w:ind w:left="0" w:right="480" w:firstLine="3720"/>
        <w:spacing w:before="30" w:after="3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6.用横线</w:t>
      </w:r>
      <w:r>
        <w:rPr>
          <w:rFonts w:ascii="Arial" w:hAnsi="Arial" w:eastAsia="Arial" w:cs="Arial"/>
          <w:strike/>
          <w:color w:val="000000"/>
          <w:sz w:val="22"/>
          <w:highlight w:val="white"/>
        </w:rPr>
        <w:t xml:space="preserve">     </w:t>
      </w:r>
      <w:r>
        <w:rPr>
          <w:rFonts w:ascii="Arial" w:hAnsi="Arial" w:eastAsia="Arial" w:cs="Arial"/>
          <w:color w:val="000000"/>
          <w:sz w:val="22"/>
          <w:highlight w:val="white"/>
        </w:rPr>
        <w:t xml:space="preserve">划除的地方无需填写。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 </w:t>
      </w:r>
      <w:r/>
    </w:p>
    <w:p>
      <w:pPr>
        <w:ind w:left="0" w:right="0" w:firstLine="0"/>
        <w:spacing w:before="120" w:after="12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20" w:after="12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八、技术及商务要求响应及偏离表（分包号：</w:t>
      </w:r>
      <w:r>
        <w:rPr>
          <w:rFonts w:ascii="Times New Roman" w:hAnsi="Times New Roman" w:eastAsia="Times New Roman" w:cs="Times New Roman"/>
          <w:b/>
          <w:color w:val="000000"/>
          <w:sz w:val="32"/>
        </w:rPr>
        <w:t xml:space="preserve">**</w:t>
      </w:r>
      <w:r>
        <w:rPr>
          <w:rFonts w:ascii="SimHei" w:hAnsi="SimHei" w:eastAsia="SimHei" w:cs="SimHei"/>
          <w:b/>
          <w:color w:val="000000"/>
          <w:sz w:val="32"/>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技术要求响应及偏离表</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0"/>
        <w:gridCol w:w="3039"/>
        <w:gridCol w:w="2619"/>
        <w:gridCol w:w="1252"/>
        <w:gridCol w:w="110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spacing w:before="120" w:after="120" w:line="9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投标人必须对技术要求和商务要求中的实质性要求（加斜体下划线内容或打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内容）做出明确响应，否则作无效响应处理。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如果采购文件要求提供证明材料，投标人必须将证明材料列于该表之下。</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投标人未对实质性要求作出明确响应的，或未按采购文件要求提供证明材料的，该分包作无效响应处理。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商务要求响应及偏离表</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0"/>
        <w:gridCol w:w="3040"/>
        <w:gridCol w:w="2620"/>
        <w:gridCol w:w="1250"/>
        <w:gridCol w:w="110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九、项目组人员（如有）</w:t>
      </w:r>
      <w:r/>
    </w:p>
    <w:p>
      <w:pPr>
        <w:ind w:left="0" w:right="0" w:firstLine="0"/>
        <w:jc w:val="center"/>
        <w:spacing w:before="100" w:after="1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项目组成员</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身份证号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相关证书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28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398"/>
        <w:spacing w:before="100" w:after="10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注：如供应商中标，项目组成员必须按本表承诺人员操作，不得随意更换。按投标文件要求附相关人员证书。</w:t>
      </w:r>
      <w:r/>
    </w:p>
    <w:p>
      <w:pPr>
        <w:ind w:left="0" w:right="0" w:firstLine="280"/>
        <w:spacing w:before="100" w:after="1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十、企业业绩（如有）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投标人承担类似项目业绩一览表</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9"/>
        <w:gridCol w:w="3827"/>
        <w:gridCol w:w="2433"/>
        <w:gridCol w:w="139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注：请填写此表，并按要求上传业绩资料电子件。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十一、投标所需其他材料</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请在此文档中增加投标所需其他相关内容（包括资格要求、评分办法、采购需求中涉及的证件证明及其它投标人认为有必要提供的资料），如没有请将此空文档上传。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十二、资格证明文件（参考格式）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（说明：投标人须按“招标公告”的要求，并按下列格式提供相应的资格证明文件）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格式一：法人或者其他组织的营业执照等证明文件，自然人的身份证明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格式三：具备履行合同所必需的设备和专业技术能力的书面声明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格式四：参加政府采购活动前3年内在经营活动中没有重大违法记录的书面声明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法人或者其他组织的营业执照等证明文件，自然人的身份证明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具备履行合同所必需的设备和专业技术能力的书面声明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投标人名称（电子签章）：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__年月日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 3 年内在经营活动中没有重大违法记录的书面声明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投标人名称（电子签章）：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日期：___年月日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r/>
      <w:r/>
    </w:p>
    <w:sectPr>
      <w:footerReference w:type="default" r:id="rId9"/>
      <w:footerReference w:type="first" r:id="rId10"/>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MS Mincho">
    <w:panose1 w:val="02020603050405090304"/>
  </w:font>
  <w:font w:name="KaiTi">
    <w:panose1 w:val="02010609060101010101"/>
  </w:font>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仿宋">
    <w:panose1 w:val="02010609060101010101"/>
  </w:font>
  <w:font w:name="Cambria">
    <w:panose1 w:val="02040503050406030204"/>
  </w:font>
  <w:font w:name="Calibri">
    <w:panose1 w:val="020F0502020204030204"/>
  </w:font>
  <w:font w:name="Arial">
    <w:panose1 w:val="020B0604020202020204"/>
  </w:font>
  <w:font w:name="楷体_GB2312">
    <w:panose1 w:val="02010609060101010101"/>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12725" cy="17081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212725" cy="170815"/>
                      </a:xfrm>
                      <a:prstGeom prst="rect">
                        <a:avLst/>
                      </a:prstGeom>
                      <a:noFill/>
                      <a:ln w="6350">
                        <a:noFill/>
                      </a:ln>
                      <a:effectLst/>
                    </wps:spPr>
                    <wps:txbx>
                      <w:txbxContent>
                        <w:p>
                          <w:r>
                            <w:fldChar w:fldCharType="begin"/>
                          </w:r>
                          <w:r>
                            <w:instrText xml:space="preserve"> PAGE  \* MERGEFORMAT </w:instrText>
                          </w:r>
                          <w:r>
                            <w:fldChar w:fldCharType="separate"/>
                          </w:r>
                          <w:r>
                            <w:t xml:space="preserve">44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6.8pt;height:13.4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quot;□&quot;"/>
      <w:lvlJc w:val="left"/>
      <w:pPr>
        <w:ind w:left="360" w:hanging="360"/>
      </w:pPr>
      <w:rPr>
        <w:rFonts w:hint="default" w:ascii="Symbol" w:hAnsi="Symbol" w:eastAsia="Symbol" w:cs="Symbol"/>
      </w:rPr>
    </w:lvl>
    <w:lvl w:ilvl="1">
      <w:start w:val="1"/>
      <w:numFmt w:val="bullet"/>
      <w:isLgl w:val="false"/>
      <w:suff w:val="tab"/>
      <w:lvlText w:val="&quot;&quot;"/>
      <w:lvlJc w:val="left"/>
      <w:pPr>
        <w:ind w:left="840" w:hanging="420"/>
      </w:pPr>
      <w:rPr>
        <w:rFonts w:hint="default" w:ascii="Wingdings" w:hAnsi="Wingdings" w:eastAsia="Wingdings" w:cs="Wingdings"/>
      </w:rPr>
    </w:lvl>
    <w:lvl w:ilvl="2">
      <w:start w:val="1"/>
      <w:numFmt w:val="bullet"/>
      <w:isLgl w:val="false"/>
      <w:suff w:val="tab"/>
      <w:lvlText w:val="&quot;&quot;"/>
      <w:lvlJc w:val="left"/>
      <w:pPr>
        <w:ind w:left="1260" w:hanging="420"/>
      </w:pPr>
      <w:rPr>
        <w:rFonts w:hint="default" w:ascii="Wingdings" w:hAnsi="Wingdings" w:eastAsia="Wingdings" w:cs="Wingdings"/>
      </w:rPr>
    </w:lvl>
    <w:lvl w:ilvl="3">
      <w:start w:val="1"/>
      <w:numFmt w:val="bullet"/>
      <w:isLgl w:val="false"/>
      <w:suff w:val="tab"/>
      <w:lvlText w:val="&quot;&quot;"/>
      <w:lvlJc w:val="left"/>
      <w:pPr>
        <w:ind w:left="1680" w:hanging="420"/>
      </w:pPr>
      <w:rPr>
        <w:rFonts w:hint="default" w:ascii="Wingdings" w:hAnsi="Wingdings" w:eastAsia="Wingdings" w:cs="Wingdings"/>
      </w:rPr>
    </w:lvl>
    <w:lvl w:ilvl="4">
      <w:start w:val="1"/>
      <w:numFmt w:val="bullet"/>
      <w:isLgl w:val="false"/>
      <w:suff w:val="tab"/>
      <w:lvlText w:val="&quot;&quot;"/>
      <w:lvlJc w:val="left"/>
      <w:pPr>
        <w:ind w:left="2100" w:hanging="420"/>
      </w:pPr>
      <w:rPr>
        <w:rFonts w:hint="default" w:ascii="Wingdings" w:hAnsi="Wingdings" w:eastAsia="Wingdings" w:cs="Wingdings"/>
      </w:rPr>
    </w:lvl>
    <w:lvl w:ilvl="5">
      <w:start w:val="1"/>
      <w:numFmt w:val="bullet"/>
      <w:isLgl w:val="false"/>
      <w:suff w:val="tab"/>
      <w:lvlText w:val="&quot;&quot;"/>
      <w:lvlJc w:val="left"/>
      <w:pPr>
        <w:ind w:left="2520" w:hanging="420"/>
      </w:pPr>
      <w:rPr>
        <w:rFonts w:hint="default" w:ascii="Wingdings" w:hAnsi="Wingdings" w:eastAsia="Wingdings" w:cs="Wingdings"/>
      </w:rPr>
    </w:lvl>
    <w:lvl w:ilvl="6">
      <w:start w:val="1"/>
      <w:numFmt w:val="bullet"/>
      <w:isLgl w:val="false"/>
      <w:suff w:val="tab"/>
      <w:lvlText w:val="&quot;&quot;"/>
      <w:lvlJc w:val="left"/>
      <w:pPr>
        <w:ind w:left="2940" w:hanging="420"/>
      </w:pPr>
      <w:rPr>
        <w:rFonts w:hint="default" w:ascii="Wingdings" w:hAnsi="Wingdings" w:eastAsia="Wingdings" w:cs="Wingdings"/>
      </w:rPr>
    </w:lvl>
    <w:lvl w:ilvl="7">
      <w:start w:val="1"/>
      <w:numFmt w:val="bullet"/>
      <w:isLgl w:val="false"/>
      <w:suff w:val="tab"/>
      <w:lvlText w:val="&quot;&quot;"/>
      <w:lvlJc w:val="left"/>
      <w:pPr>
        <w:ind w:left="3360" w:hanging="420"/>
      </w:pPr>
      <w:rPr>
        <w:rFonts w:hint="default" w:ascii="Wingdings" w:hAnsi="Wingdings" w:eastAsia="Wingdings" w:cs="Wingdings"/>
      </w:rPr>
    </w:lvl>
    <w:lvl w:ilvl="8">
      <w:start w:val="1"/>
      <w:numFmt w:val="bullet"/>
      <w:isLgl w:val="false"/>
      <w:suff w:val="tab"/>
      <w:lvlText w:val="&quot;&quot;"/>
      <w:lvlJc w:val="left"/>
      <w:pPr>
        <w:ind w:left="3780" w:hanging="42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360" w:hanging="360"/>
      </w:pPr>
      <w:rPr>
        <w:rFonts w:ascii="SimSun" w:hAnsi="SimSun" w:eastAsia="SimSun" w:cs="SimSun"/>
        <w:color w:val="000000"/>
      </w:r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9">
    <w:multiLevelType w:val="hybridMultilevel"/>
    <w:lvl w:ilvl="0">
      <w:start w:val="3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decimal"/>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decimal"/>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decimal"/>
      <w:isLgl w:val="false"/>
      <w:suff w:val="tab"/>
      <w:lvlText w:val="%9."/>
      <w:lvlJc w:val="right"/>
      <w:pPr>
        <w:ind w:left="4200" w:hanging="420"/>
      </w:p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6"/>
  </w:num>
  <w:num w:numId="5">
    <w:abstractNumId w:val="5"/>
  </w:num>
  <w:num w:numId="6">
    <w:abstractNumId w:val="4"/>
  </w:num>
  <w:num w:numId="7">
    <w:abstractNumId w:val="2"/>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name w:val="List Paragraph"/>
    <w:basedOn w:val="711"/>
    <w:uiPriority w:val="34"/>
    <w:qFormat/>
    <w:pPr>
      <w:contextualSpacing/>
      <w:ind w:left="720"/>
    </w:pPr>
  </w:style>
  <w:style w:type="paragraph" w:styleId="707">
    <w:name w:val="No Spacing"/>
    <w:uiPriority w:val="1"/>
    <w:qFormat/>
    <w:pPr>
      <w:spacing w:before="0" w:after="0" w:line="240" w:lineRule="auto"/>
    </w:pPr>
  </w:style>
  <w:style w:type="paragraph" w:styleId="708">
    <w:name w:val="Quote"/>
    <w:basedOn w:val="711"/>
    <w:next w:val="711"/>
    <w:link w:val="775"/>
    <w:uiPriority w:val="29"/>
    <w:qFormat/>
    <w:pPr>
      <w:ind w:left="720" w:right="720"/>
    </w:pPr>
    <w:rPr>
      <w:i/>
    </w:rPr>
  </w:style>
  <w:style w:type="paragraph" w:styleId="709">
    <w:name w:val="Intense Quote"/>
    <w:basedOn w:val="711"/>
    <w:next w:val="711"/>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10">
    <w:name w:val="TOC Heading"/>
    <w:uiPriority w:val="39"/>
    <w:unhideWhenUsed/>
  </w:style>
  <w:style w:type="paragraph" w:styleId="711"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712">
    <w:name w:val="Heading 1"/>
    <w:basedOn w:val="711"/>
    <w:next w:val="711"/>
    <w:link w:val="801"/>
    <w:uiPriority w:val="0"/>
    <w:qFormat/>
    <w:pPr>
      <w:jc w:val="center"/>
      <w:keepLines/>
      <w:keepNext/>
      <w:spacing w:line="360" w:lineRule="auto"/>
      <w:outlineLvl w:val="0"/>
    </w:pPr>
    <w:rPr>
      <w:rFonts w:eastAsia="宋体"/>
      <w:b/>
      <w:sz w:val="32"/>
    </w:rPr>
  </w:style>
  <w:style w:type="paragraph" w:styleId="713">
    <w:name w:val="Heading 2"/>
    <w:basedOn w:val="711"/>
    <w:next w:val="711"/>
    <w:link w:val="802"/>
    <w:uiPriority w:val="9"/>
    <w:unhideWhenUsed/>
    <w:qFormat/>
    <w:pPr>
      <w:keepLines/>
      <w:keepNext/>
      <w:spacing w:before="360" w:after="200"/>
      <w:outlineLvl w:val="1"/>
    </w:pPr>
    <w:rPr>
      <w:rFonts w:ascii="Arial" w:hAnsi="Arial" w:eastAsia="Arial" w:cs="Arial"/>
      <w:sz w:val="34"/>
    </w:rPr>
  </w:style>
  <w:style w:type="paragraph" w:styleId="714">
    <w:name w:val="Heading 3"/>
    <w:basedOn w:val="711"/>
    <w:next w:val="711"/>
    <w:link w:val="803"/>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11"/>
    <w:next w:val="711"/>
    <w:link w:val="804"/>
    <w:uiPriority w:val="9"/>
    <w:unhideWhenUsed/>
    <w:qFormat/>
    <w:pPr>
      <w:keepLines/>
      <w:keepNext/>
      <w:spacing w:before="320" w:after="200"/>
      <w:outlineLvl w:val="3"/>
    </w:pPr>
    <w:rPr>
      <w:rFonts w:ascii="Arial" w:hAnsi="Arial" w:eastAsia="Arial" w:cs="Arial"/>
      <w:b/>
      <w:bCs/>
      <w:szCs w:val="26"/>
    </w:rPr>
  </w:style>
  <w:style w:type="paragraph" w:styleId="716">
    <w:name w:val="Heading 5"/>
    <w:basedOn w:val="711"/>
    <w:next w:val="711"/>
    <w:link w:val="805"/>
    <w:uiPriority w:val="9"/>
    <w:unhideWhenUsed/>
    <w:qFormat/>
    <w:pPr>
      <w:keepLines/>
      <w:keepNext/>
      <w:spacing w:before="320" w:after="200"/>
      <w:outlineLvl w:val="4"/>
    </w:pPr>
    <w:rPr>
      <w:rFonts w:ascii="Arial" w:hAnsi="Arial" w:eastAsia="Arial" w:cs="Arial"/>
      <w:b/>
      <w:bCs/>
      <w:sz w:val="24"/>
      <w:szCs w:val="24"/>
    </w:rPr>
  </w:style>
  <w:style w:type="paragraph" w:styleId="717">
    <w:name w:val="Heading 6"/>
    <w:basedOn w:val="711"/>
    <w:next w:val="711"/>
    <w:link w:val="806"/>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11"/>
    <w:next w:val="711"/>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link w:val="808"/>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link w:val="809"/>
    <w:uiPriority w:val="9"/>
    <w:unhideWhenUsed/>
    <w:qFormat/>
    <w:pPr>
      <w:keepLines/>
      <w:keepNext/>
      <w:spacing w:before="320" w:after="200"/>
      <w:outlineLvl w:val="8"/>
    </w:pPr>
    <w:rPr>
      <w:rFonts w:ascii="Arial" w:hAnsi="Arial" w:eastAsia="Arial" w:cs="Arial"/>
      <w:i/>
      <w:iCs/>
      <w:sz w:val="21"/>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toc 7"/>
    <w:basedOn w:val="711"/>
    <w:next w:val="711"/>
    <w:uiPriority w:val="39"/>
    <w:unhideWhenUsed/>
    <w:qFormat/>
    <w:pPr>
      <w:ind w:left="1701"/>
      <w:spacing w:after="57"/>
    </w:pPr>
  </w:style>
  <w:style w:type="paragraph" w:styleId="724">
    <w:name w:val="Normal Indent"/>
    <w:basedOn w:val="711"/>
    <w:next w:val="711"/>
    <w:uiPriority w:val="0"/>
    <w:qFormat/>
    <w:pPr>
      <w:ind w:firstLine="200"/>
    </w:pPr>
  </w:style>
  <w:style w:type="paragraph" w:styleId="725">
    <w:name w:val="Caption"/>
    <w:basedOn w:val="711"/>
    <w:next w:val="711"/>
    <w:uiPriority w:val="35"/>
    <w:unhideWhenUsed/>
    <w:qFormat/>
    <w:pPr>
      <w:spacing w:line="276" w:lineRule="auto"/>
    </w:pPr>
    <w:rPr>
      <w:b/>
      <w:bCs/>
      <w:color w:val="4f81bd"/>
      <w:sz w:val="18"/>
      <w:szCs w:val="18"/>
    </w:rPr>
  </w:style>
  <w:style w:type="paragraph" w:styleId="726">
    <w:name w:val="annotation text"/>
    <w:basedOn w:val="711"/>
    <w:link w:val="982"/>
    <w:uiPriority w:val="99"/>
    <w:unhideWhenUsed/>
    <w:qFormat/>
    <w:pPr>
      <w:jc w:val="left"/>
    </w:pPr>
  </w:style>
  <w:style w:type="paragraph" w:styleId="727">
    <w:name w:val="Body Text"/>
    <w:basedOn w:val="711"/>
    <w:uiPriority w:val="0"/>
    <w:qFormat/>
    <w:rPr>
      <w:rFonts w:ascii="楷体_GB2312" w:hAnsi="Arial"/>
      <w:sz w:val="28"/>
    </w:rPr>
  </w:style>
  <w:style w:type="paragraph" w:styleId="728">
    <w:name w:val="Body Text Indent"/>
    <w:basedOn w:val="711"/>
    <w:next w:val="711"/>
    <w:uiPriority w:val="0"/>
    <w:qFormat/>
    <w:pPr>
      <w:ind w:firstLine="645"/>
    </w:pPr>
    <w:rPr>
      <w:rFonts w:ascii="楷体_GB2312" w:hAnsi="Calibri"/>
      <w:sz w:val="32"/>
      <w:szCs w:val="22"/>
    </w:rPr>
  </w:style>
  <w:style w:type="paragraph" w:styleId="729">
    <w:name w:val="Block Text"/>
    <w:basedOn w:val="711"/>
    <w:uiPriority w:val="0"/>
    <w:qFormat/>
    <w:pPr>
      <w:ind w:left="525" w:right="-1" w:firstLine="525"/>
      <w:spacing w:line="312" w:lineRule="atLeast"/>
    </w:pPr>
    <w:rPr>
      <w:sz w:val="28"/>
      <w:szCs w:val="28"/>
    </w:rPr>
  </w:style>
  <w:style w:type="paragraph" w:styleId="730">
    <w:name w:val="index 4"/>
    <w:basedOn w:val="711"/>
    <w:next w:val="711"/>
    <w:uiPriority w:val="0"/>
    <w:qFormat/>
    <w:pPr>
      <w:ind w:left="600"/>
    </w:pPr>
    <w:rPr>
      <w:rFonts w:ascii="Calibri" w:hAnsi="Calibri"/>
      <w:szCs w:val="22"/>
    </w:rPr>
  </w:style>
  <w:style w:type="paragraph" w:styleId="731">
    <w:name w:val="toc 5"/>
    <w:basedOn w:val="711"/>
    <w:next w:val="711"/>
    <w:uiPriority w:val="39"/>
    <w:unhideWhenUsed/>
    <w:qFormat/>
    <w:pPr>
      <w:ind w:left="1134"/>
      <w:spacing w:after="57"/>
    </w:pPr>
  </w:style>
  <w:style w:type="paragraph" w:styleId="732">
    <w:name w:val="toc 3"/>
    <w:basedOn w:val="711"/>
    <w:next w:val="711"/>
    <w:uiPriority w:val="39"/>
    <w:unhideWhenUsed/>
    <w:qFormat/>
    <w:pPr>
      <w:ind w:left="567"/>
      <w:spacing w:after="57"/>
    </w:pPr>
  </w:style>
  <w:style w:type="paragraph" w:styleId="733">
    <w:name w:val="Plain Text"/>
    <w:basedOn w:val="711"/>
    <w:next w:val="724"/>
    <w:uiPriority w:val="0"/>
    <w:qFormat/>
    <w:rPr>
      <w:rFonts w:ascii="宋体"/>
    </w:rPr>
  </w:style>
  <w:style w:type="paragraph" w:styleId="734">
    <w:name w:val="toc 8"/>
    <w:basedOn w:val="711"/>
    <w:next w:val="711"/>
    <w:uiPriority w:val="39"/>
    <w:unhideWhenUsed/>
    <w:qFormat/>
    <w:pPr>
      <w:ind w:left="1984"/>
      <w:spacing w:after="57"/>
    </w:pPr>
  </w:style>
  <w:style w:type="paragraph" w:styleId="735">
    <w:name w:val="endnote text"/>
    <w:basedOn w:val="711"/>
    <w:link w:val="947"/>
    <w:uiPriority w:val="99"/>
    <w:unhideWhenUsed/>
    <w:qFormat/>
    <w:rPr>
      <w:sz w:val="20"/>
    </w:rPr>
  </w:style>
  <w:style w:type="paragraph" w:styleId="736">
    <w:name w:val="Balloon Text"/>
    <w:basedOn w:val="711"/>
    <w:link w:val="978"/>
    <w:uiPriority w:val="99"/>
    <w:unhideWhenUsed/>
    <w:qFormat/>
    <w:rPr>
      <w:sz w:val="18"/>
      <w:szCs w:val="18"/>
    </w:rPr>
  </w:style>
  <w:style w:type="paragraph" w:styleId="737">
    <w:name w:val="Footer"/>
    <w:basedOn w:val="711"/>
    <w:link w:val="820"/>
    <w:uiPriority w:val="99"/>
    <w:unhideWhenUsed/>
    <w:qFormat/>
    <w:pPr>
      <w:tabs>
        <w:tab w:val="center" w:pos="7143" w:leader="none"/>
        <w:tab w:val="right" w:pos="14287" w:leader="none"/>
      </w:tabs>
    </w:pPr>
  </w:style>
  <w:style w:type="paragraph" w:styleId="738">
    <w:name w:val="envelope return"/>
    <w:basedOn w:val="739"/>
    <w:uiPriority w:val="99"/>
    <w:unhideWhenUsed/>
    <w:qFormat/>
    <w:rPr>
      <w:rFonts w:ascii="Arial" w:hAnsi="Arial"/>
    </w:rPr>
  </w:style>
  <w:style w:type="paragraph" w:styleId="739" w:customStyle="1">
    <w:name w:val="Normal_19"/>
    <w:next w:val="740"/>
    <w:uiPriority w:val="0"/>
    <w:qFormat/>
    <w:pPr>
      <w:jc w:val="both"/>
      <w:widowControl w:val="off"/>
    </w:pPr>
    <w:rPr>
      <w:rFonts w:ascii="Times New Roman" w:hAnsi="Times New Roman" w:eastAsia="宋体" w:cs="Times New Roman"/>
      <w:sz w:val="21"/>
      <w:szCs w:val="24"/>
      <w:lang w:val="en-US" w:eastAsia="zh-CN" w:bidi="ar-SA"/>
    </w:rPr>
  </w:style>
  <w:style w:type="paragraph" w:styleId="740" w:customStyle="1">
    <w:name w:val="正文文本缩进1"/>
    <w:basedOn w:val="711"/>
    <w:next w:val="738"/>
    <w:uiPriority w:val="0"/>
    <w:unhideWhenUsed/>
    <w:qFormat/>
    <w:pPr>
      <w:ind w:firstLine="570"/>
    </w:pPr>
    <w:rPr>
      <w:rFonts w:ascii="宋体" w:eastAsia="宋体"/>
      <w:sz w:val="28"/>
    </w:rPr>
  </w:style>
  <w:style w:type="paragraph" w:styleId="741">
    <w:name w:val="Header"/>
    <w:basedOn w:val="711"/>
    <w:link w:val="949"/>
    <w:uiPriority w:val="0"/>
    <w:qFormat/>
    <w:pPr>
      <w:jc w:val="center"/>
      <w:tabs>
        <w:tab w:val="center" w:pos="4153" w:leader="none"/>
        <w:tab w:val="right" w:pos="8306" w:leader="none"/>
      </w:tabs>
    </w:pPr>
    <w:rPr>
      <w:sz w:val="18"/>
      <w:szCs w:val="18"/>
    </w:rPr>
  </w:style>
  <w:style w:type="paragraph" w:styleId="742">
    <w:name w:val="toc 1"/>
    <w:basedOn w:val="711"/>
    <w:next w:val="711"/>
    <w:uiPriority w:val="39"/>
    <w:unhideWhenUsed/>
    <w:qFormat/>
    <w:pPr>
      <w:spacing w:after="57"/>
    </w:pPr>
  </w:style>
  <w:style w:type="paragraph" w:styleId="743">
    <w:name w:val="toc 4"/>
    <w:basedOn w:val="711"/>
    <w:next w:val="711"/>
    <w:uiPriority w:val="39"/>
    <w:unhideWhenUsed/>
    <w:qFormat/>
    <w:pPr>
      <w:ind w:left="850"/>
      <w:spacing w:after="57"/>
    </w:pPr>
  </w:style>
  <w:style w:type="paragraph" w:styleId="744">
    <w:name w:val="Subtitle"/>
    <w:basedOn w:val="711"/>
    <w:next w:val="711"/>
    <w:link w:val="813"/>
    <w:uiPriority w:val="11"/>
    <w:qFormat/>
    <w:pPr>
      <w:spacing w:before="200" w:after="200"/>
    </w:pPr>
    <w:rPr>
      <w:sz w:val="24"/>
      <w:szCs w:val="24"/>
    </w:rPr>
  </w:style>
  <w:style w:type="paragraph" w:styleId="745">
    <w:name w:val="footnote text"/>
    <w:basedOn w:val="711"/>
    <w:link w:val="946"/>
    <w:uiPriority w:val="99"/>
    <w:unhideWhenUsed/>
    <w:qFormat/>
    <w:pPr>
      <w:spacing w:after="40"/>
    </w:pPr>
    <w:rPr>
      <w:sz w:val="18"/>
    </w:rPr>
  </w:style>
  <w:style w:type="paragraph" w:styleId="746">
    <w:name w:val="toc 6"/>
    <w:basedOn w:val="711"/>
    <w:next w:val="711"/>
    <w:uiPriority w:val="39"/>
    <w:unhideWhenUsed/>
    <w:qFormat/>
    <w:pPr>
      <w:ind w:left="1417"/>
      <w:spacing w:after="57"/>
    </w:pPr>
  </w:style>
  <w:style w:type="paragraph" w:styleId="747">
    <w:name w:val="table of figures"/>
    <w:basedOn w:val="711"/>
    <w:next w:val="711"/>
    <w:uiPriority w:val="99"/>
    <w:unhideWhenUsed/>
    <w:qFormat/>
  </w:style>
  <w:style w:type="paragraph" w:styleId="748">
    <w:name w:val="toc 2"/>
    <w:basedOn w:val="711"/>
    <w:next w:val="711"/>
    <w:uiPriority w:val="39"/>
    <w:unhideWhenUsed/>
    <w:qFormat/>
    <w:pPr>
      <w:ind w:left="283"/>
      <w:spacing w:after="57"/>
    </w:pPr>
  </w:style>
  <w:style w:type="paragraph" w:styleId="749">
    <w:name w:val="toc 9"/>
    <w:basedOn w:val="711"/>
    <w:next w:val="711"/>
    <w:uiPriority w:val="39"/>
    <w:unhideWhenUsed/>
    <w:qFormat/>
    <w:pPr>
      <w:ind w:left="2268"/>
      <w:spacing w:after="57"/>
    </w:pPr>
  </w:style>
  <w:style w:type="paragraph" w:styleId="750">
    <w:name w:val="Normal (Web)"/>
    <w:basedOn w:val="711"/>
    <w:uiPriority w:val="99"/>
    <w:qFormat/>
    <w:pPr>
      <w:jc w:val="left"/>
      <w:spacing w:before="100" w:beforeAutospacing="1" w:after="100" w:afterAutospacing="1"/>
      <w:widowControl/>
    </w:pPr>
    <w:rPr>
      <w:rFonts w:ascii="宋体" w:hAnsi="宋体"/>
      <w:color w:val="000000"/>
      <w:sz w:val="24"/>
      <w:szCs w:val="24"/>
    </w:rPr>
  </w:style>
  <w:style w:type="paragraph" w:styleId="751">
    <w:name w:val="Title"/>
    <w:basedOn w:val="711"/>
    <w:next w:val="711"/>
    <w:link w:val="812"/>
    <w:uiPriority w:val="10"/>
    <w:qFormat/>
    <w:pPr>
      <w:contextualSpacing/>
      <w:spacing w:before="300" w:after="200"/>
    </w:pPr>
    <w:rPr>
      <w:sz w:val="48"/>
      <w:szCs w:val="48"/>
    </w:rPr>
  </w:style>
  <w:style w:type="paragraph" w:styleId="752">
    <w:name w:val="Body Text First Indent"/>
    <w:basedOn w:val="727"/>
    <w:next w:val="753"/>
    <w:uiPriority w:val="0"/>
    <w:qFormat/>
    <w:pPr>
      <w:ind w:firstLine="420"/>
    </w:pPr>
  </w:style>
  <w:style w:type="paragraph" w:styleId="753">
    <w:name w:val="Body Text First Indent 2"/>
    <w:basedOn w:val="728"/>
    <w:next w:val="711"/>
    <w:uiPriority w:val="99"/>
    <w:unhideWhenUsed/>
    <w:qFormat/>
    <w:pPr>
      <w:ind w:firstLine="200"/>
    </w:pPr>
  </w:style>
  <w:style w:type="table" w:styleId="754">
    <w:name w:val="Table Grid"/>
    <w:basedOn w:val="72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endnote reference"/>
    <w:uiPriority w:val="99"/>
    <w:unhideWhenUsed/>
    <w:qFormat/>
    <w:rPr>
      <w:vertAlign w:val="superscript"/>
    </w:rPr>
  </w:style>
  <w:style w:type="character" w:styleId="756">
    <w:name w:val="page number"/>
    <w:basedOn w:val="721"/>
    <w:uiPriority w:val="0"/>
    <w:qFormat/>
  </w:style>
  <w:style w:type="character" w:styleId="757">
    <w:name w:val="Emphasis"/>
    <w:uiPriority w:val="0"/>
    <w:qFormat/>
    <w:rPr>
      <w:rFonts w:ascii="Times New Roman" w:hAnsi="Times New Roman" w:eastAsia="宋体" w:cs="Times New Roman"/>
      <w:i/>
    </w:rPr>
  </w:style>
  <w:style w:type="character" w:styleId="758">
    <w:name w:val="Hyperlink"/>
    <w:uiPriority w:val="99"/>
    <w:unhideWhenUsed/>
    <w:qFormat/>
    <w:rPr>
      <w:color w:val="0563c1"/>
      <w:u w:val="single"/>
    </w:rPr>
  </w:style>
  <w:style w:type="character" w:styleId="759">
    <w:name w:val="annotation reference"/>
    <w:basedOn w:val="721"/>
    <w:uiPriority w:val="99"/>
    <w:unhideWhenUsed/>
    <w:qFormat/>
    <w:rPr>
      <w:rFonts w:ascii="Times New Roman" w:hAnsi="Times New Roman" w:eastAsia="楷体_GB2312" w:cs="Times New Roman"/>
      <w:sz w:val="21"/>
      <w:szCs w:val="21"/>
    </w:rPr>
  </w:style>
  <w:style w:type="character" w:styleId="760">
    <w:name w:val="footnote reference"/>
    <w:uiPriority w:val="99"/>
    <w:unhideWhenUsed/>
    <w:qFormat/>
    <w:rPr>
      <w:vertAlign w:val="superscript"/>
    </w:rPr>
  </w:style>
  <w:style w:type="paragraph" w:styleId="761" w:customStyle="1">
    <w:name w:val="正文首行缩进 21"/>
    <w:basedOn w:val="762"/>
    <w:next w:val="711"/>
    <w:uiPriority w:val="99"/>
    <w:unhideWhenUsed/>
    <w:qFormat/>
    <w:pPr>
      <w:ind w:firstLine="420"/>
    </w:pPr>
  </w:style>
  <w:style w:type="paragraph" w:styleId="762" w:customStyle="1">
    <w:name w:val="正文文本缩进11"/>
    <w:basedOn w:val="711"/>
    <w:next w:val="763"/>
    <w:uiPriority w:val="0"/>
    <w:unhideWhenUsed/>
    <w:qFormat/>
    <w:pPr>
      <w:ind w:left="420"/>
      <w:spacing w:after="120"/>
    </w:pPr>
  </w:style>
  <w:style w:type="paragraph" w:styleId="763" w:customStyle="1">
    <w:name w:val="寄信人地址1"/>
    <w:basedOn w:val="711"/>
    <w:uiPriority w:val="0"/>
    <w:qFormat/>
    <w:rPr>
      <w:rFonts w:ascii="Arial" w:hAnsi="Arial" w:eastAsia="宋体" w:cs="宋体"/>
    </w:rPr>
  </w:style>
  <w:style w:type="character" w:styleId="764" w:customStyle="1">
    <w:name w:val="Heading 1 Char"/>
    <w:basedOn w:val="721"/>
    <w:uiPriority w:val="9"/>
    <w:qFormat/>
    <w:rPr>
      <w:rFonts w:ascii="Arial" w:hAnsi="Arial" w:eastAsia="Arial" w:cs="Arial"/>
      <w:sz w:val="40"/>
      <w:szCs w:val="40"/>
    </w:rPr>
  </w:style>
  <w:style w:type="character" w:styleId="765" w:customStyle="1">
    <w:name w:val="Heading 2 Char"/>
    <w:basedOn w:val="721"/>
    <w:uiPriority w:val="9"/>
    <w:qFormat/>
    <w:rPr>
      <w:rFonts w:ascii="Arial" w:hAnsi="Arial" w:eastAsia="Arial" w:cs="Arial"/>
      <w:sz w:val="34"/>
    </w:rPr>
  </w:style>
  <w:style w:type="character" w:styleId="766" w:customStyle="1">
    <w:name w:val="Heading 3 Char"/>
    <w:basedOn w:val="721"/>
    <w:uiPriority w:val="9"/>
    <w:qFormat/>
    <w:rPr>
      <w:rFonts w:ascii="Arial" w:hAnsi="Arial" w:eastAsia="Arial" w:cs="Arial"/>
      <w:sz w:val="30"/>
      <w:szCs w:val="30"/>
    </w:rPr>
  </w:style>
  <w:style w:type="character" w:styleId="767" w:customStyle="1">
    <w:name w:val="Heading 4 Char"/>
    <w:basedOn w:val="721"/>
    <w:uiPriority w:val="9"/>
    <w:qFormat/>
    <w:rPr>
      <w:rFonts w:ascii="Arial" w:hAnsi="Arial" w:eastAsia="Arial" w:cs="Arial"/>
      <w:b/>
      <w:bCs/>
      <w:sz w:val="26"/>
      <w:szCs w:val="26"/>
    </w:rPr>
  </w:style>
  <w:style w:type="character" w:styleId="768" w:customStyle="1">
    <w:name w:val="Heading 5 Char"/>
    <w:basedOn w:val="721"/>
    <w:uiPriority w:val="9"/>
    <w:qFormat/>
    <w:rPr>
      <w:rFonts w:ascii="Arial" w:hAnsi="Arial" w:eastAsia="Arial" w:cs="Arial"/>
      <w:b/>
      <w:bCs/>
      <w:sz w:val="24"/>
      <w:szCs w:val="24"/>
    </w:rPr>
  </w:style>
  <w:style w:type="character" w:styleId="769" w:customStyle="1">
    <w:name w:val="Heading 6 Char"/>
    <w:basedOn w:val="721"/>
    <w:uiPriority w:val="9"/>
    <w:qFormat/>
    <w:rPr>
      <w:rFonts w:ascii="Arial" w:hAnsi="Arial" w:eastAsia="Arial" w:cs="Arial"/>
      <w:b/>
      <w:bCs/>
      <w:sz w:val="22"/>
      <w:szCs w:val="22"/>
    </w:rPr>
  </w:style>
  <w:style w:type="character" w:styleId="770" w:customStyle="1">
    <w:name w:val="Heading 7 Char"/>
    <w:basedOn w:val="721"/>
    <w:uiPriority w:val="9"/>
    <w:qFormat/>
    <w:rPr>
      <w:rFonts w:ascii="Arial" w:hAnsi="Arial" w:eastAsia="Arial" w:cs="Arial"/>
      <w:b/>
      <w:bCs/>
      <w:i/>
      <w:iCs/>
      <w:sz w:val="22"/>
      <w:szCs w:val="22"/>
    </w:rPr>
  </w:style>
  <w:style w:type="character" w:styleId="771" w:customStyle="1">
    <w:name w:val="Heading 8 Char"/>
    <w:basedOn w:val="721"/>
    <w:uiPriority w:val="9"/>
    <w:qFormat/>
    <w:rPr>
      <w:rFonts w:ascii="Arial" w:hAnsi="Arial" w:eastAsia="Arial" w:cs="Arial"/>
      <w:i/>
      <w:iCs/>
      <w:sz w:val="22"/>
      <w:szCs w:val="22"/>
    </w:rPr>
  </w:style>
  <w:style w:type="character" w:styleId="772" w:customStyle="1">
    <w:name w:val="Heading 9 Char"/>
    <w:basedOn w:val="721"/>
    <w:uiPriority w:val="9"/>
    <w:qFormat/>
    <w:rPr>
      <w:rFonts w:ascii="Arial" w:hAnsi="Arial" w:eastAsia="Arial" w:cs="Arial"/>
      <w:i/>
      <w:iCs/>
      <w:sz w:val="21"/>
      <w:szCs w:val="21"/>
    </w:rPr>
  </w:style>
  <w:style w:type="character" w:styleId="773" w:customStyle="1">
    <w:name w:val="Title Char"/>
    <w:basedOn w:val="721"/>
    <w:uiPriority w:val="10"/>
    <w:qFormat/>
    <w:rPr>
      <w:sz w:val="48"/>
      <w:szCs w:val="48"/>
    </w:rPr>
  </w:style>
  <w:style w:type="character" w:styleId="774" w:customStyle="1">
    <w:name w:val="Subtitle Char"/>
    <w:basedOn w:val="721"/>
    <w:uiPriority w:val="11"/>
    <w:qFormat/>
    <w:rPr>
      <w:sz w:val="24"/>
      <w:szCs w:val="24"/>
    </w:rPr>
  </w:style>
  <w:style w:type="character" w:styleId="775" w:customStyle="1">
    <w:name w:val="Quote Char"/>
    <w:uiPriority w:val="29"/>
    <w:qFormat/>
    <w:rPr>
      <w:i/>
    </w:rPr>
  </w:style>
  <w:style w:type="character" w:styleId="776" w:customStyle="1">
    <w:name w:val="Intense Quote Char"/>
    <w:uiPriority w:val="30"/>
    <w:qFormat/>
    <w:rPr>
      <w:i/>
    </w:rPr>
  </w:style>
  <w:style w:type="character" w:styleId="777" w:customStyle="1">
    <w:name w:val="Caption Char"/>
    <w:uiPriority w:val="99"/>
    <w:qFormat/>
  </w:style>
  <w:style w:type="table" w:styleId="778" w:customStyle="1">
    <w:name w:val="Plain Table 1"/>
    <w:basedOn w:val="72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basedOn w:val="72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basedOn w:val="72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basedOn w:val="72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basedOn w:val="72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basedOn w:val="72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2"/>
    <w:basedOn w:val="7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3"/>
    <w:basedOn w:val="7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basedOn w:val="72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5 Dark"/>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6 Colorful"/>
    <w:basedOn w:val="72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7 Colorful"/>
    <w:basedOn w:val="72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List Table 1 Light"/>
    <w:basedOn w:val="72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List Table 2"/>
    <w:basedOn w:val="72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List Table 3"/>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4"/>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5 Dark"/>
    <w:basedOn w:val="72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6 Colorful"/>
    <w:basedOn w:val="72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List Table 7 Colorful"/>
    <w:basedOn w:val="72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7" w:customStyle="1">
    <w:name w:val="Footnote Text Char"/>
    <w:uiPriority w:val="99"/>
    <w:qFormat/>
    <w:rPr>
      <w:sz w:val="18"/>
    </w:rPr>
  </w:style>
  <w:style w:type="character" w:styleId="798" w:customStyle="1">
    <w:name w:val="Endnote Text Char"/>
    <w:uiPriority w:val="99"/>
    <w:qFormat/>
    <w:rPr>
      <w:sz w:val="20"/>
    </w:rPr>
  </w:style>
  <w:style w:type="paragraph" w:styleId="799" w:customStyle="1">
    <w:name w:val="TOC 标题1"/>
    <w:uiPriority w:val="39"/>
    <w:unhideWhenUsed/>
    <w:qFormat/>
    <w:rPr>
      <w:rFonts w:ascii="Times New Roman" w:hAnsi="Times New Roman" w:eastAsia="宋体" w:cs="Times New Roman"/>
      <w:lang w:val="en-US" w:eastAsia="zh-CN" w:bidi="ar-SA"/>
    </w:rPr>
  </w:style>
  <w:style w:type="paragraph" w:styleId="800" w:customStyle="1">
    <w:name w:val="标题 31"/>
    <w:basedOn w:val="711"/>
    <w:next w:val="711"/>
    <w:uiPriority w:val="0"/>
    <w:qFormat/>
    <w:pPr>
      <w:keepLines/>
      <w:keepNext/>
      <w:spacing w:before="260" w:after="260" w:line="416" w:lineRule="auto"/>
      <w:outlineLvl w:val="2"/>
    </w:pPr>
    <w:rPr>
      <w:b/>
      <w:bCs/>
      <w:sz w:val="32"/>
      <w:szCs w:val="32"/>
    </w:rPr>
  </w:style>
  <w:style w:type="character" w:styleId="801" w:customStyle="1">
    <w:name w:val="标题 1 Char"/>
    <w:link w:val="712"/>
    <w:uiPriority w:val="0"/>
    <w:qFormat/>
    <w:rPr>
      <w:rFonts w:ascii="Arial" w:hAnsi="Arial" w:eastAsia="Arial" w:cs="Arial"/>
      <w:sz w:val="40"/>
      <w:szCs w:val="40"/>
    </w:rPr>
  </w:style>
  <w:style w:type="character" w:styleId="802" w:customStyle="1">
    <w:name w:val="标题 2 Char"/>
    <w:link w:val="713"/>
    <w:uiPriority w:val="9"/>
    <w:qFormat/>
    <w:rPr>
      <w:rFonts w:ascii="Arial" w:hAnsi="Arial" w:eastAsia="Arial" w:cs="Arial"/>
      <w:sz w:val="34"/>
    </w:rPr>
  </w:style>
  <w:style w:type="character" w:styleId="803" w:customStyle="1">
    <w:name w:val="标题 3 Char"/>
    <w:link w:val="714"/>
    <w:uiPriority w:val="9"/>
    <w:qFormat/>
    <w:rPr>
      <w:rFonts w:ascii="Arial" w:hAnsi="Arial" w:eastAsia="Arial" w:cs="Arial"/>
      <w:sz w:val="30"/>
      <w:szCs w:val="30"/>
    </w:rPr>
  </w:style>
  <w:style w:type="character" w:styleId="804" w:customStyle="1">
    <w:name w:val="标题 4 Char"/>
    <w:link w:val="715"/>
    <w:uiPriority w:val="9"/>
    <w:qFormat/>
    <w:rPr>
      <w:rFonts w:ascii="Arial" w:hAnsi="Arial" w:eastAsia="Arial" w:cs="Arial"/>
      <w:b/>
      <w:bCs/>
      <w:sz w:val="26"/>
      <w:szCs w:val="26"/>
    </w:rPr>
  </w:style>
  <w:style w:type="character" w:styleId="805" w:customStyle="1">
    <w:name w:val="标题 5 Char"/>
    <w:link w:val="716"/>
    <w:uiPriority w:val="9"/>
    <w:qFormat/>
    <w:rPr>
      <w:rFonts w:ascii="Arial" w:hAnsi="Arial" w:eastAsia="Arial" w:cs="Arial"/>
      <w:b/>
      <w:bCs/>
      <w:sz w:val="24"/>
      <w:szCs w:val="24"/>
    </w:rPr>
  </w:style>
  <w:style w:type="character" w:styleId="806" w:customStyle="1">
    <w:name w:val="标题 6 Char"/>
    <w:link w:val="717"/>
    <w:uiPriority w:val="9"/>
    <w:qFormat/>
    <w:rPr>
      <w:rFonts w:ascii="Arial" w:hAnsi="Arial" w:eastAsia="Arial" w:cs="Arial"/>
      <w:b/>
      <w:bCs/>
      <w:sz w:val="22"/>
      <w:szCs w:val="22"/>
    </w:rPr>
  </w:style>
  <w:style w:type="character" w:styleId="807" w:customStyle="1">
    <w:name w:val="标题 7 Char"/>
    <w:link w:val="718"/>
    <w:uiPriority w:val="9"/>
    <w:qFormat/>
    <w:rPr>
      <w:rFonts w:ascii="Arial" w:hAnsi="Arial" w:eastAsia="Arial" w:cs="Arial"/>
      <w:b/>
      <w:bCs/>
      <w:i/>
      <w:iCs/>
      <w:sz w:val="22"/>
      <w:szCs w:val="22"/>
    </w:rPr>
  </w:style>
  <w:style w:type="character" w:styleId="808" w:customStyle="1">
    <w:name w:val="标题 8 Char"/>
    <w:link w:val="719"/>
    <w:uiPriority w:val="9"/>
    <w:qFormat/>
    <w:rPr>
      <w:rFonts w:ascii="Arial" w:hAnsi="Arial" w:eastAsia="Arial" w:cs="Arial"/>
      <w:i/>
      <w:iCs/>
      <w:sz w:val="22"/>
      <w:szCs w:val="22"/>
    </w:rPr>
  </w:style>
  <w:style w:type="character" w:styleId="809" w:customStyle="1">
    <w:name w:val="标题 9 Char"/>
    <w:link w:val="720"/>
    <w:uiPriority w:val="9"/>
    <w:qFormat/>
    <w:rPr>
      <w:rFonts w:ascii="Arial" w:hAnsi="Arial" w:eastAsia="Arial" w:cs="Arial"/>
      <w:i/>
      <w:iCs/>
      <w:sz w:val="21"/>
      <w:szCs w:val="21"/>
    </w:rPr>
  </w:style>
  <w:style w:type="paragraph" w:styleId="810" w:customStyle="1">
    <w:name w:val="列出段落1"/>
    <w:basedOn w:val="711"/>
    <w:uiPriority w:val="0"/>
    <w:qFormat/>
    <w:pPr>
      <w:ind w:firstLine="420"/>
    </w:pPr>
  </w:style>
  <w:style w:type="paragraph" w:styleId="811" w:customStyle="1">
    <w:name w:val="无间隔1"/>
    <w:uiPriority w:val="1"/>
    <w:qFormat/>
    <w:rPr>
      <w:rFonts w:ascii="Times New Roman" w:hAnsi="Times New Roman" w:eastAsia="宋体" w:cs="Times New Roman"/>
      <w:lang w:val="en-US" w:eastAsia="zh-CN" w:bidi="ar-SA"/>
    </w:rPr>
  </w:style>
  <w:style w:type="character" w:styleId="812" w:customStyle="1">
    <w:name w:val="标题 Char"/>
    <w:link w:val="751"/>
    <w:uiPriority w:val="10"/>
    <w:qFormat/>
    <w:rPr>
      <w:sz w:val="48"/>
      <w:szCs w:val="48"/>
    </w:rPr>
  </w:style>
  <w:style w:type="character" w:styleId="813" w:customStyle="1">
    <w:name w:val="副标题 Char"/>
    <w:link w:val="744"/>
    <w:uiPriority w:val="11"/>
    <w:qFormat/>
    <w:rPr>
      <w:sz w:val="24"/>
      <w:szCs w:val="24"/>
    </w:rPr>
  </w:style>
  <w:style w:type="paragraph" w:styleId="814" w:customStyle="1">
    <w:name w:val="引用1"/>
    <w:basedOn w:val="711"/>
    <w:next w:val="711"/>
    <w:link w:val="815"/>
    <w:uiPriority w:val="29"/>
    <w:qFormat/>
    <w:pPr>
      <w:ind w:left="720" w:right="720"/>
    </w:pPr>
    <w:rPr>
      <w:i/>
    </w:rPr>
  </w:style>
  <w:style w:type="character" w:styleId="815" w:customStyle="1">
    <w:name w:val="引用 字符"/>
    <w:link w:val="814"/>
    <w:uiPriority w:val="29"/>
    <w:qFormat/>
    <w:rPr>
      <w:i/>
    </w:rPr>
  </w:style>
  <w:style w:type="paragraph" w:styleId="816" w:customStyle="1">
    <w:name w:val="明显引用1"/>
    <w:basedOn w:val="711"/>
    <w:next w:val="711"/>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字符"/>
    <w:link w:val="816"/>
    <w:uiPriority w:val="30"/>
    <w:qFormat/>
    <w:rPr>
      <w:i/>
    </w:rPr>
  </w:style>
  <w:style w:type="character" w:styleId="818" w:customStyle="1">
    <w:name w:val="Header Char"/>
    <w:uiPriority w:val="99"/>
    <w:qFormat/>
  </w:style>
  <w:style w:type="character" w:styleId="819" w:customStyle="1">
    <w:name w:val="Footer Char"/>
    <w:uiPriority w:val="99"/>
    <w:qFormat/>
  </w:style>
  <w:style w:type="character" w:styleId="820" w:customStyle="1">
    <w:name w:val="页脚 Char"/>
    <w:link w:val="737"/>
    <w:uiPriority w:val="99"/>
    <w:qFormat/>
  </w:style>
  <w:style w:type="table" w:styleId="82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4" w:customStyle="1">
    <w:name w:val="无格式表格 31"/>
    <w:uiPriority w:val="99"/>
    <w:qFormat/>
    <w:tblPr>
      <w:tblCellMar>
        <w:left w:w="0" w:type="dxa"/>
        <w:top w:w="0" w:type="dxa"/>
        <w:right w:w="0" w:type="dxa"/>
        <w:bottom w:w="0" w:type="dxa"/>
      </w:tblCellMar>
    </w:tblPr>
  </w:style>
  <w:style w:type="table" w:styleId="825" w:customStyle="1">
    <w:name w:val="无格式表格 41"/>
    <w:uiPriority w:val="99"/>
    <w:qFormat/>
    <w:tblPr>
      <w:tblCellMar>
        <w:left w:w="0" w:type="dxa"/>
        <w:top w:w="0" w:type="dxa"/>
        <w:right w:w="0" w:type="dxa"/>
        <w:bottom w:w="0" w:type="dxa"/>
      </w:tblCellMar>
    </w:tblPr>
  </w:style>
  <w:style w:type="table" w:styleId="826" w:customStyle="1">
    <w:name w:val="无格式表格 51"/>
    <w:uiPriority w:val="99"/>
    <w:qFormat/>
    <w:tblPr>
      <w:tblCellMar>
        <w:left w:w="0" w:type="dxa"/>
        <w:top w:w="0" w:type="dxa"/>
        <w:right w:w="0" w:type="dxa"/>
        <w:bottom w:w="0" w:type="dxa"/>
      </w:tblCellMar>
    </w:tblPr>
  </w:style>
  <w:style w:type="table" w:styleId="82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2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4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6" w:customStyle="1">
    <w:name w:val="清单表 1 浅色1"/>
    <w:uiPriority w:val="99"/>
    <w:qFormat/>
    <w:tblPr>
      <w:tblCellMar>
        <w:left w:w="0" w:type="dxa"/>
        <w:top w:w="0" w:type="dxa"/>
        <w:right w:w="0" w:type="dxa"/>
        <w:bottom w:w="0" w:type="dxa"/>
      </w:tblCellMar>
    </w:tblPr>
  </w:style>
  <w:style w:type="table" w:styleId="877" w:customStyle="1">
    <w:name w:val="List Table 1 Light - Accent 1"/>
    <w:uiPriority w:val="99"/>
    <w:qFormat/>
    <w:tblPr>
      <w:tblCellMar>
        <w:left w:w="0" w:type="dxa"/>
        <w:top w:w="0" w:type="dxa"/>
        <w:right w:w="0" w:type="dxa"/>
        <w:bottom w:w="0" w:type="dxa"/>
      </w:tblCellMar>
    </w:tblPr>
  </w:style>
  <w:style w:type="table" w:styleId="878" w:customStyle="1">
    <w:name w:val="List Table 1 Light - Accent 2"/>
    <w:uiPriority w:val="99"/>
    <w:qFormat/>
    <w:tblPr>
      <w:tblCellMar>
        <w:left w:w="0" w:type="dxa"/>
        <w:top w:w="0" w:type="dxa"/>
        <w:right w:w="0" w:type="dxa"/>
        <w:bottom w:w="0" w:type="dxa"/>
      </w:tblCellMar>
    </w:tblPr>
  </w:style>
  <w:style w:type="table" w:styleId="879" w:customStyle="1">
    <w:name w:val="List Table 1 Light - Accent 3"/>
    <w:uiPriority w:val="99"/>
    <w:qFormat/>
    <w:tblPr>
      <w:tblCellMar>
        <w:left w:w="0" w:type="dxa"/>
        <w:top w:w="0" w:type="dxa"/>
        <w:right w:w="0" w:type="dxa"/>
        <w:bottom w:w="0" w:type="dxa"/>
      </w:tblCellMar>
    </w:tblPr>
  </w:style>
  <w:style w:type="table" w:styleId="880" w:customStyle="1">
    <w:name w:val="List Table 1 Light - Accent 4"/>
    <w:uiPriority w:val="99"/>
    <w:qFormat/>
    <w:tblPr>
      <w:tblCellMar>
        <w:left w:w="0" w:type="dxa"/>
        <w:top w:w="0" w:type="dxa"/>
        <w:right w:w="0" w:type="dxa"/>
        <w:bottom w:w="0" w:type="dxa"/>
      </w:tblCellMar>
    </w:tblPr>
  </w:style>
  <w:style w:type="table" w:styleId="881" w:customStyle="1">
    <w:name w:val="List Table 1 Light - Accent 5"/>
    <w:uiPriority w:val="99"/>
    <w:qFormat/>
    <w:tblPr>
      <w:tblCellMar>
        <w:left w:w="0" w:type="dxa"/>
        <w:top w:w="0" w:type="dxa"/>
        <w:right w:w="0" w:type="dxa"/>
        <w:bottom w:w="0" w:type="dxa"/>
      </w:tblCellMar>
    </w:tblPr>
  </w:style>
  <w:style w:type="table" w:styleId="882" w:customStyle="1">
    <w:name w:val="List Table 1 Light - Accent 6"/>
    <w:uiPriority w:val="99"/>
    <w:qFormat/>
    <w:tblPr>
      <w:tblCellMar>
        <w:left w:w="0" w:type="dxa"/>
        <w:top w:w="0" w:type="dxa"/>
        <w:right w:w="0" w:type="dxa"/>
        <w:bottom w:w="0" w:type="dxa"/>
      </w:tblCellMar>
    </w:tblPr>
  </w:style>
  <w:style w:type="table" w:styleId="88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9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0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1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1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5" w:customStyle="1">
    <w:name w:val="Lined - Accent"/>
    <w:uiPriority w:val="99"/>
    <w:qFormat/>
    <w:rPr>
      <w:color w:val="404040"/>
    </w:rPr>
    <w:tblPr>
      <w:tblCellMar>
        <w:left w:w="0" w:type="dxa"/>
        <w:top w:w="0" w:type="dxa"/>
        <w:right w:w="0" w:type="dxa"/>
        <w:bottom w:w="0" w:type="dxa"/>
      </w:tblCellMar>
    </w:tblPr>
  </w:style>
  <w:style w:type="table" w:styleId="926" w:customStyle="1">
    <w:name w:val="Lined - Accent 1"/>
    <w:uiPriority w:val="99"/>
    <w:qFormat/>
    <w:rPr>
      <w:color w:val="404040"/>
    </w:rPr>
    <w:tblPr>
      <w:tblCellMar>
        <w:left w:w="0" w:type="dxa"/>
        <w:top w:w="0" w:type="dxa"/>
        <w:right w:w="0" w:type="dxa"/>
        <w:bottom w:w="0" w:type="dxa"/>
      </w:tblCellMar>
    </w:tblPr>
  </w:style>
  <w:style w:type="table" w:styleId="927" w:customStyle="1">
    <w:name w:val="Lined - Accent 2"/>
    <w:uiPriority w:val="99"/>
    <w:qFormat/>
    <w:rPr>
      <w:color w:val="404040"/>
    </w:rPr>
    <w:tblPr>
      <w:tblCellMar>
        <w:left w:w="0" w:type="dxa"/>
        <w:top w:w="0" w:type="dxa"/>
        <w:right w:w="0" w:type="dxa"/>
        <w:bottom w:w="0" w:type="dxa"/>
      </w:tblCellMar>
    </w:tblPr>
  </w:style>
  <w:style w:type="table" w:styleId="928" w:customStyle="1">
    <w:name w:val="Lined - Accent 3"/>
    <w:uiPriority w:val="99"/>
    <w:qFormat/>
    <w:rPr>
      <w:color w:val="404040"/>
    </w:rPr>
    <w:tblPr>
      <w:tblCellMar>
        <w:left w:w="0" w:type="dxa"/>
        <w:top w:w="0" w:type="dxa"/>
        <w:right w:w="0" w:type="dxa"/>
        <w:bottom w:w="0" w:type="dxa"/>
      </w:tblCellMar>
    </w:tblPr>
  </w:style>
  <w:style w:type="table" w:styleId="929" w:customStyle="1">
    <w:name w:val="Lined - Accent 4"/>
    <w:uiPriority w:val="99"/>
    <w:qFormat/>
    <w:rPr>
      <w:color w:val="404040"/>
    </w:rPr>
    <w:tblPr>
      <w:tblCellMar>
        <w:left w:w="0" w:type="dxa"/>
        <w:top w:w="0" w:type="dxa"/>
        <w:right w:w="0" w:type="dxa"/>
        <w:bottom w:w="0" w:type="dxa"/>
      </w:tblCellMar>
    </w:tblPr>
  </w:style>
  <w:style w:type="table" w:styleId="930" w:customStyle="1">
    <w:name w:val="Lined - Accent 5"/>
    <w:uiPriority w:val="99"/>
    <w:qFormat/>
    <w:rPr>
      <w:color w:val="404040"/>
    </w:rPr>
    <w:tblPr>
      <w:tblCellMar>
        <w:left w:w="0" w:type="dxa"/>
        <w:top w:w="0" w:type="dxa"/>
        <w:right w:w="0" w:type="dxa"/>
        <w:bottom w:w="0" w:type="dxa"/>
      </w:tblCellMar>
    </w:tblPr>
  </w:style>
  <w:style w:type="table" w:styleId="931" w:customStyle="1">
    <w:name w:val="Lined - Accent 6"/>
    <w:uiPriority w:val="99"/>
    <w:qFormat/>
    <w:rPr>
      <w:color w:val="404040"/>
    </w:rPr>
    <w:tblPr>
      <w:tblCellMar>
        <w:left w:w="0" w:type="dxa"/>
        <w:top w:w="0" w:type="dxa"/>
        <w:right w:w="0" w:type="dxa"/>
        <w:bottom w:w="0" w:type="dxa"/>
      </w:tblCellMar>
    </w:tblPr>
  </w:style>
  <w:style w:type="table" w:styleId="93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6" w:customStyle="1">
    <w:name w:val="脚注文本 Char"/>
    <w:link w:val="745"/>
    <w:uiPriority w:val="99"/>
    <w:qFormat/>
    <w:rPr>
      <w:sz w:val="18"/>
    </w:rPr>
  </w:style>
  <w:style w:type="character" w:styleId="947" w:customStyle="1">
    <w:name w:val="尾注文本 Char"/>
    <w:link w:val="735"/>
    <w:uiPriority w:val="99"/>
    <w:qFormat/>
    <w:rPr>
      <w:sz w:val="20"/>
    </w:rPr>
  </w:style>
  <w:style w:type="paragraph" w:styleId="948" w:customStyle="1">
    <w:name w:val="TOC 标题11"/>
    <w:uiPriority w:val="39"/>
    <w:unhideWhenUsed/>
    <w:qFormat/>
    <w:rPr>
      <w:rFonts w:ascii="Times New Roman" w:hAnsi="Times New Roman" w:eastAsia="宋体" w:cs="Times New Roman"/>
      <w:lang w:val="en-US" w:eastAsia="zh-CN" w:bidi="ar-SA"/>
    </w:rPr>
  </w:style>
  <w:style w:type="character" w:styleId="949" w:customStyle="1">
    <w:name w:val="页眉 Char"/>
    <w:link w:val="741"/>
    <w:uiPriority w:val="0"/>
    <w:qFormat/>
    <w:rPr>
      <w:rFonts w:ascii="Times New Roman" w:hAnsi="Times New Roman" w:eastAsia="楷体_GB2312"/>
      <w:sz w:val="18"/>
      <w:szCs w:val="18"/>
    </w:rPr>
  </w:style>
  <w:style w:type="paragraph" w:styleId="950" w:customStyle="1">
    <w:name w:val="索引 41"/>
    <w:basedOn w:val="711"/>
    <w:next w:val="711"/>
    <w:uiPriority w:val="0"/>
    <w:qFormat/>
    <w:pPr>
      <w:ind w:left="600"/>
    </w:pPr>
    <w:rPr>
      <w:szCs w:val="21"/>
    </w:rPr>
  </w:style>
  <w:style w:type="paragraph" w:styleId="951" w:customStyle="1">
    <w:name w:val="目录 11"/>
    <w:basedOn w:val="711"/>
    <w:next w:val="711"/>
    <w:uiPriority w:val="0"/>
    <w:unhideWhenUsed/>
    <w:qFormat/>
    <w:pPr>
      <w:jc w:val="left"/>
    </w:pPr>
    <w:rPr>
      <w:sz w:val="24"/>
    </w:rPr>
  </w:style>
  <w:style w:type="paragraph" w:styleId="952" w:customStyle="1">
    <w:name w:val="标题 21"/>
    <w:basedOn w:val="711"/>
    <w:next w:val="711"/>
    <w:uiPriority w:val="0"/>
    <w:qFormat/>
    <w:pPr>
      <w:keepLines/>
      <w:keepNext/>
      <w:spacing w:before="260" w:after="260" w:line="416" w:lineRule="auto"/>
      <w:outlineLvl w:val="1"/>
    </w:pPr>
    <w:rPr>
      <w:rFonts w:ascii="Cambria" w:hAnsi="Cambria" w:eastAsia="宋体"/>
      <w:b/>
      <w:bCs/>
      <w:sz w:val="32"/>
      <w:szCs w:val="32"/>
    </w:rPr>
  </w:style>
  <w:style w:type="paragraph" w:styleId="953" w:customStyle="1">
    <w:name w:val="Default"/>
    <w:next w:val="711"/>
    <w:uiPriority w:val="0"/>
    <w:qFormat/>
    <w:pPr>
      <w:widowControl w:val="off"/>
    </w:pPr>
    <w:rPr>
      <w:rFonts w:ascii="仿宋" w:hAnsi="Times New Roman" w:eastAsia="仿宋" w:cs="仿宋"/>
      <w:color w:val="000000"/>
      <w:sz w:val="24"/>
      <w:szCs w:val="24"/>
      <w:lang w:val="en-US" w:eastAsia="zh-CN" w:bidi="ar-SA"/>
    </w:rPr>
  </w:style>
  <w:style w:type="paragraph" w:styleId="954" w:customStyle="1">
    <w:name w:val="纯文本1111"/>
    <w:basedOn w:val="711"/>
    <w:next w:val="955"/>
    <w:uiPriority w:val="0"/>
    <w:unhideWhenUsed/>
    <w:qFormat/>
    <w:rPr>
      <w:rFonts w:ascii="宋体" w:hAnsi="Courier New"/>
    </w:rPr>
  </w:style>
  <w:style w:type="paragraph" w:styleId="955" w:customStyle="1">
    <w:name w:val="正文缩进1"/>
    <w:basedOn w:val="711"/>
    <w:uiPriority w:val="0"/>
    <w:unhideWhenUsed/>
    <w:qFormat/>
    <w:pPr>
      <w:ind w:firstLine="420"/>
      <w:jc w:val="left"/>
    </w:pPr>
    <w:rPr>
      <w:sz w:val="24"/>
    </w:rPr>
  </w:style>
  <w:style w:type="paragraph" w:styleId="956" w:customStyle="1">
    <w:name w:val="首行缩进"/>
    <w:basedOn w:val="711"/>
    <w:uiPriority w:val="0"/>
    <w:qFormat/>
    <w:pPr>
      <w:ind w:firstLine="480"/>
      <w:spacing w:line="360" w:lineRule="auto"/>
    </w:pPr>
    <w:rPr>
      <w:rFonts w:hAnsi="宋体" w:eastAsia="宋体" w:cs="宋体"/>
      <w:sz w:val="24"/>
      <w:szCs w:val="24"/>
    </w:rPr>
  </w:style>
  <w:style w:type="paragraph" w:styleId="957" w:customStyle="1">
    <w:name w:val="Char"/>
    <w:basedOn w:val="711"/>
    <w:uiPriority w:val="0"/>
    <w:qFormat/>
  </w:style>
  <w:style w:type="paragraph" w:styleId="958" w:customStyle="1">
    <w:name w:val="标题 11"/>
    <w:basedOn w:val="711"/>
    <w:next w:val="711"/>
    <w:uiPriority w:val="0"/>
    <w:qFormat/>
    <w:pPr>
      <w:keepLines/>
      <w:keepNext/>
      <w:spacing w:before="340" w:after="330" w:line="578" w:lineRule="auto"/>
      <w:outlineLvl w:val="0"/>
    </w:pPr>
    <w:rPr>
      <w:b/>
      <w:sz w:val="44"/>
    </w:rPr>
  </w:style>
  <w:style w:type="paragraph" w:styleId="959" w:customStyle="1">
    <w:name w:val="纯文本1"/>
    <w:basedOn w:val="711"/>
    <w:uiPriority w:val="0"/>
    <w:qFormat/>
    <w:rPr>
      <w:rFonts w:ascii="宋体" w:hAnsi="Courier New"/>
    </w:rPr>
  </w:style>
  <w:style w:type="paragraph" w:styleId="960" w:customStyle="1">
    <w:name w:val="正文2"/>
    <w:basedOn w:val="711"/>
    <w:uiPriority w:val="0"/>
    <w:qFormat/>
    <w:pPr>
      <w:ind w:firstLine="510"/>
      <w:spacing w:before="156" w:line="360" w:lineRule="auto"/>
    </w:pPr>
    <w:rPr>
      <w:sz w:val="24"/>
    </w:rPr>
  </w:style>
  <w:style w:type="character" w:styleId="961" w:customStyle="1">
    <w:name w:val="要点1"/>
    <w:uiPriority w:val="0"/>
    <w:qFormat/>
    <w:rPr>
      <w:b/>
      <w:bCs/>
    </w:rPr>
  </w:style>
  <w:style w:type="paragraph" w:styleId="962" w:customStyle="1">
    <w:name w:val="普通(网站)1"/>
    <w:basedOn w:val="711"/>
    <w:uiPriority w:val="0"/>
    <w:unhideWhenUsed/>
    <w:qFormat/>
    <w:pPr>
      <w:jc w:val="left"/>
      <w:spacing w:before="100" w:beforeAutospacing="1" w:after="100" w:afterAutospacing="1"/>
      <w:widowControl/>
    </w:pPr>
    <w:rPr>
      <w:rFonts w:ascii="宋体" w:hAnsi="宋体" w:cs="宋体"/>
      <w:sz w:val="24"/>
    </w:rPr>
  </w:style>
  <w:style w:type="paragraph" w:styleId="963" w:customStyle="1">
    <w:name w:val="正文文本缩进 21"/>
    <w:basedOn w:val="711"/>
    <w:uiPriority w:val="0"/>
    <w:unhideWhenUsed/>
    <w:qFormat/>
    <w:pPr>
      <w:ind w:left="420"/>
      <w:spacing w:after="120" w:line="480" w:lineRule="auto"/>
    </w:pPr>
  </w:style>
  <w:style w:type="paragraph" w:styleId="964" w:customStyle="1">
    <w:name w:val="纯文本11"/>
    <w:basedOn w:val="711"/>
    <w:uiPriority w:val="99"/>
    <w:qFormat/>
    <w:rPr>
      <w:rFonts w:ascii="宋体" w:hAnsi="Courier New"/>
    </w:rPr>
  </w:style>
  <w:style w:type="paragraph" w:styleId="965" w:customStyle="1">
    <w:name w:val="索引 11"/>
    <w:basedOn w:val="711"/>
    <w:next w:val="711"/>
    <w:uiPriority w:val="0"/>
    <w:unhideWhenUsed/>
    <w:qFormat/>
    <w:pPr>
      <w:jc w:val="center"/>
      <w:spacing w:line="220" w:lineRule="exact"/>
    </w:pPr>
    <w:rPr>
      <w:rFonts w:ascii="仿宋_GB2312" w:eastAsia="仿宋_GB2312"/>
      <w:szCs w:val="21"/>
    </w:rPr>
  </w:style>
  <w:style w:type="paragraph" w:styleId="966" w:customStyle="1">
    <w:name w:val="正文文本1"/>
    <w:basedOn w:val="711"/>
    <w:uiPriority w:val="0"/>
    <w:unhideWhenUsed/>
    <w:qFormat/>
    <w:rPr>
      <w:rFonts w:ascii="楷体_GB2312"/>
      <w:b/>
      <w:bCs/>
      <w:sz w:val="28"/>
    </w:rPr>
  </w:style>
  <w:style w:type="paragraph" w:styleId="967" w:customStyle="1">
    <w:name w:val="页眉1"/>
    <w:basedOn w:val="711"/>
    <w:uiPriority w:val="0"/>
    <w:unhideWhenUsed/>
    <w:qFormat/>
    <w:pPr>
      <w:jc w:val="center"/>
      <w:tabs>
        <w:tab w:val="center" w:pos="4153" w:leader="none"/>
        <w:tab w:val="right" w:pos="8306" w:leader="none"/>
      </w:tabs>
      <w:pBdr>
        <w:bottom w:val="single" w:color="000000" w:sz="6" w:space="1"/>
      </w:pBdr>
    </w:pPr>
    <w:rPr>
      <w:sz w:val="18"/>
    </w:rPr>
  </w:style>
  <w:style w:type="paragraph" w:styleId="968" w:customStyle="1">
    <w:name w:val="页脚1"/>
    <w:basedOn w:val="711"/>
    <w:uiPriority w:val="0"/>
    <w:unhideWhenUsed/>
    <w:qFormat/>
    <w:pPr>
      <w:jc w:val="left"/>
      <w:tabs>
        <w:tab w:val="center" w:pos="4153" w:leader="none"/>
        <w:tab w:val="right" w:pos="8306" w:leader="none"/>
      </w:tabs>
    </w:pPr>
    <w:rPr>
      <w:sz w:val="18"/>
    </w:rPr>
  </w:style>
  <w:style w:type="character" w:styleId="969" w:customStyle="1">
    <w:name w:val="font81"/>
    <w:uiPriority w:val="0"/>
    <w:qFormat/>
    <w:rPr>
      <w:rFonts w:ascii="Times New Roman" w:hAnsi="Times New Roman" w:cs="Times New Roman"/>
      <w:color w:val="000000"/>
      <w:sz w:val="22"/>
      <w:szCs w:val="22"/>
      <w:u w:val="none"/>
    </w:rPr>
  </w:style>
  <w:style w:type="character" w:styleId="970" w:customStyle="1">
    <w:name w:val="font11"/>
    <w:uiPriority w:val="0"/>
    <w:qFormat/>
    <w:rPr>
      <w:rFonts w:hint="eastAsia" w:ascii="仿宋" w:hAnsi="仿宋" w:eastAsia="仿宋" w:cs="仿宋"/>
      <w:color w:val="000000"/>
      <w:sz w:val="22"/>
      <w:szCs w:val="22"/>
      <w:u w:val="none"/>
    </w:rPr>
  </w:style>
  <w:style w:type="character" w:styleId="971" w:customStyle="1">
    <w:name w:val="font101"/>
    <w:uiPriority w:val="0"/>
    <w:qFormat/>
    <w:rPr>
      <w:rFonts w:ascii="Arial" w:hAnsi="Arial" w:cs="Arial"/>
      <w:color w:val="000000"/>
      <w:sz w:val="22"/>
      <w:szCs w:val="22"/>
      <w:u w:val="none"/>
    </w:rPr>
  </w:style>
  <w:style w:type="paragraph" w:styleId="972" w:customStyle="1">
    <w:name w:val="List Paragraph_f0420307-4c65-4cf4-ac34-e8950b7bacb1"/>
    <w:basedOn w:val="711"/>
    <w:uiPriority w:val="0"/>
    <w:qFormat/>
    <w:pPr>
      <w:ind w:firstLine="420"/>
    </w:pPr>
    <w:rPr>
      <w:rFonts w:eastAsia="宋体"/>
      <w:sz w:val="21"/>
      <w:szCs w:val="21"/>
    </w:rPr>
  </w:style>
  <w:style w:type="character" w:styleId="973" w:customStyle="1">
    <w:name w:val="font51"/>
    <w:basedOn w:val="721"/>
    <w:uiPriority w:val="0"/>
    <w:qFormat/>
    <w:rPr>
      <w:rFonts w:hint="default" w:ascii="Times New Roman" w:hAnsi="Times New Roman" w:cs="Times New Roman"/>
      <w:color w:val="000000"/>
      <w:sz w:val="21"/>
      <w:szCs w:val="21"/>
      <w:u w:val="none"/>
    </w:rPr>
  </w:style>
  <w:style w:type="character" w:styleId="974" w:customStyle="1">
    <w:name w:val="font31"/>
    <w:basedOn w:val="721"/>
    <w:uiPriority w:val="0"/>
    <w:qFormat/>
    <w:rPr>
      <w:rFonts w:hint="eastAsia" w:ascii="宋体" w:hAnsi="宋体" w:eastAsia="宋体" w:cs="宋体"/>
      <w:color w:val="000000"/>
      <w:sz w:val="21"/>
      <w:szCs w:val="21"/>
      <w:u w:val="none"/>
    </w:rPr>
  </w:style>
  <w:style w:type="character" w:styleId="975" w:customStyle="1">
    <w:name w:val="font21"/>
    <w:basedOn w:val="721"/>
    <w:uiPriority w:val="0"/>
    <w:qFormat/>
    <w:rPr>
      <w:rFonts w:hint="default" w:ascii="Times New Roman" w:hAnsi="Times New Roman" w:cs="Times New Roman"/>
      <w:color w:val="000000"/>
      <w:sz w:val="21"/>
      <w:szCs w:val="21"/>
      <w:u w:val="none"/>
    </w:rPr>
  </w:style>
  <w:style w:type="character" w:styleId="976" w:customStyle="1">
    <w:name w:val="font61"/>
    <w:basedOn w:val="721"/>
    <w:uiPriority w:val="0"/>
    <w:qFormat/>
    <w:rPr>
      <w:rFonts w:hint="eastAsia" w:ascii="宋体" w:hAnsi="宋体" w:eastAsia="宋体" w:cs="宋体"/>
      <w:color w:val="000000"/>
      <w:sz w:val="21"/>
      <w:szCs w:val="21"/>
      <w:u w:val="none"/>
    </w:rPr>
  </w:style>
  <w:style w:type="character" w:styleId="977" w:customStyle="1">
    <w:name w:val="font41"/>
    <w:basedOn w:val="721"/>
    <w:uiPriority w:val="0"/>
    <w:qFormat/>
    <w:rPr>
      <w:rFonts w:hint="default" w:ascii="Times New Roman" w:hAnsi="Times New Roman" w:cs="Times New Roman"/>
      <w:color w:val="000000"/>
      <w:sz w:val="20"/>
      <w:szCs w:val="20"/>
      <w:u w:val="none"/>
    </w:rPr>
  </w:style>
  <w:style w:type="character" w:styleId="978" w:customStyle="1">
    <w:name w:val="批注框文本 Char"/>
    <w:basedOn w:val="721"/>
    <w:link w:val="736"/>
    <w:uiPriority w:val="99"/>
    <w:semiHidden/>
    <w:qFormat/>
    <w:rPr>
      <w:rFonts w:eastAsia="楷体_GB2312"/>
      <w:sz w:val="18"/>
      <w:szCs w:val="18"/>
    </w:rPr>
  </w:style>
  <w:style w:type="table" w:styleId="979" w:customStyle="1">
    <w:name w:val="Table Normal"/>
    <w:uiPriority w:val="0"/>
    <w:unhideWhenUsed/>
    <w:qFormat/>
    <w:tblPr>
      <w:tblCellMar>
        <w:left w:w="0" w:type="dxa"/>
        <w:top w:w="0" w:type="dxa"/>
        <w:right w:w="0" w:type="dxa"/>
        <w:bottom w:w="0" w:type="dxa"/>
      </w:tblCellMar>
    </w:tblPr>
  </w:style>
  <w:style w:type="paragraph" w:styleId="980" w:customStyle="1">
    <w:name w:val="样式 首行缩进:  2 字符"/>
    <w:basedOn w:val="711"/>
    <w:link w:val="981"/>
    <w:uiPriority w:val="0"/>
    <w:qFormat/>
    <w:pPr>
      <w:ind w:firstLine="480"/>
      <w:spacing w:line="360" w:lineRule="auto"/>
    </w:pPr>
    <w:rPr>
      <w:rFonts w:eastAsia="宋体"/>
      <w:sz w:val="24"/>
    </w:rPr>
  </w:style>
  <w:style w:type="character" w:styleId="981" w:customStyle="1">
    <w:name w:val="样式 首行缩进:  2 字符 Char Char"/>
    <w:link w:val="980"/>
    <w:uiPriority w:val="0"/>
    <w:qFormat/>
    <w:rPr>
      <w:sz w:val="24"/>
    </w:rPr>
  </w:style>
  <w:style w:type="character" w:styleId="982" w:customStyle="1">
    <w:name w:val="批注文字 Char"/>
    <w:basedOn w:val="721"/>
    <w:link w:val="726"/>
    <w:uiPriority w:val="99"/>
    <w:semiHidden/>
    <w:qFormat/>
    <w:rPr>
      <w:rFonts w:eastAsia="楷体_GB2312"/>
      <w:sz w:val="26"/>
    </w:rPr>
  </w:style>
  <w:style w:type="paragraph" w:styleId="983" w:customStyle="1">
    <w:name w:val="Normal_17_1"/>
    <w:uiPriority w:val="0"/>
    <w:qFormat/>
    <w:pPr>
      <w:jc w:val="both"/>
      <w:widowControl w:val="off"/>
    </w:pPr>
    <w:rPr>
      <w:rFonts w:ascii="Calibri" w:hAnsi="Calibri" w:eastAsia="宋体" w:cs="Times New Roman"/>
      <w:sz w:val="21"/>
      <w:szCs w:val="22"/>
      <w:lang w:val="en-US" w:eastAsia="zh-CN" w:bidi="ar-SA"/>
    </w:rPr>
  </w:style>
  <w:style w:type="paragraph" w:styleId="984" w:customStyle="1">
    <w:name w:val="Normal_16_1"/>
    <w:uiPriority w:val="0"/>
    <w:qFormat/>
    <w:rPr>
      <w:rFonts w:ascii="宋体" w:hAnsi="宋体" w:eastAsia="宋体" w:cs="Times New Roman"/>
      <w:sz w:val="32"/>
      <w:szCs w:val="24"/>
      <w:lang w:val="en-US" w:eastAsia="zh-CN" w:bidi="ar-SA"/>
    </w:rPr>
  </w:style>
  <w:style w:type="paragraph" w:styleId="985" w:customStyle="1">
    <w:name w:val="正文_9_0_1"/>
    <w:uiPriority w:val="0"/>
    <w:qFormat/>
    <w:pPr>
      <w:jc w:val="both"/>
      <w:widowControl w:val="off"/>
    </w:pPr>
    <w:rPr>
      <w:rFonts w:ascii="Calibri" w:hAnsi="Calibri" w:eastAsia="宋体" w:cs="Times New Roman"/>
      <w:sz w:val="21"/>
      <w:szCs w:val="22"/>
      <w:lang w:val="en-US" w:eastAsia="zh-CN" w:bidi="ar-SA"/>
    </w:rPr>
  </w:style>
  <w:style w:type="paragraph" w:styleId="986" w:customStyle="1">
    <w:name w:val="正文_8_1_1"/>
    <w:uiPriority w:val="0"/>
    <w:qFormat/>
    <w:pPr>
      <w:jc w:val="both"/>
      <w:widowControl w:val="off"/>
    </w:pPr>
    <w:rPr>
      <w:rFonts w:ascii="Calibri" w:hAnsi="Calibri" w:eastAsia="宋体" w:cs="Times New Roman"/>
      <w:sz w:val="21"/>
      <w:szCs w:val="22"/>
      <w:lang w:val="en-US" w:eastAsia="zh-CN" w:bidi="ar-SA"/>
    </w:rPr>
  </w:style>
  <w:style w:type="paragraph" w:styleId="987" w:customStyle="1">
    <w:name w:val="正文_1_0_0_0_0_0"/>
    <w:uiPriority w:val="0"/>
    <w:qFormat/>
    <w:pPr>
      <w:jc w:val="both"/>
      <w:widowControl w:val="off"/>
    </w:pPr>
    <w:rPr>
      <w:rFonts w:ascii="Times New Roman" w:hAnsi="Times New Roman" w:eastAsia="宋体" w:cs="Times New Roman"/>
      <w:sz w:val="21"/>
      <w:lang w:val="en-US" w:eastAsia="zh-CN" w:bidi="ar-SA"/>
    </w:rPr>
  </w:style>
  <w:style w:type="paragraph" w:styleId="988" w:customStyle="1">
    <w:name w:val="列出段落_2"/>
    <w:basedOn w:val="986"/>
    <w:uiPriority w:val="34"/>
    <w:qFormat/>
    <w:pPr>
      <w:ind w:firstLine="420"/>
    </w:pPr>
  </w:style>
  <w:style w:type="paragraph" w:styleId="989" w:customStyle="1">
    <w:name w:val="Other|1"/>
    <w:basedOn w:val="711"/>
    <w:uiPriority w:val="0"/>
    <w:qFormat/>
    <w:rPr>
      <w:rFonts w:ascii="宋体" w:hAnsi="宋体" w:eastAsia="宋体" w:cs="宋体"/>
      <w:sz w:val="21"/>
      <w:lang w:val="zh-TW" w:eastAsia="zh-TW" w:bidi="zh-TW"/>
    </w:rPr>
  </w:style>
  <w:style w:type="paragraph" w:styleId="990" w:customStyle="1">
    <w:name w:val="列表段落"/>
    <w:basedOn w:val="711"/>
    <w:uiPriority w:val="34"/>
    <w:qFormat/>
    <w:pPr>
      <w:ind w:firstLine="420"/>
    </w:pPr>
  </w:style>
  <w:style w:type="paragraph" w:styleId="991" w:customStyle="1">
    <w:name w:val="正文文本11"/>
    <w:basedOn w:val="711"/>
    <w:next w:val="711"/>
    <w:uiPriority w:val="0"/>
    <w:qFormat/>
    <w:rPr>
      <w:rFonts w:ascii="仿宋_GB2312" w:eastAsia="仿宋_GB2312"/>
    </w:rPr>
  </w:style>
  <w:style w:type="paragraph" w:styleId="992" w:customStyle="1">
    <w:name w:val="列出段落11"/>
    <w:basedOn w:val="711"/>
    <w:uiPriority w:val="0"/>
    <w:qFormat/>
    <w:pPr>
      <w:contextualSpacing/>
      <w:ind w:left="720"/>
      <w:jc w:val="left"/>
      <w:widowControl/>
    </w:pPr>
    <w:rPr>
      <w:rFonts w:ascii="Calibri" w:hAnsi="Calibri"/>
      <w:lang w:eastAsia="en-US" w:bidi="en-US"/>
    </w:rPr>
  </w:style>
  <w:style w:type="paragraph" w:styleId="993" w:customStyle="1">
    <w:name w:val="Normal_10_0"/>
    <w:uiPriority w:val="0"/>
    <w:qFormat/>
    <w:rPr>
      <w:rFonts w:ascii="黑体" w:hAnsi="黑体" w:eastAsia="黑体" w:cs="Times New Roman"/>
      <w:b/>
      <w:sz w:val="32"/>
      <w:szCs w:val="24"/>
      <w:lang w:val="en-US" w:eastAsia="zh-CN" w:bidi="ar-SA"/>
    </w:rPr>
  </w:style>
  <w:style w:type="paragraph" w:styleId="994" w:customStyle="1">
    <w:name w:val="Table Text"/>
    <w:basedOn w:val="711"/>
    <w:uiPriority w:val="0"/>
    <w:semiHidden/>
    <w:qFormat/>
    <w:rPr>
      <w:rFonts w:ascii="宋体" w:hAnsi="宋体" w:cs="宋体"/>
      <w:sz w:val="28"/>
      <w:szCs w:val="28"/>
      <w:lang w:eastAsia="en-US"/>
    </w:rPr>
  </w:style>
  <w:style w:type="numbering" w:styleId="9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jszfcg.jsczt.cn/%EF%BC%89%E8%8E%B7%E5%8F%96%E6%8B%9B%E6%A0%87%E6%96%87%E4%BB%B6%EF%BC%8C%E5%B9%B6%E4%BA%8E2023%E5%B9%B411%E6%9C%88" TargetMode="External"/><Relationship Id="rId13" Type="http://schemas.openxmlformats.org/officeDocument/2006/relationships/image" Target="media/image2.png"/><Relationship Id="rId14" Type="http://schemas.openxmlformats.org/officeDocument/2006/relationships/hyperlink" Target="http://www.ccgp.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王苏琪</cp:lastModifiedBy>
  <cp:revision>8</cp:revision>
  <dcterms:created xsi:type="dcterms:W3CDTF">2026-08-14T07:04:00Z</dcterms:created>
  <dcterms:modified xsi:type="dcterms:W3CDTF">2026-09-02T06:54:20Z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F92D29855F4348938C373963D07DEAF1_13</vt:lpwstr>
  </property>
  <property fmtid="{D5CDD505-2E9C-101B-9397-08002B2CF9AE}" pid="4" name="KSOTemplateDocerSaveRecord">
    <vt:lpwstr>eyJoZGlkIjoiMjE0MDljMGE0NTFiMjgwNzE0MTFjYTE5MDRjYjY2NTkiLCJ1c2VySWQiOiIyMzI1ODEzMTAifQ==</vt:lpwstr>
  </property>
</Properties>
</file>