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4"/>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714"/>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714"/>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714"/>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714"/>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714"/>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714"/>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714"/>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ind w:left="0" w:right="0" w:firstLine="0"/>
        <w:jc w:val="center"/>
        <w:keepLines w:val="0"/>
        <w:keepNext w:val="0"/>
        <w:pageBreakBefore w:val="0"/>
        <w:spacing w:after="0"/>
        <w:widowControl w:val="off"/>
        <w:rPr>
          <w:rFonts w:hint="eastAsia" w:ascii="黑体" w:hAnsi="黑体" w:eastAsia="黑体" w:cs="黑体"/>
          <w:b/>
          <w:bCs/>
          <w:color w:val="auto"/>
          <w:sz w:val="56"/>
          <w:highlight w:val="none"/>
        </w:rPr>
        <w:outlineLvl w:val="0"/>
      </w:pPr>
      <w:r/>
      <w:bookmarkStart w:id="0" w:name="_Toc22023"/>
      <w:r/>
      <w:bookmarkStart w:id="1" w:name="_Toc21962"/>
      <w:r/>
      <w:bookmarkStart w:id="2" w:name="_Toc17149"/>
      <w:r/>
      <w:bookmarkStart w:id="3" w:name="_Toc7905"/>
      <w:r/>
      <w:bookmarkStart w:id="4" w:name="_Toc27393"/>
      <w:r/>
      <w:bookmarkStart w:id="5" w:name="_Toc22063"/>
      <w:r>
        <w:rPr>
          <w:rFonts w:hint="eastAsia" w:ascii="黑体" w:hAnsi="黑体" w:eastAsia="黑体" w:cs="黑体"/>
          <w:b/>
          <w:bCs/>
          <w:color w:val="auto"/>
          <w:sz w:val="56"/>
          <w:highlight w:val="none"/>
        </w:rPr>
        <w:t xml:space="preserve">竞争性磋商文件</w:t>
      </w:r>
      <w:bookmarkEnd w:id="0"/>
      <w:r/>
      <w:bookmarkEnd w:id="1"/>
      <w:r/>
      <w:bookmarkEnd w:id="2"/>
      <w:r/>
      <w:bookmarkEnd w:id="3"/>
      <w:r/>
      <w:bookmarkEnd w:id="4"/>
      <w:r/>
      <w:bookmarkEnd w:id="5"/>
      <w:r/>
      <w:r/>
    </w:p>
    <w:p>
      <w:pPr>
        <w:pStyle w:val="714"/>
        <w:ind w:left="0" w:firstLine="0"/>
        <w:rPr>
          <w:rFonts w:hint="eastAsia" w:asciiTheme="minorEastAsia" w:hAnsiTheme="minorEastAsia" w:eastAsiaTheme="minorEastAsia" w:cstheme="minorEastAsia"/>
          <w:color w:val="auto"/>
          <w:sz w:val="56"/>
          <w:highlight w:val="none"/>
        </w:rPr>
        <w:outlineLvl w:val="9"/>
      </w:pPr>
      <w:r>
        <w:rPr>
          <w:rFonts w:hint="eastAsia" w:asciiTheme="minorEastAsia" w:hAnsiTheme="minorEastAsia" w:eastAsiaTheme="minorEastAsia" w:cstheme="minorEastAsia"/>
          <w:color w:val="auto"/>
          <w:sz w:val="56"/>
          <w:highlight w:val="none"/>
        </w:rPr>
      </w:r>
      <w:r/>
    </w:p>
    <w:p>
      <w:pPr>
        <w:pStyle w:val="714"/>
        <w:ind w:left="0" w:firstLine="0"/>
        <w:rPr>
          <w:rFonts w:hint="eastAsia" w:asciiTheme="minorEastAsia" w:hAnsiTheme="minorEastAsia" w:eastAsiaTheme="minorEastAsia" w:cstheme="minorEastAsia"/>
          <w:color w:val="auto"/>
          <w:sz w:val="56"/>
          <w:highlight w:val="none"/>
        </w:rPr>
        <w:outlineLvl w:val="9"/>
      </w:pPr>
      <w:r>
        <w:rPr>
          <w:rFonts w:hint="eastAsia" w:asciiTheme="minorEastAsia" w:hAnsiTheme="minorEastAsia" w:eastAsiaTheme="minorEastAsia" w:cstheme="minorEastAsia"/>
          <w:color w:val="auto"/>
          <w:sz w:val="56"/>
          <w:highlight w:val="none"/>
        </w:rPr>
      </w:r>
      <w:r/>
    </w:p>
    <w:p>
      <w:pPr>
        <w:pStyle w:val="714"/>
        <w:ind w:left="0" w:firstLine="0"/>
        <w:spacing w:before="12" w:after="0"/>
        <w:rPr>
          <w:rFonts w:hint="eastAsia" w:asciiTheme="minorEastAsia" w:hAnsiTheme="minorEastAsia" w:eastAsiaTheme="minorEastAsia" w:cstheme="minorEastAsia"/>
          <w:color w:val="auto"/>
          <w:sz w:val="42"/>
          <w:highlight w:val="none"/>
        </w:rPr>
        <w:outlineLvl w:val="9"/>
      </w:pPr>
      <w:r>
        <w:rPr>
          <w:rFonts w:hint="eastAsia" w:asciiTheme="minorEastAsia" w:hAnsiTheme="minorEastAsia" w:eastAsiaTheme="minorEastAsia" w:cstheme="minorEastAsia"/>
          <w:color w:val="auto"/>
          <w:sz w:val="42"/>
          <w:highlight w:val="none"/>
        </w:rPr>
      </w:r>
      <w:r/>
    </w:p>
    <w:p>
      <w:pPr>
        <w:ind w:left="1808" w:hanging="1606"/>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6" w:name="_Toc15973"/>
      <w:r/>
      <w:bookmarkStart w:id="7" w:name="_Toc7106"/>
      <w:r/>
      <w:bookmarkStart w:id="8" w:name="_Toc1332"/>
      <w:r/>
      <w:bookmarkStart w:id="9" w:name="_Toc8979"/>
      <w:r/>
      <w:bookmarkStart w:id="10" w:name="_Toc31209"/>
      <w:r/>
      <w:bookmarkStart w:id="11" w:name="_Toc22784"/>
      <w:r>
        <w:rPr>
          <w:rFonts w:hint="eastAsia" w:asciiTheme="minorEastAsia" w:hAnsiTheme="minorEastAsia" w:eastAsiaTheme="minorEastAsia" w:cstheme="minorEastAsia"/>
          <w:b/>
          <w:bCs/>
          <w:color w:val="auto"/>
          <w:sz w:val="32"/>
          <w:szCs w:val="32"/>
          <w:highlight w:val="none"/>
          <w:lang w:eastAsia="zh-CN"/>
        </w:rPr>
        <w:t xml:space="preserve">项目名称：</w:t>
      </w:r>
      <w:bookmarkEnd w:id="6"/>
      <w:r/>
      <w:bookmarkEnd w:id="7"/>
      <w:r/>
      <w:bookmarkEnd w:id="8"/>
      <w:r/>
      <w:bookmarkEnd w:id="9"/>
      <w:r/>
      <w:bookmarkEnd w:id="10"/>
      <w:r/>
      <w:bookmarkEnd w:id="11"/>
      <w:r>
        <w:rPr>
          <w:rFonts w:hint="eastAsia" w:asciiTheme="minorEastAsia" w:hAnsiTheme="minorEastAsia" w:eastAsiaTheme="minorEastAsia" w:cstheme="minorEastAsia"/>
          <w:b/>
          <w:bCs/>
          <w:color w:val="auto"/>
          <w:sz w:val="32"/>
          <w:szCs w:val="32"/>
          <w:highlight w:val="none"/>
          <w:lang w:eastAsia="zh-CN"/>
        </w:rPr>
        <w:t xml:space="preserve">沿山大道中段部分路段雾炮车抑尘服务</w:t>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12" w:name="_Toc7687"/>
      <w:r/>
      <w:bookmarkStart w:id="13" w:name="_Toc31194"/>
      <w:r/>
      <w:bookmarkStart w:id="14" w:name="_Toc2759"/>
      <w:r/>
      <w:bookmarkStart w:id="15" w:name="_Toc20307"/>
      <w:r/>
      <w:bookmarkStart w:id="16" w:name="_Toc28317"/>
      <w:r/>
      <w:bookmarkStart w:id="17" w:name="_Toc9176"/>
      <w:r/>
      <w:bookmarkStart w:id="18" w:name="_Toc7782"/>
      <w:r>
        <w:rPr>
          <w:rFonts w:hint="eastAsia" w:asciiTheme="minorEastAsia" w:hAnsiTheme="minorEastAsia" w:eastAsiaTheme="minorEastAsia" w:cstheme="minorEastAsia"/>
          <w:b/>
          <w:bCs/>
          <w:color w:val="auto"/>
          <w:sz w:val="32"/>
          <w:szCs w:val="32"/>
          <w:highlight w:val="none"/>
          <w:lang w:eastAsia="zh-CN"/>
        </w:rPr>
        <w:t xml:space="preserve">项目编号：</w:t>
      </w:r>
      <w:bookmarkEnd w:id="12"/>
      <w:r/>
      <w:bookmarkEnd w:id="13"/>
      <w:r/>
      <w:bookmarkEnd w:id="14"/>
      <w:r/>
      <w:bookmarkEnd w:id="15"/>
      <w:r/>
      <w:bookmarkEnd w:id="16"/>
      <w:r/>
      <w:bookmarkEnd w:id="17"/>
      <w:r>
        <w:rPr>
          <w:rFonts w:hint="eastAsia" w:asciiTheme="minorEastAsia" w:hAnsiTheme="minorEastAsia" w:eastAsiaTheme="minorEastAsia" w:cstheme="minorEastAsia"/>
          <w:b/>
          <w:bCs/>
          <w:color w:val="auto"/>
          <w:sz w:val="32"/>
          <w:szCs w:val="32"/>
          <w:highlight w:val="none"/>
          <w:lang w:eastAsia="zh-CN"/>
        </w:rPr>
        <w:t xml:space="preserve">JSZC-320192-NJPH-C2026-0001</w:t>
      </w:r>
      <w:bookmarkEnd w:id="18"/>
      <w:r/>
    </w:p>
    <w:p>
      <w:pPr>
        <w:ind w:left="1808" w:hanging="1606"/>
        <w:jc w:val="center"/>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19" w:name="_Toc29782"/>
      <w:r/>
      <w:bookmarkStart w:id="20" w:name="_Toc25975"/>
      <w:r>
        <w:rPr>
          <w:rFonts w:hint="eastAsia" w:asciiTheme="minorEastAsia" w:hAnsiTheme="minorEastAsia" w:eastAsiaTheme="minorEastAsia" w:cstheme="minorEastAsia"/>
          <w:b/>
          <w:bCs/>
          <w:color w:val="auto"/>
          <w:sz w:val="32"/>
          <w:szCs w:val="32"/>
          <w:highlight w:val="none"/>
          <w:lang w:eastAsia="zh-CN"/>
        </w:rPr>
        <w:t xml:space="preserve">（专门面向中小企业）</w:t>
      </w:r>
      <w:bookmarkEnd w:id="19"/>
      <w:r/>
      <w:bookmarkEnd w:id="20"/>
      <w:r/>
      <w:r/>
    </w:p>
    <w:p>
      <w:pPr>
        <w:pStyle w:val="714"/>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714"/>
        <w:ind w:left="0" w:firstLine="0"/>
        <w:jc w:val="center"/>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714"/>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714"/>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714"/>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714"/>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21" w:name="_Toc3770"/>
      <w:r/>
      <w:bookmarkStart w:id="22" w:name="_Toc9340"/>
      <w:r>
        <w:rPr>
          <w:rFonts w:hint="eastAsia" w:asciiTheme="minorEastAsia" w:hAnsiTheme="minorEastAsia" w:eastAsiaTheme="minorEastAsia" w:cstheme="minorEastAsia"/>
          <w:b/>
          <w:bCs/>
          <w:color w:val="auto"/>
          <w:sz w:val="32"/>
          <w:szCs w:val="32"/>
          <w:highlight w:val="none"/>
          <w:lang w:eastAsia="zh-CN"/>
        </w:rPr>
        <w:t xml:space="preserve">采购单位：南京市浦口区人民政府顶山街道办事处</w:t>
      </w:r>
      <w:bookmarkEnd w:id="21"/>
      <w:r/>
      <w:bookmarkEnd w:id="22"/>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6"/>
          <w:szCs w:val="36"/>
          <w:highlight w:val="none"/>
          <w:lang w:eastAsia="zh-CN"/>
        </w:rPr>
        <w:outlineLvl w:val="0"/>
      </w:pPr>
      <w:r/>
      <w:bookmarkStart w:id="23" w:name="_Toc2712"/>
      <w:r/>
      <w:bookmarkStart w:id="24" w:name="_Toc20247"/>
      <w:r/>
      <w:bookmarkStart w:id="25" w:name="_Toc13813"/>
      <w:r/>
      <w:bookmarkStart w:id="26" w:name="_Toc3187"/>
      <w:r/>
      <w:bookmarkStart w:id="27" w:name="_Toc20764"/>
      <w:r/>
      <w:bookmarkStart w:id="28" w:name="_Toc876"/>
      <w:r>
        <w:rPr>
          <w:rFonts w:hint="eastAsia" w:asciiTheme="minorEastAsia" w:hAnsiTheme="minorEastAsia" w:eastAsiaTheme="minorEastAsia" w:cstheme="minorEastAsia"/>
          <w:b/>
          <w:bCs/>
          <w:color w:val="auto"/>
          <w:sz w:val="32"/>
          <w:szCs w:val="32"/>
          <w:highlight w:val="none"/>
          <w:lang w:eastAsia="zh-CN"/>
        </w:rPr>
        <w:t xml:space="preserve">代理机构：</w:t>
      </w:r>
      <w:bookmarkEnd w:id="23"/>
      <w:r/>
      <w:bookmarkEnd w:id="24"/>
      <w:r/>
      <w:bookmarkEnd w:id="25"/>
      <w:r/>
      <w:bookmarkEnd w:id="26"/>
      <w:r>
        <w:rPr>
          <w:rFonts w:hint="eastAsia" w:asciiTheme="minorEastAsia" w:hAnsiTheme="minorEastAsia" w:eastAsiaTheme="minorEastAsia" w:cstheme="minorEastAsia"/>
          <w:b/>
          <w:bCs/>
          <w:color w:val="auto"/>
          <w:sz w:val="32"/>
          <w:szCs w:val="32"/>
          <w:highlight w:val="none"/>
          <w:lang w:eastAsia="zh-CN"/>
        </w:rPr>
        <w:t xml:space="preserve">南京鹏皓工程咨询有限公司</w:t>
      </w:r>
      <w:bookmarkEnd w:id="27"/>
      <w:r/>
      <w:bookmarkEnd w:id="28"/>
      <w:r/>
      <w:r/>
    </w:p>
    <w:p>
      <w:pPr>
        <w:ind w:left="204" w:firstLine="0"/>
        <w:jc w:val="center"/>
        <w:keepLines w:val="0"/>
        <w:keepNext w:val="0"/>
        <w:pageBreakBefore w:val="0"/>
        <w:spacing w:line="640" w:lineRule="exact"/>
        <w:widowControl w:val="off"/>
        <w:rPr>
          <w:rFonts w:hint="eastAsia" w:asciiTheme="minorEastAsia" w:hAnsiTheme="minorEastAsia" w:eastAsiaTheme="minorEastAsia" w:cstheme="minorEastAsia"/>
          <w:color w:val="auto"/>
          <w:sz w:val="32"/>
          <w:szCs w:val="32"/>
          <w:highlight w:val="none"/>
          <w:lang w:eastAsia="zh-CN"/>
        </w:rPr>
        <w:outlineLvl w:val="0"/>
      </w:pPr>
      <w:r/>
      <w:bookmarkStart w:id="29" w:name="_Toc28217"/>
      <w:r/>
      <w:bookmarkStart w:id="30" w:name="_Toc18009"/>
      <w:r>
        <w:rPr>
          <w:rFonts w:hint="eastAsia" w:asciiTheme="minorEastAsia" w:hAnsiTheme="minorEastAsia" w:eastAsiaTheme="minorEastAsia" w:cstheme="minorEastAsia"/>
          <w:b/>
          <w:bCs/>
          <w:color w:val="auto"/>
          <w:sz w:val="32"/>
          <w:szCs w:val="32"/>
          <w:highlight w:val="none"/>
          <w:lang w:eastAsia="zh-CN"/>
        </w:rPr>
        <w:t xml:space="preserve">二〇二</w:t>
      </w:r>
      <w:r>
        <w:rPr>
          <w:rFonts w:hint="eastAsia" w:asciiTheme="minorEastAsia" w:hAnsiTheme="minorEastAsia" w:eastAsiaTheme="minorEastAsia" w:cstheme="minorEastAsia"/>
          <w:b/>
          <w:bCs/>
          <w:color w:val="auto"/>
          <w:sz w:val="32"/>
          <w:szCs w:val="32"/>
          <w:highlight w:val="none"/>
          <w:lang w:val="en-US" w:eastAsia="zh-CN"/>
        </w:rPr>
        <w:t xml:space="preserve">六</w:t>
      </w:r>
      <w:r>
        <w:rPr>
          <w:rFonts w:hint="eastAsia" w:asciiTheme="minorEastAsia" w:hAnsiTheme="minorEastAsia" w:eastAsiaTheme="minorEastAsia" w:cstheme="minorEastAsia"/>
          <w:b/>
          <w:bCs/>
          <w:color w:val="auto"/>
          <w:sz w:val="32"/>
          <w:szCs w:val="32"/>
          <w:highlight w:val="none"/>
          <w:lang w:eastAsia="zh-CN"/>
        </w:rPr>
        <w:t xml:space="preserve">年九</w:t>
      </w:r>
      <w:r>
        <w:rPr>
          <w:rFonts w:hint="eastAsia" w:asciiTheme="minorEastAsia" w:hAnsiTheme="minorEastAsia" w:eastAsiaTheme="minorEastAsia" w:cstheme="minorEastAsia"/>
          <w:b/>
          <w:bCs/>
          <w:color w:val="auto"/>
          <w:sz w:val="32"/>
          <w:szCs w:val="32"/>
          <w:highlight w:val="none"/>
          <w:lang w:val="en-US" w:eastAsia="zh-CN"/>
        </w:rPr>
        <w:t xml:space="preserve">月</w:t>
      </w:r>
      <w:bookmarkEnd w:id="29"/>
      <w:r/>
      <w:bookmarkEnd w:id="30"/>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color w:val="auto"/>
          <w:sz w:val="32"/>
          <w:szCs w:val="32"/>
          <w:highlight w:val="none"/>
          <w:lang w:eastAsia="zh-CN"/>
        </w:rPr>
        <w:sectPr>
          <w:headerReference w:type="default" r:id="rId9"/>
          <w:footerReference w:type="default" r:id="rId11"/>
          <w:footnotePr/>
          <w:endnotePr/>
          <w:type w:val="nextPage"/>
          <w:pgSz w:w="11906" w:h="16838" w:orient="portrait"/>
          <w:pgMar w:top="1180" w:right="1160" w:bottom="280" w:left="1160" w:header="0" w:footer="0" w:gutter="0"/>
          <w:cols w:num="1" w:sep="0" w:space="720" w:equalWidth="1"/>
          <w:docGrid w:linePitch="360"/>
        </w:sectPr>
        <w:outlineLvl w:val="0"/>
      </w:pPr>
      <w:r>
        <w:rPr>
          <w:rFonts w:hint="eastAsia" w:asciiTheme="minorEastAsia" w:hAnsiTheme="minorEastAsia" w:eastAsiaTheme="minorEastAsia" w:cstheme="minorEastAsia"/>
          <w:color w:val="auto"/>
          <w:sz w:val="32"/>
          <w:szCs w:val="32"/>
          <w:highlight w:val="none"/>
          <w:lang w:eastAsia="zh-CN"/>
        </w:rPr>
      </w:r>
      <w:r/>
    </w:p>
    <w:p>
      <w:pPr>
        <w:ind w:left="0" w:right="0" w:firstLine="0"/>
        <w:jc w:val="center"/>
        <w:spacing w:before="0" w:after="0" w:line="480" w:lineRule="auto"/>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录</w:t>
      </w:r>
      <w:r/>
    </w:p>
    <w:p>
      <w:pPr>
        <w:pStyle w:val="723"/>
        <w:tabs>
          <w:tab w:val="right" w:pos="9586" w:leader="dot"/>
        </w:tabs>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p>
    <w:p>
      <w:pPr>
        <w:pStyle w:val="723"/>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_Toc24408 </w:instrText>
      </w:r>
      <w:r>
        <w:rPr>
          <w:rFonts w:hint="eastAsia" w:ascii="黑体" w:hAnsi="黑体" w:eastAsia="黑体" w:cs="黑体"/>
          <w:sz w:val="32"/>
          <w:szCs w:val="32"/>
          <w:highlight w:val="none"/>
        </w:rPr>
        <w:fldChar w:fldCharType="separate"/>
      </w:r>
      <w:r>
        <w:rPr>
          <w:rFonts w:hint="eastAsia" w:ascii="黑体" w:hAnsi="黑体" w:eastAsia="黑体" w:cs="黑体"/>
          <w:bCs/>
          <w:spacing w:val="-10"/>
          <w:sz w:val="32"/>
          <w:szCs w:val="32"/>
          <w:highlight w:val="none"/>
        </w:rPr>
        <w:t xml:space="preserve">第一章 竞争性磋商</w:t>
      </w:r>
      <w:r>
        <w:rPr>
          <w:rFonts w:hint="eastAsia" w:ascii="黑体" w:hAnsi="黑体" w:eastAsia="黑体" w:cs="黑体"/>
          <w:bCs/>
          <w:spacing w:val="-10"/>
          <w:sz w:val="32"/>
          <w:szCs w:val="32"/>
          <w:highlight w:val="none"/>
          <w:lang w:eastAsia="zh-CN"/>
        </w:rPr>
        <w:t xml:space="preserve">公告</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_Toc24408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723"/>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_Toc24134 </w:instrText>
      </w:r>
      <w:r>
        <w:rPr>
          <w:rFonts w:hint="eastAsia" w:ascii="黑体" w:hAnsi="黑体" w:eastAsia="黑体" w:cs="黑体"/>
          <w:sz w:val="32"/>
          <w:szCs w:val="32"/>
          <w:highlight w:val="none"/>
        </w:rPr>
        <w:fldChar w:fldCharType="separate"/>
      </w:r>
      <w:r>
        <w:rPr>
          <w:rFonts w:hint="eastAsia" w:ascii="黑体" w:hAnsi="黑体" w:eastAsia="黑体" w:cs="黑体"/>
          <w:bCs/>
          <w:spacing w:val="-10"/>
          <w:sz w:val="32"/>
          <w:szCs w:val="32"/>
          <w:highlight w:val="none"/>
        </w:rPr>
        <w:t xml:space="preserve">第二章 </w:t>
      </w:r>
      <w:r>
        <w:rPr>
          <w:rFonts w:hint="eastAsia" w:ascii="黑体" w:hAnsi="黑体" w:eastAsia="黑体" w:cs="黑体"/>
          <w:bCs/>
          <w:spacing w:val="-10"/>
          <w:sz w:val="32"/>
          <w:szCs w:val="32"/>
          <w:highlight w:val="none"/>
          <w:lang w:eastAsia="zh-CN"/>
        </w:rPr>
        <w:t xml:space="preserve">供应商</w:t>
      </w:r>
      <w:r>
        <w:rPr>
          <w:rFonts w:hint="eastAsia" w:ascii="黑体" w:hAnsi="黑体" w:eastAsia="黑体" w:cs="黑体"/>
          <w:bCs/>
          <w:spacing w:val="-10"/>
          <w:sz w:val="32"/>
          <w:szCs w:val="32"/>
          <w:highlight w:val="none"/>
        </w:rPr>
        <w:t xml:space="preserve">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_Toc24134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5</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723"/>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_Toc10124 </w:instrText>
      </w:r>
      <w:r>
        <w:rPr>
          <w:rFonts w:hint="eastAsia" w:ascii="黑体" w:hAnsi="黑体" w:eastAsia="黑体" w:cs="黑体"/>
          <w:sz w:val="32"/>
          <w:szCs w:val="32"/>
          <w:highlight w:val="none"/>
        </w:rPr>
        <w:fldChar w:fldCharType="separate"/>
      </w:r>
      <w:r>
        <w:rPr>
          <w:rFonts w:hint="eastAsia" w:ascii="黑体" w:hAnsi="黑体" w:eastAsia="黑体" w:cs="黑体"/>
          <w:bCs/>
          <w:sz w:val="32"/>
          <w:szCs w:val="32"/>
          <w:lang w:val="en-US" w:eastAsia="zh-CN"/>
        </w:rPr>
        <w:t xml:space="preserve">第三章 </w:t>
      </w:r>
      <w:r>
        <w:rPr>
          <w:rFonts w:hint="eastAsia" w:ascii="黑体" w:hAnsi="黑体" w:eastAsia="黑体" w:cs="黑体"/>
          <w:bCs/>
          <w:sz w:val="32"/>
          <w:szCs w:val="32"/>
          <w:highlight w:val="none"/>
          <w:lang w:val="en-US" w:eastAsia="zh-CN"/>
        </w:rPr>
        <w:t xml:space="preserve">合同文本</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_Toc10124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15</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723"/>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_Toc28837 </w:instrText>
      </w:r>
      <w:r>
        <w:rPr>
          <w:rFonts w:hint="eastAsia" w:ascii="黑体" w:hAnsi="黑体" w:eastAsia="黑体" w:cs="黑体"/>
          <w:sz w:val="32"/>
          <w:szCs w:val="32"/>
          <w:highlight w:val="none"/>
        </w:rPr>
        <w:fldChar w:fldCharType="separate"/>
      </w:r>
      <w:r>
        <w:rPr>
          <w:rFonts w:hint="eastAsia" w:ascii="黑体" w:hAnsi="黑体" w:eastAsia="黑体" w:cs="黑体"/>
          <w:bCs/>
          <w:sz w:val="32"/>
          <w:szCs w:val="32"/>
          <w:lang w:val="en-US" w:eastAsia="zh-CN"/>
        </w:rPr>
        <w:t xml:space="preserve">第四章 </w:t>
      </w:r>
      <w:r>
        <w:rPr>
          <w:rFonts w:hint="eastAsia" w:ascii="黑体" w:hAnsi="黑体" w:eastAsia="黑体" w:cs="黑体"/>
          <w:bCs/>
          <w:sz w:val="32"/>
          <w:szCs w:val="32"/>
          <w:highlight w:val="none"/>
          <w:lang w:val="en-US" w:eastAsia="zh-CN"/>
        </w:rPr>
        <w:t xml:space="preserve">采购需求</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_Toc28837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19</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723"/>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_Toc31539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lang w:val="en-US" w:eastAsia="zh-CN"/>
        </w:rPr>
        <w:t xml:space="preserve">第五章 </w:t>
      </w:r>
      <w:r>
        <w:rPr>
          <w:rFonts w:hint="eastAsia" w:ascii="黑体" w:hAnsi="黑体" w:eastAsia="黑体" w:cs="黑体"/>
          <w:sz w:val="32"/>
          <w:szCs w:val="32"/>
          <w:highlight w:val="none"/>
          <w:lang w:val="en-US" w:eastAsia="zh-CN"/>
        </w:rPr>
        <w:t xml:space="preserve">评标办法和标准</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_Toc31539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22</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723"/>
        <w:spacing w:line="480" w:lineRule="auto"/>
        <w:tabs>
          <w:tab w:val="right" w:pos="9586" w:leader="dot"/>
        </w:tabs>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_Toc11204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第六章 响应文件格式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_Toc11204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25</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Cs w:val="28"/>
          <w:highlight w:val="none"/>
        </w:rPr>
        <w:fldChar w:fldCharType="end"/>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ind w:firstLine="0"/>
        <w:jc w:val="center"/>
        <w:spacing w:line="360" w:lineRule="auto"/>
        <w:rPr>
          <w:rFonts w:hint="eastAsia" w:ascii="宋体" w:hAnsi="宋体" w:eastAsia="宋体" w:cs="宋体"/>
          <w:b/>
          <w:bCs/>
          <w:color w:val="auto"/>
          <w:highlight w:val="none"/>
          <w:lang w:eastAsia="zh-CN"/>
        </w:rPr>
        <w:outlineLvl w:val="0"/>
      </w:pPr>
      <w:r/>
      <w:bookmarkStart w:id="31" w:name="_Toc24408"/>
      <w:r>
        <w:rPr>
          <w:rFonts w:hint="eastAsia" w:ascii="宋体" w:hAnsi="宋体" w:eastAsia="宋体" w:cs="宋体"/>
          <w:b/>
          <w:bCs/>
          <w:color w:val="auto"/>
          <w:spacing w:val="-10"/>
          <w:sz w:val="36"/>
          <w:szCs w:val="36"/>
          <w:highlight w:val="none"/>
        </w:rPr>
        <w:t xml:space="preserve">第一章 竞争性磋商</w:t>
      </w:r>
      <w:r>
        <w:rPr>
          <w:rFonts w:hint="eastAsia" w:ascii="宋体" w:hAnsi="宋体" w:eastAsia="宋体" w:cs="宋体"/>
          <w:b/>
          <w:bCs/>
          <w:color w:val="auto"/>
          <w:spacing w:val="-10"/>
          <w:sz w:val="36"/>
          <w:szCs w:val="36"/>
          <w:highlight w:val="none"/>
          <w:lang w:eastAsia="zh-CN"/>
        </w:rPr>
        <w:t xml:space="preserve">公告</w:t>
      </w:r>
      <w:bookmarkEnd w:id="31"/>
      <w:r/>
      <w:r/>
    </w:p>
    <w:tbl>
      <w:tblPr>
        <w:tblStyle w:val="728"/>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87"/>
      </w:tblGrid>
      <w:tr>
        <w:trPr/>
        <w:tc>
          <w:tcPr>
            <w:tcW w:w="9587" w:type="dxa"/>
            <w:textDirection w:val="lrTb"/>
            <w:noWrap w:val="false"/>
          </w:tcPr>
          <w:p>
            <w:pPr>
              <w:ind w:right="0"/>
              <w:jc w:val="left"/>
              <w:spacing w:before="70" w:line="360" w:lineRule="auto"/>
              <w:rPr>
                <w:rFonts w:hint="eastAsia" w:ascii="宋体" w:hAnsi="宋体" w:eastAsia="宋体" w:cs="宋体"/>
                <w:sz w:val="24"/>
                <w:szCs w:val="24"/>
              </w:rPr>
              <w:outlineLvl w:val="9"/>
            </w:pPr>
            <w:r/>
            <w:bookmarkStart w:id="32" w:name="_Toc35393629"/>
            <w:r/>
            <w:bookmarkStart w:id="33" w:name="_Toc28359089"/>
            <w:r/>
            <w:bookmarkStart w:id="34" w:name="_Toc28359012"/>
            <w:r/>
            <w:bookmarkStart w:id="35" w:name="_Toc35393798"/>
            <w:r>
              <w:rPr>
                <w:rFonts w:hint="eastAsia" w:ascii="宋体" w:hAnsi="宋体" w:eastAsia="宋体" w:cs="宋体"/>
                <w:sz w:val="24"/>
                <w:szCs w:val="24"/>
              </w:rPr>
              <w:t xml:space="preserve">项目概况：</w:t>
            </w:r>
            <w:r/>
          </w:p>
          <w:p>
            <w:pPr>
              <w:ind w:right="0" w:firstLine="480"/>
              <w:jc w:val="left"/>
              <w:spacing w:before="70" w:line="360" w:lineRule="auto"/>
              <w:rPr>
                <w:rFonts w:hint="eastAsia" w:ascii="仿宋" w:hAnsi="仿宋" w:eastAsia="仿宋" w:cs="仿宋"/>
                <w:b/>
                <w:sz w:val="24"/>
                <w:szCs w:val="24"/>
                <w:vertAlign w:val="baseline"/>
              </w:rPr>
              <w:outlineLvl w:val="9"/>
            </w:pPr>
            <w:r>
              <w:rPr>
                <w:rFonts w:hint="eastAsia" w:ascii="宋体" w:hAnsi="宋体" w:eastAsia="宋体" w:cs="宋体"/>
                <w:sz w:val="24"/>
                <w:szCs w:val="24"/>
                <w:u w:val="single"/>
                <w:lang w:eastAsia="zh-CN"/>
              </w:rPr>
              <w:t xml:space="preserve">沿山大道中段部分路段雾炮车抑尘服务 </w:t>
            </w:r>
            <w:r>
              <w:rPr>
                <w:rFonts w:hint="eastAsia" w:ascii="宋体" w:hAnsi="宋体" w:eastAsia="宋体" w:cs="宋体"/>
                <w:sz w:val="24"/>
                <w:szCs w:val="24"/>
              </w:rPr>
              <w:t xml:space="preserve">采购</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的潜在供应商应在</w:t>
            </w:r>
            <w:r>
              <w:rPr>
                <w:rFonts w:hint="eastAsia" w:ascii="宋体" w:hAnsi="宋体" w:eastAsia="宋体" w:cs="宋体"/>
                <w:sz w:val="24"/>
                <w:szCs w:val="24"/>
                <w:u w:val="single"/>
              </w:rPr>
              <w:t xml:space="preserve">江苏政府采购网</w:t>
            </w:r>
            <w:r>
              <w:rPr>
                <w:rFonts w:hint="eastAsia" w:ascii="宋体" w:hAnsi="宋体" w:eastAsia="宋体" w:cs="宋体"/>
                <w:spacing w:val="-10"/>
                <w:sz w:val="24"/>
                <w:szCs w:val="24"/>
              </w:rPr>
              <w:t xml:space="preserve">获取采购文件，并于 </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pacing w:val="-37"/>
                <w:sz w:val="24"/>
                <w:szCs w:val="24"/>
                <w:highlight w:val="none"/>
                <w:u w:val="single"/>
              </w:rPr>
              <w:t xml:space="preserve">年</w:t>
            </w:r>
            <w:r>
              <w:rPr>
                <w:rFonts w:hint="eastAsia" w:ascii="宋体" w:hAnsi="宋体" w:eastAsia="宋体" w:cs="宋体"/>
                <w:spacing w:val="-37"/>
                <w:sz w:val="24"/>
                <w:szCs w:val="24"/>
                <w:highlight w:val="none"/>
                <w:u w:val="single"/>
                <w:lang w:val="en-US" w:eastAsia="zh-CN"/>
              </w:rPr>
              <w:t xml:space="preserve"> 9 </w:t>
            </w:r>
            <w:r>
              <w:rPr>
                <w:rFonts w:hint="eastAsia" w:ascii="宋体" w:hAnsi="宋体" w:eastAsia="宋体" w:cs="宋体"/>
                <w:spacing w:val="-36"/>
                <w:sz w:val="24"/>
                <w:szCs w:val="24"/>
                <w:highlight w:val="none"/>
                <w:u w:val="single"/>
              </w:rPr>
              <w:t xml:space="preserve">月</w:t>
            </w:r>
            <w:r>
              <w:rPr>
                <w:rFonts w:hint="eastAsia" w:ascii="宋体" w:hAnsi="宋体" w:eastAsia="宋体" w:cs="宋体"/>
                <w:spacing w:val="-36"/>
                <w:sz w:val="24"/>
                <w:szCs w:val="24"/>
                <w:highlight w:val="none"/>
                <w:u w:val="single"/>
                <w:lang w:val="en-US" w:eastAsia="zh-CN"/>
              </w:rPr>
              <w:t xml:space="preserve">28</w:t>
            </w:r>
            <w:r>
              <w:rPr>
                <w:rFonts w:hint="eastAsia" w:ascii="宋体" w:hAnsi="宋体" w:eastAsia="宋体" w:cs="宋体"/>
                <w:spacing w:val="-36"/>
                <w:sz w:val="24"/>
                <w:szCs w:val="24"/>
                <w:highlight w:val="none"/>
                <w:u w:val="single"/>
              </w:rPr>
              <w:t xml:space="preserve">日 </w:t>
            </w:r>
            <w:r>
              <w:rPr>
                <w:rFonts w:hint="eastAsia" w:ascii="宋体" w:hAnsi="宋体" w:eastAsia="宋体" w:cs="宋体"/>
                <w:sz w:val="24"/>
                <w:szCs w:val="24"/>
                <w:highlight w:val="none"/>
                <w:u w:val="single"/>
              </w:rPr>
              <w:t xml:space="preserve">14</w:t>
            </w:r>
            <w:r>
              <w:rPr>
                <w:rFonts w:hint="eastAsia" w:ascii="宋体" w:hAnsi="宋体" w:eastAsia="宋体" w:cs="宋体"/>
                <w:spacing w:val="-37"/>
                <w:sz w:val="24"/>
                <w:szCs w:val="24"/>
                <w:highlight w:val="none"/>
                <w:u w:val="single"/>
              </w:rPr>
              <w:t xml:space="preserve"> 点</w:t>
            </w:r>
            <w:r>
              <w:rPr>
                <w:rFonts w:hint="eastAsia" w:ascii="宋体" w:hAnsi="宋体" w:eastAsia="宋体" w:cs="宋体"/>
                <w:spacing w:val="-37"/>
                <w:sz w:val="24"/>
                <w:szCs w:val="24"/>
                <w:highlight w:val="none"/>
                <w:u w:val="single"/>
                <w:lang w:val="en-US" w:eastAsia="zh-CN"/>
              </w:rPr>
              <w:t xml:space="preserve">00</w:t>
            </w:r>
            <w:r>
              <w:rPr>
                <w:rFonts w:hint="eastAsia" w:ascii="宋体" w:hAnsi="宋体" w:eastAsia="宋体" w:cs="宋体"/>
                <w:spacing w:val="-43"/>
                <w:sz w:val="24"/>
                <w:szCs w:val="24"/>
                <w:highlight w:val="none"/>
                <w:u w:val="single"/>
              </w:rPr>
              <w:t xml:space="preserve"> 分</w:t>
            </w:r>
            <w:r>
              <w:rPr>
                <w:rFonts w:hint="eastAsia" w:ascii="宋体" w:hAnsi="宋体" w:eastAsia="宋体" w:cs="宋体"/>
                <w:sz w:val="24"/>
                <w:szCs w:val="24"/>
              </w:rPr>
              <w:t xml:space="preserve">（北京时间</w:t>
            </w:r>
            <w:r>
              <w:rPr>
                <w:rFonts w:hint="eastAsia" w:ascii="宋体" w:hAnsi="宋体" w:eastAsia="宋体" w:cs="宋体"/>
                <w:spacing w:val="-32"/>
                <w:sz w:val="24"/>
                <w:szCs w:val="24"/>
              </w:rPr>
              <w:t xml:space="preserve">）</w:t>
            </w:r>
            <w:r>
              <w:rPr>
                <w:rFonts w:hint="eastAsia" w:ascii="宋体" w:hAnsi="宋体" w:eastAsia="宋体" w:cs="宋体"/>
                <w:sz w:val="24"/>
                <w:szCs w:val="24"/>
              </w:rPr>
              <w:t xml:space="preserve">前递交响应文件。</w:t>
            </w:r>
            <w:r/>
          </w:p>
        </w:tc>
      </w:tr>
    </w:tbl>
    <w:p>
      <w:pPr>
        <w:keepLines w:val="0"/>
        <w:keepNext w:val="0"/>
        <w:pageBreakBefore w:val="0"/>
        <w:spacing w:line="30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一、项目基本情况</w:t>
      </w:r>
      <w:bookmarkEnd w:id="32"/>
      <w:r/>
      <w:bookmarkEnd w:id="33"/>
      <w:r/>
      <w:bookmarkEnd w:id="34"/>
      <w:r/>
      <w:bookmarkEnd w:id="35"/>
      <w:r>
        <w:rPr>
          <w:rFonts w:hint="eastAsia" w:ascii="宋体" w:hAnsi="宋体" w:eastAsia="宋体" w:cs="宋体"/>
          <w:b/>
          <w:color w:val="auto"/>
          <w:sz w:val="24"/>
          <w:szCs w:val="24"/>
          <w:highlight w:val="none"/>
          <w:lang w:val="zh-CN"/>
        </w:rPr>
        <w:t xml:space="preserve">：</w:t>
      </w:r>
      <w:r/>
    </w:p>
    <w:p>
      <w:pPr>
        <w:ind w:firstLine="482"/>
        <w:keepLines w:val="0"/>
        <w:keepNext w:val="0"/>
        <w:pageBreakBefore w:val="0"/>
        <w:spacing w:before="75" w:after="75" w:line="30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JSZC-320192-NJPH-C2026-0001</w:t>
      </w:r>
      <w:r/>
    </w:p>
    <w:p>
      <w:pPr>
        <w:ind w:firstLine="482"/>
        <w:keepLines w:val="0"/>
        <w:keepNext w:val="0"/>
        <w:pageBreakBefore w:val="0"/>
        <w:spacing w:before="75" w:after="75" w:line="30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沿山大道中段部分路段雾炮车抑尘服务</w:t>
      </w:r>
      <w:r/>
    </w:p>
    <w:p>
      <w:pPr>
        <w:ind w:firstLine="482"/>
        <w:keepLines w:val="0"/>
        <w:keepNext w:val="0"/>
        <w:pageBreakBefore w:val="0"/>
        <w:spacing w:before="75" w:after="75" w:line="30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采购方式：</w:t>
      </w:r>
      <w:r>
        <w:rPr>
          <w:rFonts w:hint="eastAsia" w:ascii="宋体" w:hAnsi="宋体" w:eastAsia="宋体" w:cs="宋体"/>
          <w:color w:val="auto"/>
          <w:sz w:val="24"/>
          <w:szCs w:val="24"/>
          <w:highlight w:val="none"/>
        </w:rPr>
        <w:t xml:space="preserve">竞争性磋商</w:t>
      </w:r>
      <w:r/>
    </w:p>
    <w:p>
      <w:pPr>
        <w:ind w:firstLine="482"/>
        <w:keepLines w:val="0"/>
        <w:keepNext w:val="0"/>
        <w:pageBreakBefore w:val="0"/>
        <w:spacing w:line="30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预算金额：</w:t>
      </w:r>
      <w:r>
        <w:rPr>
          <w:rFonts w:hint="eastAsia" w:ascii="宋体" w:hAnsi="宋体" w:eastAsia="宋体" w:cs="宋体"/>
          <w:color w:val="auto"/>
          <w:sz w:val="24"/>
          <w:szCs w:val="24"/>
          <w:highlight w:val="none"/>
          <w:lang w:val="en-US" w:eastAsia="zh-CN"/>
        </w:rPr>
        <w:t xml:space="preserve">一年不高于70万元人民币，三年不高于210万元人民币</w:t>
      </w:r>
      <w:r/>
    </w:p>
    <w:p>
      <w:pPr>
        <w:ind w:firstLine="482"/>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val="en-US" w:eastAsia="zh-CN"/>
        </w:rPr>
        <w:t xml:space="preserve">一年70万元人民币，三年210万元人民币（投标报价超过项目最高限价的为无效投标）</w:t>
      </w:r>
      <w:r/>
    </w:p>
    <w:p>
      <w:pPr>
        <w:ind w:firstLine="482"/>
        <w:keepLines w:val="0"/>
        <w:keepNext w:val="0"/>
        <w:pageBreakBefore w:val="0"/>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采购需求：</w:t>
      </w:r>
      <w:r>
        <w:rPr>
          <w:rFonts w:hint="eastAsia" w:ascii="宋体" w:hAnsi="宋体" w:eastAsia="宋体" w:cs="宋体"/>
          <w:color w:val="auto"/>
          <w:sz w:val="24"/>
          <w:szCs w:val="24"/>
          <w:highlight w:val="none"/>
          <w:lang w:val="en-US" w:eastAsia="zh-CN"/>
        </w:rPr>
        <w:t xml:space="preserve">新能源雾炮车，包含循环驾驶作业人员等。</w:t>
      </w:r>
      <w:r>
        <w:rPr>
          <w:rFonts w:hint="eastAsia" w:ascii="宋体" w:hAnsi="宋体" w:eastAsia="宋体" w:cs="宋体"/>
          <w:color w:val="auto"/>
          <w:sz w:val="24"/>
          <w:szCs w:val="24"/>
          <w:highlight w:val="none"/>
          <w:lang w:eastAsia="zh-CN"/>
        </w:rPr>
        <w:t xml:space="preserve">具体采购需求详见采购文件第四章。</w:t>
      </w:r>
      <w:r/>
    </w:p>
    <w:p>
      <w:pPr>
        <w:ind w:firstLine="482"/>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lang w:val="en-US" w:eastAsia="zh-CN"/>
        </w:rPr>
        <w:t xml:space="preserve">：三年，合同一年一签，经采购人考核达标后可续签。（在符合中华人民共和国财政部令第102号《政府购买服务管理办法》第二十四条要求：对于购买内容相对固定、连续性强、经费来源稳定、价格变化幅度小的政府购买服务项目，可以签订履行期限不超过3年的政府购买服务合同，合同原则上每年一签）</w:t>
      </w:r>
      <w:r/>
    </w:p>
    <w:p>
      <w:pPr>
        <w:ind w:firstLine="482"/>
        <w:keepLines w:val="0"/>
        <w:keepNext w:val="0"/>
        <w:pageBreakBefore w:val="0"/>
        <w:spacing w:line="30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rPr>
        <w:t xml:space="preserve">不</w:t>
      </w:r>
      <w:r>
        <w:rPr>
          <w:rFonts w:hint="eastAsia" w:ascii="宋体" w:hAnsi="宋体" w:eastAsia="宋体" w:cs="宋体"/>
          <w:color w:val="auto"/>
          <w:sz w:val="24"/>
          <w:szCs w:val="24"/>
          <w:highlight w:val="none"/>
        </w:rPr>
        <w:t xml:space="preserve">接受联合体。</w:t>
      </w:r>
      <w:r/>
    </w:p>
    <w:p>
      <w:pPr>
        <w:keepLines w:val="0"/>
        <w:keepNext w:val="0"/>
        <w:pageBreakBefore w:val="0"/>
        <w:spacing w:line="300" w:lineRule="auto"/>
        <w:widowControl w:val="off"/>
        <w:rPr>
          <w:rFonts w:hint="eastAsia" w:ascii="宋体" w:hAnsi="宋体" w:eastAsia="宋体" w:cs="宋体"/>
          <w:b/>
          <w:color w:val="auto"/>
          <w:sz w:val="24"/>
          <w:szCs w:val="24"/>
          <w:highlight w:val="none"/>
          <w:lang w:val="zh-CN"/>
        </w:rPr>
      </w:pPr>
      <w:r/>
      <w:bookmarkStart w:id="36" w:name="_Toc28359013"/>
      <w:r/>
      <w:bookmarkStart w:id="37" w:name="_Toc28359090"/>
      <w:r/>
      <w:bookmarkStart w:id="38" w:name="_Toc35393630"/>
      <w:r/>
      <w:bookmarkStart w:id="39" w:name="_Toc35393799"/>
      <w:r>
        <w:rPr>
          <w:rFonts w:hint="eastAsia" w:ascii="宋体" w:hAnsi="宋体" w:eastAsia="宋体" w:cs="宋体"/>
          <w:b/>
          <w:color w:val="auto"/>
          <w:sz w:val="24"/>
          <w:szCs w:val="24"/>
          <w:highlight w:val="none"/>
          <w:lang w:val="zh-CN"/>
        </w:rPr>
        <w:t xml:space="preserve">二、申请人的资格要求：</w:t>
      </w:r>
      <w:bookmarkEnd w:id="36"/>
      <w:r/>
      <w:bookmarkEnd w:id="37"/>
      <w:r/>
      <w:bookmarkEnd w:id="38"/>
      <w:r/>
      <w:bookmarkEnd w:id="39"/>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（一）通用资格要求：</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1.满足《中华人民共和国政府采购法》第二十二条规定，并提供下列材料：</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zh-CN"/>
        </w:rPr>
        <w:t xml:space="preserve">供应商信用承诺函（</w:t>
      </w:r>
      <w:r>
        <w:rPr>
          <w:rFonts w:hint="eastAsia" w:ascii="宋体" w:hAnsi="宋体" w:eastAsia="宋体" w:cs="宋体"/>
          <w:color w:val="auto"/>
          <w:sz w:val="24"/>
          <w:szCs w:val="24"/>
          <w:highlight w:val="none"/>
          <w:lang w:val="zh-CN" w:eastAsia="zh-CN"/>
        </w:rPr>
        <w:t xml:space="preserve">格式见第六章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2.落实政府采购政策需满足的资格要求：</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本项目专门面向中小微企业采购，供应商应为中小微企业或监狱企业或残疾人福利性单位。（格式见第六章）。</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本项目采购标的对应的中小企业划分标准所属行业为：</w:t>
      </w:r>
      <w:r>
        <w:rPr>
          <w:rFonts w:hint="eastAsia" w:ascii="宋体" w:hAnsi="宋体" w:eastAsia="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u w:val="single"/>
          <w:lang w:val="zh-CN"/>
        </w:rPr>
        <w:t xml:space="preserve">。</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p>
    <w:p>
      <w:pPr>
        <w:ind w:firstLine="480"/>
        <w:keepLines w:val="0"/>
        <w:keepNext w:val="0"/>
        <w:pageBreakBefore w:val="0"/>
        <w:spacing w:line="30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rPr>
        <w:t xml:space="preserve">拒绝下述供应商参加本次采购活动： </w:t>
      </w:r>
      <w:r/>
    </w:p>
    <w:p>
      <w:pPr>
        <w:ind w:firstLine="720"/>
        <w:keepLines w:val="0"/>
        <w:keepNext w:val="0"/>
        <w:pageBreakBefore w:val="0"/>
        <w:spacing w:line="30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keepLines w:val="0"/>
        <w:keepNext w:val="0"/>
        <w:pageBreakBefore w:val="0"/>
        <w:spacing w:line="30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为采购项目提供整体设计、规范编制或者项目管理、监理、检测等服务的供应商，不得再参加本项目的采购活动；</w:t>
      </w:r>
      <w:r/>
    </w:p>
    <w:p>
      <w:pPr>
        <w:ind w:firstLine="480"/>
        <w:keepLines w:val="0"/>
        <w:keepNext w:val="0"/>
        <w:pageBreakBefore w:val="0"/>
        <w:spacing w:line="30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供应商被“信用中国”网站（www.creditchina.gov.cn）、“中国政府采购网”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 w:val="0"/>
          <w:bCs w:val="0"/>
          <w:color w:val="auto"/>
          <w:sz w:val="24"/>
          <w:szCs w:val="24"/>
          <w:highlight w:val="none"/>
          <w:lang w:val="en-US" w:eastAsia="zh-CN"/>
        </w:rPr>
        <w:t xml:space="preserve">。</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三、获取磋商文件</w:t>
      </w:r>
      <w:r/>
    </w:p>
    <w:p>
      <w:pPr>
        <w:ind w:left="0" w:firstLine="441"/>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rPr>
        <w:t xml:space="preserve">时间：</w:t>
      </w:r>
      <w:r>
        <w:rPr>
          <w:rFonts w:hint="eastAsia" w:ascii="宋体" w:hAnsi="宋体" w:eastAsia="宋体" w:cs="宋体"/>
          <w:color w:val="auto"/>
          <w:sz w:val="24"/>
          <w:szCs w:val="24"/>
          <w:highlight w:val="none"/>
        </w:rPr>
        <w:t xml:space="preserve">自磋商文件公告发布之日起</w:t>
      </w:r>
      <w:r>
        <w:rPr>
          <w:rFonts w:hint="eastAsia" w:ascii="宋体" w:hAnsi="宋体" w:eastAsia="宋体" w:cs="宋体"/>
          <w:color w:val="auto"/>
          <w:sz w:val="24"/>
          <w:szCs w:val="24"/>
          <w:highlight w:val="none"/>
          <w:lang w:val="en-US" w:eastAsia="zh-CN"/>
        </w:rPr>
        <w:t xml:space="preserve">5个工作日</w:t>
      </w:r>
      <w:r/>
    </w:p>
    <w:p>
      <w:pPr>
        <w:ind w:left="0" w:firstLine="441"/>
        <w:keepLines w:val="0"/>
        <w:keepNext w:val="0"/>
        <w:pageBreakBefore w:val="0"/>
        <w:spacing w:line="30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bCs/>
          <w:color w:val="auto"/>
          <w:sz w:val="24"/>
          <w:szCs w:val="24"/>
          <w:highlight w:val="none"/>
          <w:lang w:val="zh-CN"/>
        </w:rPr>
        <w:t xml:space="preserve">方式：</w:t>
      </w:r>
      <w:r>
        <w:rPr>
          <w:rFonts w:hint="eastAsia" w:ascii="宋体" w:hAnsi="宋体" w:eastAsia="宋体" w:cs="宋体"/>
          <w:color w:val="auto"/>
          <w:sz w:val="24"/>
          <w:szCs w:val="24"/>
          <w:highlight w:val="none"/>
        </w:rPr>
        <w:t xml:space="preserve">“江苏政府采购网”免费下载</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rPr>
          <w:rFonts w:hint="eastAsia" w:ascii="宋体" w:hAnsi="宋体" w:eastAsia="宋体" w:cs="宋体"/>
          <w:b/>
          <w:color w:val="auto"/>
          <w:sz w:val="24"/>
          <w:szCs w:val="24"/>
          <w:highlight w:val="none"/>
          <w:lang w:eastAsia="zh-CN"/>
        </w:rPr>
        <w:t xml:space="preserve">截止时间</w:t>
      </w:r>
      <w:r/>
    </w:p>
    <w:p>
      <w:pPr>
        <w:ind w:left="0" w:firstLine="441"/>
        <w:keepLines w:val="0"/>
        <w:keepNext w:val="0"/>
        <w:pageBreakBefore w:val="0"/>
        <w:spacing w:line="30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截止</w:t>
      </w:r>
      <w:r>
        <w:rPr>
          <w:rFonts w:hint="eastAsia" w:ascii="宋体" w:hAnsi="宋体" w:eastAsia="宋体" w:cs="宋体"/>
          <w:b/>
          <w:bCs w:val="0"/>
          <w:color w:val="auto"/>
          <w:sz w:val="24"/>
          <w:szCs w:val="24"/>
          <w:highlight w:val="none"/>
        </w:rPr>
        <w:t xml:space="preserve">时间：</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pacing w:val="-37"/>
          <w:sz w:val="24"/>
          <w:szCs w:val="24"/>
          <w:highlight w:val="none"/>
          <w:u w:val="single"/>
        </w:rPr>
        <w:t xml:space="preserve">年</w:t>
      </w:r>
      <w:r>
        <w:rPr>
          <w:rFonts w:hint="eastAsia" w:ascii="宋体" w:hAnsi="宋体" w:eastAsia="宋体" w:cs="宋体"/>
          <w:spacing w:val="-37"/>
          <w:sz w:val="24"/>
          <w:szCs w:val="24"/>
          <w:highlight w:val="none"/>
          <w:u w:val="single"/>
          <w:lang w:val="en-US" w:eastAsia="zh-CN"/>
        </w:rPr>
        <w:t xml:space="preserve"> 9 </w:t>
      </w:r>
      <w:r>
        <w:rPr>
          <w:rFonts w:hint="eastAsia" w:ascii="宋体" w:hAnsi="宋体" w:eastAsia="宋体" w:cs="宋体"/>
          <w:spacing w:val="-36"/>
          <w:sz w:val="24"/>
          <w:szCs w:val="24"/>
          <w:highlight w:val="none"/>
          <w:u w:val="single"/>
        </w:rPr>
        <w:t xml:space="preserve">月</w:t>
      </w:r>
      <w:r>
        <w:rPr>
          <w:rFonts w:hint="eastAsia" w:ascii="宋体" w:hAnsi="宋体" w:eastAsia="宋体" w:cs="宋体"/>
          <w:spacing w:val="-36"/>
          <w:sz w:val="24"/>
          <w:szCs w:val="24"/>
          <w:highlight w:val="none"/>
          <w:u w:val="single"/>
          <w:lang w:val="en-US" w:eastAsia="zh-CN"/>
        </w:rPr>
        <w:t xml:space="preserve">28 </w:t>
      </w:r>
      <w:r>
        <w:rPr>
          <w:rFonts w:hint="eastAsia" w:ascii="宋体" w:hAnsi="宋体" w:eastAsia="宋体" w:cs="宋体"/>
          <w:spacing w:val="-36"/>
          <w:sz w:val="24"/>
          <w:szCs w:val="24"/>
          <w:highlight w:val="none"/>
          <w:u w:val="single"/>
        </w:rPr>
        <w:t xml:space="preserve">日 </w:t>
      </w:r>
      <w:r>
        <w:rPr>
          <w:rFonts w:hint="eastAsia" w:ascii="宋体" w:hAnsi="宋体" w:eastAsia="宋体" w:cs="宋体"/>
          <w:sz w:val="24"/>
          <w:szCs w:val="24"/>
          <w:highlight w:val="none"/>
          <w:u w:val="single"/>
        </w:rPr>
        <w:t xml:space="preserve">14</w:t>
      </w:r>
      <w:r>
        <w:rPr>
          <w:rFonts w:hint="eastAsia" w:ascii="宋体" w:hAnsi="宋体" w:eastAsia="宋体" w:cs="宋体"/>
          <w:spacing w:val="-37"/>
          <w:sz w:val="24"/>
          <w:szCs w:val="24"/>
          <w:highlight w:val="none"/>
          <w:u w:val="single"/>
        </w:rPr>
        <w:t xml:space="preserve"> 点</w:t>
      </w:r>
      <w:r>
        <w:rPr>
          <w:rFonts w:hint="eastAsia" w:ascii="宋体" w:hAnsi="宋体" w:eastAsia="宋体" w:cs="宋体"/>
          <w:spacing w:val="-37"/>
          <w:sz w:val="24"/>
          <w:szCs w:val="24"/>
          <w:highlight w:val="none"/>
          <w:u w:val="single"/>
          <w:lang w:val="en-US" w:eastAsia="zh-CN"/>
        </w:rPr>
        <w:t xml:space="preserve">00</w:t>
      </w:r>
      <w:r>
        <w:rPr>
          <w:rFonts w:hint="eastAsia" w:ascii="宋体" w:hAnsi="宋体" w:eastAsia="宋体" w:cs="宋体"/>
          <w:spacing w:val="-43"/>
          <w:sz w:val="24"/>
          <w:szCs w:val="24"/>
          <w:highlight w:val="none"/>
          <w:u w:val="single"/>
        </w:rPr>
        <w:t xml:space="preserve"> 分</w:t>
      </w:r>
      <w:r>
        <w:rPr>
          <w:rFonts w:hint="eastAsia" w:ascii="宋体" w:hAnsi="宋体" w:eastAsia="宋体" w:cs="宋体"/>
          <w:b w:val="0"/>
          <w:bCs/>
          <w:color w:val="auto"/>
          <w:sz w:val="24"/>
          <w:szCs w:val="24"/>
          <w:highlight w:val="none"/>
          <w:lang w:eastAsia="zh-CN"/>
        </w:rPr>
        <w:t xml:space="preserve">（北京时间）</w:t>
      </w:r>
      <w:r/>
    </w:p>
    <w:p>
      <w:pPr>
        <w:ind w:left="0" w:firstLine="441"/>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lang w:val="zh-CN"/>
        </w:rPr>
        <w:t xml:space="preserve">地点</w:t>
      </w:r>
      <w:r>
        <w:rPr>
          <w:rFonts w:hint="eastAsia" w:ascii="宋体" w:hAnsi="宋体" w:eastAsia="宋体" w:cs="宋体"/>
          <w:b/>
          <w:bCs w:val="0"/>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江苏省政府采购管理交易系统（苏采云）</w:t>
      </w:r>
      <w:r/>
    </w:p>
    <w:p>
      <w:pPr>
        <w:keepLines w:val="0"/>
        <w:keepNext w:val="0"/>
        <w:pageBreakBefore w:val="0"/>
        <w:spacing w:line="30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五、开启</w:t>
      </w:r>
      <w:r/>
    </w:p>
    <w:p>
      <w:pPr>
        <w:ind w:left="0" w:firstLine="439"/>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val="0"/>
          <w:color w:val="auto"/>
          <w:sz w:val="24"/>
          <w:szCs w:val="24"/>
          <w:highlight w:val="none"/>
          <w:lang w:eastAsia="zh-CN"/>
        </w:rPr>
        <w:t xml:space="preserve">时间：</w:t>
      </w:r>
      <w:r>
        <w:rPr>
          <w:rFonts w:hint="eastAsia" w:ascii="宋体" w:hAnsi="宋体" w:eastAsia="宋体" w:cs="宋体"/>
          <w:b w:val="0"/>
          <w:bCs/>
          <w:color w:val="auto"/>
          <w:sz w:val="24"/>
          <w:szCs w:val="24"/>
          <w:highlight w:val="none"/>
          <w:lang w:eastAsia="zh-CN"/>
        </w:rPr>
        <w:t xml:space="preserve">（北京时间）</w:t>
      </w:r>
      <w:r/>
    </w:p>
    <w:p>
      <w:pPr>
        <w:ind w:left="0" w:firstLine="439"/>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val="0"/>
          <w:color w:val="auto"/>
          <w:sz w:val="24"/>
          <w:szCs w:val="24"/>
          <w:highlight w:val="none"/>
          <w:lang w:eastAsia="zh-CN"/>
        </w:rPr>
        <w:t xml:space="preserve">地点：</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rPr>
        <w:t xml:space="preserve">网上开标大厅</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、公告期限</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公告期限为自本公告发布之日起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、其他补充事宜</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不收取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p>
    <w:p>
      <w:pPr>
        <w:ind w:firstLine="480"/>
        <w:keepLines w:val="0"/>
        <w:keepNext w:val="0"/>
        <w:pageBreakBefore w:val="0"/>
        <w:spacing w:line="30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本项目不组织集中</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，供应商如对采购需求有疑问，请咨询采购单位联系人。 </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具体详见苏采云系统登录页“新CA办理指南”。供应商</w:t>
      </w:r>
      <w:r>
        <w:rPr>
          <w:rFonts w:hint="eastAsia" w:ascii="宋体" w:hAnsi="宋体" w:eastAsia="宋体" w:cs="宋体"/>
          <w:color w:val="auto"/>
          <w:sz w:val="24"/>
          <w:szCs w:val="24"/>
          <w:highlight w:val="none"/>
          <w:lang w:eastAsia="zh-CN"/>
        </w:rPr>
        <w:t xml:space="preserve">按《苏采云系统供应商操作手册》（</w:t>
      </w:r>
      <w:r>
        <w:rPr>
          <w:rFonts w:hint="eastAsia" w:ascii="宋体" w:hAnsi="宋体" w:eastAsia="宋体" w:cs="宋体"/>
          <w:color w:val="auto"/>
          <w:sz w:val="24"/>
          <w:szCs w:val="24"/>
          <w:highlight w:val="none"/>
          <w:lang w:val="en-US" w:eastAsia="zh-CN"/>
        </w:rPr>
        <w:t xml:space="preserve">以下简称“操作手册”</w:t>
      </w:r>
      <w:r>
        <w:rPr>
          <w:rFonts w:hint="eastAsia" w:ascii="宋体" w:hAnsi="宋体" w:eastAsia="宋体" w:cs="宋体"/>
          <w:color w:val="auto"/>
          <w:sz w:val="24"/>
          <w:szCs w:val="24"/>
          <w:highlight w:val="none"/>
          <w:lang w:eastAsia="zh-CN"/>
        </w:rPr>
        <w:t xml:space="preserve">）进行注册，</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制作上传电子响应文件。《操作手册》</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Style w:val="731"/>
          <w:rFonts w:hint="eastAsia" w:ascii="宋体" w:hAnsi="宋体" w:eastAsia="宋体" w:cs="宋体"/>
          <w:color w:val="auto"/>
          <w:sz w:val="24"/>
          <w:szCs w:val="24"/>
          <w:highlight w:val="none"/>
          <w:lang w:eastAsia="zh-CN"/>
        </w:rPr>
        <w:t xml:space="preserve">下载地址</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（CTRL+鼠标左键）。</w:t>
      </w:r>
      <w:r/>
    </w:p>
    <w:p>
      <w:pPr>
        <w:ind w:firstLine="480"/>
        <w:keepLines w:val="0"/>
        <w:keepNext w:val="0"/>
        <w:pageBreakBefore w:val="0"/>
        <w:spacing w:line="30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.根据《关于在政府采购活动中推行信用承诺制的通知》宁财购通〔2021〕5号规定，参加南京地区政府采购活动的供应商，应以书面形式向采购人或政府采购代理</w:t>
      </w:r>
      <w:r>
        <w:rPr>
          <w:rFonts w:hint="eastAsia" w:ascii="宋体" w:hAnsi="宋体" w:eastAsia="宋体" w:cs="宋体"/>
          <w:color w:val="auto"/>
          <w:sz w:val="24"/>
          <w:szCs w:val="24"/>
          <w:highlight w:val="none"/>
          <w:lang w:eastAsia="zh-CN"/>
        </w:rPr>
        <w:t xml:space="preserve">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w:t>
      </w:r>
      <w:r>
        <w:rPr>
          <w:rFonts w:hint="eastAsia" w:ascii="宋体" w:hAnsi="宋体" w:eastAsia="宋体" w:cs="宋体"/>
          <w:color w:val="auto"/>
          <w:sz w:val="24"/>
          <w:szCs w:val="24"/>
          <w:highlight w:val="none"/>
          <w:lang w:val="en-US" w:eastAsia="zh-CN"/>
        </w:rPr>
        <w:t xml:space="preserve">京市政府采购供应商信用记录表暨信用承诺书》，由法人代表签字并加盖电子公章，随响应文件一并递交。</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在政府采购资格审查环节，供应商只需提供书面《南京市政府采购供应商信用记录表暨信用承诺书》，即可替代以下证明材料：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（1）符合国家相关规定的财务状况报告；</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（2）依法缴纳税收的证明材料；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（3）依法缴纳社会保障资金的证明材料；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（4）具备履行政府采购合同所必需的设备和专业技术能力的证明材料；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（5）参加政府采购活动前三年内在经营活动中没有重大违法记录的证明材料；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（6）未被列入失信被执行人、重大税收违法失信主体、政府采购严重违法失信行为记录名单的证明材料。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供应商涉及以下情形的，不适用信用承诺：</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（1）供应商被列入严重失信主体名单；</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（2）被相关监管部门作出行政处罚且尚在处罚有效期内；</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（3）其他法律、行政法规规定的不适用信用承诺的情形。</w:t>
      </w:r>
      <w:r/>
    </w:p>
    <w:p>
      <w:pPr>
        <w:ind w:firstLine="480"/>
        <w:keepLines w:val="0"/>
        <w:keepNext w:val="0"/>
        <w:pageBreakBefore w:val="0"/>
        <w:spacing w:line="30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供应商对信用承诺内容的真实性、合法性、有效性负责。如作出虚假信用承诺，视同为“提供虚假材料谋取中标、成交”的违法行为。</w:t>
      </w:r>
      <w:r/>
    </w:p>
    <w:p>
      <w:pPr>
        <w:ind w:firstLine="482"/>
        <w:keepLines w:val="0"/>
        <w:keepNext w:val="0"/>
        <w:pageBreakBefore w:val="0"/>
        <w:spacing w:line="300" w:lineRule="auto"/>
        <w:widowControl w:val="off"/>
        <w:tabs>
          <w:tab w:val="left" w:pos="9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注：因“南京市政府采购供应商诚信档案系统链接”已关闭，无法下载《南京市政府采购供应商信用记录表暨信用承诺书》，供应商可按</w:t>
      </w:r>
      <w:r>
        <w:rPr>
          <w:rFonts w:hint="eastAsia" w:ascii="宋体" w:hAnsi="宋体" w:eastAsia="宋体" w:cs="宋体"/>
          <w:b/>
          <w:bCs w:val="0"/>
          <w:color w:val="auto"/>
          <w:sz w:val="24"/>
          <w:szCs w:val="24"/>
          <w:highlight w:val="none"/>
          <w:lang w:eastAsia="zh-CN"/>
        </w:rPr>
        <w:t xml:space="preserve">响应</w:t>
      </w:r>
      <w:r>
        <w:rPr>
          <w:rFonts w:hint="eastAsia" w:ascii="宋体" w:hAnsi="宋体" w:eastAsia="宋体" w:cs="宋体"/>
          <w:b/>
          <w:bCs w:val="0"/>
          <w:color w:val="auto"/>
          <w:sz w:val="24"/>
          <w:szCs w:val="24"/>
          <w:highlight w:val="none"/>
        </w:rPr>
        <w:t xml:space="preserve">文件格式中</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eastAsia="zh-CN"/>
        </w:rPr>
        <w:t xml:space="preserve">一《南京市政府采购供应商信用记录表暨信用承诺书》格式”</w:t>
      </w:r>
      <w:bookmarkStart w:id="178" w:name="_GoBack"/>
      <w:r/>
      <w:bookmarkEnd w:id="178"/>
      <w:r>
        <w:rPr>
          <w:rFonts w:hint="eastAsia" w:ascii="宋体" w:hAnsi="宋体" w:eastAsia="宋体" w:cs="宋体"/>
          <w:b/>
          <w:bCs w:val="0"/>
          <w:color w:val="auto"/>
          <w:sz w:val="24"/>
          <w:szCs w:val="24"/>
          <w:highlight w:val="none"/>
        </w:rPr>
        <w:t xml:space="preserve">填写盖章签字，视同有效。</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5.有关本次采购的事项若存在变动或修改，请及时关注“江苏政府采购网”（www.ccgp-jiangsu.gov.cn）更正公告。</w:t>
      </w:r>
      <w:r/>
    </w:p>
    <w:p>
      <w:pPr>
        <w:keepLines w:val="0"/>
        <w:keepNext w:val="0"/>
        <w:pageBreakBefore w:val="0"/>
        <w:spacing w:line="3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.对本次磋商提出询问，请按以下方式联系</w:t>
      </w:r>
      <w:r/>
    </w:p>
    <w:p>
      <w:pPr>
        <w:ind w:firstLine="240"/>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名称：南京市浦口区人民政府顶山街道办事处</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地址：南京市浦口区顶山街道吉庆路10号</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联系人：董工</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lang w:val="en-US" w:eastAsia="zh-CN"/>
        </w:rPr>
        <w:t xml:space="preserve">13814500807</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代理机构：</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名称：南京鹏皓工程咨询有限公司</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地址：南京市浦口区江浦街道礼泉路</w:t>
      </w:r>
      <w:r>
        <w:rPr>
          <w:rFonts w:hint="eastAsia" w:ascii="宋体" w:hAnsi="宋体" w:eastAsia="宋体" w:cs="宋体"/>
          <w:color w:val="auto"/>
          <w:sz w:val="24"/>
          <w:szCs w:val="24"/>
          <w:highlight w:val="none"/>
          <w:lang w:val="en-US" w:eastAsia="zh-CN"/>
        </w:rPr>
        <w:t xml:space="preserve">2号</w:t>
      </w:r>
      <w:r>
        <w:rPr>
          <w:rFonts w:hint="eastAsia" w:ascii="宋体" w:hAnsi="宋体" w:eastAsia="宋体" w:cs="宋体"/>
          <w:color w:val="auto"/>
          <w:sz w:val="24"/>
          <w:szCs w:val="24"/>
          <w:highlight w:val="none"/>
          <w:lang w:val="zh-CN"/>
        </w:rPr>
        <w:t xml:space="preserve">明发两岸科技基地</w:t>
      </w:r>
      <w:r>
        <w:rPr>
          <w:rFonts w:hint="eastAsia" w:ascii="宋体" w:hAnsi="宋体" w:eastAsia="宋体" w:cs="宋体"/>
          <w:color w:val="auto"/>
          <w:sz w:val="24"/>
          <w:szCs w:val="24"/>
          <w:highlight w:val="none"/>
          <w:lang w:val="en-US" w:eastAsia="zh-CN"/>
        </w:rPr>
        <w:t xml:space="preserve">48栋501</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联系人：吴工</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lang w:val="en-US" w:eastAsia="zh-CN"/>
        </w:rPr>
        <w:t xml:space="preserve">18262562118</w:t>
      </w:r>
      <w:r/>
    </w:p>
    <w:p>
      <w:pPr>
        <w:pStyle w:val="736"/>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3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eastAsia" w:ascii="宋体" w:hAnsi="宋体" w:eastAsia="宋体" w:cs="宋体"/>
          <w:b/>
          <w:bCs/>
          <w:color w:val="auto"/>
          <w:spacing w:val="-10"/>
          <w:sz w:val="36"/>
          <w:szCs w:val="36"/>
          <w:highlight w:val="none"/>
        </w:rPr>
        <w:sectPr>
          <w:headerReference w:type="default" r:id="rId10"/>
          <w:footerReference w:type="default" r:id="rId12"/>
          <w:footnotePr/>
          <w:endnotePr/>
          <w:type w:val="nextPage"/>
          <w:pgSz w:w="11906" w:h="16838" w:orient="portrait"/>
          <w:pgMar w:top="1180" w:right="1160" w:bottom="1180" w:left="1160" w:header="0" w:footer="993" w:gutter="0"/>
          <w:pgNumType w:start="1"/>
          <w:cols w:num="1" w:sep="0" w:space="720" w:equalWidth="1"/>
          <w:docGrid w:linePitch="360"/>
        </w:sectPr>
        <w:outlineLvl w:val="0"/>
      </w:pPr>
      <w:r>
        <w:rPr>
          <w:rFonts w:hint="eastAsia" w:ascii="宋体" w:hAnsi="宋体" w:eastAsia="宋体" w:cs="宋体"/>
          <w:b/>
          <w:bCs/>
          <w:color w:val="auto"/>
          <w:spacing w:val="-10"/>
          <w:sz w:val="36"/>
          <w:szCs w:val="36"/>
          <w:highlight w:val="none"/>
        </w:rPr>
      </w:r>
      <w:r/>
    </w:p>
    <w:p>
      <w:pPr>
        <w:jc w:val="center"/>
        <w:rPr>
          <w:rFonts w:hint="eastAsia" w:ascii="宋体" w:hAnsi="宋体" w:eastAsia="宋体" w:cs="宋体"/>
          <w:b/>
          <w:bCs/>
          <w:color w:val="auto"/>
          <w:spacing w:val="-10"/>
          <w:sz w:val="36"/>
          <w:szCs w:val="36"/>
          <w:highlight w:val="none"/>
        </w:rPr>
        <w:outlineLvl w:val="0"/>
      </w:pPr>
      <w:r/>
      <w:bookmarkStart w:id="40" w:name="_Toc24134"/>
      <w:r>
        <w:rPr>
          <w:rFonts w:hint="eastAsia" w:ascii="宋体" w:hAnsi="宋体" w:eastAsia="宋体" w:cs="宋体"/>
          <w:b/>
          <w:bCs/>
          <w:color w:val="auto"/>
          <w:spacing w:val="-10"/>
          <w:sz w:val="36"/>
          <w:szCs w:val="36"/>
          <w:highlight w:val="none"/>
        </w:rPr>
        <w:t xml:space="preserve">第二章 </w:t>
      </w:r>
      <w:r>
        <w:rPr>
          <w:rFonts w:hint="eastAsia" w:ascii="宋体" w:hAnsi="宋体" w:eastAsia="宋体" w:cs="宋体"/>
          <w:b/>
          <w:bCs/>
          <w:color w:val="auto"/>
          <w:spacing w:val="-10"/>
          <w:sz w:val="36"/>
          <w:szCs w:val="36"/>
          <w:highlight w:val="none"/>
          <w:lang w:eastAsia="zh-CN"/>
        </w:rPr>
        <w:t xml:space="preserve">供应商</w:t>
      </w:r>
      <w:r>
        <w:rPr>
          <w:rFonts w:hint="eastAsia" w:ascii="宋体" w:hAnsi="宋体" w:eastAsia="宋体" w:cs="宋体"/>
          <w:b/>
          <w:bCs/>
          <w:color w:val="auto"/>
          <w:spacing w:val="-10"/>
          <w:sz w:val="36"/>
          <w:szCs w:val="36"/>
          <w:highlight w:val="none"/>
        </w:rPr>
        <w:t xml:space="preserve">须知</w:t>
      </w:r>
      <w:bookmarkEnd w:id="40"/>
      <w:r/>
      <w:r/>
    </w:p>
    <w:p>
      <w:pPr>
        <w:pStyle w:val="70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41" w:name="_Toc16938519"/>
      <w:r/>
      <w:bookmarkStart w:id="42" w:name="_Toc120614214"/>
      <w:r/>
      <w:bookmarkStart w:id="43" w:name="_Toc20823275"/>
      <w:r/>
      <w:bookmarkStart w:id="44" w:name="_Toc513029203"/>
      <w:r>
        <w:rPr>
          <w:rFonts w:hint="eastAsia" w:ascii="方正黑体_GBK" w:hAnsi="方正黑体_GBK" w:eastAsia="方正黑体_GBK" w:cs="方正黑体_GBK"/>
          <w:b w:val="0"/>
          <w:bCs w:val="0"/>
          <w:color w:val="auto"/>
          <w:sz w:val="30"/>
          <w:szCs w:val="30"/>
          <w:highlight w:val="none"/>
        </w:rPr>
        <w:t xml:space="preserve">一、总则</w:t>
      </w:r>
      <w:bookmarkEnd w:id="41"/>
      <w:r/>
      <w:bookmarkEnd w:id="42"/>
      <w:r/>
      <w:bookmarkEnd w:id="43"/>
      <w:r/>
      <w:bookmarkEnd w:id="44"/>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45" w:name="_Hlt16619475"/>
      <w:r/>
      <w:bookmarkEnd w:id="45"/>
      <w:r/>
      <w:bookmarkStart w:id="46" w:name="_Toc458694821"/>
      <w:r/>
      <w:bookmarkStart w:id="47" w:name="_Toc16938520"/>
      <w:r/>
      <w:bookmarkStart w:id="48" w:name="_Toc513029204"/>
      <w:r/>
      <w:bookmarkStart w:id="49" w:name="_Toc20823276"/>
      <w:r>
        <w:rPr>
          <w:rFonts w:hint="eastAsia" w:ascii="方正楷体_GBK" w:hAnsi="方正楷体_GBK" w:eastAsia="方正楷体_GBK" w:cs="方正楷体_GBK"/>
          <w:b/>
          <w:bCs/>
          <w:color w:val="auto"/>
          <w:sz w:val="28"/>
          <w:szCs w:val="28"/>
          <w:highlight w:val="none"/>
          <w:lang w:val="en-US" w:eastAsia="zh-CN"/>
        </w:rPr>
        <w:t xml:space="preserve">1</w:t>
      </w:r>
      <w:bookmarkEnd w:id="46"/>
      <w:r>
        <w:rPr>
          <w:rFonts w:hint="eastAsia" w:ascii="方正楷体_GBK" w:hAnsi="方正楷体_GBK" w:eastAsia="方正楷体_GBK" w:cs="方正楷体_GBK"/>
          <w:b/>
          <w:bCs/>
          <w:color w:val="auto"/>
          <w:sz w:val="28"/>
          <w:szCs w:val="28"/>
          <w:highlight w:val="none"/>
          <w:lang w:val="en-US" w:eastAsia="zh-CN"/>
        </w:rPr>
        <w:t xml:space="preserve">.采购方式</w:t>
      </w:r>
      <w:bookmarkEnd w:id="47"/>
      <w:r/>
      <w:bookmarkEnd w:id="48"/>
      <w:r/>
      <w:bookmarkEnd w:id="4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本次政府采购活动采取竞争性磋商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以下简称</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方式</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本文件仅适用于</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公告中所述项目。</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0" w:name="_Toc20823277"/>
      <w:r/>
      <w:bookmarkStart w:id="51" w:name="_Toc16938521"/>
      <w:r/>
      <w:bookmarkStart w:id="52" w:name="_Toc513029205"/>
      <w:r>
        <w:rPr>
          <w:rFonts w:hint="eastAsia" w:ascii="方正楷体_GBK" w:hAnsi="方正楷体_GBK" w:eastAsia="方正楷体_GBK" w:cs="方正楷体_GBK"/>
          <w:b/>
          <w:bCs/>
          <w:color w:val="auto"/>
          <w:sz w:val="28"/>
          <w:szCs w:val="28"/>
          <w:highlight w:val="none"/>
          <w:lang w:val="en-US" w:eastAsia="zh-CN"/>
        </w:rPr>
        <w:t xml:space="preserve">2.合格的</w:t>
      </w:r>
      <w:bookmarkEnd w:id="50"/>
      <w:r/>
      <w:bookmarkEnd w:id="51"/>
      <w:r/>
      <w:bookmarkEnd w:id="52"/>
      <w:r>
        <w:rPr>
          <w:rFonts w:hint="eastAsia" w:ascii="方正楷体_GBK" w:hAnsi="方正楷体_GBK" w:eastAsia="方正楷体_GBK" w:cs="方正楷体_GBK"/>
          <w:b/>
          <w:bCs/>
          <w:color w:val="auto"/>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满足</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w:t>
      </w:r>
      <w:r>
        <w:rPr>
          <w:rFonts w:hint="eastAsia" w:ascii="宋体" w:hAnsi="宋体" w:eastAsia="宋体" w:cs="Times New Roman"/>
          <w:color w:val="auto"/>
          <w:sz w:val="24"/>
          <w:szCs w:val="21"/>
          <w:highlight w:val="none"/>
          <w:lang w:eastAsia="zh-CN"/>
        </w:rPr>
        <w:t xml:space="preserve">对</w:t>
      </w:r>
      <w:r>
        <w:rPr>
          <w:rFonts w:hint="eastAsia" w:ascii="宋体" w:hAnsi="宋体" w:eastAsia="宋体" w:cs="Times New Roman"/>
          <w:color w:val="auto"/>
          <w:sz w:val="24"/>
          <w:szCs w:val="21"/>
          <w:highlight w:val="none"/>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满足</w:t>
      </w:r>
      <w:r>
        <w:rPr>
          <w:rFonts w:hint="eastAsia" w:ascii="宋体" w:hAnsi="宋体" w:eastAsia="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w:t>
      </w:r>
      <w:r>
        <w:rPr>
          <w:rFonts w:hint="eastAsia" w:ascii="宋体" w:hAnsi="宋体" w:eastAsia="宋体" w:cs="Times New Roman"/>
          <w:color w:val="auto"/>
          <w:sz w:val="24"/>
          <w:szCs w:val="21"/>
          <w:highlight w:val="none"/>
          <w:lang w:eastAsia="zh-CN"/>
        </w:rPr>
        <w:t xml:space="preserve">规定的</w:t>
      </w:r>
      <w:r>
        <w:rPr>
          <w:rFonts w:hint="eastAsia" w:ascii="宋体" w:hAnsi="宋体" w:eastAsia="宋体" w:cs="Times New Roman"/>
          <w:color w:val="auto"/>
          <w:sz w:val="24"/>
          <w:szCs w:val="21"/>
          <w:highlight w:val="none"/>
        </w:rPr>
        <w:t xml:space="preserve">实质性要求和条件。</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3" w:name="_Toc20823278"/>
      <w:r/>
      <w:bookmarkStart w:id="54" w:name="_Toc513029206"/>
      <w:r/>
      <w:bookmarkStart w:id="55" w:name="_Toc16938522"/>
      <w:r>
        <w:rPr>
          <w:rFonts w:hint="eastAsia" w:ascii="方正楷体_GBK" w:hAnsi="方正楷体_GBK" w:eastAsia="方正楷体_GBK" w:cs="方正楷体_GBK"/>
          <w:b/>
          <w:bCs/>
          <w:color w:val="auto"/>
          <w:sz w:val="28"/>
          <w:szCs w:val="28"/>
          <w:highlight w:val="none"/>
          <w:lang w:val="en-US" w:eastAsia="zh-CN"/>
        </w:rPr>
        <w:t xml:space="preserve">3.适用法律</w:t>
      </w:r>
      <w:bookmarkEnd w:id="53"/>
      <w:r/>
      <w:bookmarkEnd w:id="54"/>
      <w:r/>
      <w:bookmarkEnd w:id="55"/>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3.1 本次</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及由此产生的合同受中华人民共和国有关的法律法规制约和保护。</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6" w:name="_Toc20823279"/>
      <w:r/>
      <w:bookmarkStart w:id="57" w:name="_Toc462564067"/>
      <w:r/>
      <w:bookmarkStart w:id="58" w:name="_Toc16938523"/>
      <w:r/>
      <w:bookmarkStart w:id="59" w:name="_Toc513029207"/>
      <w:r>
        <w:rPr>
          <w:rFonts w:hint="eastAsia" w:ascii="方正楷体_GBK" w:hAnsi="方正楷体_GBK" w:eastAsia="方正楷体_GBK" w:cs="方正楷体_GBK"/>
          <w:b/>
          <w:bCs/>
          <w:color w:val="auto"/>
          <w:sz w:val="28"/>
          <w:szCs w:val="28"/>
          <w:highlight w:val="none"/>
          <w:lang w:val="en-US" w:eastAsia="zh-CN"/>
        </w:rPr>
        <w:t xml:space="preserve">4.磋商费用</w:t>
      </w:r>
      <w:bookmarkEnd w:id="56"/>
      <w:r/>
      <w:bookmarkEnd w:id="57"/>
      <w:r/>
      <w:bookmarkEnd w:id="58"/>
      <w:r/>
      <w:bookmarkEnd w:id="5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供应商应自行承担所有与参加</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有关的费用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无论</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过程中的做法和结果如何</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highlight w:val="none"/>
        </w:rPr>
      </w:pPr>
      <w:r>
        <w:rPr>
          <w:rFonts w:hint="eastAsia" w:ascii="宋体" w:hAnsi="宋体" w:eastAsia="宋体" w:cs="Times New Roman"/>
          <w:color w:val="auto"/>
          <w:sz w:val="24"/>
          <w:szCs w:val="21"/>
          <w:highlight w:val="none"/>
        </w:rPr>
        <w:t xml:space="preserve">4.2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b/>
          <w:bCs/>
          <w:color w:val="auto"/>
          <w:sz w:val="24"/>
          <w:szCs w:val="21"/>
          <w:highlight w:val="none"/>
        </w:rPr>
        <w:t xml:space="preserve">本次招标代理费按照江苏省招标投标协会《关于印发「江苏省招标代理服务收费的指导意见」的通知》（苏招协〔2022〕002号）文件中招标代理服务收费指导价的70％计费，评委费（若有）按实计取。</w:t>
      </w:r>
      <w:r>
        <w:rPr>
          <w:rFonts w:hint="eastAsia" w:ascii="宋体" w:hAnsi="宋体" w:eastAsia="宋体" w:cs="Times New Roman"/>
          <w:b/>
          <w:bCs/>
          <w:color w:val="auto"/>
          <w:sz w:val="24"/>
          <w:szCs w:val="21"/>
          <w:highlight w:val="none"/>
          <w:lang w:eastAsia="zh-CN"/>
        </w:rPr>
        <w:t xml:space="preserve">以上费用由采购人支付</w:t>
      </w:r>
      <w:r>
        <w:rPr>
          <w:rFonts w:hint="eastAsia" w:ascii="宋体" w:hAnsi="宋体" w:eastAsia="宋体" w:cs="Times New Roman"/>
          <w:b/>
          <w:bCs/>
          <w:color w:val="auto"/>
          <w:sz w:val="24"/>
          <w:szCs w:val="21"/>
          <w:highlight w:val="none"/>
        </w:rPr>
        <w:t xml:space="preserve">。</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供应商一旦参加本项目采购活动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即被认为接受了本文件的规定和约束。</w:t>
      </w:r>
      <w:r/>
    </w:p>
    <w:p>
      <w:pPr>
        <w:pStyle w:val="70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60" w:name="_Toc16938525"/>
      <w:r/>
      <w:bookmarkStart w:id="61" w:name="_Toc20823281"/>
      <w:r/>
      <w:bookmarkStart w:id="62" w:name="_Toc120614215"/>
      <w:r/>
      <w:bookmarkStart w:id="63" w:name="_Toc513029209"/>
      <w:r>
        <w:rPr>
          <w:rFonts w:hint="eastAsia" w:ascii="方正黑体_GBK" w:hAnsi="方正黑体_GBK" w:eastAsia="方正黑体_GBK" w:cs="方正黑体_GBK"/>
          <w:b w:val="0"/>
          <w:bCs w:val="0"/>
          <w:color w:val="auto"/>
          <w:sz w:val="30"/>
          <w:szCs w:val="30"/>
          <w:highlight w:val="none"/>
        </w:rPr>
        <w:t xml:space="preserve">二、</w:t>
      </w:r>
      <w:bookmarkEnd w:id="60"/>
      <w:r/>
      <w:bookmarkEnd w:id="61"/>
      <w:r/>
      <w:bookmarkEnd w:id="62"/>
      <w:r/>
      <w:bookmarkEnd w:id="63"/>
      <w:r>
        <w:rPr>
          <w:rFonts w:hint="eastAsia" w:ascii="方正黑体_GBK" w:hAnsi="方正黑体_GBK" w:eastAsia="方正黑体_GBK" w:cs="方正黑体_GBK"/>
          <w:b w:val="0"/>
          <w:bCs w:val="0"/>
          <w:color w:val="auto"/>
          <w:sz w:val="30"/>
          <w:szCs w:val="30"/>
          <w:highlight w:val="none"/>
        </w:rPr>
        <w:t xml:space="preserve">磋商文件</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4" w:name="_Toc16938526"/>
      <w:r/>
      <w:bookmarkStart w:id="65" w:name="_Toc513029210"/>
      <w:r/>
      <w:bookmarkStart w:id="66" w:name="_Toc20823282"/>
      <w:r>
        <w:rPr>
          <w:rFonts w:hint="eastAsia" w:ascii="方正楷体_GBK" w:hAnsi="方正楷体_GBK" w:eastAsia="方正楷体_GBK" w:cs="方正楷体_GBK"/>
          <w:b/>
          <w:bCs/>
          <w:color w:val="auto"/>
          <w:sz w:val="28"/>
          <w:szCs w:val="28"/>
          <w:highlight w:val="none"/>
          <w:lang w:val="en-US" w:eastAsia="zh-CN"/>
        </w:rPr>
        <w:t xml:space="preserve">6.磋商文件构成</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eastAsia="zh-CN"/>
        </w:rPr>
        <w:t xml:space="preserve">竞争性磋商公告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lang w:eastAsia="zh-CN"/>
        </w:rPr>
        <w:t xml:space="preserve">评标办法和标准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（6）竞争性磋商响应文件格式及附件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供应商应</w:t>
      </w:r>
      <w:r>
        <w:rPr>
          <w:rFonts w:hint="eastAsia" w:ascii="宋体" w:hAnsi="宋体" w:eastAsia="宋体" w:cs="Times New Roman"/>
          <w:color w:val="auto"/>
          <w:sz w:val="24"/>
          <w:szCs w:val="21"/>
          <w:highlight w:val="none"/>
        </w:rPr>
        <w:t xml:space="preserve">仔细检查磋商文件是否齐全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如有缺漏请立即与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并保证所提供的全部资料的真实性</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以使其响应文件对磋商文件作出实质性响应</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否则其风险由供应商自行承担。</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7" w:name="_Toc20823283"/>
      <w:r/>
      <w:bookmarkStart w:id="68" w:name="_Toc16938527"/>
      <w:r/>
      <w:bookmarkStart w:id="69" w:name="_Toc462564070"/>
      <w:r/>
      <w:bookmarkStart w:id="70" w:name="_Toc513029211"/>
      <w:r>
        <w:rPr>
          <w:rFonts w:hint="eastAsia" w:ascii="方正楷体_GBK" w:hAnsi="方正楷体_GBK" w:eastAsia="方正楷体_GBK" w:cs="方正楷体_GBK"/>
          <w:b/>
          <w:bCs/>
          <w:color w:val="auto"/>
          <w:sz w:val="28"/>
          <w:szCs w:val="28"/>
          <w:highlight w:val="none"/>
          <w:lang w:val="en-US" w:eastAsia="zh-CN"/>
        </w:rPr>
        <w:t xml:space="preserve">7.磋商文件的澄清</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7.1 任何要求对磋商文件进行澄清的供应商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应在磋商截止期</w:t>
      </w:r>
      <w:r>
        <w:rPr>
          <w:rFonts w:hint="eastAsia" w:ascii="宋体" w:hAnsi="宋体" w:eastAsia="宋体" w:cs="Times New Roman"/>
          <w:color w:val="auto"/>
          <w:sz w:val="24"/>
          <w:szCs w:val="21"/>
          <w:highlight w:val="none"/>
          <w:lang w:eastAsia="zh-CN"/>
        </w:rPr>
        <w:t xml:space="preserve">五</w:t>
      </w:r>
      <w:r>
        <w:rPr>
          <w:rFonts w:hint="eastAsia" w:ascii="宋体" w:hAnsi="宋体" w:eastAsia="宋体" w:cs="Times New Roman"/>
          <w:color w:val="auto"/>
          <w:sz w:val="24"/>
          <w:szCs w:val="21"/>
          <w:highlight w:val="none"/>
        </w:rPr>
        <w:t xml:space="preserve">日前按</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公告中的通讯地址</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以书面形式通知</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1" w:name="_Toc462564071"/>
      <w:r/>
      <w:bookmarkStart w:id="72" w:name="_Toc16938528"/>
      <w:r/>
      <w:bookmarkStart w:id="73" w:name="_Toc513029212"/>
      <w:r/>
      <w:bookmarkStart w:id="74" w:name="_Toc20823284"/>
      <w:r>
        <w:rPr>
          <w:rFonts w:hint="eastAsia" w:ascii="方正楷体_GBK" w:hAnsi="方正楷体_GBK" w:eastAsia="方正楷体_GBK" w:cs="方正楷体_GBK"/>
          <w:b/>
          <w:bCs/>
          <w:color w:val="auto"/>
          <w:sz w:val="28"/>
          <w:szCs w:val="28"/>
          <w:highlight w:val="none"/>
          <w:lang w:val="en-US" w:eastAsia="zh-CN"/>
        </w:rPr>
        <w:t xml:space="preserve">8.磋商文件的修改</w:t>
      </w:r>
      <w:bookmarkEnd w:id="71"/>
      <w:r/>
      <w:bookmarkEnd w:id="72"/>
      <w:r/>
      <w:bookmarkEnd w:id="73"/>
      <w:r/>
      <w:bookmarkEnd w:id="74"/>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bookmarkStart w:id="75" w:name="_Toc120614216"/>
      <w:r/>
      <w:bookmarkStart w:id="76" w:name="_Toc20823285"/>
      <w:r/>
      <w:bookmarkStart w:id="77" w:name="_Toc462564072"/>
      <w:r/>
      <w:bookmarkStart w:id="78" w:name="_Toc513029213"/>
      <w:r/>
      <w:bookmarkStart w:id="79" w:name="_Toc16938529"/>
      <w:r>
        <w:rPr>
          <w:rFonts w:hint="eastAsia" w:ascii="宋体" w:hAnsi="宋体" w:eastAsia="宋体" w:cs="Times New Roman"/>
          <w:color w:val="auto"/>
          <w:sz w:val="24"/>
          <w:szCs w:val="21"/>
          <w:highlight w:val="none"/>
        </w:rPr>
        <w:t xml:space="preserve">8.1 在响应文件提交截止时</w:t>
      </w:r>
      <w:r>
        <w:rPr>
          <w:rFonts w:hint="eastAsia" w:ascii="宋体" w:hAnsi="宋体" w:eastAsia="宋体" w:cs="Times New Roman"/>
          <w:color w:val="auto"/>
          <w:sz w:val="24"/>
          <w:szCs w:val="21"/>
          <w:highlight w:val="none"/>
          <w:lang w:eastAsia="zh-CN"/>
        </w:rPr>
        <w:t xml:space="preserve">间之</w:t>
      </w:r>
      <w:r>
        <w:rPr>
          <w:rFonts w:hint="eastAsia" w:ascii="宋体" w:hAnsi="宋体" w:eastAsia="宋体" w:cs="Times New Roman"/>
          <w:color w:val="auto"/>
          <w:sz w:val="24"/>
          <w:szCs w:val="21"/>
          <w:highlight w:val="none"/>
        </w:rPr>
        <w:t xml:space="preserve">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可以对磋商文件进行修改。磋商文件的修改将在原公告媒体发布更正公告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更正内容将作为磋商文件的组成部分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8.2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关注原公告媒体有关本项目的更正公告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根据更正公告内容自行决定是否需要重新制作和提交响应文件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8.3</w:t>
      </w:r>
      <w:r>
        <w:rPr>
          <w:rFonts w:hint="eastAsia" w:ascii="宋体" w:hAnsi="宋体" w:eastAsia="宋体" w:cs="Times New Roman"/>
          <w:color w:val="auto"/>
          <w:sz w:val="24"/>
          <w:szCs w:val="21"/>
          <w:highlight w:val="none"/>
          <w:lang w:val="en-US" w:eastAsia="zh-CN"/>
        </w:rPr>
        <w:t xml:space="preserve"> 代理机构</w:t>
      </w:r>
      <w:r>
        <w:rPr>
          <w:rFonts w:hint="eastAsia" w:ascii="宋体" w:hAnsi="宋体" w:eastAsia="宋体" w:cs="Times New Roman"/>
          <w:color w:val="auto"/>
          <w:sz w:val="24"/>
          <w:szCs w:val="21"/>
          <w:highlight w:val="none"/>
        </w:rPr>
        <w:t xml:space="preserve">有权按照法定的要求推迟提交响应文件截止时间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并在原公告媒体发布更正公告。</w:t>
      </w:r>
      <w:r/>
    </w:p>
    <w:p>
      <w:pPr>
        <w:pStyle w:val="70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三、响应文件的编制</w:t>
      </w:r>
      <w:bookmarkEnd w:id="75"/>
      <w:r/>
      <w:bookmarkEnd w:id="76"/>
      <w:r/>
      <w:bookmarkEnd w:id="77"/>
      <w:r/>
      <w:bookmarkEnd w:id="78"/>
      <w:r/>
      <w:bookmarkEnd w:id="79"/>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0" w:name="_Toc20823286"/>
      <w:r/>
      <w:bookmarkStart w:id="81" w:name="_Toc513029214"/>
      <w:r/>
      <w:bookmarkStart w:id="82" w:name="_Toc16938530"/>
      <w:r/>
      <w:bookmarkStart w:id="83" w:name="_Toc462564073"/>
      <w:r>
        <w:rPr>
          <w:rFonts w:hint="eastAsia" w:ascii="方正楷体_GBK" w:hAnsi="方正楷体_GBK" w:eastAsia="方正楷体_GBK" w:cs="方正楷体_GBK"/>
          <w:b/>
          <w:bCs/>
          <w:color w:val="auto"/>
          <w:sz w:val="28"/>
          <w:szCs w:val="28"/>
          <w:highlight w:val="none"/>
          <w:lang w:val="en-US" w:eastAsia="zh-CN"/>
        </w:rPr>
        <w:t xml:space="preserve">9.响应文件的语言及度量衡单位</w:t>
      </w:r>
      <w:bookmarkEnd w:id="80"/>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供应商提交的响应文件以及供应商与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9.2 除技术性能另有规定外</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响应文件所使用的度量衡单位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均须采用国家法定计量单位。</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4" w:name="_Toc16938531"/>
      <w:r/>
      <w:bookmarkStart w:id="85" w:name="_Toc462564074"/>
      <w:r/>
      <w:bookmarkStart w:id="86" w:name="_Toc513029215"/>
      <w:r/>
      <w:bookmarkStart w:id="87" w:name="_Toc20823287"/>
      <w:r>
        <w:rPr>
          <w:rFonts w:hint="eastAsia" w:ascii="方正楷体_GBK" w:hAnsi="方正楷体_GBK" w:eastAsia="方正楷体_GBK" w:cs="方正楷体_GBK"/>
          <w:b/>
          <w:bCs/>
          <w:color w:val="auto"/>
          <w:sz w:val="28"/>
          <w:szCs w:val="28"/>
          <w:highlight w:val="none"/>
          <w:lang w:val="en-US" w:eastAsia="zh-CN"/>
        </w:rPr>
        <w:t xml:space="preserve">10.响应文件构成</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供应商编写的响应文件应包括资格证明文件、符合性证明文件、</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10.2 如标书制作工具中格式和内容与“江苏政府采购网”发布的磋商文件不一致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以“江苏政府采购网”发布的磋商文件为准。</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8" w:name="_Hlt26954838"/>
      <w:r/>
      <w:bookmarkEnd w:id="88"/>
      <w:r/>
      <w:bookmarkStart w:id="89" w:name="_Hlt26670360"/>
      <w:r/>
      <w:bookmarkEnd w:id="89"/>
      <w:r/>
      <w:bookmarkStart w:id="90" w:name="_Hlt26668975"/>
      <w:r/>
      <w:bookmarkEnd w:id="90"/>
      <w:r/>
      <w:bookmarkStart w:id="91" w:name="_Toc49090509"/>
      <w:r/>
      <w:bookmarkStart w:id="92" w:name="_Toc513029219"/>
      <w:r/>
      <w:bookmarkStart w:id="93" w:name="_Toc14577357"/>
      <w:r/>
      <w:bookmarkStart w:id="94" w:name="_Toc49090507"/>
      <w:r/>
      <w:bookmarkStart w:id="95" w:name="_Toc14577354"/>
      <w:r/>
      <w:bookmarkStart w:id="96" w:name="_Toc513029216"/>
      <w:r/>
      <w:bookmarkStart w:id="97" w:name="_Toc49090508"/>
      <w:r/>
      <w:bookmarkStart w:id="98" w:name="_Toc14577355"/>
      <w:r>
        <w:rPr>
          <w:rFonts w:hint="eastAsia" w:ascii="方正楷体_GBK" w:hAnsi="方正楷体_GBK" w:eastAsia="方正楷体_GBK" w:cs="方正楷体_GBK"/>
          <w:b/>
          <w:bCs/>
          <w:color w:val="auto"/>
          <w:sz w:val="28"/>
          <w:szCs w:val="28"/>
          <w:highlight w:val="none"/>
          <w:lang w:val="en-US" w:eastAsia="zh-CN"/>
        </w:rPr>
        <w:t xml:space="preserve">11.证明磋商响应标的符合磋商文件规定的文件</w:t>
      </w:r>
      <w:bookmarkEnd w:id="91"/>
      <w:r/>
      <w:bookmarkEnd w:id="92"/>
      <w:r/>
      <w:bookmarkEnd w:id="93"/>
      <w:r/>
      <w:bookmarkEnd w:id="94"/>
      <w:bookmarkEnd w:id="95"/>
      <w:bookmarkEnd w:id="96"/>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w:t>
      </w:r>
      <w:r>
        <w:rPr>
          <w:rFonts w:hint="eastAsia" w:ascii="宋体" w:hAnsi="宋体" w:eastAsia="宋体" w:cs="Times New Roman"/>
          <w:color w:val="auto"/>
          <w:sz w:val="24"/>
          <w:highlight w:val="none"/>
        </w:rPr>
        <w:t xml:space="preserve">应按照</w:t>
      </w:r>
      <w:r>
        <w:rPr>
          <w:rFonts w:hint="eastAsia" w:ascii="宋体" w:hAnsi="宋体" w:eastAsia="宋体" w:cs="Times New Roman"/>
          <w:color w:val="auto"/>
          <w:sz w:val="24"/>
          <w:highlight w:val="none"/>
          <w:lang w:eastAsia="zh-CN"/>
        </w:rPr>
        <w:t xml:space="preserve">法律法规</w:t>
      </w:r>
      <w:r>
        <w:rPr>
          <w:rFonts w:hint="eastAsia" w:ascii="宋体" w:hAnsi="宋体" w:eastAsia="宋体" w:cs="Times New Roman"/>
          <w:color w:val="auto"/>
          <w:sz w:val="24"/>
          <w:highlight w:val="none"/>
        </w:rPr>
        <w:t xml:space="preserve">、规章和规范性文件以及</w:t>
      </w:r>
      <w:r>
        <w:rPr>
          <w:rFonts w:hint="eastAsia" w:ascii="宋体" w:hAnsi="宋体" w:eastAsia="宋体" w:cs="Times New Roman"/>
          <w:color w:val="auto"/>
          <w:sz w:val="24"/>
          <w:szCs w:val="21"/>
          <w:highlight w:val="none"/>
        </w:rPr>
        <w:t xml:space="preserve">磋商文件要求提交证明文件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磋商文件对证明文件无明确形式要求的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证明文件可以以文字资料、图纸和数据等形式提交。</w:t>
      </w:r>
      <w:bookmarkEnd w:id="97"/>
      <w:bookmarkEnd w:id="98"/>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12.分项报价表</w:t>
      </w:r>
      <w:r>
        <w:rPr>
          <w:rFonts w:hint="eastAsia" w:ascii="方正楷体_GBK" w:hAnsi="方正楷体_GBK" w:eastAsia="方正楷体_GBK" w:cs="方正楷体_GBK"/>
          <w:b/>
          <w:bCs/>
          <w:color w:val="auto"/>
          <w:sz w:val="28"/>
          <w:szCs w:val="28"/>
          <w:highlight w:val="none"/>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供应商应按照磋商文件规定格式填报</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响应文件中的单价和总价无特殊规定的采用人民币报价</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以元为单位标注。磋商文件另有规定的按规定执行。</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99" w:name="_Hlt26670486"/>
      <w:r/>
      <w:bookmarkEnd w:id="99"/>
      <w:r/>
      <w:bookmarkStart w:id="100" w:name="_Hlt26954848"/>
      <w:r/>
      <w:bookmarkEnd w:id="100"/>
      <w:r/>
      <w:bookmarkStart w:id="101" w:name="_Hlt26954846"/>
      <w:r/>
      <w:bookmarkEnd w:id="101"/>
      <w:r/>
      <w:bookmarkStart w:id="102" w:name="_Hlt26954731"/>
      <w:r/>
      <w:bookmarkEnd w:id="102"/>
      <w:r/>
      <w:bookmarkStart w:id="103" w:name="_Hlt26670482"/>
      <w:r/>
      <w:bookmarkEnd w:id="103"/>
      <w:r>
        <w:rPr>
          <w:rFonts w:hint="eastAsia" w:ascii="方正楷体_GBK" w:hAnsi="方正楷体_GBK" w:eastAsia="方正楷体_GBK" w:cs="方正楷体_GBK"/>
          <w:b/>
          <w:bCs/>
          <w:color w:val="auto"/>
          <w:sz w:val="28"/>
          <w:szCs w:val="28"/>
          <w:highlight w:val="none"/>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供应商可在响应文件中提供认为需要的其他技术文件或说明。</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4" w:name="_Toc49090510"/>
      <w:r/>
      <w:bookmarkStart w:id="105" w:name="_Toc14577359"/>
      <w:r>
        <w:rPr>
          <w:rFonts w:hint="eastAsia" w:ascii="方正楷体_GBK" w:hAnsi="方正楷体_GBK" w:eastAsia="方正楷体_GBK" w:cs="方正楷体_GBK"/>
          <w:b/>
          <w:bCs/>
          <w:color w:val="auto"/>
          <w:sz w:val="28"/>
          <w:szCs w:val="28"/>
          <w:highlight w:val="none"/>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供应商应按照磋商文件规定格式完整、正确填报磋商响应函。</w:t>
      </w:r>
      <w:bookmarkEnd w:id="104"/>
      <w:bookmarkEnd w:id="105"/>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6" w:name="_Toc14577360"/>
      <w:r/>
      <w:bookmarkStart w:id="107" w:name="_Toc49090511"/>
      <w:r>
        <w:rPr>
          <w:rFonts w:hint="eastAsia" w:ascii="方正楷体_GBK" w:hAnsi="方正楷体_GBK" w:eastAsia="方正楷体_GBK" w:cs="方正楷体_GBK"/>
          <w:b/>
          <w:bCs/>
          <w:color w:val="auto"/>
          <w:sz w:val="28"/>
          <w:szCs w:val="28"/>
          <w:highlight w:val="none"/>
          <w:lang w:val="en-US" w:eastAsia="zh-CN"/>
        </w:rPr>
        <w:t xml:space="preserve">15.磋商有效期</w:t>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磋商有效期为</w:t>
      </w:r>
      <w:r>
        <w:rPr>
          <w:rFonts w:hint="eastAsia" w:ascii="宋体" w:hAnsi="宋体" w:eastAsia="宋体" w:cs="Times New Roman"/>
          <w:color w:val="auto"/>
          <w:sz w:val="24"/>
          <w:szCs w:val="21"/>
          <w:highlight w:val="none"/>
          <w:lang w:eastAsia="zh-CN"/>
        </w:rPr>
        <w:t xml:space="preserve">采购公告</w:t>
      </w:r>
      <w:r>
        <w:rPr>
          <w:rFonts w:hint="eastAsia" w:ascii="宋体" w:hAnsi="宋体" w:eastAsia="宋体" w:cs="Times New Roman"/>
          <w:color w:val="auto"/>
          <w:sz w:val="24"/>
          <w:szCs w:val="21"/>
          <w:highlight w:val="none"/>
        </w:rPr>
        <w:t xml:space="preserve">规定的提交响应文件截止之日</w:t>
      </w:r>
      <w:r>
        <w:rPr>
          <w:rFonts w:hint="eastAsia" w:ascii="宋体" w:hAnsi="宋体" w:eastAsia="宋体" w:cs="Times New Roman"/>
          <w:color w:val="auto"/>
          <w:sz w:val="24"/>
          <w:szCs w:val="21"/>
          <w:highlight w:val="none"/>
          <w:lang w:eastAsia="zh-CN"/>
        </w:rPr>
        <w:t xml:space="preserve">起</w:t>
      </w:r>
      <w:r>
        <w:rPr>
          <w:rFonts w:hint="eastAsia" w:ascii="宋体" w:hAnsi="宋体" w:eastAsia="宋体" w:cs="Times New Roman"/>
          <w:color w:val="auto"/>
          <w:sz w:val="24"/>
          <w:szCs w:val="21"/>
          <w:highlight w:val="none"/>
          <w:lang w:val="zh-CN"/>
        </w:rPr>
        <w:t xml:space="preserve">六十天</w:t>
      </w:r>
      <w:r>
        <w:rPr>
          <w:rFonts w:hint="eastAsia" w:ascii="宋体" w:hAnsi="宋体" w:eastAsia="宋体" w:cs="Times New Roman"/>
          <w:color w:val="auto"/>
          <w:sz w:val="24"/>
          <w:szCs w:val="21"/>
          <w:highlight w:val="none"/>
        </w:rPr>
        <w:t xml:space="preserve">。磋商有效期比规定短的将被视为非实质性响应磋商文件而</w:t>
      </w:r>
      <w:r>
        <w:rPr>
          <w:rFonts w:hint="eastAsia" w:ascii="宋体" w:hAnsi="宋体" w:eastAsia="宋体" w:cs="Times New Roman"/>
          <w:color w:val="auto"/>
          <w:sz w:val="24"/>
          <w:szCs w:val="21"/>
          <w:highlight w:val="none"/>
          <w:lang w:eastAsia="zh-CN"/>
        </w:rPr>
        <w:t xml:space="preserve">被</w:t>
      </w:r>
      <w:r>
        <w:rPr>
          <w:rFonts w:hint="eastAsia" w:ascii="宋体" w:hAnsi="宋体" w:eastAsia="宋体" w:cs="Times New Roman"/>
          <w:color w:val="auto"/>
          <w:sz w:val="24"/>
          <w:szCs w:val="21"/>
          <w:highlight w:val="none"/>
        </w:rPr>
        <w:t xml:space="preserve">拒绝。</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在特殊情况下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于原磋商有效期满之前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的这一要求而放弃磋商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同意延长磋商有效期的供应商既不能要求也不允许修改其响应文件</w:t>
      </w:r>
      <w:r>
        <w:rPr>
          <w:rFonts w:hint="eastAsia" w:ascii="宋体" w:hAnsi="宋体" w:eastAsia="宋体" w:cs="Times New Roman"/>
          <w:color w:val="auto"/>
          <w:sz w:val="24"/>
          <w:szCs w:val="21"/>
          <w:highlight w:val="none"/>
          <w:lang w:eastAsia="zh-CN"/>
        </w:rPr>
        <w:t xml:space="preserve">，同时</w:t>
      </w:r>
      <w:r>
        <w:rPr>
          <w:rFonts w:hint="eastAsia" w:ascii="宋体" w:hAnsi="宋体" w:eastAsia="宋体" w:cs="Times New Roman"/>
          <w:color w:val="auto"/>
          <w:sz w:val="24"/>
          <w:szCs w:val="21"/>
          <w:highlight w:val="none"/>
        </w:rPr>
        <w:t xml:space="preserve">受磋商有效期约束的所有权利与义务均延长至新的有效期</w:t>
      </w:r>
      <w:r>
        <w:rPr>
          <w:rFonts w:hint="eastAsia" w:ascii="宋体" w:hAnsi="宋体" w:eastAsia="宋体" w:cs="Times New Roman"/>
          <w:color w:val="auto"/>
          <w:sz w:val="24"/>
          <w:szCs w:val="21"/>
          <w:highlight w:val="none"/>
          <w:lang w:eastAsia="zh-CN"/>
        </w:rPr>
        <w:t xml:space="preserve">满</w:t>
      </w:r>
      <w:r>
        <w:rPr>
          <w:rFonts w:hint="eastAsia" w:ascii="宋体" w:hAnsi="宋体" w:eastAsia="宋体" w:cs="Times New Roman"/>
          <w:color w:val="auto"/>
          <w:sz w:val="24"/>
          <w:szCs w:val="21"/>
          <w:highlight w:val="none"/>
        </w:rPr>
        <w:t xml:space="preserve">。</w:t>
      </w:r>
      <w:r/>
    </w:p>
    <w:p>
      <w:pPr>
        <w:pStyle w:val="70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08" w:name="_Hlt26954739"/>
      <w:r/>
      <w:bookmarkEnd w:id="108"/>
      <w:r/>
      <w:bookmarkStart w:id="109" w:name="_Hlt26954852"/>
      <w:r/>
      <w:bookmarkEnd w:id="109"/>
      <w:r/>
      <w:bookmarkStart w:id="110" w:name="_Toc120614217"/>
      <w:r/>
      <w:bookmarkStart w:id="111" w:name="_Toc513029224"/>
      <w:r/>
      <w:bookmarkStart w:id="112" w:name="_Toc16938540"/>
      <w:r/>
      <w:bookmarkStart w:id="113" w:name="_Toc20823296"/>
      <w:r>
        <w:rPr>
          <w:rFonts w:hint="eastAsia" w:ascii="方正黑体_GBK" w:hAnsi="方正黑体_GBK" w:eastAsia="方正黑体_GBK" w:cs="方正黑体_GBK"/>
          <w:b w:val="0"/>
          <w:bCs w:val="0"/>
          <w:color w:val="auto"/>
          <w:sz w:val="30"/>
          <w:szCs w:val="30"/>
          <w:highlight w:val="none"/>
        </w:rPr>
        <w:t xml:space="preserve">四、响应文件的递交</w:t>
      </w:r>
      <w:bookmarkEnd w:id="110"/>
      <w:r/>
      <w:bookmarkEnd w:id="111"/>
      <w:r/>
      <w:bookmarkEnd w:id="112"/>
      <w:r/>
      <w:bookmarkEnd w:id="113"/>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14" w:name="_Toc513029225"/>
      <w:r/>
      <w:bookmarkStart w:id="115" w:name="_Toc20823297"/>
      <w:r/>
      <w:bookmarkStart w:id="116" w:name="_Toc462564084"/>
      <w:r/>
      <w:bookmarkStart w:id="117" w:name="_Toc16938541"/>
      <w:r>
        <w:rPr>
          <w:rFonts w:hint="eastAsia" w:ascii="方正楷体_GBK" w:hAnsi="方正楷体_GBK" w:eastAsia="方正楷体_GBK" w:cs="方正楷体_GBK"/>
          <w:b/>
          <w:bCs/>
          <w:color w:val="auto"/>
          <w:sz w:val="28"/>
          <w:szCs w:val="28"/>
          <w:highlight w:val="none"/>
          <w:lang w:val="en-US" w:eastAsia="zh-CN"/>
        </w:rPr>
        <w:t xml:space="preserve">17.</w:t>
      </w:r>
      <w:bookmarkEnd w:id="114"/>
      <w:r/>
      <w:bookmarkEnd w:id="115"/>
      <w:r/>
      <w:bookmarkEnd w:id="116"/>
      <w:r/>
      <w:bookmarkEnd w:id="117"/>
      <w:r>
        <w:rPr>
          <w:rFonts w:hint="eastAsia" w:ascii="方正楷体_GBK" w:hAnsi="方正楷体_GBK" w:eastAsia="方正楷体_GBK" w:cs="方正楷体_GBK"/>
          <w:b/>
          <w:bCs/>
          <w:color w:val="auto"/>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供应商应当按照《操作手册》规定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eastAsia="zh-CN"/>
        </w:rPr>
        <w:t xml:space="preserve">公告规定的</w:t>
      </w:r>
      <w:r>
        <w:rPr>
          <w:rFonts w:hint="eastAsia" w:ascii="宋体" w:hAnsi="宋体" w:eastAsia="宋体" w:cs="Times New Roman"/>
          <w:color w:val="auto"/>
          <w:sz w:val="24"/>
          <w:szCs w:val="21"/>
          <w:highlight w:val="none"/>
        </w:rPr>
        <w:t xml:space="preserve">提交响应文件截止时间前制作并上传电子响应文件。</w:t>
      </w:r>
      <w:bookmarkStart w:id="118" w:name="_Toc16938542"/>
      <w:r/>
      <w:bookmarkStart w:id="119" w:name="_Toc20823298"/>
      <w:r/>
      <w:bookmarkStart w:id="120" w:name="_Toc513029226"/>
      <w:r/>
      <w:bookmarkEnd w:id="118"/>
      <w:bookmarkEnd w:id="119"/>
      <w:bookmarkEnd w:id="120"/>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17</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2 </w:t>
      </w:r>
      <w:r>
        <w:rPr>
          <w:rFonts w:hint="eastAsia" w:ascii="宋体" w:hAnsi="宋体" w:eastAsia="宋体" w:cs="Times New Roman"/>
          <w:color w:val="auto"/>
          <w:sz w:val="24"/>
          <w:szCs w:val="21"/>
          <w:highlight w:val="none"/>
        </w:rPr>
        <w:t xml:space="preserve">供应商应充分考虑网络环境、网络带宽等因素</w:t>
      </w:r>
      <w:r>
        <w:rPr>
          <w:rFonts w:hint="eastAsia" w:ascii="宋体" w:hAnsi="宋体" w:eastAsia="宋体" w:cs="Times New Roman"/>
          <w:color w:val="auto"/>
          <w:sz w:val="24"/>
          <w:highlight w:val="none"/>
          <w:lang w:val="en-US" w:eastAsia="zh-CN"/>
        </w:rPr>
        <w:t xml:space="preserve">可能产生的影响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如因供应商自身原因造成的电子响应文件上传不成功的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按照本磋商文件第二章第2</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.4条规定做无效响应处理。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可以按照规定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通过修改磋商文件酌情延长提交响应文件截止日期</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在此情况下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供应商的所有权利和义务均以延长后新的截止日期为准。</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21" w:name="_Toc16938543"/>
      <w:r/>
      <w:bookmarkStart w:id="122" w:name="_Toc20823299"/>
      <w:r/>
      <w:bookmarkStart w:id="123" w:name="_Toc513029227"/>
      <w:r>
        <w:rPr>
          <w:rFonts w:hint="eastAsia" w:ascii="方正楷体_GBK" w:hAnsi="方正楷体_GBK" w:eastAsia="方正楷体_GBK" w:cs="方正楷体_GBK"/>
          <w:b/>
          <w:bCs/>
          <w:color w:val="auto"/>
          <w:sz w:val="28"/>
          <w:szCs w:val="28"/>
          <w:highlight w:val="none"/>
          <w:lang w:val="en-US" w:eastAsia="zh-CN"/>
        </w:rPr>
        <w:t xml:space="preserve">18.响应文件</w:t>
      </w:r>
      <w:bookmarkEnd w:id="121"/>
      <w:r/>
      <w:bookmarkEnd w:id="122"/>
      <w:r/>
      <w:bookmarkEnd w:id="123"/>
      <w:r>
        <w:rPr>
          <w:rFonts w:hint="eastAsia" w:ascii="方正楷体_GBK" w:hAnsi="方正楷体_GBK" w:eastAsia="方正楷体_GBK" w:cs="方正楷体_GBK"/>
          <w:b/>
          <w:bCs/>
          <w:color w:val="auto"/>
          <w:sz w:val="28"/>
          <w:szCs w:val="28"/>
          <w:highlight w:val="none"/>
          <w:lang w:val="en-US" w:eastAsia="zh-CN"/>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18</w:t>
      </w:r>
      <w:r>
        <w:rPr>
          <w:rFonts w:hint="eastAsia" w:ascii="宋体" w:hAnsi="宋体" w:eastAsia="宋体" w:cs="Times New Roman"/>
          <w:color w:val="auto"/>
          <w:sz w:val="24"/>
          <w:szCs w:val="21"/>
          <w:highlight w:val="none"/>
        </w:rPr>
        <w:t xml:space="preserve">.1 提交响应文件截止时间后上传的任何响应文件</w:t>
      </w:r>
      <w:r>
        <w:rPr>
          <w:rFonts w:hint="eastAsia" w:ascii="宋体" w:hAnsi="宋体" w:eastAsia="宋体" w:cs="Times New Roman"/>
          <w:color w:val="auto"/>
          <w:sz w:val="24"/>
          <w:szCs w:val="21"/>
          <w:highlight w:val="none"/>
          <w:lang w:eastAsia="zh-CN"/>
        </w:rPr>
        <w:t xml:space="preserve">将被拒绝</w:t>
      </w:r>
      <w:r>
        <w:rPr>
          <w:rFonts w:hint="eastAsia" w:ascii="宋体" w:hAnsi="宋体" w:eastAsia="宋体" w:cs="Times New Roman"/>
          <w:color w:val="auto"/>
          <w:sz w:val="24"/>
          <w:szCs w:val="21"/>
          <w:highlight w:val="none"/>
        </w:rPr>
        <w:t xml:space="preserve">。</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24" w:name="_Toc16938544"/>
      <w:r/>
      <w:bookmarkStart w:id="125" w:name="_Toc513029228"/>
      <w:r/>
      <w:bookmarkStart w:id="126" w:name="_Toc20823300"/>
      <w:r>
        <w:rPr>
          <w:rFonts w:hint="eastAsia" w:ascii="方正楷体_GBK" w:hAnsi="方正楷体_GBK" w:eastAsia="方正楷体_GBK" w:cs="方正楷体_GBK"/>
          <w:b/>
          <w:bCs/>
          <w:color w:val="auto"/>
          <w:sz w:val="28"/>
          <w:szCs w:val="28"/>
          <w:highlight w:val="none"/>
          <w:lang w:val="en-US" w:eastAsia="zh-CN"/>
        </w:rPr>
        <w:t xml:space="preserve">19.响应文件的撤回和修改</w:t>
      </w:r>
      <w:bookmarkEnd w:id="124"/>
      <w:r/>
      <w:bookmarkEnd w:id="125"/>
      <w:r/>
      <w:bookmarkEnd w:id="12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撤回其电子响应文件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供应商撤回电子响应文件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19.2.1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对其电子响应文件进行修改</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19.2.2 </w:t>
      </w:r>
      <w:r>
        <w:rPr>
          <w:rFonts w:hint="eastAsia" w:ascii="宋体" w:hAnsi="宋体" w:eastAsia="宋体" w:cs="Times New Roman"/>
          <w:color w:val="auto"/>
          <w:sz w:val="24"/>
          <w:szCs w:val="21"/>
          <w:highlight w:val="none"/>
        </w:rPr>
        <w:t xml:space="preserve">提交响应文件截止时间之后</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供应商不得撤回其响应文件。</w:t>
      </w:r>
      <w:r/>
    </w:p>
    <w:p>
      <w:pPr>
        <w:pStyle w:val="70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27" w:name="_Toc20823301"/>
      <w:r/>
      <w:bookmarkStart w:id="128" w:name="_Toc120614218"/>
      <w:r/>
      <w:bookmarkStart w:id="129" w:name="_Toc16938545"/>
      <w:r/>
      <w:bookmarkStart w:id="130" w:name="_Toc513029229"/>
      <w:r>
        <w:rPr>
          <w:rFonts w:hint="eastAsia" w:ascii="方正黑体_GBK" w:hAnsi="方正黑体_GBK" w:eastAsia="方正黑体_GBK" w:cs="方正黑体_GBK"/>
          <w:b w:val="0"/>
          <w:bCs w:val="0"/>
          <w:color w:val="auto"/>
          <w:sz w:val="30"/>
          <w:szCs w:val="30"/>
          <w:highlight w:val="none"/>
        </w:rPr>
        <w:t xml:space="preserve">五、响应文件的解密与评审</w:t>
      </w:r>
      <w:bookmarkEnd w:id="127"/>
      <w:r/>
      <w:bookmarkEnd w:id="128"/>
      <w:r/>
      <w:bookmarkEnd w:id="129"/>
      <w:r/>
      <w:bookmarkEnd w:id="130"/>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1" w:name="_Toc20823302"/>
      <w:r/>
      <w:bookmarkStart w:id="132" w:name="_Toc513029230"/>
      <w:r/>
      <w:bookmarkStart w:id="133" w:name="_Toc16938546"/>
      <w:r>
        <w:rPr>
          <w:rFonts w:hint="eastAsia" w:ascii="方正楷体_GBK" w:hAnsi="方正楷体_GBK" w:eastAsia="方正楷体_GBK" w:cs="方正楷体_GBK"/>
          <w:b/>
          <w:bCs/>
          <w:color w:val="auto"/>
          <w:sz w:val="28"/>
          <w:szCs w:val="28"/>
          <w:highlight w:val="none"/>
          <w:lang w:val="en-US" w:eastAsia="zh-CN"/>
        </w:rPr>
        <w:t xml:space="preserve">2</w:t>
      </w:r>
      <w:bookmarkEnd w:id="131"/>
      <w:r/>
      <w:bookmarkEnd w:id="132"/>
      <w:r/>
      <w:bookmarkEnd w:id="133"/>
      <w:r>
        <w:rPr>
          <w:rFonts w:hint="eastAsia" w:ascii="方正楷体_GBK" w:hAnsi="方正楷体_GBK" w:eastAsia="方正楷体_GBK" w:cs="方正楷体_GBK"/>
          <w:b/>
          <w:bCs/>
          <w:color w:val="auto"/>
          <w:sz w:val="28"/>
          <w:szCs w:val="28"/>
          <w:highlight w:val="none"/>
          <w:lang w:val="en-US" w:eastAsia="zh-CN"/>
        </w:rPr>
        <w:t xml:space="preserve">0.响应文件解密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20.1 供应商应当按照《操作手册》规定，在苏采云系统规定的时间内对响应文件进行解密。</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4" w:name="_Toc16938547"/>
      <w:r/>
      <w:bookmarkStart w:id="135" w:name="_Toc20823303"/>
      <w:r/>
      <w:bookmarkStart w:id="136" w:name="_Toc513029231"/>
      <w:r>
        <w:rPr>
          <w:rFonts w:hint="eastAsia" w:ascii="方正楷体_GBK" w:hAnsi="方正楷体_GBK" w:eastAsia="方正楷体_GBK" w:cs="方正楷体_GBK"/>
          <w:b/>
          <w:bCs/>
          <w:color w:val="auto"/>
          <w:sz w:val="28"/>
          <w:szCs w:val="28"/>
          <w:highlight w:val="none"/>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21.2 磋商小组由采购人代表和有关技术、经济或法律等方面的专家组成，且人员构成符合政府采购有关规定。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21.3 磋商小组独立工作，负责评审所有响应文件并推荐成交候选人，或根据采购人授权直接确定成交供应商。</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22.评审过程的保密与公正</w:t>
      </w:r>
      <w:bookmarkEnd w:id="134"/>
      <w:bookmarkEnd w:id="135"/>
      <w:bookmarkEnd w:id="136"/>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 磋商小组、采购人和代理机构工作人员、相关监督人员等与评审工作有关的人员，对评审情况以及在评审过程中获悉的国家秘密、商业秘密负有保密责任。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22.3 代理机构和磋商小组不向未成交的供应商解释未成交原因，也不公布评审过程中的相关细节。</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7" w:name="_Toc16938548"/>
      <w:r/>
      <w:bookmarkStart w:id="138" w:name="_Toc20823304"/>
      <w:r/>
      <w:bookmarkStart w:id="139" w:name="_Toc513029232"/>
      <w:r>
        <w:rPr>
          <w:rFonts w:hint="eastAsia" w:ascii="方正楷体_GBK" w:hAnsi="方正楷体_GBK" w:eastAsia="方正楷体_GBK" w:cs="方正楷体_GBK"/>
          <w:b/>
          <w:bCs/>
          <w:color w:val="auto"/>
          <w:sz w:val="28"/>
          <w:szCs w:val="28"/>
          <w:highlight w:val="none"/>
          <w:lang w:val="en-US" w:eastAsia="zh-CN"/>
        </w:rPr>
        <w:t xml:space="preserve">23.评审过程中的澄清</w:t>
      </w:r>
      <w:bookmarkEnd w:id="137"/>
      <w:r/>
      <w:bookmarkEnd w:id="138"/>
      <w:r/>
      <w:bookmarkEnd w:id="13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，接到</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的供应商应当按照要求在苏采云系统中提交</w:t>
      </w:r>
      <w:r>
        <w:rPr>
          <w:rFonts w:hint="eastAsia" w:ascii="宋体" w:hAnsi="宋体" w:eastAsia="宋体" w:cs="Times New Roman"/>
          <w:color w:val="auto"/>
          <w:sz w:val="24"/>
          <w:highlight w:val="none"/>
          <w:lang w:val="zh-CN"/>
        </w:rPr>
        <w:t xml:space="preserve">《澄清响应函》</w:t>
      </w:r>
      <w:r>
        <w:rPr>
          <w:rFonts w:hint="eastAsia" w:ascii="宋体" w:hAnsi="宋体" w:eastAsia="宋体" w:cs="Times New Roman"/>
          <w:color w:val="auto"/>
          <w:sz w:val="24"/>
          <w:szCs w:val="21"/>
          <w:highlight w:val="none"/>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23.3 接到磋商小组澄清、说明和补正要求的供应商如未按规定作出澄清、说明和补正，其风险由供应商自行承担。</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40" w:name="_Toc20823305"/>
      <w:r/>
      <w:bookmarkStart w:id="141" w:name="_Toc513029233"/>
      <w:r/>
      <w:bookmarkStart w:id="142" w:name="_Toc16938549"/>
      <w:r>
        <w:rPr>
          <w:rFonts w:hint="eastAsia" w:ascii="方正楷体_GBK" w:hAnsi="方正楷体_GBK" w:eastAsia="方正楷体_GBK" w:cs="方正楷体_GBK"/>
          <w:b/>
          <w:bCs/>
          <w:color w:val="auto"/>
          <w:sz w:val="28"/>
          <w:szCs w:val="28"/>
          <w:highlight w:val="none"/>
          <w:lang w:val="en-US" w:eastAsia="zh-CN"/>
        </w:rPr>
        <w:t xml:space="preserve">24.响应文件的审</w:t>
      </w:r>
      <w:bookmarkEnd w:id="140"/>
      <w:r/>
      <w:bookmarkEnd w:id="141"/>
      <w:r/>
      <w:bookmarkEnd w:id="142"/>
      <w:r>
        <w:rPr>
          <w:rFonts w:hint="eastAsia" w:ascii="方正楷体_GBK" w:hAnsi="方正楷体_GBK" w:eastAsia="方正楷体_GBK" w:cs="方正楷体_GBK"/>
          <w:b/>
          <w:bCs/>
          <w:color w:val="auto"/>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接受联合体的项目，联合体成员存在不良信用记录的，视同联合体存在不良</w:t>
      </w:r>
      <w:r>
        <w:rPr>
          <w:rFonts w:hint="eastAsia" w:ascii="宋体" w:hAnsi="宋体" w:eastAsia="宋体" w:cs="Times New Roman"/>
          <w:color w:val="auto"/>
          <w:sz w:val="24"/>
          <w:highlight w:val="none"/>
          <w:lang w:val="en-US" w:eastAsia="zh-CN"/>
        </w:rPr>
        <w:t xml:space="preserve">信</w:t>
      </w:r>
      <w:r>
        <w:rPr>
          <w:rFonts w:hint="eastAsia" w:ascii="宋体" w:hAnsi="宋体" w:eastAsia="宋体" w:cs="Times New Roman"/>
          <w:color w:val="auto"/>
          <w:sz w:val="24"/>
          <w:highlight w:val="none"/>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highlight w:val="none"/>
          <w:lang w:val="zh-CN"/>
        </w:rPr>
        <w:t xml:space="preserve">磋商小组</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highlight w:val="none"/>
          <w:lang w:val="en-US" w:eastAsia="zh-CN"/>
        </w:rPr>
        <w:t xml:space="preserve">认</w:t>
      </w:r>
      <w:r>
        <w:rPr>
          <w:rFonts w:hint="eastAsia" w:ascii="宋体" w:hAnsi="宋体" w:eastAsia="宋体" w:cs="Times New Roman"/>
          <w:color w:val="auto"/>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 异常低价投标审查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24.3.1根据《关于推动解决政府采购异常低价问题相关工作的通知》（财库〔2026〕2号）的规定，评审过程中出现下列情形之一的，磋商小组应当启动异常低价投标审查程序：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（1）最后报价低于全部通过符合性审查供应商最后报价平均值50%的，即最后报价&lt;全部通过符合性审查供应商最后报价平均值×50%；</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（2）最后报价低于通过符合性审查的次低报价供应商最后报价50%的，即最后报价&lt;通过符合性审查的次低报价供应商最后报价×50%；</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（3）最后报价低于采购项目最高限价</w:t>
      </w:r>
      <w:r>
        <w:rPr>
          <w:rFonts w:hint="eastAsia" w:ascii="宋体" w:hAnsi="宋体" w:eastAsia="宋体" w:cs="Times New Roman"/>
          <w:color w:val="auto"/>
          <w:sz w:val="24"/>
          <w:highlight w:val="none"/>
          <w:lang w:val="en-US" w:eastAsia="zh-CN"/>
        </w:rPr>
        <w:t xml:space="preserve">45</w:t>
      </w:r>
      <w:r>
        <w:rPr>
          <w:rFonts w:hint="eastAsia" w:ascii="宋体" w:hAnsi="宋体" w:eastAsia="宋体" w:cs="Times New Roman"/>
          <w:color w:val="auto"/>
          <w:sz w:val="24"/>
          <w:highlight w:val="none"/>
          <w:lang w:val="zh-CN"/>
        </w:rPr>
        <w:t xml:space="preserve">%的，即最后报价&lt;采购项目最高限价×</w:t>
      </w:r>
      <w:r>
        <w:rPr>
          <w:rFonts w:hint="eastAsia" w:ascii="宋体" w:hAnsi="宋体" w:eastAsia="宋体" w:cs="Times New Roman"/>
          <w:color w:val="auto"/>
          <w:sz w:val="24"/>
          <w:highlight w:val="none"/>
          <w:lang w:val="en-US" w:eastAsia="zh-CN"/>
        </w:rPr>
        <w:t xml:space="preserve">45</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（4）磋商小组基于专业判断，认为供应商最后报价过低，有可能影响产品质量或者不能诚信履约的其他情形。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24.3.2磋商小组启动异常低价投标审查后，属于前述第（1）项至第（4）项情形的，应当要求相关供应商在评审现场合理的时间内对最后报价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未实质性响应磋商文件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24.4.5 供应商的最后报价超过了采购预算或最高限价。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24.4.6 不符合磋商文件中规定的实质性要求和条件（</w:t>
      </w:r>
      <w:r>
        <w:rPr>
          <w:rFonts w:hint="eastAsia" w:ascii="宋体" w:hAnsi="宋体" w:eastAsia="宋体" w:cs="Times New Roman"/>
          <w:b/>
          <w:bCs/>
          <w:i w:val="0"/>
          <w:iCs w:val="0"/>
          <w:color w:val="auto"/>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auto"/>
          <w:sz w:val="24"/>
          <w:szCs w:val="21"/>
          <w:highlight w:val="none"/>
          <w:u w:val="none"/>
          <w:lang w:val="zh-CN" w:eastAsia="zh-CN"/>
        </w:rPr>
        <w:t xml:space="preserve">或者打“</w:t>
      </w:r>
      <w:r>
        <w:rPr>
          <w:rFonts w:hint="eastAsia" w:ascii="宋体" w:hAnsi="宋体" w:eastAsia="宋体" w:cs="Times New Roman"/>
          <w:b/>
          <w:bCs/>
          <w:i w:val="0"/>
          <w:iCs w:val="0"/>
          <w:color w:val="auto"/>
          <w:sz w:val="24"/>
          <w:szCs w:val="21"/>
          <w:highlight w:val="none"/>
          <w:u w:val="none"/>
          <w:lang w:val="en-US" w:eastAsia="zh-CN"/>
        </w:rPr>
        <w:t xml:space="preserve">★</w:t>
      </w:r>
      <w:r>
        <w:rPr>
          <w:rFonts w:hint="eastAsia" w:ascii="宋体" w:hAnsi="宋体" w:eastAsia="宋体" w:cs="Times New Roman"/>
          <w:b/>
          <w:bCs/>
          <w:i w:val="0"/>
          <w:iCs w:val="0"/>
          <w:color w:val="auto"/>
          <w:sz w:val="24"/>
          <w:szCs w:val="21"/>
          <w:highlight w:val="none"/>
          <w:u w:val="none"/>
          <w:lang w:val="zh-CN" w:eastAsia="zh-CN"/>
        </w:rPr>
        <w:t xml:space="preserve">”内容，</w:t>
      </w:r>
      <w:r>
        <w:rPr>
          <w:rFonts w:hint="eastAsia" w:ascii="宋体" w:hAnsi="宋体" w:eastAsia="宋体" w:cs="Times New Roman"/>
          <w:b/>
          <w:bCs/>
          <w:i w:val="0"/>
          <w:iCs w:val="0"/>
          <w:color w:val="auto"/>
          <w:sz w:val="24"/>
          <w:szCs w:val="21"/>
          <w:highlight w:val="none"/>
          <w:u w:val="none"/>
          <w:lang w:val="en-US" w:eastAsia="zh-CN"/>
        </w:rPr>
        <w:t xml:space="preserve">为实质性要求和条件</w:t>
      </w:r>
      <w:r>
        <w:rPr>
          <w:rFonts w:hint="eastAsia" w:ascii="宋体" w:hAnsi="宋体" w:eastAsia="宋体" w:cs="Times New Roman"/>
          <w:color w:val="auto"/>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24.4.9 </w:t>
      </w:r>
      <w:r>
        <w:rPr>
          <w:rFonts w:hint="eastAsia" w:ascii="宋体" w:hAnsi="宋体" w:eastAsia="宋体" w:cs="Times New Roman"/>
          <w:color w:val="auto"/>
          <w:sz w:val="24"/>
          <w:szCs w:val="21"/>
          <w:highlight w:val="none"/>
          <w:lang w:val="zh-CN" w:eastAsia="zh-CN"/>
        </w:rPr>
        <w:t xml:space="preserve">磋商小组按照本采购文件规定对供应商进行异常低价投标审查后，认为供应商不能证明其报价合理性的。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24.4.10 </w:t>
      </w:r>
      <w:r>
        <w:rPr>
          <w:rFonts w:hint="eastAsia" w:ascii="宋体" w:hAnsi="宋体" w:eastAsia="宋体" w:cs="Times New Roman"/>
          <w:color w:val="auto"/>
          <w:sz w:val="24"/>
          <w:szCs w:val="21"/>
          <w:highlight w:val="none"/>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24.5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24.6 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43" w:name="_Toc16938550"/>
      <w:r/>
      <w:bookmarkStart w:id="144" w:name="_Toc513029234"/>
      <w:r/>
      <w:bookmarkStart w:id="145" w:name="_Toc20823306"/>
      <w:r>
        <w:rPr>
          <w:rFonts w:hint="eastAsia" w:ascii="宋体" w:hAnsi="宋体" w:eastAsia="宋体" w:cs="Times New Roman"/>
          <w:color w:val="auto"/>
          <w:sz w:val="24"/>
          <w:szCs w:val="21"/>
          <w:highlight w:val="none"/>
          <w:lang w:val="en-US" w:eastAsia="zh-CN"/>
        </w:rPr>
        <w:t xml:space="preserve">24.7 供应商在项目评审全过程中应保持通信畅通，</w:t>
      </w:r>
      <w:r>
        <w:rPr>
          <w:rFonts w:hint="eastAsia" w:ascii="宋体" w:hAnsi="宋体" w:eastAsia="宋体" w:cs="Times New Roman"/>
          <w:color w:val="auto"/>
          <w:sz w:val="24"/>
          <w:highlight w:val="none"/>
          <w:lang w:val="zh-CN"/>
        </w:rPr>
        <w:t xml:space="preserve">及时登录苏采云系统查阅、答复相关信息，并安排专人与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及磋商小组联系。</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w:t>
      </w:r>
      <w:bookmarkEnd w:id="143"/>
      <w:r/>
      <w:bookmarkEnd w:id="144"/>
      <w:r/>
      <w:bookmarkEnd w:id="145"/>
      <w:r>
        <w:rPr>
          <w:rFonts w:hint="eastAsia" w:ascii="方正楷体_GBK" w:hAnsi="方正楷体_GBK" w:eastAsia="方正楷体_GBK" w:cs="方正楷体_GBK"/>
          <w:b/>
          <w:bCs/>
          <w:color w:val="auto"/>
          <w:sz w:val="28"/>
          <w:szCs w:val="28"/>
          <w:highlight w:val="none"/>
          <w:lang w:val="en-US" w:eastAsia="zh-CN"/>
        </w:rPr>
        <w:t xml:space="preserve">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46" w:name="_Toc513029235"/>
      <w:r/>
      <w:bookmarkStart w:id="147" w:name="_Toc120614219"/>
      <w:r/>
      <w:bookmarkStart w:id="148" w:name="_Toc20823307"/>
      <w:r/>
      <w:bookmarkStart w:id="149" w:name="_Toc16938551"/>
      <w:r>
        <w:rPr>
          <w:rFonts w:hint="eastAsia" w:ascii="宋体" w:hAnsi="宋体" w:eastAsia="宋体" w:cs="Times New Roman"/>
          <w:color w:val="auto"/>
          <w:sz w:val="24"/>
          <w:szCs w:val="21"/>
          <w:highlight w:val="none"/>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b/>
          <w:bCs/>
          <w:color w:val="auto"/>
          <w:sz w:val="24"/>
          <w:szCs w:val="21"/>
          <w:highlight w:val="none"/>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lang w:val="zh-CN" w:eastAsia="zh-CN"/>
        </w:rPr>
        <w:t xml:space="preserve">.3.5</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法律法规规定的其他应当终止情形。</w:t>
      </w:r>
      <w:r/>
    </w:p>
    <w:p>
      <w:pPr>
        <w:pStyle w:val="70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w:t>
      </w:r>
      <w:bookmarkEnd w:id="146"/>
      <w:r/>
      <w:bookmarkEnd w:id="147"/>
      <w:r/>
      <w:bookmarkEnd w:id="148"/>
      <w:r/>
      <w:bookmarkEnd w:id="149"/>
      <w:r>
        <w:rPr>
          <w:rFonts w:hint="eastAsia" w:ascii="方正黑体_GBK" w:hAnsi="方正黑体_GBK" w:eastAsia="方正黑体_GBK" w:cs="方正黑体_GBK"/>
          <w:b w:val="0"/>
          <w:bCs w:val="0"/>
          <w:color w:val="auto"/>
          <w:sz w:val="30"/>
          <w:szCs w:val="30"/>
          <w:highlight w:val="none"/>
        </w:rPr>
        <w:t xml:space="preserve">成交</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50" w:name="_Toc513029238"/>
      <w:r/>
      <w:bookmarkStart w:id="151" w:name="_Toc16938554"/>
      <w:r/>
      <w:bookmarkStart w:id="152" w:name="_Toc20823310"/>
      <w:r>
        <w:rPr>
          <w:rFonts w:hint="eastAsia" w:ascii="方正楷体_GBK" w:hAnsi="方正楷体_GBK" w:eastAsia="方正楷体_GBK" w:cs="方正楷体_GBK"/>
          <w:b/>
          <w:bCs/>
          <w:color w:val="auto"/>
          <w:sz w:val="28"/>
          <w:szCs w:val="28"/>
          <w:highlight w:val="none"/>
          <w:lang w:val="en-US" w:eastAsia="zh-CN"/>
        </w:rPr>
        <w:t xml:space="preserve">2</w:t>
      </w:r>
      <w:bookmarkEnd w:id="150"/>
      <w:r>
        <w:rPr>
          <w:rFonts w:hint="eastAsia" w:ascii="方正楷体_GBK" w:hAnsi="方正楷体_GBK" w:eastAsia="方正楷体_GBK" w:cs="方正楷体_GBK"/>
          <w:b/>
          <w:bCs/>
          <w:color w:val="auto"/>
          <w:sz w:val="28"/>
          <w:szCs w:val="28"/>
          <w:highlight w:val="none"/>
          <w:lang w:val="en-US" w:eastAsia="zh-CN"/>
        </w:rPr>
        <w:t xml:space="preserve">6.确定</w:t>
      </w:r>
      <w:bookmarkEnd w:id="151"/>
      <w:r/>
      <w:bookmarkEnd w:id="152"/>
      <w:r>
        <w:rPr>
          <w:rFonts w:hint="eastAsia" w:ascii="方正楷体_GBK" w:hAnsi="方正楷体_GBK" w:eastAsia="方正楷体_GBK" w:cs="方正楷体_GBK"/>
          <w:b/>
          <w:bCs/>
          <w:color w:val="auto"/>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1"/>
          <w:highlight w:val="none"/>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 2 </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直接确定排名第一的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为</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（2）采购人在</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按第二种方式确定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的，</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lang w:val="zh-CN" w:eastAsia="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26.3 代理机构将在“江苏政府采购网”发布成交结果公告，公告期限为1个工作日。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 </w:t>
      </w:r>
      <w:r>
        <w:rPr>
          <w:rFonts w:hint="eastAsia" w:ascii="宋体" w:hAnsi="宋体" w:eastAsia="宋体" w:cs="Times New Roman"/>
          <w:b/>
          <w:bCs/>
          <w:color w:val="auto"/>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26.4.2 向评审专家、采购人或代理机构工作人员行贿或者提供其他不正当利益。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26.4.3 与其他供应商、评审专家、采购人或代理机构工作人员恶意串通。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26.4.5 </w:t>
      </w:r>
      <w:r>
        <w:rPr>
          <w:rFonts w:hint="eastAsia" w:ascii="宋体" w:hAnsi="宋体" w:eastAsia="宋体" w:cs="Times New Roman"/>
          <w:color w:val="auto"/>
          <w:sz w:val="24"/>
          <w:szCs w:val="21"/>
          <w:highlight w:val="none"/>
          <w:lang w:val="en-US"/>
        </w:rPr>
        <w:t xml:space="preserve">采取不正当手段诋毁、排挤其他供应商。</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53" w:name="_Toc200451960"/>
      <w:r>
        <w:rPr>
          <w:rFonts w:hint="eastAsia" w:ascii="方正楷体_GBK" w:hAnsi="方正楷体_GBK" w:eastAsia="方正楷体_GBK" w:cs="方正楷体_GBK"/>
          <w:b/>
          <w:bCs/>
          <w:color w:val="auto"/>
          <w:sz w:val="28"/>
          <w:szCs w:val="28"/>
          <w:highlight w:val="none"/>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27.1 成交结果确定后，代理机构将向成交供应商发出《成交通知书》。成交供应商可在成交结果公告届满之日起三十日内，登录苏采云系统下载。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70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28.签订合同</w:t>
      </w:r>
      <w:r/>
    </w:p>
    <w:p>
      <w:pPr>
        <w:ind w:firstLine="420"/>
        <w:keepLines w:val="0"/>
        <w:keepNext w:val="0"/>
        <w:pageBreakBefore w:val="0"/>
        <w:spacing w:line="240" w:lineRule="auto"/>
        <w:widowControl w:val="off"/>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auto"/>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28.4 成交供应商因自身原因拒绝与采购人签订合同的，</w:t>
      </w:r>
      <w:r>
        <w:rPr>
          <w:rFonts w:hint="eastAsia" w:ascii="宋体" w:hAnsi="宋体" w:eastAsia="宋体" w:cs="Times New Roman"/>
          <w:color w:val="auto"/>
          <w:sz w:val="24"/>
          <w:highlight w:val="none"/>
          <w:lang w:val="zh-CN" w:eastAsia="zh-CN"/>
        </w:rPr>
        <w:t xml:space="preserve">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color w:val="auto"/>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06"/>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30.1 成交供应商通过</w:t>
      </w:r>
      <w:r>
        <w:rPr>
          <w:rFonts w:hint="eastAsia" w:ascii="宋体" w:hAnsi="宋体" w:eastAsia="宋体" w:cs="Times New Roman"/>
          <w:color w:val="auto"/>
          <w:sz w:val="24"/>
          <w:szCs w:val="21"/>
          <w:highlight w:val="none"/>
          <w:lang w:val="zh-CN" w:eastAsia="zh-CN"/>
        </w:rPr>
        <w:t xml:space="preserve">南京</w:t>
      </w:r>
      <w:r>
        <w:rPr>
          <w:rFonts w:hint="eastAsia" w:ascii="宋体" w:hAnsi="宋体" w:eastAsia="宋体" w:cs="Times New Roman"/>
          <w:color w:val="auto"/>
          <w:sz w:val="24"/>
          <w:szCs w:val="21"/>
          <w:highlight w:val="none"/>
          <w:lang w:val="en-US" w:eastAsia="zh-CN"/>
        </w:rPr>
        <w:t xml:space="preserve">公共采购信息网</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中</w:t>
      </w:r>
      <w:r>
        <w:rPr>
          <w:rFonts w:hint="eastAsia" w:ascii="宋体" w:hAnsi="宋体" w:eastAsia="宋体" w:cs="Times New Roman"/>
          <w:color w:val="auto"/>
          <w:sz w:val="24"/>
          <w:szCs w:val="21"/>
          <w:highlight w:val="none"/>
          <w:lang w:val="zh-CN" w:eastAsia="zh-CN"/>
        </w:rPr>
        <w:t xml:space="preserve">小企业融资平台”，</w:t>
      </w:r>
      <w:r>
        <w:rPr>
          <w:rFonts w:hint="eastAsia" w:ascii="宋体" w:hAnsi="宋体" w:eastAsia="宋体" w:cs="Times New Roman"/>
          <w:color w:val="auto"/>
          <w:sz w:val="24"/>
          <w:szCs w:val="21"/>
          <w:highlight w:val="none"/>
          <w:lang w:val="en-US" w:eastAsia="zh-CN"/>
        </w:rPr>
        <w:t xml:space="preserve">选择相应的金融机构</w:t>
      </w:r>
      <w:r>
        <w:rPr>
          <w:rFonts w:hint="eastAsia" w:ascii="宋体" w:hAnsi="宋体" w:eastAsia="宋体" w:cs="Times New Roman"/>
          <w:color w:val="auto"/>
          <w:sz w:val="24"/>
          <w:szCs w:val="21"/>
          <w:highlight w:val="none"/>
          <w:lang w:val="zh-CN" w:eastAsia="zh-CN"/>
        </w:rPr>
        <w:t xml:space="preserve">办理融资贷款。</w:t>
      </w:r>
      <w:r/>
    </w:p>
    <w:p>
      <w:pPr>
        <w:ind w:firstLine="420"/>
        <w:pageBreakBefore w:val="0"/>
        <w:spacing w:line="240" w:lineRule="auto"/>
        <w:widowControl w:val="off"/>
        <w:rPr>
          <w:rFonts w:hint="eastAsia"/>
          <w:color w:val="auto"/>
          <w:highlight w:val="none"/>
          <w:lang w:val="zh-CN" w:eastAsia="zh-CN"/>
        </w:rPr>
      </w:pPr>
      <w:r>
        <w:rPr>
          <w:rFonts w:hint="eastAsia" w:ascii="宋体" w:hAnsi="宋体" w:eastAsia="宋体" w:cs="Times New Roman"/>
          <w:color w:val="auto"/>
          <w:sz w:val="24"/>
          <w:highlight w:val="none"/>
          <w:lang w:val="en-US" w:eastAsia="zh-CN"/>
        </w:rPr>
        <w:t xml:space="preserve">30.2 依据《关于在全省政府采购领域推行电子履约保函（保险）的通知》（苏财购</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150号），需要缴纳履约保证金的，成交供应商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705"/>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bookmarkEnd w:id="153"/>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提出质疑。</w:t>
      </w:r>
      <w:r>
        <w:rPr>
          <w:rFonts w:hint="eastAsia" w:ascii="宋体" w:hAnsi="宋体" w:eastAsia="宋体" w:cs="宋体"/>
          <w:b/>
          <w:bCs/>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供应商提出质疑应提交《质疑函》原件，且尽可能通过邮寄方式送达，</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和采购人不接受无运单的快件。《质疑函》应按照本磋商文件中《质疑函范本》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宋体"/>
          <w:b/>
          <w:bCs/>
          <w:sz w:val="24"/>
          <w:szCs w:val="24"/>
        </w:rPr>
        <w:t xml:space="preserve">由授权代表负责质疑事宜的，《质疑函》附件中应提交由质疑供应商法定代表人或主要负责人签署的《授权委托书》。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w:t>
      </w:r>
      <w:r>
        <w:rPr>
          <w:rFonts w:hint="eastAsia" w:ascii="宋体" w:hAnsi="宋体" w:eastAsia="宋体" w:cs="Times New Roman"/>
          <w:b/>
          <w:bCs/>
          <w:color w:val="auto"/>
          <w:sz w:val="24"/>
          <w:highlight w:val="none"/>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Times New Roman"/>
          <w:color w:val="auto"/>
          <w:sz w:val="24"/>
          <w:highlight w:val="none"/>
          <w:lang w:val="zh-CN"/>
        </w:rPr>
        <w:t xml:space="preserve">供应商对除上述事项以外其他事项的询问、质疑向</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提出，由</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负责答复。</w:t>
      </w:r>
      <w:r>
        <w:rPr>
          <w:rFonts w:hint="eastAsia" w:ascii="宋体" w:hAnsi="宋体" w:eastAsia="宋体" w:cs="Times New Roman"/>
          <w:color w:val="auto"/>
          <w:sz w:val="24"/>
          <w:highlight w:val="none"/>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u w:val="none"/>
          <w:lang w:val="zh-CN" w:eastAsia="zh-CN"/>
        </w:rPr>
      </w:pPr>
      <w:r>
        <w:rPr>
          <w:rFonts w:hint="eastAsia" w:ascii="宋体" w:hAnsi="宋体" w:eastAsia="宋体" w:cs="Times New Roman"/>
          <w:b/>
          <w:bCs/>
          <w:color w:val="auto"/>
          <w:sz w:val="24"/>
          <w:highlight w:val="none"/>
          <w:u w:val="none"/>
          <w:lang w:val="zh-CN" w:eastAsia="zh-CN"/>
        </w:rPr>
        <w:t xml:space="preserve">采购人《质疑</w:t>
      </w:r>
      <w:r>
        <w:rPr>
          <w:rFonts w:hint="eastAsia" w:ascii="宋体" w:hAnsi="宋体" w:eastAsia="宋体" w:cs="Times New Roman"/>
          <w:b/>
          <w:bCs/>
          <w:color w:val="auto"/>
          <w:sz w:val="24"/>
          <w:highlight w:val="none"/>
          <w:u w:val="none"/>
          <w:lang w:val="en-US" w:eastAsia="zh-CN"/>
        </w:rPr>
        <w:t xml:space="preserve">函</w:t>
      </w:r>
      <w:r>
        <w:rPr>
          <w:rFonts w:hint="eastAsia" w:ascii="宋体" w:hAnsi="宋体" w:eastAsia="宋体" w:cs="Times New Roman"/>
          <w:b/>
          <w:bCs/>
          <w:color w:val="auto"/>
          <w:sz w:val="24"/>
          <w:highlight w:val="none"/>
          <w:u w:val="none"/>
          <w:lang w:val="zh-CN" w:eastAsia="zh-CN"/>
        </w:rPr>
        <w:t xml:space="preserve">》接收人及联系方式见采购文件第一章。</w:t>
      </w:r>
      <w:r/>
    </w:p>
    <w:p>
      <w:pPr>
        <w:ind w:firstLine="422"/>
        <w:jc w:val="both"/>
        <w:keepLines w:val="0"/>
        <w:keepNext w:val="0"/>
        <w:pageBreakBefore w:val="0"/>
        <w:spacing w:line="240" w:lineRule="auto"/>
        <w:widowControl w:val="off"/>
        <w:rPr>
          <w:rFonts w:hint="eastAsia" w:ascii="宋体" w:hAnsi="宋体" w:eastAsia="宋体" w:cs="Times New Roman"/>
          <w:b/>
          <w:bCs/>
          <w:color w:val="auto"/>
          <w:sz w:val="24"/>
          <w:szCs w:val="22"/>
          <w:highlight w:val="none"/>
          <w:lang w:val="zh-CN" w:eastAsia="zh-CN" w:bidi="ar-SA"/>
        </w:rPr>
      </w:pPr>
      <w:r>
        <w:rPr>
          <w:rFonts w:hint="eastAsia" w:ascii="宋体" w:hAnsi="宋体" w:eastAsia="宋体" w:cs="Times New Roman"/>
          <w:b/>
          <w:bCs/>
          <w:color w:val="auto"/>
          <w:sz w:val="24"/>
          <w:szCs w:val="22"/>
          <w:highlight w:val="none"/>
          <w:lang w:val="en-US" w:eastAsia="zh-CN"/>
        </w:rPr>
        <w:t xml:space="preserve">由采购人负责答复的质疑，采购人将《质疑答复函》抄送代理机构。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eastAsia="zh-CN"/>
        </w:rPr>
        <w:t xml:space="preserve">或采购人</w:t>
      </w:r>
      <w:r>
        <w:rPr>
          <w:rFonts w:hint="eastAsia" w:ascii="宋体" w:hAnsi="宋体" w:eastAsia="宋体" w:cs="Times New Roman"/>
          <w:color w:val="auto"/>
          <w:sz w:val="24"/>
          <w:highlight w:val="none"/>
          <w:lang w:val="zh-CN"/>
        </w:rPr>
        <w:t xml:space="preserve">有权依据政府采购的有关规定，报请政府采购监管部门对该供应商进行相应的行政处罚和记录该供应商的失信信息。</w:t>
      </w:r>
      <w:r/>
    </w:p>
    <w:p>
      <w:pPr>
        <w:pStyle w:val="705"/>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706"/>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38.</w:t>
      </w:r>
      <w:r>
        <w:rPr>
          <w:rFonts w:hint="eastAsia" w:ascii="方正楷体_GBK" w:hAnsi="方正楷体_GBK" w:eastAsia="方正楷体_GBK" w:cs="方正楷体_GBK"/>
          <w:color w:val="auto"/>
          <w:sz w:val="28"/>
          <w:highlight w:val="none"/>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38.1 本项目</w:t>
      </w:r>
      <w:r>
        <w:rPr>
          <w:rFonts w:hint="eastAsia" w:ascii="宋体" w:hAnsi="宋体" w:eastAsia="宋体" w:cs="Times New Roman"/>
          <w:color w:val="auto"/>
          <w:sz w:val="24"/>
          <w:highlight w:val="none"/>
          <w:lang w:val="zh-CN"/>
        </w:rPr>
        <w:t xml:space="preserve">服务由中小企业承接的，</w:t>
      </w:r>
      <w:r>
        <w:rPr>
          <w:rFonts w:hint="eastAsia" w:ascii="宋体" w:hAnsi="宋体" w:eastAsia="宋体" w:cs="Times New Roman"/>
          <w:color w:val="auto"/>
          <w:sz w:val="24"/>
          <w:highlight w:val="none"/>
          <w:lang w:val="en-US" w:eastAsia="zh-CN"/>
        </w:rPr>
        <w:t xml:space="preserve">参与磋商的供应商</w:t>
      </w:r>
      <w:r>
        <w:rPr>
          <w:rFonts w:hint="eastAsia" w:ascii="宋体" w:hAnsi="宋体" w:eastAsia="宋体" w:cs="Times New Roman"/>
          <w:color w:val="auto"/>
          <w:sz w:val="24"/>
          <w:highlight w:val="none"/>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38.2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38.3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38.4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宋体"/>
          <w:color w:val="auto"/>
          <w:sz w:val="24"/>
          <w:szCs w:val="24"/>
          <w:highlight w:val="none"/>
        </w:rPr>
        <w:t xml:space="preserve">残疾人福利单位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ind w:firstLine="492"/>
        <w:rPr>
          <w:rFonts w:hint="eastAsia" w:ascii="方正楷体_GBK" w:hAnsi="方正楷体_GBK" w:eastAsia="方正楷体_GBK" w:cs="方正楷体_GBK"/>
          <w:b/>
          <w:bCs/>
          <w:color w:val="auto"/>
          <w:sz w:val="28"/>
          <w:szCs w:val="28"/>
          <w:highlight w:val="none"/>
          <w:lang w:val="zh-CN"/>
        </w:rPr>
      </w:pPr>
      <w:r>
        <w:rPr>
          <w:rFonts w:hint="eastAsia" w:ascii="方正楷体_GBK" w:hAnsi="方正楷体_GBK" w:eastAsia="方正楷体_GBK" w:cs="方正楷体_GBK"/>
          <w:b/>
          <w:bCs/>
          <w:color w:val="auto"/>
          <w:sz w:val="28"/>
          <w:szCs w:val="28"/>
          <w:highlight w:val="none"/>
          <w:lang w:val="en-US"/>
        </w:rPr>
        <w:t xml:space="preserve">3</w:t>
      </w:r>
      <w:r>
        <w:rPr>
          <w:rFonts w:hint="eastAsia" w:ascii="方正楷体_GBK" w:hAnsi="方正楷体_GBK" w:eastAsia="方正楷体_GBK" w:cs="方正楷体_GBK"/>
          <w:b/>
          <w:bCs/>
          <w:color w:val="auto"/>
          <w:sz w:val="28"/>
          <w:szCs w:val="28"/>
          <w:highlight w:val="none"/>
          <w:lang w:val="zh-CN"/>
        </w:rPr>
        <w:t xml:space="preserve">9</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lang w:val="zh-CN"/>
        </w:rPr>
        <w:t xml:space="preserve">节能环保产品</w:t>
      </w:r>
      <w:r/>
    </w:p>
    <w:p>
      <w:pPr>
        <w:ind w:firstLine="42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zh-CN"/>
        </w:rPr>
        <w:t xml:space="preserve">39.2 采购产品</w:t>
      </w:r>
      <w:r>
        <w:rPr>
          <w:rFonts w:hint="eastAsia" w:ascii="宋体" w:hAnsi="宋体" w:eastAsia="宋体" w:cs="Times New Roman"/>
          <w:color w:val="auto"/>
          <w:sz w:val="24"/>
          <w:highlight w:val="none"/>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pageBreakBefore w:val="0"/>
        <w:spacing w:line="240" w:lineRule="auto"/>
        <w:widowControl w:val="off"/>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zh-CN"/>
        </w:rPr>
        <w:t xml:space="preserve">39.3 采购产品</w:t>
      </w:r>
      <w:r>
        <w:rPr>
          <w:rFonts w:hint="eastAsia" w:ascii="宋体" w:hAnsi="宋体" w:eastAsia="宋体" w:cs="Times New Roman"/>
          <w:color w:val="auto"/>
          <w:sz w:val="24"/>
          <w:highlight w:val="none"/>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highlight w:val="none"/>
          <w:lang w:val="zh-CN"/>
        </w:rPr>
        <w:t xml:space="preserve">第五章</w:t>
      </w:r>
      <w:r>
        <w:rPr>
          <w:rFonts w:hint="eastAsia" w:ascii="宋体" w:hAnsi="宋体" w:eastAsia="宋体" w:cs="Times New Roman"/>
          <w:color w:val="auto"/>
          <w:sz w:val="24"/>
          <w:highlight w:val="none"/>
          <w:lang w:val="en-US"/>
        </w:rPr>
        <w:t xml:space="preserve">）。</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40</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rPr>
        <w:t xml:space="preserve">绿色采购</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40.1 采购产品</w:t>
      </w:r>
      <w:r>
        <w:rPr>
          <w:rFonts w:hint="eastAsia" w:ascii="宋体" w:hAnsi="宋体" w:eastAsia="宋体" w:cs="Times New Roman"/>
          <w:bCs w:val="0"/>
          <w:color w:val="auto"/>
          <w:sz w:val="24"/>
          <w:szCs w:val="22"/>
          <w:highlight w:val="none"/>
        </w:rPr>
        <w:t xml:space="preserve">中涉及商品包装、快递包装要求的，应按照</w:t>
      </w:r>
      <w:r>
        <w:rPr>
          <w:rFonts w:hint="eastAsia" w:ascii="宋体" w:hAnsi="宋体" w:eastAsia="宋体" w:cs="Times New Roman"/>
          <w:color w:val="auto"/>
          <w:sz w:val="24"/>
          <w:highlight w:val="none"/>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rPr>
        <w:t xml:space="preserve">《江苏省财政厅关于加强政府绿色采购有关事项的通知》（苏财购〔2023〕65号）</w:t>
      </w:r>
      <w:r>
        <w:rPr>
          <w:rFonts w:hint="eastAsia" w:ascii="宋体" w:hAnsi="宋体" w:eastAsia="宋体" w:cs="Times New Roman"/>
          <w:color w:val="auto"/>
          <w:sz w:val="24"/>
          <w:highlight w:val="none"/>
        </w:rPr>
        <w:t xml:space="preserve">文件执行。采购文件对</w:t>
      </w:r>
      <w:r>
        <w:rPr>
          <w:rFonts w:hint="eastAsia" w:ascii="宋体" w:hAnsi="宋体" w:eastAsia="宋体" w:cs="Times New Roman"/>
          <w:bCs w:val="0"/>
          <w:color w:val="auto"/>
          <w:sz w:val="24"/>
          <w:szCs w:val="22"/>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auto"/>
          <w:sz w:val="24"/>
          <w:szCs w:val="22"/>
          <w:highlight w:val="none"/>
        </w:rPr>
        <w:t xml:space="preserve">《江苏省财政厅关于加强政府绿色采购有关事项的通知》（苏财购〔2023〕65号）</w:t>
      </w:r>
      <w:r>
        <w:rPr>
          <w:rFonts w:hint="eastAsia" w:ascii="宋体" w:hAnsi="宋体" w:eastAsia="宋体" w:cs="Times New Roman"/>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41</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rPr>
        <w:t xml:space="preserve">创新产品采购</w:t>
      </w:r>
      <w:r/>
    </w:p>
    <w:p>
      <w:pPr>
        <w:ind w:firstLine="420"/>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41.1 优先采购各级政府部门公开发布的有效期内的创新产品、首台套等《目录》内的创新产品。创新产品自进入《目录》起2年内视同具备相应销售业绩。</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42.</w:t>
      </w:r>
      <w:r>
        <w:rPr>
          <w:rFonts w:hint="eastAsia" w:ascii="方正楷体_GBK" w:hAnsi="方正楷体_GBK" w:eastAsia="方正楷体_GBK" w:cs="方正楷体_GBK"/>
          <w:b/>
          <w:bCs/>
          <w:color w:val="auto"/>
          <w:sz w:val="28"/>
          <w:szCs w:val="28"/>
          <w:highlight w:val="none"/>
          <w:lang w:val="en-US"/>
        </w:rPr>
        <w:t xml:space="preserve">网络产品、市场准入类产品采购</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42.1 </w:t>
      </w:r>
      <w:r>
        <w:rPr>
          <w:rFonts w:hint="eastAsia" w:ascii="宋体" w:hAnsi="宋体" w:eastAsia="宋体" w:cs="Times New Roman"/>
          <w:color w:val="auto"/>
          <w:sz w:val="24"/>
          <w:highlight w:val="none"/>
          <w:lang w:val="en-US"/>
        </w:rPr>
        <w:t xml:space="preserve">本</w:t>
      </w:r>
      <w:r>
        <w:rPr>
          <w:rFonts w:hint="eastAsia" w:ascii="宋体" w:hAnsi="宋体" w:eastAsia="宋体" w:cs="Times New Roman"/>
          <w:color w:val="auto"/>
          <w:sz w:val="24"/>
          <w:highlight w:val="none"/>
          <w:lang w:val="en-US"/>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42.2 </w:t>
      </w:r>
      <w:r>
        <w:rPr>
          <w:rFonts w:hint="eastAsia" w:ascii="宋体" w:hAnsi="宋体" w:eastAsia="宋体" w:cs="Times New Roman"/>
          <w:color w:val="auto"/>
          <w:sz w:val="24"/>
          <w:highlight w:val="none"/>
          <w:lang w:val="en-US"/>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92"/>
        <w:rPr>
          <w:rFonts w:hint="eastAsia" w:ascii="方正楷体_GBK" w:hAnsi="方正楷体_GBK" w:eastAsia="方正楷体_GBK" w:cs="方正楷体_GBK"/>
          <w:b/>
          <w:bCs/>
          <w:color w:val="auto"/>
          <w:sz w:val="28"/>
          <w:szCs w:val="28"/>
          <w:highlight w:val="none"/>
          <w:lang w:val="en-US"/>
        </w:rPr>
      </w:pPr>
      <w:r>
        <w:rPr>
          <w:rFonts w:hint="eastAsia" w:ascii="方正楷体_GBK" w:hAnsi="方正楷体_GBK" w:eastAsia="方正楷体_GBK" w:cs="方正楷体_GBK"/>
          <w:b/>
          <w:bCs/>
          <w:color w:val="auto"/>
          <w:sz w:val="28"/>
          <w:szCs w:val="28"/>
          <w:highlight w:val="none"/>
          <w:lang w:val="en-US"/>
        </w:rPr>
        <w:t xml:space="preserve">43.实施本国产品标准及相关政策</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43.</w:t>
      </w:r>
      <w:r>
        <w:rPr>
          <w:rFonts w:hint="eastAsia" w:ascii="宋体" w:hAnsi="宋体" w:eastAsia="宋体" w:cs="Times New Roman"/>
          <w:color w:val="auto"/>
          <w:sz w:val="24"/>
          <w:highlight w:val="none"/>
          <w:lang w:val="en-US"/>
        </w:rPr>
        <w:t xml:space="preserve">1</w:t>
      </w:r>
      <w:r>
        <w:rPr>
          <w:rFonts w:hint="eastAsia" w:ascii="宋体" w:hAnsi="宋体" w:eastAsia="宋体" w:cs="Times New Roman"/>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en-US"/>
        </w:rPr>
        <w:t xml:space="preserve">。</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43.2本国产品应当符合以下条件：</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（1）在中国境内生产</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（2）在中国境内生产的组件成本占比达到规定比例</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（3）特定产品的关键组件、关键工序符合相关要求</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43.3本国产品标准的适用范围</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43.4对本国产品的支持政策</w:t>
      </w:r>
      <w:r/>
    </w:p>
    <w:p>
      <w:pPr>
        <w:ind w:firstLine="422"/>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本项目如</w:t>
      </w:r>
      <w:r>
        <w:rPr>
          <w:rFonts w:hint="eastAsia" w:ascii="宋体" w:hAnsi="宋体" w:eastAsia="宋体" w:cs="Times New Roman"/>
          <w:b/>
          <w:bCs/>
          <w:color w:val="auto"/>
          <w:sz w:val="24"/>
          <w:highlight w:val="none"/>
          <w:lang w:val="en-US"/>
        </w:rPr>
        <w:t xml:space="preserve">既有本国产品又有非本国产品参与竞争，依法对本国产品给予价格评审优惠，</w:t>
      </w:r>
      <w:r>
        <w:rPr>
          <w:rFonts w:hint="eastAsia" w:ascii="宋体" w:hAnsi="宋体" w:eastAsia="宋体" w:cs="Times New Roman"/>
          <w:b/>
          <w:bCs/>
          <w:color w:val="auto"/>
          <w:sz w:val="24"/>
          <w:highlight w:val="none"/>
        </w:rPr>
        <w:t xml:space="preserve">具体详见第五章。</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43.5政策执行要求</w:t>
      </w:r>
      <w:r/>
    </w:p>
    <w:p>
      <w:pPr>
        <w:ind w:firstLine="420"/>
        <w:rPr>
          <w:rFonts w:hint="eastAsia" w:ascii="宋体" w:hAnsi="宋体" w:eastAsia="宋体" w:cs="Times New Roman"/>
          <w:color w:val="auto"/>
          <w:sz w:val="24"/>
          <w:szCs w:val="22"/>
          <w:highlight w:val="none"/>
          <w:shd w:val="clear" w:color="auto" w:fill="auto"/>
        </w:rPr>
      </w:pP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rPr>
        <w:t xml:space="preserve">详见</w:t>
      </w:r>
      <w:r>
        <w:rPr>
          <w:rFonts w:hint="eastAsia" w:ascii="宋体" w:hAnsi="宋体" w:eastAsia="宋体" w:cs="Times New Roman"/>
          <w:color w:val="auto"/>
          <w:sz w:val="24"/>
          <w:szCs w:val="22"/>
          <w:highlight w:val="none"/>
          <w:shd w:val="clear" w:color="auto" w:fill="auto"/>
        </w:rPr>
        <w:t xml:space="preserve">《国务院办公厅关于在政府采购中实施本国产品标准及相关政策的通知》（国办发〔2025〕34号）规定。</w:t>
      </w:r>
      <w:r/>
    </w:p>
    <w:p>
      <w:pPr>
        <w:ind w:firstLine="420"/>
        <w:rPr>
          <w:rFonts w:hint="eastAsia" w:ascii="宋体" w:hAnsi="宋体" w:eastAsia="宋体" w:cs="Times New Roman"/>
          <w:b w:val="0"/>
          <w:bCs w:val="0"/>
          <w:color w:val="auto"/>
          <w:sz w:val="24"/>
          <w:highlight w:val="none"/>
        </w:rPr>
      </w:pPr>
      <w:r>
        <w:rPr>
          <w:rFonts w:hint="eastAsia" w:ascii="宋体" w:hAnsi="宋体" w:eastAsia="宋体" w:cs="Times New Roman"/>
          <w:color w:val="auto"/>
          <w:sz w:val="24"/>
          <w:highlight w:val="none"/>
          <w:lang w:val="en-US"/>
        </w:rPr>
        <w:t xml:space="preserve">（2）有关证明文件。</w:t>
      </w:r>
      <w:r>
        <w:rPr>
          <w:rFonts w:hint="eastAsia" w:ascii="宋体" w:hAnsi="宋体" w:eastAsia="宋体" w:cs="Times New Roman"/>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hint="eastAsia" w:ascii="宋体" w:hAnsi="宋体" w:eastAsia="宋体" w:cs="Times New Roman"/>
          <w:color w:val="auto"/>
          <w:sz w:val="24"/>
          <w:highlight w:val="none"/>
          <w:lang w:val="en-US" w:eastAsia="zh-CN"/>
        </w:rPr>
        <w:t xml:space="preserve">磋商小组</w:t>
      </w:r>
      <w:r>
        <w:rPr>
          <w:rFonts w:hint="eastAsia" w:ascii="宋体" w:hAnsi="宋体" w:eastAsia="宋体" w:cs="Times New Roman"/>
          <w:color w:val="auto"/>
          <w:sz w:val="24"/>
          <w:highlight w:val="none"/>
          <w:lang w:val="en-US"/>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37"/>
        <w:rPr>
          <w:rFonts w:hint="default" w:ascii="宋体" w:hAnsi="宋体" w:eastAsia="宋体" w:cs="Times New Roman"/>
          <w:color w:val="auto"/>
          <w:sz w:val="20"/>
          <w:highlight w:val="none"/>
          <w:lang w:val="zh-CN" w:eastAsia="zh-CN"/>
        </w:rPr>
      </w:pPr>
      <w:r>
        <w:rPr>
          <w:rFonts w:hint="default" w:ascii="宋体" w:hAnsi="宋体" w:eastAsia="宋体" w:cs="Times New Roman"/>
          <w:color w:val="auto"/>
          <w:sz w:val="20"/>
          <w:highlight w:val="none"/>
          <w:lang w:val="zh-CN" w:eastAsia="zh-CN"/>
        </w:rPr>
      </w:r>
      <w:r/>
    </w:p>
    <w:p>
      <w:pPr>
        <w:pStyle w:val="710"/>
        <w:ind w:left="0" w:firstLine="0"/>
        <w:rPr>
          <w:rFonts w:hint="eastAsia"/>
          <w:color w:val="auto"/>
          <w:highlight w:val="none"/>
          <w:lang w:val="en-US" w:eastAsia="zh-CN"/>
        </w:rPr>
      </w:pPr>
      <w:r>
        <w:rPr>
          <w:rFonts w:hint="eastAsia"/>
          <w:color w:val="auto"/>
          <w:highlight w:val="none"/>
          <w:lang w:val="en-US" w:eastAsia="zh-CN"/>
        </w:rPr>
      </w:r>
      <w:r/>
    </w:p>
    <w:p>
      <w:pPr>
        <w:pStyle w:val="703"/>
        <w:ind w:left="0" w:firstLine="0"/>
        <w:jc w:val="center"/>
        <w:keepLines w:val="0"/>
        <w:keepNext w:val="0"/>
        <w:pageBreakBefore w:val="0"/>
        <w:spacing w:line="360" w:lineRule="auto"/>
        <w:widowControl w:val="off"/>
        <w:rPr>
          <w:rFonts w:hint="eastAsia"/>
          <w:color w:val="auto"/>
          <w:highlight w:val="none"/>
          <w:lang w:val="en-US" w:eastAsia="zh-CN"/>
        </w:rPr>
        <w:outlineLvl w:val="9"/>
      </w:pPr>
      <w:r>
        <w:rPr>
          <w:rFonts w:hint="eastAsia"/>
          <w:color w:val="auto"/>
          <w:highlight w:val="none"/>
          <w:lang w:val="en-US" w:eastAsia="zh-CN"/>
        </w:rPr>
      </w:r>
      <w:r/>
    </w:p>
    <w:p>
      <w:pPr>
        <w:rPr>
          <w:rFonts w:hint="eastAsia" w:ascii="宋体" w:hAnsi="宋体"/>
          <w:b/>
          <w:color w:val="auto"/>
          <w:sz w:val="28"/>
          <w:szCs w:val="24"/>
          <w:highlight w:val="none"/>
          <w:lang w:eastAsia="zh-CN"/>
        </w:rPr>
      </w:pPr>
      <w:r/>
      <w:bookmarkStart w:id="154" w:name="_Toc14151"/>
      <w:r/>
      <w:bookmarkStart w:id="155" w:name="_Toc26351"/>
      <w:r/>
      <w:bookmarkStart w:id="156" w:name="_Toc31583"/>
      <w:r/>
      <w:r/>
    </w:p>
    <w:p>
      <w:pPr>
        <w:numPr>
          <w:ilvl w:val="0"/>
          <w:numId w:val="2"/>
        </w:numPr>
        <w:ind w:left="0" w:firstLine="0"/>
        <w:jc w:val="center"/>
        <w:spacing w:line="360" w:lineRule="auto"/>
        <w:rPr>
          <w:rFonts w:hint="eastAsia" w:ascii="黑体" w:eastAsia="黑体"/>
          <w:b/>
          <w:bCs/>
          <w:color w:val="auto"/>
          <w:sz w:val="36"/>
          <w:szCs w:val="36"/>
          <w:highlight w:val="none"/>
          <w:lang w:val="en-US" w:eastAsia="zh-CN"/>
        </w:rPr>
        <w:outlineLvl w:val="0"/>
      </w:pPr>
      <w:r/>
      <w:bookmarkStart w:id="157" w:name="_Toc10124"/>
      <w:r>
        <w:rPr>
          <w:rFonts w:hint="eastAsia" w:ascii="黑体" w:eastAsia="黑体"/>
          <w:b/>
          <w:bCs/>
          <w:color w:val="auto"/>
          <w:sz w:val="36"/>
          <w:szCs w:val="36"/>
          <w:highlight w:val="none"/>
          <w:lang w:val="en-US" w:eastAsia="zh-CN"/>
        </w:rPr>
        <w:t xml:space="preserve">合同文本</w:t>
      </w:r>
      <w:bookmarkEnd w:id="157"/>
      <w:r/>
      <w:r/>
    </w:p>
    <w:p>
      <w:pPr>
        <w:jc w:val="center"/>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727"/>
      </w:pPr>
      <w:r/>
      <w:r/>
    </w:p>
    <w:p>
      <w:pPr>
        <w:jc w:val="center"/>
        <w:spacing w:line="360" w:lineRule="auto"/>
        <w:shd w:val="clear" w:color="auto" w:fill="ffffff"/>
        <w:widowControl/>
        <w:rPr>
          <w:rFonts w:hint="eastAsia" w:ascii="仿宋" w:hAnsi="仿宋" w:eastAsia="仿宋" w:cs="仿宋"/>
          <w:sz w:val="32"/>
          <w:szCs w:val="32"/>
        </w:rPr>
        <w:outlineLvl w:val="9"/>
      </w:pPr>
      <w:r>
        <w:rPr>
          <w:rFonts w:hint="eastAsia" w:ascii="仿宋" w:hAnsi="仿宋" w:eastAsia="仿宋" w:cs="仿宋"/>
          <w:sz w:val="32"/>
          <w:szCs w:val="32"/>
        </w:rPr>
        <w:t xml:space="preserve">南京市政府采购合同</w:t>
      </w:r>
      <w:r/>
    </w:p>
    <w:p>
      <w:pPr>
        <w:jc w:val="center"/>
        <w:spacing w:line="360" w:lineRule="auto"/>
        <w:shd w:val="clear" w:color="auto" w:fill="ffffff"/>
        <w:widowControl/>
        <w:rPr>
          <w:rFonts w:hint="eastAsia" w:ascii="仿宋" w:hAnsi="仿宋" w:eastAsia="仿宋" w:cs="仿宋"/>
          <w:sz w:val="32"/>
          <w:szCs w:val="32"/>
        </w:rPr>
        <w:outlineLvl w:val="9"/>
      </w:pPr>
      <w:r>
        <w:rPr>
          <w:rFonts w:hint="eastAsia" w:ascii="仿宋" w:hAnsi="仿宋" w:eastAsia="仿宋" w:cs="仿宋"/>
          <w:sz w:val="32"/>
          <w:szCs w:val="32"/>
        </w:rPr>
        <w:t xml:space="preserve">服务类（通用合同）</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            </w:t>
      </w:r>
      <w:r>
        <w:rPr>
          <w:rFonts w:hint="eastAsia" w:ascii="仿宋" w:hAnsi="仿宋" w:eastAsia="仿宋" w:cs="仿宋"/>
          <w:sz w:val="28"/>
          <w:szCs w:val="28"/>
        </w:rPr>
        <w:t xml:space="preserve"> </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t xml:space="preserve"> </w:t>
      </w:r>
      <w:r/>
    </w:p>
    <w:p>
      <w:pPr>
        <w:ind w:firstLine="1968"/>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项目名称 ：</w:t>
      </w:r>
      <w:r>
        <w:rPr>
          <w:rFonts w:hint="eastAsia" w:ascii="仿宋" w:hAnsi="仿宋" w:eastAsia="仿宋" w:cs="仿宋"/>
          <w:b/>
          <w:bCs/>
          <w:sz w:val="28"/>
          <w:szCs w:val="28"/>
          <w:u w:val="single"/>
        </w:rPr>
        <w:t xml:space="preserve"> </w:t>
      </w:r>
      <w:r>
        <w:rPr>
          <w:rFonts w:hint="eastAsia" w:cs="仿宋"/>
          <w:b/>
          <w:bCs/>
          <w:sz w:val="28"/>
          <w:szCs w:val="28"/>
          <w:u w:val="single"/>
          <w:lang w:eastAsia="zh-CN"/>
        </w:rPr>
        <w:t xml:space="preserve">沿山大道中段部分路段雾炮车抑尘服务</w:t>
      </w:r>
      <w:r>
        <w:rPr>
          <w:rFonts w:hint="eastAsia" w:ascii="仿宋" w:hAnsi="仿宋" w:eastAsia="仿宋" w:cs="仿宋"/>
          <w:b/>
          <w:bCs/>
          <w:sz w:val="28"/>
          <w:szCs w:val="28"/>
          <w:u w:val="single"/>
        </w:rPr>
        <w:t xml:space="preserve">   </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t xml:space="preserve"> </w:t>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jc w:val="cente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甲方 ：</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（盖章）</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jc w:val="cente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乙方 ：</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（盖章）</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ind w:firstLine="2530"/>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签订日期 ：</w:t>
      </w:r>
      <w:r>
        <w:rPr>
          <w:rFonts w:hint="eastAsia" w:ascii="仿宋" w:hAnsi="仿宋" w:eastAsia="仿宋" w:cs="仿宋"/>
          <w:b/>
          <w:bCs/>
          <w:sz w:val="28"/>
          <w:szCs w:val="28"/>
          <w:u w:val="single"/>
        </w:rPr>
        <w:t xml:space="preserve">                      </w:t>
      </w:r>
      <w:r/>
    </w:p>
    <w:p>
      <w:pP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t xml:space="preserve"> </w:t>
      </w:r>
      <w:r/>
    </w:p>
    <w:p>
      <w:pPr>
        <w:ind w:firstLine="2530"/>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签订地点：</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  </w:t>
      </w:r>
      <w:r>
        <w:rPr>
          <w:rFonts w:hint="eastAsia" w:ascii="仿宋" w:hAnsi="仿宋" w:eastAsia="仿宋" w:cs="仿宋"/>
          <w:sz w:val="28"/>
          <w:szCs w:val="28"/>
        </w:rPr>
        <w:t xml:space="preserve">   </w:t>
      </w: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rPr>
          <w:rFonts w:hint="eastAsia" w:ascii="仿宋" w:hAnsi="仿宋" w:eastAsia="仿宋" w:cs="仿宋"/>
          <w:sz w:val="40"/>
          <w:szCs w:val="24"/>
        </w:rPr>
        <w:outlineLvl w:val="9"/>
      </w:pPr>
      <w:r>
        <w:rPr>
          <w:rFonts w:hint="eastAsia" w:ascii="仿宋" w:hAnsi="仿宋" w:eastAsia="仿宋" w:cs="仿宋"/>
          <w:sz w:val="40"/>
          <w:szCs w:val="24"/>
        </w:rPr>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t xml:space="preserve">南京市市场监督管理局</w:t>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t xml:space="preserve">南 京 市 财 政 局  监制</w:t>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合同编号：</w:t>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政府采购计划号：</w:t>
      </w:r>
      <w:r/>
    </w:p>
    <w:p>
      <w:pPr>
        <w:jc w:val="cente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 </w:t>
      </w:r>
      <w:r/>
    </w:p>
    <w:tbl>
      <w:tblPr>
        <w:tblStyle w:val="709"/>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Mar>
              <w:left w:w="108" w:type="dxa"/>
              <w:top w:w="0" w:type="dxa"/>
              <w:right w:w="108" w:type="dxa"/>
              <w:bottom w:w="0" w:type="dxa"/>
            </w:tcMar>
            <w:tcW w:w="427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采购人（以下称甲方）：</w:t>
            </w:r>
            <w:r/>
          </w:p>
        </w:tc>
        <w:tc>
          <w:tcPr>
            <w:shd w:val="clear" w:color="auto" w:fill="ffffff"/>
            <w:tcMar>
              <w:left w:w="108" w:type="dxa"/>
              <w:top w:w="0" w:type="dxa"/>
              <w:right w:w="108" w:type="dxa"/>
              <w:bottom w:w="0" w:type="dxa"/>
            </w:tcMar>
            <w:tcW w:w="425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供应商：（以下称乙方）</w:t>
            </w:r>
            <w:r/>
          </w:p>
        </w:tc>
      </w:tr>
      <w:tr>
        <w:trPr/>
        <w:tc>
          <w:tcPr>
            <w:shd w:val="clear" w:color="auto" w:fill="ffffff"/>
            <w:tcMar>
              <w:left w:w="108" w:type="dxa"/>
              <w:top w:w="0" w:type="dxa"/>
              <w:right w:w="108" w:type="dxa"/>
              <w:bottom w:w="0" w:type="dxa"/>
            </w:tcMar>
            <w:tcW w:w="427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住所地：</w:t>
            </w:r>
            <w:r/>
          </w:p>
        </w:tc>
        <w:tc>
          <w:tcPr>
            <w:shd w:val="clear" w:color="auto" w:fill="ffffff"/>
            <w:tcMar>
              <w:left w:w="108" w:type="dxa"/>
              <w:top w:w="0" w:type="dxa"/>
              <w:right w:w="108" w:type="dxa"/>
              <w:bottom w:w="0" w:type="dxa"/>
            </w:tcMar>
            <w:tcW w:w="425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住所地：</w:t>
            </w:r>
            <w:r/>
          </w:p>
        </w:tc>
      </w:tr>
    </w:tbl>
    <w:p>
      <w:pPr>
        <w:rPr>
          <w:rFonts w:hint="eastAsia" w:ascii="仿宋" w:hAnsi="仿宋" w:eastAsia="仿宋" w:cs="仿宋"/>
          <w:szCs w:val="24"/>
        </w:rPr>
        <w:outlineLvl w:val="9"/>
      </w:pPr>
      <w:r>
        <w:rPr>
          <w:rFonts w:hint="eastAsia" w:ascii="仿宋" w:hAnsi="仿宋" w:eastAsia="仿宋" w:cs="仿宋"/>
          <w:szCs w:val="24"/>
        </w:rPr>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根据《中华人民共和国政府采购法》、《中华人民共和国民法典》等法律法规的规定，甲乙双方按照磋商结果签订本合同。</w:t>
      </w:r>
      <w:r/>
    </w:p>
    <w:p>
      <w:pPr>
        <w:ind w:firstLine="422"/>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第一条 合同标的</w:t>
      </w:r>
      <w:r>
        <w:rPr>
          <w:rFonts w:hint="eastAsia" w:ascii="仿宋" w:hAnsi="仿宋" w:eastAsia="仿宋" w:cs="仿宋"/>
          <w:szCs w:val="21"/>
        </w:rPr>
        <w:t xml:space="preserve"> </w:t>
      </w:r>
      <w:r/>
    </w:p>
    <w:p>
      <w:pPr>
        <w:ind w:firstLine="422"/>
        <w:spacing w:line="360" w:lineRule="auto"/>
        <w:shd w:val="clear" w:color="auto" w:fill="ffffff"/>
        <w:widowControl/>
        <w:rPr>
          <w:rFonts w:hint="eastAsia" w:ascii="仿宋" w:hAnsi="仿宋" w:eastAsia="仿宋" w:cs="仿宋"/>
          <w:szCs w:val="21"/>
          <w:u w:val="single"/>
        </w:rPr>
        <w:outlineLvl w:val="9"/>
      </w:pPr>
      <w:r>
        <w:rPr>
          <w:rFonts w:hint="eastAsia" w:ascii="仿宋" w:hAnsi="仿宋" w:eastAsia="仿宋" w:cs="仿宋"/>
          <w:szCs w:val="21"/>
        </w:rPr>
        <w:t xml:space="preserve">乙方根据甲方要求提供下列服务：</w:t>
      </w:r>
      <w:r>
        <w:rPr>
          <w:rFonts w:hint="eastAsia" w:ascii="仿宋" w:hAnsi="仿宋" w:eastAsia="仿宋" w:cs="仿宋"/>
          <w:szCs w:val="21"/>
          <w:u w:val="single"/>
        </w:rPr>
        <w:t xml:space="preserve">                 </w:t>
      </w:r>
      <w:r/>
    </w:p>
    <w:p>
      <w:pPr>
        <w:pStyle w:val="727"/>
        <w:spacing w:line="360" w:lineRule="auto"/>
        <w:rPr>
          <w:rFonts w:hint="eastAsia" w:ascii="仿宋" w:hAnsi="仿宋" w:eastAsia="仿宋" w:cs="仿宋"/>
          <w:b w:val="0"/>
          <w:bCs w:val="0"/>
          <w:szCs w:val="21"/>
          <w:u w:val="single"/>
          <w:lang w:val="en-US" w:eastAsia="zh-CN"/>
        </w:rPr>
        <w:outlineLvl w:val="9"/>
      </w:pPr>
      <w:r>
        <w:rPr>
          <w:rFonts w:hint="eastAsia" w:ascii="仿宋" w:hAnsi="仿宋" w:eastAsia="仿宋" w:cs="仿宋"/>
          <w:b w:val="0"/>
          <w:bCs w:val="0"/>
          <w:szCs w:val="21"/>
          <w:u w:val="none"/>
          <w:lang w:val="en-US" w:eastAsia="zh-CN"/>
        </w:rPr>
        <w:t xml:space="preserve">合同履行时间：</w:t>
      </w:r>
      <w:r>
        <w:rPr>
          <w:rFonts w:hint="eastAsia" w:ascii="仿宋" w:hAnsi="仿宋" w:eastAsia="仿宋" w:cs="仿宋"/>
          <w:b w:val="0"/>
          <w:bCs w:val="0"/>
          <w:szCs w:val="21"/>
          <w:u w:val="single"/>
          <w:lang w:val="en-US" w:eastAsia="zh-CN"/>
        </w:rPr>
        <w:t xml:space="preserve">202</w:t>
      </w:r>
      <w:r>
        <w:rPr>
          <w:rFonts w:hint="eastAsia" w:ascii="仿宋" w:hAnsi="仿宋" w:cs="仿宋"/>
          <w:b w:val="0"/>
          <w:bCs w:val="0"/>
          <w:szCs w:val="21"/>
          <w:u w:val="single"/>
          <w:lang w:val="en-US" w:eastAsia="zh-CN"/>
        </w:rPr>
        <w:t xml:space="preserve">6</w:t>
      </w:r>
      <w:r>
        <w:rPr>
          <w:rFonts w:hint="eastAsia" w:ascii="仿宋" w:hAnsi="仿宋" w:eastAsia="仿宋" w:cs="仿宋"/>
          <w:b w:val="0"/>
          <w:bCs w:val="0"/>
          <w:szCs w:val="21"/>
          <w:u w:val="single"/>
          <w:lang w:val="en-US" w:eastAsia="zh-CN"/>
        </w:rPr>
        <w:t xml:space="preserve">年  月  日  至202</w:t>
      </w:r>
      <w:r>
        <w:rPr>
          <w:rFonts w:hint="eastAsia" w:ascii="仿宋" w:hAnsi="仿宋" w:cs="仿宋"/>
          <w:b w:val="0"/>
          <w:bCs w:val="0"/>
          <w:szCs w:val="21"/>
          <w:u w:val="single"/>
          <w:lang w:val="en-US" w:eastAsia="zh-CN"/>
        </w:rPr>
        <w:t xml:space="preserve">7</w:t>
      </w:r>
      <w:r>
        <w:rPr>
          <w:rFonts w:hint="eastAsia" w:ascii="仿宋" w:hAnsi="仿宋" w:eastAsia="仿宋" w:cs="仿宋"/>
          <w:b w:val="0"/>
          <w:bCs w:val="0"/>
          <w:szCs w:val="21"/>
          <w:u w:val="single"/>
          <w:lang w:val="en-US" w:eastAsia="zh-CN"/>
        </w:rPr>
        <w:t xml:space="preserve">年   月  日</w:t>
      </w:r>
      <w:r/>
    </w:p>
    <w:p>
      <w:pPr>
        <w:ind w:firstLine="422"/>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服务内容详见乙方响应性文件等。</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第二条 合同总价款</w:t>
      </w:r>
      <w:r>
        <w:rPr>
          <w:rFonts w:hint="eastAsia" w:ascii="仿宋" w:hAnsi="仿宋" w:eastAsia="仿宋" w:cs="仿宋"/>
          <w:szCs w:val="21"/>
        </w:rPr>
        <w:t xml:space="preserve"> </w:t>
      </w:r>
      <w:r/>
    </w:p>
    <w:p>
      <w:pPr>
        <w:ind w:firstLine="420"/>
        <w:jc w:val="left"/>
        <w:spacing w:line="500" w:lineRule="exact"/>
        <w:rPr>
          <w:rFonts w:hint="eastAsia" w:ascii="仿宋" w:hAnsi="仿宋" w:eastAsia="仿宋" w:cs="仿宋"/>
          <w:szCs w:val="21"/>
        </w:rPr>
        <w:outlineLvl w:val="9"/>
      </w:pPr>
      <w:r>
        <w:rPr>
          <w:rFonts w:hint="eastAsia" w:ascii="仿宋" w:hAnsi="仿宋" w:eastAsia="仿宋" w:cs="仿宋"/>
          <w:szCs w:val="21"/>
        </w:rPr>
        <w:t xml:space="preserve">本合同总价款为___________（大写）人民币，分项价款在“分项报价表”中。</w:t>
      </w:r>
      <w:r/>
    </w:p>
    <w:p>
      <w:pPr>
        <w:ind w:firstLine="433"/>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第三条 组成本合同的有关文件</w:t>
      </w:r>
      <w:r>
        <w:rPr>
          <w:rFonts w:hint="eastAsia" w:ascii="仿宋" w:hAnsi="仿宋" w:eastAsia="仿宋" w:cs="仿宋"/>
          <w:szCs w:val="21"/>
        </w:rPr>
        <w:t xml:space="preserve">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成交通知书、竞争性磋商响应文件、竞争性磋商文件、其他文件及附件是本合同不可分割的组成部分，与本合同具有同等法律效力。</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第四条 权利保证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乙方应保证为甲方提供的服务任何一部分时不受第三方提出侵犯其专利权、版权、商标权或其他权利的起诉。一旦出现侵权，乙方应承担全部责任。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第五条 质量保证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乙方提供的服务必须全部达到采购文件各项要求，国家或行业有规定的，还要符合相应规定。</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第六条 交付使用和验收</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1、乙方应当在正式签订合同7日内进场按采购文件要求开展工作。</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2、服务期满后，甲方自行组织或视情邀请相关专家或国家认可的质量检测机构参加考核或验收，乙方提供的服务不符合采购文件和合同规定的，甲方有权追究乙方违约责任。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第七条 履约保证金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无</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第八条 合同款支付</w:t>
      </w:r>
      <w:r/>
    </w:p>
    <w:p>
      <w:pPr>
        <w:pStyle w:val="738"/>
        <w:ind w:left="0" w:firstLine="442"/>
        <w:spacing w:line="460" w:lineRule="exact"/>
        <w:rPr>
          <w:rFonts w:hint="eastAsia" w:ascii="仿宋" w:hAnsi="仿宋" w:eastAsia="仿宋" w:cs="仿宋"/>
          <w:b/>
          <w:bCs/>
          <w:szCs w:val="21"/>
          <w:highlight w:val="none"/>
          <w:lang w:val="zh-CN"/>
        </w:rPr>
        <w:outlineLvl w:val="9"/>
      </w:pPr>
      <w:r>
        <w:rPr>
          <w:rFonts w:hint="eastAsia" w:ascii="仿宋" w:hAnsi="仿宋" w:eastAsia="仿宋" w:cs="仿宋"/>
          <w:b/>
          <w:bCs/>
          <w:szCs w:val="21"/>
          <w:highlight w:val="none"/>
          <w:lang w:val="zh-CN"/>
        </w:rPr>
        <w:t xml:space="preserve">支付方式</w:t>
      </w:r>
      <w:r>
        <w:rPr>
          <w:rFonts w:hint="eastAsia" w:ascii="仿宋" w:hAnsi="仿宋" w:eastAsia="仿宋" w:cs="仿宋"/>
          <w:b/>
          <w:bCs/>
          <w:color w:val="000000" w:themeColor="text1"/>
          <w:szCs w:val="21"/>
          <w:highlight w:val="none"/>
          <w:lang w:val="zh-CN"/>
        </w:rPr>
        <w:t xml:space="preserve">: </w:t>
      </w:r>
      <w:r>
        <w:rPr>
          <w:rFonts w:hint="eastAsia" w:cs="仿宋"/>
          <w:b/>
          <w:bCs/>
          <w:color w:val="000000" w:themeColor="text1"/>
          <w:szCs w:val="21"/>
          <w:highlight w:val="none"/>
          <w:lang w:val="zh-CN"/>
        </w:rPr>
        <w:t xml:space="preserve">乙方提供对应工作台账，按季度支付</w:t>
      </w:r>
      <w:r>
        <w:rPr>
          <w:rFonts w:hint="eastAsia" w:ascii="仿宋" w:hAnsi="仿宋" w:eastAsia="仿宋" w:cs="仿宋"/>
          <w:b/>
          <w:bCs/>
          <w:color w:val="000000" w:themeColor="text1"/>
          <w:szCs w:val="21"/>
          <w:highlight w:val="none"/>
          <w:lang w:val="zh-CN"/>
        </w:rPr>
        <w:t xml:space="preserve">。</w:t>
      </w:r>
      <w:r>
        <w:rPr>
          <w:rFonts w:hint="eastAsia" w:ascii="仿宋" w:hAnsi="仿宋" w:eastAsia="仿宋" w:cs="仿宋"/>
          <w:b/>
          <w:bCs/>
          <w:szCs w:val="21"/>
          <w:highlight w:val="none"/>
          <w:lang w:val="zh-CN"/>
        </w:rPr>
        <w:t xml:space="preserve">甲方收到乙方提供的同等金额的正规发票后，在履行财政相关资金审批手续后向乙方支付合同款。</w:t>
      </w:r>
      <w:r/>
    </w:p>
    <w:p>
      <w:pPr>
        <w:pStyle w:val="738"/>
        <w:ind w:left="0" w:firstLine="442"/>
        <w:spacing w:line="460" w:lineRule="exact"/>
        <w:rPr>
          <w:rFonts w:hint="eastAsia" w:ascii="仿宋" w:hAnsi="仿宋" w:eastAsia="仿宋" w:cs="仿宋"/>
          <w:szCs w:val="21"/>
        </w:rPr>
        <w:outlineLvl w:val="9"/>
      </w:pPr>
      <w:r>
        <w:rPr>
          <w:rFonts w:hint="eastAsia" w:ascii="仿宋" w:hAnsi="仿宋" w:eastAsia="仿宋" w:cs="仿宋"/>
          <w:b/>
          <w:bCs/>
          <w:szCs w:val="21"/>
        </w:rPr>
        <w:t xml:space="preserve">第九条 违约责任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１、甲方无正当理由拒绝验收或拒付款的，甲方向乙方偿付合同总价的5%违约金。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２、甲方未按合同规定的期限向乙方支付合同款的，每逾期1天甲方向乙方偿付欠款总额的5‰滞纳金，但累计滞纳金总额不超过欠款总额的5%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３、如乙方不能按期交付服务的，应向甲方支付合同总价5%的违约金。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6、乙方虚假承诺，或提供的服务不能满足采购文件要求，或是由于乙方的过错造成合同无法继续履行的，甲方有权解除本合同，乙方应向甲方支付不少于合同总价30%赔偿金。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第十条 合同的变更和终止</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1、除《政府采购法》第50条第二款规定的情形外，本合同一经签订，甲乙双方不得擅自变更、中止或终止合同。</w:t>
      </w:r>
      <w:r/>
    </w:p>
    <w:p>
      <w:pPr>
        <w:ind w:firstLine="420"/>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除发生法律规定的不能预见、不能避免并不能克服的客观情况外，甲乙双方不得放弃或拒绝履行合同。乙方放弃或拒绝履行合同，情节严重的，由财政部门将其列入不良行为记录名单，在一年内禁止参加本采购人组织的政府采购活动，并予以通报。</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第十一条 合同的转让</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乙方不得擅自部分或全部转让其应履行的合同义务。</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第十二条 争议的解决</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1、因履行本合同引起的或与本合同有关的争议，甲、乙双方应首先通过友好协商解决，如果协商不能解决争议，则采取以下第（1）种方式解决争议：</w:t>
      </w:r>
      <w:r/>
    </w:p>
    <w:p>
      <w:pPr>
        <w:ind w:firstLine="56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（1）向甲方所在地有管辖权的人民法院提起诉讼；</w:t>
      </w:r>
      <w:r/>
    </w:p>
    <w:p>
      <w:pPr>
        <w:ind w:firstLine="56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（2）向南京仲裁委员会按其仲裁规则申请仲裁。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3、在仲裁期间，本合同应继续履行。</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第十三条 诚实信用</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乙方应诚实信用，严格按照采购文件要求和承诺履行合同，不向甲方进行商业贿赂或者提供不正当利益。</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第十四条 合同生效及其他</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1、本合同自签订之日起生效。</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2、本合同一式</w:t>
      </w:r>
      <w:r>
        <w:rPr>
          <w:rFonts w:hint="eastAsia" w:ascii="仿宋" w:hAnsi="仿宋" w:eastAsia="仿宋" w:cs="仿宋"/>
          <w:szCs w:val="21"/>
          <w:lang w:val="en-US" w:eastAsia="zh-CN"/>
        </w:rPr>
        <w:t xml:space="preserve">肆</w:t>
      </w:r>
      <w:r>
        <w:rPr>
          <w:rFonts w:hint="eastAsia" w:ascii="仿宋" w:hAnsi="仿宋" w:eastAsia="仿宋" w:cs="仿宋"/>
          <w:szCs w:val="21"/>
        </w:rPr>
        <w:t xml:space="preserve">份，甲乙双方各执贰份。</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3、本合同应按照中华人民共和国的现行法律进行解释。</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ind w:firstLine="440"/>
        <w:spacing w:line="360" w:lineRule="auto"/>
        <w:rPr>
          <w:rFonts w:hint="eastAsia" w:ascii="仿宋" w:hAnsi="仿宋" w:eastAsia="仿宋" w:cs="仿宋"/>
          <w:szCs w:val="21"/>
        </w:rPr>
        <w:outlineLvl w:val="9"/>
      </w:pPr>
      <w:r>
        <w:rPr>
          <w:rFonts w:hint="eastAsia" w:ascii="仿宋" w:hAnsi="仿宋" w:eastAsia="仿宋" w:cs="仿宋"/>
          <w:szCs w:val="21"/>
        </w:rPr>
      </w:r>
      <w:r/>
    </w:p>
    <w:p>
      <w:pPr>
        <w:ind w:firstLine="440"/>
        <w:spacing w:line="360" w:lineRule="auto"/>
        <w:rPr>
          <w:rFonts w:hint="eastAsia" w:ascii="仿宋" w:hAnsi="仿宋" w:eastAsia="仿宋" w:cs="仿宋"/>
          <w:szCs w:val="21"/>
        </w:rPr>
        <w:outlineLvl w:val="9"/>
      </w:pPr>
      <w:r>
        <w:rPr>
          <w:rFonts w:hint="eastAsia" w:ascii="仿宋" w:hAnsi="仿宋" w:eastAsia="仿宋" w:cs="仿宋"/>
          <w:szCs w:val="21"/>
        </w:rPr>
      </w:r>
      <w:r/>
    </w:p>
    <w:tbl>
      <w:tblPr>
        <w:tblStyle w:val="709"/>
        <w:tblW w:w="0" w:type="auto"/>
        <w:jc w:val="center"/>
        <w:tblLayout w:type="fixed"/>
        <w:tblCellMar>
          <w:left w:w="0" w:type="dxa"/>
          <w:top w:w="0" w:type="dxa"/>
          <w:right w:w="0" w:type="dxa"/>
          <w:bottom w:w="0" w:type="dxa"/>
        </w:tblCellMar>
        <w:tblLook w:val="04A0" w:firstRow="1" w:lastRow="0" w:firstColumn="1" w:lastColumn="0" w:noHBand="0" w:noVBand="1"/>
      </w:tblPr>
      <w:tblGrid>
        <w:gridCol w:w="4718"/>
        <w:gridCol w:w="4338"/>
      </w:tblGrid>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甲方（采购人）：（盖章）</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乙方（供应商）：（盖章）</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代表人：</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代表人：</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电    话：</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电    话：</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开户银行：</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开户银行：</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帐    号：</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帐    号：</w:t>
            </w:r>
            <w:r/>
          </w:p>
        </w:tc>
      </w:tr>
    </w:tbl>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0"/>
      </w:pPr>
      <w:r/>
      <w:bookmarkStart w:id="158" w:name="_Toc697"/>
      <w:r>
        <w:rPr>
          <w:rFonts w:hint="eastAsia" w:ascii="宋体" w:hAnsi="宋体" w:eastAsia="宋体" w:cs="Times New Roman"/>
          <w:b/>
          <w:bCs w:val="0"/>
          <w:color w:val="auto"/>
          <w:sz w:val="30"/>
          <w:szCs w:val="21"/>
          <w:highlight w:val="none"/>
        </w:rPr>
        <w:t xml:space="preserve">《*******合同》补充协议（合同附件）</w:t>
      </w:r>
      <w:bookmarkEnd w:id="158"/>
      <w:r/>
      <w:r/>
    </w:p>
    <w:p>
      <w:pPr>
        <w:pStyle w:val="719"/>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磋商文件</w:t>
      </w:r>
      <w:r>
        <w:rPr>
          <w:rFonts w:hint="eastAsia" w:hAnsi="宋体"/>
          <w:color w:val="auto"/>
          <w:sz w:val="24"/>
          <w:szCs w:val="24"/>
          <w:highlight w:val="none"/>
        </w:rPr>
        <w:t xml:space="preserve">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rPr>
          <w:rFonts w:hint="eastAsia" w:ascii="仿宋" w:hAnsi="仿宋" w:eastAsia="仿宋" w:cs="仿宋"/>
          <w:b/>
          <w:spacing w:val="-20"/>
          <w:sz w:val="36"/>
        </w:rPr>
        <w:outlineLvl w:val="9"/>
      </w:pPr>
      <w:r>
        <w:rPr>
          <w:rFonts w:hint="eastAsia" w:ascii="仿宋" w:hAnsi="仿宋" w:eastAsia="仿宋" w:cs="仿宋"/>
          <w:b/>
          <w:spacing w:val="-20"/>
          <w:sz w:val="36"/>
        </w:rPr>
        <w:br w:type="page" w:clear="all"/>
      </w:r>
      <w:r/>
    </w:p>
    <w:p>
      <w:pPr>
        <w:pStyle w:val="703"/>
        <w:ind w:left="0" w:firstLine="0"/>
        <w:jc w:val="left"/>
        <w:keepLines w:val="0"/>
        <w:keepNext w:val="0"/>
        <w:pageBreakBefore w:val="0"/>
        <w:spacing w:line="360" w:lineRule="exact"/>
        <w:widowControl w:val="off"/>
        <w:rPr>
          <w:rFonts w:hint="eastAsia" w:asciiTheme="minorEastAsia" w:hAnsiTheme="minorEastAsia" w:eastAsiaTheme="minorEastAsia" w:cstheme="minorEastAsia"/>
          <w:color w:val="auto"/>
          <w:sz w:val="22"/>
          <w:szCs w:val="22"/>
          <w:highlight w:val="none"/>
          <w:lang w:val="en-US" w:bidi="ar-SA"/>
        </w:rPr>
      </w:pPr>
      <w:r>
        <w:rPr>
          <w:rFonts w:hint="eastAsia" w:asciiTheme="minorEastAsia" w:hAnsiTheme="minorEastAsia" w:eastAsiaTheme="minorEastAsia" w:cstheme="minorEastAsia"/>
          <w:color w:val="auto"/>
          <w:sz w:val="22"/>
          <w:szCs w:val="22"/>
          <w:highlight w:val="none"/>
          <w:lang w:val="en-US" w:bidi="ar-SA"/>
        </w:rPr>
      </w:r>
      <w:bookmarkEnd w:id="154"/>
      <w:bookmarkEnd w:id="155"/>
      <w:bookmarkEnd w:id="156"/>
      <w:r/>
    </w:p>
    <w:p>
      <w:pPr>
        <w:pStyle w:val="703"/>
        <w:numPr>
          <w:ilvl w:val="0"/>
          <w:numId w:val="2"/>
        </w:numPr>
        <w:ind w:left="0" w:firstLine="0"/>
        <w:jc w:val="center"/>
        <w:keepLines w:val="0"/>
        <w:keepNext w:val="0"/>
        <w:pageBreakBefore w:val="0"/>
        <w:spacing w:line="360" w:lineRule="exact"/>
        <w:widowControl w:val="off"/>
        <w:rPr>
          <w:rFonts w:hint="eastAsia" w:ascii="宋体" w:hAnsi="宋体" w:eastAsia="宋体" w:cs="宋体"/>
          <w:b/>
          <w:bCs/>
          <w:color w:val="auto"/>
          <w:highlight w:val="none"/>
          <w:lang w:val="en-US" w:eastAsia="zh-CN"/>
        </w:rPr>
      </w:pPr>
      <w:r/>
      <w:bookmarkStart w:id="159" w:name="_Toc28837"/>
      <w:r>
        <w:rPr>
          <w:rFonts w:hint="eastAsia" w:ascii="宋体" w:hAnsi="宋体" w:eastAsia="宋体" w:cs="宋体"/>
          <w:b/>
          <w:bCs/>
          <w:color w:val="auto"/>
          <w:highlight w:val="none"/>
          <w:lang w:val="en-US" w:eastAsia="zh-CN"/>
        </w:rPr>
        <w:t xml:space="preserve">采购需求</w:t>
      </w:r>
      <w:bookmarkEnd w:id="159"/>
      <w:r/>
      <w:r/>
    </w:p>
    <w:p>
      <w:pPr>
        <w:numPr>
          <w:ilvl w:val="0"/>
          <w:numId w:val="0"/>
        </w:numPr>
        <w:rPr>
          <w:rFonts w:hint="eastAsia"/>
          <w:color w:val="auto"/>
          <w:sz w:val="24"/>
          <w:szCs w:val="24"/>
          <w:highlight w:val="none"/>
        </w:rPr>
      </w:pPr>
      <w:r>
        <w:rPr>
          <w:rFonts w:hint="eastAsia"/>
          <w:color w:val="auto"/>
          <w:sz w:val="24"/>
          <w:szCs w:val="24"/>
          <w:highlight w:val="none"/>
        </w:rPr>
      </w:r>
      <w:r/>
    </w:p>
    <w:p>
      <w:pPr>
        <w:pStyle w:val="738"/>
        <w:ind w:left="0" w:firstLine="482"/>
        <w:keepLines w:val="0"/>
        <w:keepNext w:val="0"/>
        <w:pageBreakBefore w:val="0"/>
        <w:spacing w:line="360" w:lineRule="auto"/>
        <w:tabs>
          <w:tab w:val="left" w:pos="5715" w:leader="none"/>
        </w:tabs>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一、服务需求一览表</w:t>
      </w:r>
      <w:r/>
    </w:p>
    <w:tbl>
      <w:tblPr>
        <w:tblStyle w:val="709"/>
        <w:tblpPr w:horzAnchor="page" w:tblpX="1765" w:vertAnchor="text" w:tblpY="53" w:leftFromText="180" w:topFromText="0" w:rightFromText="180" w:bottomFromText="0"/>
        <w:tblW w:w="91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89"/>
        <w:gridCol w:w="5315"/>
        <w:gridCol w:w="686"/>
      </w:tblGrid>
      <w:tr>
        <w:trPr>
          <w:trHeight w:val="356"/>
        </w:trPr>
        <w:tc>
          <w:tcPr>
            <w:shd w:val="clear" w:color="auto" w:fill="ffffff"/>
            <w:tcW w:w="3189" w:type="dxa"/>
            <w:vAlign w:val="center"/>
            <w:textDirection w:val="lrTb"/>
            <w:noWrap w:val="false"/>
          </w:tcPr>
          <w:p>
            <w:pPr>
              <w:ind w:firstLine="482"/>
              <w:jc w:val="center"/>
              <w:keepLines w:val="0"/>
              <w:keepNext w:val="0"/>
              <w:pageBreakBefore w:val="0"/>
              <w:spacing w:line="24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服务名称</w:t>
            </w:r>
            <w:r/>
          </w:p>
        </w:tc>
        <w:tc>
          <w:tcPr>
            <w:shd w:val="clear" w:color="auto" w:fill="ffffff"/>
            <w:tcW w:w="531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lang w:val="en-US" w:eastAsia="zh-CN"/>
              </w:rPr>
              <w:t xml:space="preserve">服务</w:t>
            </w:r>
            <w:r>
              <w:rPr>
                <w:rFonts w:hint="eastAsia" w:ascii="宋体" w:hAnsi="宋体" w:eastAsia="宋体" w:cs="宋体"/>
                <w:b/>
                <w:bCs/>
                <w:color w:val="000000"/>
                <w:sz w:val="24"/>
                <w:szCs w:val="24"/>
              </w:rPr>
              <w:t xml:space="preserve">内容</w:t>
            </w:r>
            <w:r/>
          </w:p>
        </w:tc>
        <w:tc>
          <w:tcPr>
            <w:shd w:val="clear" w:color="auto" w:fill="ffffff"/>
            <w:tcW w:w="686"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备注</w:t>
            </w:r>
            <w:r/>
          </w:p>
        </w:tc>
      </w:tr>
      <w:tr>
        <w:trPr>
          <w:trHeight w:val="636"/>
        </w:trPr>
        <w:tc>
          <w:tcPr>
            <w:shd w:val="clear" w:color="auto" w:fill="ffffff"/>
            <w:tcW w:w="3189"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4"/>
                <w:szCs w:val="24"/>
                <w:lang w:eastAsia="zh-CN"/>
              </w:rPr>
              <w:outlineLvl w:val="9"/>
            </w:pPr>
            <w:r>
              <w:rPr>
                <w:rFonts w:hint="eastAsia" w:ascii="宋体" w:hAnsi="宋体" w:eastAsia="宋体" w:cs="宋体"/>
                <w:i w:val="0"/>
                <w:iCs w:val="0"/>
                <w:caps w:val="0"/>
                <w:color w:val="000000"/>
                <w:spacing w:val="0"/>
                <w:sz w:val="24"/>
                <w:szCs w:val="24"/>
                <w:shd w:val="clear" w:color="auto" w:fill="ffffff"/>
                <w:lang w:eastAsia="zh-CN"/>
              </w:rPr>
              <w:t xml:space="preserve">沿山大道中段部分路段雾炮车抑尘服务</w:t>
            </w:r>
            <w:r/>
          </w:p>
        </w:tc>
        <w:tc>
          <w:tcPr>
            <w:shd w:val="clear" w:color="auto" w:fill="ffffff"/>
            <w:tcW w:w="5315" w:type="dxa"/>
            <w:vAlign w:val="center"/>
            <w:textDirection w:val="lrTb"/>
            <w:noWrap w:val="false"/>
          </w:tcPr>
          <w:p>
            <w:pPr>
              <w:numPr>
                <w:ilvl w:val="0"/>
                <w:numId w:val="0"/>
              </w:numPr>
              <w:ind w:right="0"/>
              <w:jc w:val="left"/>
              <w:keepLines w:val="0"/>
              <w:keepNext w:val="0"/>
              <w:pageBreakBefore w:val="0"/>
              <w:spacing w:line="240" w:lineRule="auto"/>
              <w:widowControl/>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一台新能源雾炮车使用权，包含循环作业人员以及服务过程中涉及到的所有费用等</w:t>
            </w:r>
            <w:r/>
          </w:p>
        </w:tc>
        <w:tc>
          <w:tcPr>
            <w:shd w:val="clear" w:color="auto" w:fill="ffffff"/>
            <w:tcW w:w="686"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bl>
    <w:p>
      <w:pPr>
        <w:keepLines w:val="0"/>
        <w:keepNext w:val="0"/>
        <w:pageBreakBefore w:val="0"/>
        <w:spacing w:line="360" w:lineRule="auto"/>
        <w:tabs>
          <w:tab w:val="left" w:pos="5715" w:leader="none"/>
        </w:tabs>
        <w:rPr>
          <w:rFonts w:hint="eastAsia" w:ascii="宋体" w:hAnsi="宋体" w:eastAsia="宋体" w:cs="宋体"/>
          <w:b/>
          <w:bCs/>
          <w:sz w:val="24"/>
          <w:szCs w:val="24"/>
        </w:rPr>
        <w:outlineLvl w:val="9"/>
      </w:pPr>
      <w:r>
        <w:rPr>
          <w:rFonts w:hint="eastAsia" w:ascii="宋体" w:hAnsi="宋体" w:eastAsia="宋体" w:cs="宋体"/>
          <w:b/>
          <w:bCs/>
          <w:sz w:val="24"/>
          <w:szCs w:val="24"/>
        </w:rPr>
      </w:r>
      <w:r/>
    </w:p>
    <w:p>
      <w:pPr>
        <w:pStyle w:val="738"/>
        <w:ind w:left="420" w:firstLine="0"/>
        <w:keepLines w:val="0"/>
        <w:keepNext w:val="0"/>
        <w:pageBreakBefore w:val="0"/>
        <w:spacing w:line="360" w:lineRule="auto"/>
        <w:tabs>
          <w:tab w:val="left" w:pos="5715" w:leader="none"/>
        </w:tabs>
        <w:rPr>
          <w:rFonts w:hint="eastAsia" w:ascii="仿宋" w:hAnsi="仿宋" w:eastAsia="仿宋" w:cs="仿宋"/>
          <w:b/>
          <w:bCs/>
          <w:sz w:val="24"/>
          <w:szCs w:val="24"/>
        </w:rPr>
        <w:outlineLvl w:val="9"/>
      </w:pPr>
      <w:r>
        <w:rPr>
          <w:rFonts w:hint="eastAsia" w:ascii="宋体" w:hAnsi="宋体" w:eastAsia="宋体" w:cs="宋体"/>
          <w:b/>
          <w:bCs/>
          <w:sz w:val="24"/>
          <w:szCs w:val="24"/>
          <w:lang w:val="en-US" w:eastAsia="zh-CN"/>
        </w:rPr>
        <w:t xml:space="preserve">二、合同款</w:t>
      </w:r>
      <w:r>
        <w:rPr>
          <w:rFonts w:hint="eastAsia" w:ascii="宋体" w:hAnsi="宋体" w:eastAsia="宋体" w:cs="宋体"/>
          <w:b/>
          <w:bCs/>
          <w:sz w:val="24"/>
          <w:szCs w:val="24"/>
        </w:rPr>
        <w:t xml:space="preserve">支付：</w:t>
      </w:r>
      <w:r/>
    </w:p>
    <w:p>
      <w:pPr>
        <w:pStyle w:val="738"/>
        <w:ind w:left="0" w:firstLine="480"/>
        <w:keepLines w:val="0"/>
        <w:keepNext w:val="0"/>
        <w:pageBreakBefore w:val="0"/>
        <w:spacing w:line="240" w:lineRule="auto"/>
        <w:tabs>
          <w:tab w:val="left" w:pos="5715" w:leader="none"/>
        </w:tabs>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完成业主考核合格后，按</w:t>
      </w:r>
      <w:r>
        <w:rPr>
          <w:rFonts w:hint="eastAsia" w:ascii="宋体" w:hAnsi="宋体" w:eastAsia="宋体" w:cs="宋体"/>
          <w:b w:val="0"/>
          <w:bCs w:val="0"/>
          <w:sz w:val="24"/>
          <w:szCs w:val="24"/>
          <w:lang w:val="en-US" w:eastAsia="zh-CN"/>
        </w:rPr>
        <w:t xml:space="preserve">季度</w:t>
      </w:r>
      <w:r>
        <w:rPr>
          <w:rFonts w:hint="eastAsia" w:ascii="宋体" w:hAnsi="宋体" w:eastAsia="宋体" w:cs="宋体"/>
          <w:b w:val="0"/>
          <w:bCs w:val="0"/>
          <w:sz w:val="24"/>
          <w:szCs w:val="24"/>
        </w:rPr>
        <w:t xml:space="preserve">支付</w:t>
      </w:r>
      <w:r>
        <w:rPr>
          <w:rFonts w:hint="eastAsia" w:ascii="宋体" w:hAnsi="宋体" w:eastAsia="宋体" w:cs="宋体"/>
          <w:b w:val="0"/>
          <w:bCs w:val="0"/>
          <w:sz w:val="24"/>
          <w:szCs w:val="24"/>
          <w:lang w:eastAsia="zh-CN"/>
        </w:rPr>
        <w:t xml:space="preserve">。甲方收到乙方提供的同等金额的正规发票后，在履行财政相关资金审批手续后向乙方支付合同款。</w:t>
      </w:r>
      <w:r/>
    </w:p>
    <w:p>
      <w:pPr>
        <w:pStyle w:val="738"/>
        <w:numPr>
          <w:ilvl w:val="0"/>
          <w:numId w:val="0"/>
        </w:numPr>
        <w:ind w:left="0" w:firstLine="0"/>
        <w:keepLines w:val="0"/>
        <w:keepNext w:val="0"/>
        <w:pageBreakBefore w:val="0"/>
        <w:spacing w:line="240" w:lineRule="auto"/>
        <w:tabs>
          <w:tab w:val="left" w:pos="5715" w:leader="none"/>
        </w:tabs>
        <w:rPr>
          <w:rFonts w:hint="eastAsia" w:ascii="仿宋" w:hAnsi="仿宋" w:eastAsia="仿宋" w:cs="仿宋"/>
          <w:b/>
          <w:bCs/>
          <w:sz w:val="24"/>
          <w:szCs w:val="24"/>
          <w:lang w:val="en-US" w:eastAsia="zh-CN"/>
        </w:rPr>
        <w:outlineLvl w:val="9"/>
      </w:pPr>
      <w:r>
        <w:rPr>
          <w:rFonts w:hint="eastAsia" w:ascii="仿宋" w:hAnsi="仿宋" w:eastAsia="仿宋" w:cs="仿宋"/>
          <w:b/>
          <w:bCs/>
          <w:sz w:val="24"/>
          <w:szCs w:val="24"/>
          <w:lang w:val="en-US" w:eastAsia="zh-CN"/>
        </w:rPr>
      </w:r>
      <w:r/>
    </w:p>
    <w:p>
      <w:pPr>
        <w:pStyle w:val="738"/>
        <w:numPr>
          <w:ilvl w:val="0"/>
          <w:numId w:val="0"/>
        </w:numPr>
        <w:ind w:left="0" w:firstLine="482"/>
        <w:keepLines w:val="0"/>
        <w:keepNext w:val="0"/>
        <w:pageBreakBefore w:val="0"/>
        <w:spacing w:line="240" w:lineRule="auto"/>
        <w:tabs>
          <w:tab w:val="left" w:pos="5715" w:leader="none"/>
        </w:tabs>
        <w:rPr>
          <w:rFonts w:hint="eastAsia" w:ascii="仿宋" w:hAnsi="仿宋" w:eastAsia="仿宋" w:cs="仿宋"/>
          <w:b/>
          <w:bCs/>
          <w:sz w:val="24"/>
          <w:szCs w:val="24"/>
          <w:lang w:val="en-US" w:eastAsia="zh-CN"/>
        </w:rPr>
        <w:outlineLvl w:val="9"/>
      </w:pPr>
      <w:r>
        <w:rPr>
          <w:rFonts w:hint="eastAsia" w:ascii="宋体" w:hAnsi="宋体" w:eastAsia="宋体" w:cs="宋体"/>
          <w:b/>
          <w:bCs/>
          <w:color w:val="auto"/>
          <w:sz w:val="24"/>
          <w:szCs w:val="24"/>
          <w:lang w:val="en-US" w:eastAsia="zh-CN" w:bidi="zh-CN"/>
        </w:rPr>
        <w:t xml:space="preserve">三、</w:t>
      </w:r>
      <w:r>
        <w:rPr>
          <w:rFonts w:hint="eastAsia" w:ascii="宋体" w:hAnsi="宋体" w:eastAsia="宋体" w:cs="宋体"/>
          <w:b/>
          <w:bCs/>
          <w:sz w:val="24"/>
          <w:szCs w:val="24"/>
        </w:rPr>
        <w:t xml:space="preserve">服务周期：</w:t>
      </w:r>
      <w:r>
        <w:rPr>
          <w:rFonts w:hint="eastAsia" w:ascii="宋体" w:hAnsi="宋体" w:eastAsia="宋体" w:cs="宋体"/>
          <w:b w:val="0"/>
          <w:bCs w:val="0"/>
          <w:sz w:val="24"/>
          <w:szCs w:val="24"/>
          <w:lang w:val="en-US" w:eastAsia="zh-CN"/>
        </w:rPr>
        <w:t xml:space="preserve">三年，合</w:t>
      </w:r>
      <w:r>
        <w:rPr>
          <w:rFonts w:hint="eastAsia" w:ascii="宋体" w:hAnsi="宋体" w:eastAsia="宋体" w:cs="宋体"/>
          <w:b w:val="0"/>
          <w:bCs/>
          <w:sz w:val="24"/>
          <w:szCs w:val="24"/>
          <w:lang w:val="en-US" w:eastAsia="zh-CN"/>
        </w:rPr>
        <w:t xml:space="preserve">同一年一签。</w:t>
      </w:r>
      <w:r/>
    </w:p>
    <w:p>
      <w:pPr>
        <w:pStyle w:val="738"/>
        <w:numPr>
          <w:ilvl w:val="0"/>
          <w:numId w:val="0"/>
        </w:numPr>
        <w:ind w:left="420" w:firstLine="0"/>
        <w:keepLines w:val="0"/>
        <w:keepNext w:val="0"/>
        <w:pageBreakBefore w:val="0"/>
        <w:spacing w:line="360" w:lineRule="auto"/>
        <w:tabs>
          <w:tab w:val="left" w:pos="5715" w:leader="none"/>
        </w:tabs>
        <w:rPr>
          <w:rFonts w:hint="eastAsia" w:cs="仿宋"/>
          <w:b/>
          <w:bCs/>
          <w:color w:val="auto"/>
          <w:sz w:val="24"/>
          <w:szCs w:val="24"/>
          <w:lang w:val="zh-CN" w:eastAsia="zh-CN" w:bidi="zh-CN"/>
        </w:rPr>
        <w:outlineLvl w:val="9"/>
      </w:pPr>
      <w:r>
        <w:rPr>
          <w:rFonts w:hint="eastAsia" w:cs="仿宋"/>
          <w:b/>
          <w:bCs/>
          <w:color w:val="auto"/>
          <w:sz w:val="24"/>
          <w:szCs w:val="24"/>
          <w:lang w:val="zh-CN" w:eastAsia="zh-CN" w:bidi="zh-CN"/>
        </w:rPr>
      </w:r>
      <w:r/>
    </w:p>
    <w:p>
      <w:pPr>
        <w:pStyle w:val="738"/>
        <w:numPr>
          <w:ilvl w:val="0"/>
          <w:numId w:val="0"/>
        </w:numPr>
        <w:ind w:left="420" w:firstLine="0"/>
        <w:keepLines w:val="0"/>
        <w:keepNext w:val="0"/>
        <w:pageBreakBefore w:val="0"/>
        <w:spacing w:line="360" w:lineRule="auto"/>
        <w:tabs>
          <w:tab w:val="left" w:pos="5715" w:leader="none"/>
        </w:tabs>
        <w:rPr>
          <w:rFonts w:hint="eastAsia" w:ascii="仿宋" w:hAnsi="仿宋" w:eastAsia="仿宋" w:cs="仿宋"/>
          <w:b/>
          <w:bCs/>
          <w:sz w:val="24"/>
          <w:szCs w:val="24"/>
        </w:rPr>
        <w:outlineLvl w:val="9"/>
      </w:pPr>
      <w:r>
        <w:rPr>
          <w:rFonts w:hint="eastAsia" w:ascii="宋体" w:hAnsi="宋体" w:eastAsia="宋体" w:cs="宋体"/>
          <w:b/>
          <w:bCs/>
          <w:color w:val="auto"/>
          <w:sz w:val="24"/>
          <w:szCs w:val="24"/>
          <w:lang w:val="zh-CN" w:eastAsia="zh-CN" w:bidi="zh-CN"/>
        </w:rPr>
        <w:t xml:space="preserve">四、</w:t>
      </w:r>
      <w:r>
        <w:rPr>
          <w:rFonts w:hint="eastAsia" w:ascii="宋体" w:hAnsi="宋体" w:eastAsia="宋体" w:cs="宋体"/>
          <w:b/>
          <w:bCs/>
          <w:sz w:val="24"/>
          <w:szCs w:val="24"/>
        </w:rPr>
        <w:t xml:space="preserve">项目要求：</w:t>
      </w:r>
      <w:r>
        <w:rPr>
          <w:rFonts w:hint="eastAsia" w:ascii="仿宋" w:hAnsi="仿宋" w:eastAsia="仿宋" w:cs="仿宋"/>
          <w:b/>
          <w:bCs/>
          <w:sz w:val="24"/>
          <w:szCs w:val="24"/>
        </w:rPr>
        <w:t xml:space="preserve"> </w:t>
      </w:r>
      <w:r/>
    </w:p>
    <w:p>
      <w:pPr>
        <w:pStyle w:val="738"/>
        <w:ind w:left="0" w:firstLine="0"/>
        <w:keepLines w:val="0"/>
        <w:keepNext w:val="0"/>
        <w:pageBreakBefore w:val="0"/>
        <w:spacing w:line="300" w:lineRule="auto"/>
        <w:tabs>
          <w:tab w:val="left" w:pos="5715" w:leader="none"/>
        </w:tabs>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4.1 车辆要求：</w:t>
      </w:r>
      <w:r/>
    </w:p>
    <w:p>
      <w:pPr>
        <w:pStyle w:val="738"/>
        <w:ind w:left="0" w:firstLine="0"/>
        <w:keepLines w:val="0"/>
        <w:keepNext w:val="0"/>
        <w:pageBreakBefore w:val="0"/>
        <w:spacing w:line="300" w:lineRule="auto"/>
        <w:tabs>
          <w:tab w:val="left" w:pos="5715" w:leader="none"/>
        </w:tabs>
        <w:rPr>
          <w:rFonts w:hint="eastAsia" w:ascii="宋体" w:hAnsi="宋体" w:eastAsia="宋体" w:cs="宋体"/>
          <w:b/>
          <w:bCs/>
          <w:sz w:val="24"/>
          <w:szCs w:val="24"/>
          <w:lang w:val="en-US" w:eastAsia="zh-CN"/>
        </w:rPr>
        <w:outlineLvl w:val="9"/>
      </w:pPr>
      <w:r>
        <w:rPr>
          <w:rFonts w:hint="eastAsia" w:ascii="宋体" w:hAnsi="宋体" w:eastAsia="宋体" w:cs="宋体"/>
          <w:b/>
          <w:sz w:val="24"/>
          <w:szCs w:val="24"/>
          <w:lang w:eastAsia="zh-CN"/>
        </w:rPr>
        <w:t xml:space="preserve">★</w:t>
      </w:r>
      <w:r>
        <w:rPr>
          <w:rFonts w:hint="eastAsia" w:ascii="宋体" w:hAnsi="宋体" w:eastAsia="宋体" w:cs="宋体"/>
          <w:b/>
          <w:bCs/>
          <w:sz w:val="24"/>
          <w:szCs w:val="24"/>
          <w:lang w:val="en-US" w:eastAsia="zh-CN"/>
        </w:rPr>
        <w:t xml:space="preserve">① 供应商提供的新能源雾炮车需为纯电车辆；</w:t>
      </w:r>
      <w:r/>
    </w:p>
    <w:p>
      <w:pPr>
        <w:pStyle w:val="738"/>
        <w:ind w:left="0" w:firstLine="0"/>
        <w:keepLines w:val="0"/>
        <w:keepNext w:val="0"/>
        <w:pageBreakBefore w:val="0"/>
        <w:spacing w:line="300" w:lineRule="auto"/>
        <w:tabs>
          <w:tab w:val="left" w:pos="5715" w:leader="none"/>
        </w:tabs>
        <w:rPr>
          <w:rFonts w:hint="eastAsia" w:ascii="宋体" w:hAnsi="宋体" w:eastAsia="宋体" w:cs="宋体"/>
          <w:b/>
          <w:bCs/>
          <w:sz w:val="24"/>
          <w:szCs w:val="24"/>
          <w:lang w:val="en-US" w:eastAsia="zh-CN"/>
        </w:rPr>
        <w:outlineLvl w:val="9"/>
      </w:pPr>
      <w:r>
        <w:rPr>
          <w:rFonts w:hint="eastAsia" w:ascii="宋体" w:hAnsi="宋体" w:eastAsia="宋体" w:cs="宋体"/>
          <w:b/>
          <w:sz w:val="24"/>
          <w:szCs w:val="24"/>
          <w:lang w:eastAsia="zh-CN"/>
        </w:rPr>
        <w:t xml:space="preserve">★</w:t>
      </w:r>
      <w:r>
        <w:rPr>
          <w:rFonts w:hint="eastAsia" w:ascii="宋体" w:hAnsi="宋体" w:eastAsia="宋体" w:cs="宋体"/>
          <w:b/>
          <w:bCs/>
          <w:sz w:val="24"/>
          <w:szCs w:val="24"/>
          <w:lang w:val="en-US" w:eastAsia="zh-CN"/>
        </w:rPr>
        <w:t xml:space="preserve">② 供应商提供新能源雾炮车有效扬程不低于110m；</w:t>
      </w:r>
      <w:r/>
    </w:p>
    <w:p>
      <w:pPr>
        <w:pStyle w:val="738"/>
        <w:ind w:left="0" w:firstLine="0"/>
        <w:keepLines w:val="0"/>
        <w:keepNext w:val="0"/>
        <w:pageBreakBefore w:val="0"/>
        <w:spacing w:line="300" w:lineRule="auto"/>
        <w:tabs>
          <w:tab w:val="left" w:pos="5715"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sz w:val="24"/>
          <w:szCs w:val="24"/>
          <w:lang w:val="en-US" w:eastAsia="zh-CN"/>
        </w:rPr>
        <w:t xml:space="preserve">③ 供应商提供新能源雾炮车正常连续作业不低于8小时</w:t>
      </w:r>
      <w:r>
        <w:rPr>
          <w:rFonts w:hint="eastAsia" w:ascii="宋体" w:hAnsi="宋体" w:eastAsia="宋体" w:cs="宋体"/>
          <w:b w:val="0"/>
          <w:bCs w:val="0"/>
          <w:sz w:val="24"/>
          <w:szCs w:val="24"/>
          <w:lang w:val="en-US" w:eastAsia="zh-CN"/>
        </w:rPr>
        <w:t xml:space="preserve">；</w:t>
      </w:r>
      <w:r/>
    </w:p>
    <w:p>
      <w:pPr>
        <w:pStyle w:val="714"/>
        <w:numPr>
          <w:ilvl w:val="0"/>
          <w:numId w:val="0"/>
        </w:numPr>
        <w:ind w:right="0"/>
        <w:jc w:val="left"/>
        <w:keepLines w:val="0"/>
        <w:keepNext w:val="0"/>
        <w:pageBreakBefore w:val="0"/>
        <w:spacing w:line="300" w:lineRule="auto"/>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 4 \* GB3 \* MERGEFORMAT </w:instrText>
      </w:r>
      <w:r>
        <w:rPr>
          <w:rFonts w:hint="eastAsia" w:ascii="宋体" w:hAnsi="宋体" w:eastAsia="宋体" w:cs="宋体"/>
          <w:b w:val="0"/>
          <w:bCs w:val="0"/>
          <w:sz w:val="24"/>
          <w:szCs w:val="24"/>
          <w:lang w:val="en-US" w:eastAsia="zh-CN"/>
        </w:rPr>
        <w:fldChar w:fldCharType="separate"/>
      </w:r>
      <w:r>
        <w:rPr>
          <w:rFonts w:hint="eastAsia" w:ascii="宋体" w:hAnsi="宋体" w:eastAsia="宋体" w:cs="宋体"/>
          <w:b w:val="0"/>
          <w:bCs w:val="0"/>
          <w:sz w:val="24"/>
          <w:szCs w:val="24"/>
        </w:rPr>
        <w:t xml:space="preserve">④</w: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 xml:space="preserve"> 供应商提供新能源雾炮车正常充电时长在2.5小时内；</w:t>
      </w:r>
      <w:r/>
    </w:p>
    <w:p>
      <w:pPr>
        <w:pStyle w:val="714"/>
        <w:numPr>
          <w:ilvl w:val="0"/>
          <w:numId w:val="0"/>
        </w:numPr>
        <w:ind w:right="0"/>
        <w:jc w:val="left"/>
        <w:keepLines w:val="0"/>
        <w:keepNext w:val="0"/>
        <w:pageBreakBefore w:val="0"/>
        <w:spacing w:line="300" w:lineRule="auto"/>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 5 \* GB3 \* MERGEFORMAT </w:instrText>
      </w:r>
      <w:r>
        <w:rPr>
          <w:rFonts w:hint="eastAsia" w:ascii="宋体" w:hAnsi="宋体" w:eastAsia="宋体" w:cs="宋体"/>
          <w:b w:val="0"/>
          <w:bCs w:val="0"/>
          <w:sz w:val="24"/>
          <w:szCs w:val="24"/>
          <w:lang w:val="en-US" w:eastAsia="zh-CN"/>
        </w:rPr>
        <w:fldChar w:fldCharType="separate"/>
      </w:r>
      <w:r>
        <w:rPr>
          <w:rFonts w:hint="eastAsia" w:ascii="宋体" w:hAnsi="宋体" w:eastAsia="宋体" w:cs="宋体"/>
          <w:b w:val="0"/>
          <w:bCs w:val="0"/>
          <w:sz w:val="24"/>
          <w:szCs w:val="24"/>
        </w:rPr>
        <w:t xml:space="preserve">⑤</w: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 xml:space="preserve"> 供应商提供新能源雾炮车单车水箱不低于8吨；</w:t>
      </w:r>
      <w:r/>
    </w:p>
    <w:p>
      <w:pPr>
        <w:pStyle w:val="714"/>
        <w:numPr>
          <w:ilvl w:val="0"/>
          <w:numId w:val="0"/>
        </w:numPr>
        <w:ind w:right="0"/>
        <w:jc w:val="left"/>
        <w:keepLines w:val="0"/>
        <w:keepNext w:val="0"/>
        <w:pageBreakBefore w:val="0"/>
        <w:spacing w:line="300" w:lineRule="auto"/>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 6 \* GB3 \* MERGEFORMAT </w:instrText>
      </w:r>
      <w:r>
        <w:rPr>
          <w:rFonts w:hint="eastAsia" w:ascii="宋体" w:hAnsi="宋体" w:eastAsia="宋体" w:cs="宋体"/>
          <w:b w:val="0"/>
          <w:bCs w:val="0"/>
          <w:sz w:val="24"/>
          <w:szCs w:val="24"/>
          <w:lang w:val="en-US" w:eastAsia="zh-CN"/>
        </w:rPr>
        <w:fldChar w:fldCharType="separate"/>
      </w:r>
      <w:r>
        <w:rPr>
          <w:rFonts w:hint="eastAsia" w:ascii="宋体" w:hAnsi="宋体" w:eastAsia="宋体" w:cs="宋体"/>
          <w:b w:val="0"/>
          <w:bCs w:val="0"/>
          <w:sz w:val="24"/>
          <w:szCs w:val="24"/>
        </w:rPr>
        <w:t xml:space="preserve">⑥</w: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 xml:space="preserve"> 供应商提供新能源雾炮车电池容量不低于260kwh。</w:t>
      </w:r>
      <w:r/>
    </w:p>
    <w:p>
      <w:pPr>
        <w:pStyle w:val="714"/>
        <w:numPr>
          <w:ilvl w:val="0"/>
          <w:numId w:val="0"/>
        </w:numPr>
        <w:ind w:right="0"/>
        <w:jc w:val="left"/>
        <w:keepLines w:val="0"/>
        <w:keepNext w:val="0"/>
        <w:pageBreakBefore w:val="0"/>
        <w:spacing w:line="300" w:lineRule="auto"/>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（以上车辆要求①-</w:t>
      </w:r>
      <w:r>
        <w:rPr>
          <w:rFonts w:hint="eastAsia" w:ascii="宋体" w:hAnsi="宋体" w:eastAsia="宋体" w:cs="宋体"/>
          <w:b/>
          <w:bCs/>
          <w:sz w:val="24"/>
          <w:szCs w:val="24"/>
          <w:lang w:val="en-US" w:eastAsia="zh-CN"/>
        </w:rPr>
        <w:fldChar w:fldCharType="begin"/>
      </w:r>
      <w:r>
        <w:rPr>
          <w:rFonts w:hint="eastAsia" w:ascii="宋体" w:hAnsi="宋体" w:eastAsia="宋体" w:cs="宋体"/>
          <w:b/>
          <w:bCs/>
          <w:sz w:val="24"/>
          <w:szCs w:val="24"/>
          <w:lang w:val="en-US" w:eastAsia="zh-CN"/>
        </w:rPr>
        <w:instrText xml:space="preserve"> = 6 \* GB3 \* MERGEFORMAT </w:instrText>
      </w:r>
      <w:r>
        <w:rPr>
          <w:rFonts w:hint="eastAsia" w:ascii="宋体" w:hAnsi="宋体" w:eastAsia="宋体" w:cs="宋体"/>
          <w:b/>
          <w:bCs/>
          <w:sz w:val="24"/>
          <w:szCs w:val="24"/>
          <w:lang w:val="en-US" w:eastAsia="zh-CN"/>
        </w:rPr>
        <w:fldChar w:fldCharType="separate"/>
      </w:r>
      <w:r>
        <w:rPr>
          <w:rFonts w:hint="eastAsia" w:ascii="宋体" w:hAnsi="宋体" w:eastAsia="宋体" w:cs="宋体"/>
          <w:b/>
          <w:bCs/>
          <w:sz w:val="24"/>
          <w:szCs w:val="24"/>
        </w:rPr>
        <w:t xml:space="preserve">⑥</w:t>
      </w:r>
      <w:r>
        <w:rPr>
          <w:rFonts w:hint="eastAsia" w:ascii="宋体" w:hAnsi="宋体" w:eastAsia="宋体" w:cs="宋体"/>
          <w:b/>
          <w:bCs/>
          <w:sz w:val="24"/>
          <w:szCs w:val="24"/>
          <w:lang w:val="en-US" w:eastAsia="zh-CN"/>
        </w:rPr>
        <w:fldChar w:fldCharType="end"/>
      </w:r>
      <w:r>
        <w:rPr>
          <w:rFonts w:hint="eastAsia" w:ascii="宋体" w:hAnsi="宋体" w:eastAsia="宋体" w:cs="宋体"/>
          <w:b/>
          <w:bCs/>
          <w:sz w:val="24"/>
          <w:szCs w:val="24"/>
          <w:lang w:val="en-US" w:eastAsia="zh-CN"/>
        </w:rPr>
        <w:t xml:space="preserve">供应商需充分了解并提供满足车辆要求承诺书加盖电子公章，格式自拟，如缺项或未提供或未加盖电子公章按无效投标处理）</w:t>
      </w:r>
      <w:r/>
    </w:p>
    <w:p>
      <w:pPr>
        <w:pStyle w:val="738"/>
        <w:ind w:left="0" w:firstLine="0"/>
        <w:keepLines w:val="0"/>
        <w:keepNext w:val="0"/>
        <w:pageBreakBefore w:val="0"/>
        <w:spacing w:line="300" w:lineRule="auto"/>
        <w:tabs>
          <w:tab w:val="left" w:pos="5715"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 7 \* GB3 \* MERGEFORMAT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rPr>
        <w:t xml:space="preserve">⑦</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rPr>
          <w:rFonts w:hint="eastAsia" w:ascii="宋体" w:hAnsi="宋体" w:eastAsia="宋体" w:cs="宋体"/>
          <w:b w:val="0"/>
          <w:bCs w:val="0"/>
          <w:sz w:val="24"/>
          <w:szCs w:val="24"/>
          <w:lang w:val="en-US" w:eastAsia="zh-CN"/>
        </w:rPr>
        <w:t xml:space="preserve">车辆上牌费、保险费、保养费、维修费等费用由供应商承担。</w:t>
      </w:r>
      <w:r/>
    </w:p>
    <w:p>
      <w:pPr>
        <w:pStyle w:val="738"/>
        <w:ind w:left="0" w:firstLine="0"/>
        <w:keepLines w:val="0"/>
        <w:keepNext w:val="0"/>
        <w:pageBreakBefore w:val="0"/>
        <w:spacing w:line="300" w:lineRule="auto"/>
        <w:tabs>
          <w:tab w:val="left" w:pos="5715"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 8 \* GB3 \* MERGEFORMAT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rPr>
        <w:t xml:space="preserve">⑧</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rPr>
          <w:rFonts w:hint="eastAsia" w:ascii="宋体" w:hAnsi="宋体" w:eastAsia="宋体" w:cs="宋体"/>
          <w:b w:val="0"/>
          <w:bCs w:val="0"/>
          <w:sz w:val="24"/>
          <w:szCs w:val="24"/>
          <w:lang w:val="en-US" w:eastAsia="zh-CN"/>
        </w:rPr>
        <w:t xml:space="preserve">车辆运行过程中产生的用水费用、充电费用、停车费用等由供应商承担。</w:t>
      </w:r>
      <w:r/>
    </w:p>
    <w:p>
      <w:pPr>
        <w:pStyle w:val="738"/>
        <w:ind w:left="0" w:firstLine="0"/>
        <w:keepLines w:val="0"/>
        <w:keepNext w:val="0"/>
        <w:pageBreakBefore w:val="0"/>
        <w:spacing w:line="300" w:lineRule="auto"/>
        <w:tabs>
          <w:tab w:val="left" w:pos="5715"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4.2 人员要求：</w:t>
      </w:r>
      <w:r/>
    </w:p>
    <w:p>
      <w:pPr>
        <w:pStyle w:val="738"/>
        <w:ind w:left="0" w:firstLine="0"/>
        <w:keepLines w:val="0"/>
        <w:keepNext w:val="0"/>
        <w:pageBreakBefore w:val="0"/>
        <w:spacing w:line="300" w:lineRule="auto"/>
        <w:tabs>
          <w:tab w:val="left" w:pos="5715" w:leader="none"/>
        </w:tabs>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t xml:space="preserve">★供应商安排为本项目配备服务作业人员不少于2名，驾驶员年龄不得高于50周岁，持有A2及以上驾驶证。（提供有效期内驾驶证复印件、劳动合同复印件及为其连续缴纳的社保证明（2026年3月-2026年8月）并加盖电子公章）</w:t>
      </w:r>
      <w:r/>
    </w:p>
    <w:p>
      <w:pPr>
        <w:numPr>
          <w:ilvl w:val="0"/>
          <w:numId w:val="0"/>
        </w:numPr>
        <w:ind w:right="0"/>
        <w:jc w:val="left"/>
        <w:keepLines w:val="0"/>
        <w:keepNext w:val="0"/>
        <w:pageBreakBefore w:val="0"/>
        <w:spacing w:line="300" w:lineRule="auto"/>
        <w:widowControl/>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4.3 作业长度:</w:t>
      </w:r>
      <w:r/>
    </w:p>
    <w:p>
      <w:pPr>
        <w:pStyle w:val="714"/>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① 当空气湿度大于90%时，雾炮车沿七里桥北路—沿山大道—胡桥路—红庙路—石公路—龚家洼路—七里桥北路共约3km，循环作业。</w:t>
      </w:r>
      <w:r/>
    </w:p>
    <w:p>
      <w:pPr>
        <w:pStyle w:val="714"/>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② 当空气湿度小于90%时，雾炮车在沿山大道中段七里桥北路路口~胡桥路路口段长度为0.86km，由于道路中分绿化带分隔，全线作业长度为1.72km，来回作业。</w:t>
      </w:r>
      <w:r/>
    </w:p>
    <w:p>
      <w:pPr>
        <w:pStyle w:val="714"/>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4.4 作业时间：除下雨、温度低于4℃和早晚交通高峰期(7:00-9:00、17:00-19:00）时间外，</w:t>
      </w:r>
      <w:r>
        <w:rPr>
          <w:rFonts w:hint="eastAsia" w:ascii="宋体" w:hAnsi="宋体" w:eastAsia="宋体" w:cs="宋体"/>
          <w:color w:val="auto"/>
          <w:sz w:val="24"/>
          <w:szCs w:val="24"/>
          <w:lang w:val="en-US" w:eastAsia="zh-CN" w:bidi="ar-SA"/>
        </w:rPr>
        <w:t xml:space="preserve">雾炮车每日作业时间为8小时。</w:t>
      </w:r>
      <w:r/>
    </w:p>
    <w:p>
      <w:pPr>
        <w:numPr>
          <w:ilvl w:val="0"/>
          <w:numId w:val="0"/>
        </w:numPr>
        <w:ind w:right="0"/>
        <w:jc w:val="left"/>
        <w:keepLines w:val="0"/>
        <w:keepNext w:val="0"/>
        <w:pageBreakBefore w:val="0"/>
        <w:spacing w:line="300" w:lineRule="auto"/>
        <w:widowControl/>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4.5 作业时速:参照南京市环卫作业主管部门规定，洒水抑尘类特种车辆作业时速≤15kmh。</w:t>
      </w:r>
      <w:r/>
    </w:p>
    <w:p>
      <w:pPr>
        <w:pStyle w:val="714"/>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4.6 报价要求：</w:t>
      </w:r>
      <w:r/>
    </w:p>
    <w:p>
      <w:pPr>
        <w:pStyle w:val="714"/>
        <w:keepLines w:val="0"/>
        <w:keepNext w:val="0"/>
        <w:pageBreakBefore w:val="0"/>
        <w:spacing w:line="300" w:lineRule="auto"/>
        <w:rPr>
          <w:rFonts w:hint="eastAsia" w:ascii="宋体" w:hAnsi="宋体" w:eastAsia="宋体" w:cs="宋体"/>
          <w:sz w:val="24"/>
          <w:szCs w:val="24"/>
          <w:lang w:val="en-US" w:eastAsia="zh-CN"/>
        </w:rPr>
        <w:outlineLvl w:val="9"/>
      </w:pPr>
      <w:r>
        <w:rPr>
          <w:rFonts w:hint="eastAsia" w:ascii="宋体" w:hAnsi="宋体" w:eastAsia="宋体" w:cs="宋体"/>
          <w:color w:val="000000"/>
          <w:sz w:val="24"/>
          <w:szCs w:val="24"/>
          <w:lang w:val="en-US" w:eastAsia="zh-CN" w:bidi="ar-SA"/>
        </w:rPr>
        <w:t xml:space="preserve">供应商应充分考各种因素，投标报价应包括新能源雾炮车使用费，拟派遣人员工资、福利、培训、体检、社会保险、加班费、工作服装、基本作业用品、人员伙食费、停车场地及其他一切费用等，价格一旦成交，采购人不予追加任何费用。</w:t>
      </w:r>
      <w:r/>
    </w:p>
    <w:p>
      <w:pPr>
        <w:numPr>
          <w:ilvl w:val="0"/>
          <w:numId w:val="0"/>
        </w:numPr>
        <w:ind w:right="0"/>
        <w:jc w:val="left"/>
        <w:keepLines w:val="0"/>
        <w:keepNext w:val="0"/>
        <w:pageBreakBefore w:val="0"/>
        <w:spacing w:line="300" w:lineRule="auto"/>
        <w:widowControl/>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4.7 其他要求:</w:t>
      </w:r>
      <w:r/>
    </w:p>
    <w:p>
      <w:pPr>
        <w:pStyle w:val="714"/>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① 环卫特种车辆作业规定要求，早、晚交通高峰期（7:00-9:00、17:00-19:00）与夜间不得作业，避免车辆低速造成道路拥堵、水雾影响通行车辆视线；</w:t>
      </w:r>
      <w:r/>
    </w:p>
    <w:p>
      <w:pPr>
        <w:pStyle w:val="714"/>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② 单台车辆在线工作状态下，可实现15分钟以内往返作业1趟次，后期可以根据气温、湿度等实际因素适当延伸作业长度。</w:t>
      </w:r>
      <w:r/>
    </w:p>
    <w:p>
      <w:pPr>
        <w:pStyle w:val="738"/>
        <w:ind w:left="0" w:firstLine="0"/>
        <w:keepLines w:val="0"/>
        <w:keepNext w:val="0"/>
        <w:pageBreakBefore w:val="0"/>
        <w:spacing w:line="300" w:lineRule="auto"/>
        <w:tabs>
          <w:tab w:val="left" w:pos="5715"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color w:val="auto"/>
          <w:sz w:val="24"/>
          <w:szCs w:val="24"/>
        </w:rPr>
        <w:t xml:space="preserve">③</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sz w:val="24"/>
          <w:szCs w:val="24"/>
          <w:lang w:val="en-US" w:eastAsia="zh-CN"/>
        </w:rPr>
        <w:t xml:space="preserve">对于采购人在突发情况下提出的应急要求，供应商应尽最大可能为提供服务便利，并不得以此为由提出追加服务收费等要求。</w:t>
      </w:r>
      <w:r/>
    </w:p>
    <w:p>
      <w:pPr>
        <w:pStyle w:val="714"/>
        <w:ind w:firstLine="241"/>
        <w:keepLines w:val="0"/>
        <w:keepNext w:val="0"/>
        <w:pageBreakBefore w:val="0"/>
        <w:spacing w:line="300" w:lineRule="auto"/>
        <w:rPr>
          <w:rFonts w:hint="eastAsia" w:ascii="宋体" w:hAnsi="宋体" w:eastAsia="宋体" w:cs="宋体"/>
          <w:b/>
          <w:bCs/>
          <w:color w:val="000000"/>
          <w:sz w:val="24"/>
          <w:szCs w:val="24"/>
          <w:lang w:val="en-US" w:eastAsia="zh-CN" w:bidi="ar-SA"/>
        </w:rPr>
        <w:outlineLvl w:val="9"/>
      </w:pPr>
      <w:r>
        <w:rPr>
          <w:rFonts w:hint="eastAsia" w:ascii="宋体" w:hAnsi="宋体" w:eastAsia="宋体" w:cs="宋体"/>
          <w:b/>
          <w:bCs/>
          <w:color w:val="000000"/>
          <w:sz w:val="24"/>
          <w:szCs w:val="24"/>
          <w:lang w:val="en-US" w:eastAsia="zh-CN" w:bidi="ar-SA"/>
        </w:rPr>
        <w:t xml:space="preserve">五、考核要求：</w:t>
      </w:r>
      <w:r/>
    </w:p>
    <w:p>
      <w:pPr>
        <w:pStyle w:val="714"/>
        <w:ind w:firstLine="480"/>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雾炮车考核采取月度考核的方式，考核工作由顶山街道办事处环水科工作人员负责。考核对雾炮车工作的运行路线、喷洒时间、响应时间等方面采取台账资料、现场检查相结合的方式进行考核。</w:t>
      </w:r>
      <w:r/>
    </w:p>
    <w:p>
      <w:pPr>
        <w:pStyle w:val="714"/>
        <w:ind w:firstLine="480"/>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主要内容包括行驶路线、行驶时间、及时响应等五个方面，具体如下：</w:t>
      </w:r>
      <w:r/>
    </w:p>
    <w:p>
      <w:pPr>
        <w:pStyle w:val="714"/>
        <w:numPr>
          <w:ilvl w:val="0"/>
          <w:numId w:val="0"/>
        </w:numPr>
        <w:ind w:left="0" w:right="0"/>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1、按规定路线及时间行驶。</w:t>
      </w:r>
      <w:r/>
    </w:p>
    <w:p>
      <w:pPr>
        <w:pStyle w:val="714"/>
        <w:numPr>
          <w:ilvl w:val="0"/>
          <w:numId w:val="0"/>
        </w:numPr>
        <w:ind w:right="0" w:firstLine="480"/>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车辆必须安装定位系统能清楚显示每天洒水路线及里程，同时乙方定位APP及车辆摄像能显示监控车辆的路线及情况供甲方查看。雾炮车除加水和充电必须按照上述规定路线行驶，在行驶过程中要保持车速稳定，确保雾炮喷洒效果。甲方每日对雾炮车行驶路线及时间进行抽查。发现驾驶员未按规定路线及时间行驶的，第一次对乙方处罚1000元，第二次对乙方处罚2000元，第三次对乙方处罚4000元，处罚金额经甲乙双方认可后将从当月服务经费中直接扣除，累计三次以上仍未整改的，甲方有权终止合同。</w:t>
      </w:r>
      <w:r/>
    </w:p>
    <w:p>
      <w:pPr>
        <w:pStyle w:val="714"/>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2、及时响应甲方要求。</w:t>
      </w:r>
      <w:r/>
    </w:p>
    <w:p>
      <w:pPr>
        <w:pStyle w:val="714"/>
        <w:ind w:firstLine="480"/>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上述作业路段及作业时段按照甲方要求和气象情况及时调整响应，根据实际情况进行雾炮作业。乙方驾驶员应在30分钟内响应甲方要求，如响应不及时，第一次对乙方处罚1000元，第二次对乙方处罚2000元，第三次对乙方处罚4000元，处罚金额经甲乙双方认可后将从当月服务经费中直接扣除，累计三次以上仍未整改的，甲方有权终止合同。</w:t>
      </w:r>
      <w:r/>
    </w:p>
    <w:p>
      <w:pPr>
        <w:pStyle w:val="714"/>
        <w:numPr>
          <w:ilvl w:val="0"/>
          <w:numId w:val="0"/>
        </w:numPr>
        <w:ind w:left="0" w:right="0" w:firstLine="0"/>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3、雾炮车维修提前报备。</w:t>
      </w:r>
      <w:r/>
    </w:p>
    <w:p>
      <w:pPr>
        <w:pStyle w:val="714"/>
        <w:numPr>
          <w:ilvl w:val="0"/>
          <w:numId w:val="0"/>
        </w:numPr>
        <w:ind w:right="0" w:firstLine="480"/>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雾炮车不能作业时要及时向甲方进行报备，告知雾炮不能作业原因及维修需要的时间，一般情况下不超过3天。如维修时间超过3天，将按天数比例经甲乙双方认可后从当月经费中直接扣除。</w:t>
      </w:r>
      <w:r/>
    </w:p>
    <w:p>
      <w:pPr>
        <w:pStyle w:val="714"/>
        <w:numPr>
          <w:ilvl w:val="0"/>
          <w:numId w:val="0"/>
        </w:numPr>
        <w:ind w:left="0" w:right="0" w:firstLine="0"/>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4、雾炮车工作台账建立。</w:t>
      </w:r>
      <w:r/>
    </w:p>
    <w:p>
      <w:pPr>
        <w:pStyle w:val="714"/>
        <w:numPr>
          <w:ilvl w:val="0"/>
          <w:numId w:val="0"/>
        </w:numPr>
        <w:ind w:right="0" w:firstLine="480"/>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雾炮车作业时应当建立工作台账，包括当日天气、运行、加水、充电时间。每月5号前上交甲方备查。</w:t>
      </w:r>
      <w:r/>
    </w:p>
    <w:p>
      <w:pPr>
        <w:pStyle w:val="714"/>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5、安全生产管理，包括：</w:t>
      </w:r>
      <w:r/>
    </w:p>
    <w:p>
      <w:pPr>
        <w:pStyle w:val="714"/>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（1）乙方要严格执行国家关于安全管理的法律、法规，抓好日常雾炮作业中的安全工作。</w:t>
      </w:r>
      <w:r/>
    </w:p>
    <w:p>
      <w:pPr>
        <w:pStyle w:val="714"/>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（2）雾炮车的操作人员必须持证上岗，并经过专业培训合格方可操作。乙方要将雾炮车行驶证及驾驶员的驾驶证、上岗证等证件复印件报备至甲方留存。</w:t>
      </w:r>
      <w:r/>
    </w:p>
    <w:p>
      <w:pPr>
        <w:pStyle w:val="714"/>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（3）乙方要定期组织人员对车辆维护保养，确保始终保持良好状态。特别是要经常检查刹车、灯光、转向系统等确保安全行驶。</w:t>
      </w:r>
      <w:r/>
    </w:p>
    <w:p>
      <w:pPr>
        <w:pStyle w:val="714"/>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（4）乙方要加强作业过程中的交通安全。雾炮车驾驶员要严格遵守交通规则，禁止无证驾驶、杜绝酒后驾驶。如有酒后驾驶，甲方责令乙方将当事人辞退。处罚金额经甲乙双方认可后将从当月经费中直接扣除。</w:t>
      </w:r>
      <w:r/>
    </w:p>
    <w:p>
      <w:pPr>
        <w:pStyle w:val="714"/>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（5）洒水降尘应符合作业要求，文明洒水，车容整洁，车体外部无污垢，标志清晰，车辆使用后无乱停乱放现象，遵守道路交通法规，文明作业。</w:t>
      </w:r>
      <w:r/>
    </w:p>
    <w:p>
      <w:pPr>
        <w:pStyle w:val="714"/>
        <w:rPr>
          <w:rFonts w:hint="eastAsia" w:ascii="仿宋" w:hAnsi="仿宋" w:eastAsia="仿宋" w:cs="仿宋"/>
          <w:sz w:val="20"/>
        </w:rPr>
        <w:outlineLvl w:val="9"/>
      </w:pPr>
      <w:r>
        <w:rPr>
          <w:rFonts w:hint="eastAsia" w:ascii="仿宋" w:hAnsi="仿宋" w:eastAsia="仿宋" w:cs="仿宋"/>
          <w:sz w:val="20"/>
        </w:rPr>
      </w:r>
      <w:r/>
    </w:p>
    <w:p>
      <w:pPr>
        <w:pStyle w:val="714"/>
        <w:rPr>
          <w:rFonts w:hint="eastAsia" w:ascii="仿宋" w:hAnsi="仿宋" w:eastAsia="仿宋" w:cs="仿宋"/>
          <w:sz w:val="20"/>
        </w:rPr>
        <w:outlineLvl w:val="9"/>
      </w:pPr>
      <w:r>
        <w:rPr>
          <w:rFonts w:hint="eastAsia" w:ascii="仿宋" w:hAnsi="仿宋" w:eastAsia="仿宋" w:cs="仿宋"/>
          <w:sz w:val="20"/>
        </w:rPr>
      </w:r>
      <w:r/>
    </w:p>
    <w:p>
      <w:pPr>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704"/>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704"/>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936"/>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936"/>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936"/>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rPr>
          <w:rFonts w:hint="eastAsia"/>
          <w:lang w:eastAsia="zh-CN"/>
        </w:rPr>
      </w:pPr>
      <w:r>
        <w:rPr>
          <w:rFonts w:hint="eastAsia"/>
          <w:lang w:eastAsia="zh-CN"/>
        </w:rPr>
      </w:r>
      <w:r/>
    </w:p>
    <w:p>
      <w:pPr>
        <w:pStyle w:val="704"/>
        <w:rPr>
          <w:rFonts w:hint="eastAsia"/>
          <w:lang w:eastAsia="zh-CN"/>
        </w:rPr>
      </w:pPr>
      <w:r>
        <w:rPr>
          <w:rFonts w:hint="eastAsia"/>
          <w:lang w:eastAsia="zh-CN"/>
        </w:rPr>
      </w:r>
      <w:r/>
    </w:p>
    <w:p>
      <w:pPr>
        <w:pStyle w:val="704"/>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703"/>
        <w:numPr>
          <w:ilvl w:val="0"/>
          <w:numId w:val="2"/>
        </w:numPr>
        <w:ind w:left="0" w:firstLine="0"/>
        <w:jc w:val="center"/>
        <w:keepLines w:val="0"/>
        <w:keepNext w:val="0"/>
        <w:pageBreakBefore w:val="0"/>
        <w:spacing w:line="360" w:lineRule="auto"/>
        <w:widowControl w:val="off"/>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 </w:t>
      </w:r>
      <w:bookmarkStart w:id="160" w:name="_Toc31539"/>
      <w:r>
        <w:rPr>
          <w:rFonts w:hint="eastAsia" w:ascii="宋体" w:hAnsi="宋体" w:eastAsia="宋体" w:cs="宋体"/>
          <w:color w:val="auto"/>
          <w:sz w:val="36"/>
          <w:szCs w:val="36"/>
          <w:highlight w:val="none"/>
          <w:lang w:val="en-US" w:eastAsia="zh-CN"/>
        </w:rPr>
        <w:t xml:space="preserve">评标办法和标准</w:t>
      </w:r>
      <w:bookmarkEnd w:id="160"/>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采用综合评分法，对满足磋商文件全部实质性要求的响应文件按评审因素的量化指标评审总分对供应商进行排序。</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经磋商确定最终采购需求和提交最后报价的供应商后，磋商小组成员独立对提交最后报价的供应商的响应文件和最后报</w:t>
      </w:r>
      <w:r>
        <w:rPr>
          <w:rFonts w:hint="eastAsia" w:ascii="宋体" w:hAnsi="宋体" w:eastAsia="宋体" w:cs="宋体"/>
          <w:color w:val="000000" w:themeColor="text1"/>
          <w:sz w:val="24"/>
          <w:szCs w:val="24"/>
          <w14:textFill>
            <w14:solidFill>
              <w14:schemeClr w14:val="tx1"/>
            </w14:solidFill>
          </w14:textFill>
        </w:rPr>
        <w:t xml:space="preserve">价进行综合评分。</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磋商小组按照评审总分由高到低顺序推荐</w:t>
      </w:r>
      <w:r>
        <w:rPr>
          <w:rFonts w:hint="eastAsia" w:ascii="宋体" w:hAnsi="宋体" w:eastAsia="宋体" w:cs="宋体"/>
          <w:color w:val="000000" w:themeColor="text1"/>
          <w:sz w:val="24"/>
          <w:szCs w:val="24"/>
          <w14:textFill>
            <w14:solidFill>
              <w14:schemeClr w14:val="tx1"/>
            </w14:solidFill>
          </w14:textFill>
        </w:rPr>
        <w:t xml:space="preserve">3名</w:t>
      </w:r>
      <w:r>
        <w:rPr>
          <w:rFonts w:hint="eastAsia" w:ascii="宋体" w:hAnsi="宋体" w:eastAsia="宋体" w:cs="宋体"/>
          <w:color w:val="000000" w:themeColor="text1"/>
          <w:sz w:val="24"/>
          <w:szCs w:val="24"/>
          <w14:textFill>
            <w14:solidFill>
              <w14:schemeClr w14:val="tx1"/>
            </w14:solidFill>
          </w14:textFill>
        </w:rPr>
        <w:t xml:space="preserve">成交候选供应商，并编写评审报告。符合本磋商文件</w:t>
      </w:r>
      <w:r>
        <w:rPr>
          <w:rFonts w:hint="eastAsia" w:ascii="宋体" w:hAnsi="宋体" w:eastAsia="宋体" w:cs="宋体"/>
          <w:color w:val="auto"/>
          <w:sz w:val="24"/>
          <w:szCs w:val="24"/>
        </w:rPr>
        <w:t xml:space="preserve">第二章第25.1.2条第三款情形</w:t>
      </w:r>
      <w:r>
        <w:rPr>
          <w:rFonts w:hint="eastAsia" w:ascii="宋体" w:hAnsi="宋体" w:eastAsia="宋体" w:cs="宋体"/>
          <w:color w:val="000000" w:themeColor="text1"/>
          <w:sz w:val="24"/>
          <w:szCs w:val="24"/>
          <w14:textFill>
            <w14:solidFill>
              <w14:schemeClr w14:val="tx1"/>
            </w14:solidFill>
          </w14:textFill>
        </w:rPr>
        <w:t xml:space="preserve">的，可以推荐2名成交候选供应商。评审得分相同的，按照最后报价由低到高的顺序推荐。</w:t>
      </w:r>
      <w:r>
        <w:rPr>
          <w:rFonts w:hint="eastAsia" w:ascii="宋体" w:hAnsi="宋体" w:eastAsia="宋体" w:cs="宋体"/>
          <w:color w:val="auto"/>
          <w:sz w:val="24"/>
          <w:szCs w:val="24"/>
          <w:highlight w:val="none"/>
        </w:rPr>
        <w:t xml:space="preserve">评审得分且最后报价相同的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“二、评审标准中</w:t>
      </w:r>
      <w:r>
        <w:rPr>
          <w:rFonts w:hint="eastAsia" w:ascii="宋体" w:hAnsi="宋体" w:eastAsia="宋体" w:cs="宋体"/>
          <w:color w:val="auto"/>
          <w:sz w:val="24"/>
          <w:szCs w:val="24"/>
          <w:highlight w:val="none"/>
          <w:lang w:val="en-US" w:eastAsia="zh-CN"/>
        </w:rPr>
        <w:t xml:space="preserve">2.1-2.6项</w:t>
      </w:r>
      <w:r>
        <w:rPr>
          <w:rFonts w:hint="eastAsia" w:ascii="宋体" w:hAnsi="宋体" w:eastAsia="宋体" w:cs="宋体"/>
          <w:color w:val="auto"/>
          <w:sz w:val="24"/>
          <w:szCs w:val="24"/>
          <w:highlight w:val="none"/>
          <w:lang w:eastAsia="zh-CN"/>
        </w:rPr>
        <w:t xml:space="preserve">”得分由高到低顺序</w:t>
      </w:r>
      <w:r>
        <w:rPr>
          <w:rFonts w:hint="eastAsia" w:ascii="宋体" w:hAnsi="宋体" w:eastAsia="宋体" w:cs="宋体"/>
          <w:color w:val="auto"/>
          <w:sz w:val="24"/>
          <w:szCs w:val="24"/>
          <w:highlight w:val="none"/>
        </w:rPr>
        <w:t xml:space="preserve">推荐。</w:t>
      </w:r>
      <w:r/>
    </w:p>
    <w:p>
      <w:pPr>
        <w:ind w:firstLine="480"/>
        <w:spacing w:line="264" w:lineRule="auto"/>
        <w:rPr>
          <w:rFonts w:ascii="黑体" w:hAnsi="黑体" w:eastAsia="黑体" w:cs="黑体"/>
          <w:sz w:val="24"/>
          <w:szCs w:val="24"/>
        </w:rPr>
      </w:pPr>
      <w:r>
        <w:rPr>
          <w:rFonts w:hint="eastAsia" w:ascii="黑体" w:hAnsi="黑体" w:eastAsia="黑体" w:cs="黑体"/>
          <w:color w:val="000000" w:themeColor="text1"/>
          <w:sz w:val="24"/>
          <w:szCs w:val="24"/>
          <w14:textFill>
            <w14:solidFill>
              <w14:schemeClr w14:val="tx1"/>
            </w14:solidFill>
          </w14:textFill>
        </w:rPr>
        <w:t xml:space="preserve">二</w:t>
      </w:r>
      <w:r>
        <w:rPr>
          <w:rFonts w:hint="eastAsia" w:ascii="黑体" w:hAnsi="黑体" w:eastAsia="黑体" w:cs="黑体"/>
          <w:sz w:val="24"/>
          <w:szCs w:val="24"/>
        </w:rPr>
        <w:t xml:space="preserve">、评审标准</w:t>
      </w:r>
      <w:r/>
    </w:p>
    <w:tbl>
      <w:tblPr>
        <w:tblStyle w:val="709"/>
        <w:tblW w:w="51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269"/>
        <w:gridCol w:w="7050"/>
        <w:gridCol w:w="961"/>
      </w:tblGrid>
      <w:tr>
        <w:trPr>
          <w:jc w:val="center"/>
          <w:trHeight w:val="472"/>
        </w:trPr>
        <w:tc>
          <w:tcPr>
            <w:tcW w:w="364" w:type="pct"/>
            <w:vAlign w:val="center"/>
            <w:textDirection w:val="lrTb"/>
            <w:noWrap w:val="false"/>
          </w:tcPr>
          <w:p>
            <w:pPr>
              <w:jc w:val="center"/>
              <w:spacing w:line="240" w:lineRule="auto"/>
              <w:rPr>
                <w:rFonts w:hint="eastAsia" w:ascii="宋体" w:hAnsi="宋体" w:eastAsia="宋体" w:cs="宋体"/>
                <w:color w:val="auto"/>
                <w:sz w:val="24"/>
                <w:szCs w:val="24"/>
              </w:rPr>
            </w:pPr>
            <w:r/>
            <w:bookmarkStart w:id="161" w:name="_Toc12926"/>
            <w:r/>
            <w:bookmarkStart w:id="162" w:name="_Toc26438"/>
            <w:r/>
            <w:bookmarkStart w:id="163" w:name="_Toc20829"/>
            <w:r>
              <w:rPr>
                <w:rFonts w:hint="eastAsia" w:ascii="宋体" w:hAnsi="宋体" w:eastAsia="宋体" w:cs="宋体"/>
                <w:color w:val="auto"/>
                <w:sz w:val="24"/>
                <w:szCs w:val="24"/>
              </w:rPr>
              <w:t xml:space="preserve">序号</w:t>
            </w:r>
            <w:r/>
          </w:p>
        </w:tc>
        <w:tc>
          <w:tcPr>
            <w:tcW w:w="633"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评分因素</w:t>
            </w:r>
            <w:r/>
          </w:p>
        </w:tc>
        <w:tc>
          <w:tcPr>
            <w:tcW w:w="3521"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w:t>
            </w:r>
            <w:r/>
          </w:p>
        </w:tc>
      </w:tr>
      <w:tr>
        <w:trPr>
          <w:jc w:val="center"/>
          <w:trHeight w:val="317"/>
        </w:trPr>
        <w:tc>
          <w:tcPr>
            <w:gridSpan w:val="4"/>
            <w:tcW w:w="5000" w:type="pct"/>
            <w:vAlign w:val="center"/>
            <w:textDirection w:val="lrTb"/>
            <w:noWrap w:val="false"/>
          </w:tcPr>
          <w:p>
            <w:pPr>
              <w:jc w:val="both"/>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1.价格（15分）</w:t>
            </w:r>
            <w:r/>
          </w:p>
        </w:tc>
      </w:tr>
      <w:tr>
        <w:trPr>
          <w:jc w:val="center"/>
          <w:trHeight w:val="954"/>
        </w:trPr>
        <w:tc>
          <w:tcPr>
            <w:tcW w:w="364"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.1</w:t>
            </w:r>
            <w:r/>
          </w:p>
        </w:tc>
        <w:tc>
          <w:tcPr>
            <w:tcW w:w="63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c>
          <w:tcPr>
            <w:tcW w:w="3521" w:type="pct"/>
            <w:vAlign w:val="center"/>
            <w:textDirection w:val="lrTb"/>
            <w:noWrap w:val="false"/>
          </w:tcPr>
          <w:p>
            <w:p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rPr>
              <w:t xml:space="preserve">满足</w:t>
            </w:r>
            <w:r>
              <w:rPr>
                <w:rFonts w:hint="eastAsia" w:ascii="宋体" w:hAnsi="宋体" w:eastAsia="宋体" w:cs="宋体"/>
                <w:sz w:val="24"/>
                <w:szCs w:val="24"/>
                <w:lang w:val="en-US" w:eastAsia="zh-CN"/>
              </w:rPr>
              <w:t xml:space="preserve">竞争性磋商</w:t>
            </w:r>
            <w:r>
              <w:rPr>
                <w:rFonts w:hint="eastAsia" w:ascii="宋体" w:hAnsi="宋体" w:eastAsia="宋体" w:cs="宋体"/>
                <w:sz w:val="24"/>
                <w:szCs w:val="24"/>
                <w:lang w:val="en-US"/>
              </w:rPr>
              <w:t xml:space="preserve">文件要求投标最低价为评标基准值，评标基准值为满分。各家供应商的价格分值按照下列公式计算：投标报价得分=(评标基准值／投标报价)×1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rPr>
              <w:t xml:space="preserve">。（小数点后保留两位，第三位四舍五入）</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15分</w:t>
            </w:r>
            <w:r/>
          </w:p>
        </w:tc>
      </w:tr>
      <w:tr>
        <w:trPr>
          <w:jc w:val="center"/>
          <w:trHeight w:val="368"/>
        </w:trPr>
        <w:tc>
          <w:tcPr>
            <w:gridSpan w:val="4"/>
            <w:shd w:val="clear" w:color="auto" w:fill="auto"/>
            <w:tcW w:w="5000" w:type="pct"/>
            <w:vAlign w:val="center"/>
            <w:textDirection w:val="lrTb"/>
            <w:noWrap w:val="false"/>
          </w:tcPr>
          <w:p>
            <w:pPr>
              <w:jc w:val="left"/>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2.技术（60分）</w:t>
            </w:r>
            <w:r/>
          </w:p>
        </w:tc>
      </w:tr>
      <w:tr>
        <w:trPr>
          <w:jc w:val="center"/>
          <w:trHeight w:val="2475"/>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2.1</w:t>
            </w:r>
            <w:r/>
          </w:p>
        </w:tc>
        <w:tc>
          <w:tcPr>
            <w:shd w:val="clear" w:color="auto" w:fill="auto"/>
            <w:tcW w:w="633"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bidi="zh-CN"/>
              </w:rPr>
            </w:pPr>
            <w:r>
              <w:rPr>
                <w:rFonts w:hint="eastAsia" w:ascii="宋体" w:hAnsi="宋体" w:eastAsia="宋体" w:cs="宋体"/>
                <w:sz w:val="24"/>
                <w:szCs w:val="24"/>
                <w:lang w:val="en-US" w:eastAsia="zh-CN"/>
              </w:rPr>
              <w:t xml:space="preserve">管理制度</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供应商需提供完善的员工管理制度、质量管理制度、考核办法、人员培训制度。</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方案措施完善全面可操作性强得10分；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方案措施比较完善全面可操作性较好得7分；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方案措施完善全面、满足项目需要得4分；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方案措施可操作性一般得1分；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sz w:val="24"/>
                <w:szCs w:val="24"/>
                <w:lang w:val="en-US" w:eastAsia="zh-CN"/>
              </w:rPr>
              <w:t xml:space="preserve">无作业方案措施及其他情况不得分。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eastAsia="zh-CN"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90"/>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2.2</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sz w:val="24"/>
                <w:szCs w:val="24"/>
                <w:lang w:val="en-US" w:eastAsia="zh-CN"/>
              </w:rPr>
              <w:t xml:space="preserve">项目运行管理方案</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供应商内部管理运作：投标单位具有满足作业需要的组织机构图、考核方案、考核细则。</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方案针对性较强得10分；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较完善全面得7分；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方案满足项目需求得4分；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一般得1分；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sz w:val="24"/>
                <w:szCs w:val="24"/>
                <w:lang w:val="en-US" w:eastAsia="zh-CN"/>
              </w:rPr>
              <w:t xml:space="preserve">无相关内容概述及其他情况不得分。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736"/>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2.3</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sz w:val="24"/>
                <w:szCs w:val="24"/>
                <w:lang w:val="en-US" w:eastAsia="zh-CN"/>
              </w:rPr>
              <w:t xml:space="preserve">应急保障方案</w:t>
            </w:r>
            <w:r/>
          </w:p>
        </w:tc>
        <w:tc>
          <w:tcPr>
            <w:shd w:val="clear" w:color="auto" w:fill="auto"/>
            <w:tcW w:w="3521" w:type="pct"/>
            <w:vAlign w:val="center"/>
            <w:textDirection w:val="lrTb"/>
            <w:noWrap w:val="false"/>
          </w:tcPr>
          <w:p>
            <w:pPr>
              <w:spacing w:before="75" w:after="75" w:line="240" w:lineRule="auto"/>
              <w:shd w:val="clear" w:color="auto" w:fil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针对恶劣天气，重大接待任务，重大节假日或活动等特殊情况制定应急处置方案，包括、人员和设备调配、责任分工等。</w:t>
            </w:r>
            <w:r/>
          </w:p>
          <w:p>
            <w:pPr>
              <w:spacing w:before="75" w:after="75" w:line="240" w:lineRule="auto"/>
              <w:shd w:val="clear" w:color="auto" w:fil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有应急预案，应急组织机构健全、措施得力、预案全面、方案详尽、可操作性强得10分；</w:t>
            </w:r>
            <w:r/>
          </w:p>
          <w:p>
            <w:pPr>
              <w:spacing w:before="75" w:after="75" w:line="240" w:lineRule="auto"/>
              <w:shd w:val="clear" w:color="auto" w:fil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应急组织机构健全、措施比较得力、预案比较全面、方案比较详尽、可操作性较好得7分；</w:t>
            </w:r>
            <w:r/>
          </w:p>
          <w:p>
            <w:pPr>
              <w:spacing w:before="75" w:after="75" w:line="240" w:lineRule="auto"/>
              <w:shd w:val="clear" w:color="auto" w:fil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应急组织措施、预案满足项目需求得4分；</w:t>
            </w:r>
            <w:r/>
          </w:p>
          <w:p>
            <w:pPr>
              <w:spacing w:before="75" w:after="75" w:line="240" w:lineRule="auto"/>
              <w:shd w:val="clear" w:color="auto" w:fil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应急预案一般得1分；</w:t>
            </w:r>
            <w:r/>
          </w:p>
          <w:p>
            <w:pPr>
              <w:spacing w:before="75" w:after="75" w:line="240" w:lineRule="auto"/>
              <w:shd w:val="clear" w:color="auto" w:fill="auto"/>
              <w:rPr>
                <w:rFonts w:hint="eastAsia" w:ascii="宋体" w:hAnsi="宋体" w:eastAsia="宋体" w:cs="宋体"/>
                <w:color w:val="auto"/>
                <w:sz w:val="24"/>
                <w:szCs w:val="24"/>
                <w:highlight w:val="none"/>
                <w:lang w:val="zh-CN" w:bidi="zh-CN"/>
              </w:rPr>
            </w:pPr>
            <w:r>
              <w:rPr>
                <w:rFonts w:hint="eastAsia" w:ascii="宋体" w:hAnsi="宋体" w:eastAsia="宋体" w:cs="宋体"/>
                <w:sz w:val="24"/>
                <w:szCs w:val="24"/>
                <w:lang w:val="en-US" w:eastAsia="zh-CN"/>
              </w:rPr>
              <w:t xml:space="preserve">无应急预案及其他情况的不得分。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2543"/>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2.4</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sz w:val="24"/>
                <w:szCs w:val="24"/>
                <w:lang w:val="en-US" w:eastAsia="zh-CN"/>
              </w:rPr>
              <w:t xml:space="preserve">安全生产、风险防控工作方案</w:t>
            </w:r>
            <w:r/>
          </w:p>
        </w:tc>
        <w:tc>
          <w:tcPr>
            <w:shd w:val="clear" w:color="auto" w:fill="auto"/>
            <w:tcW w:w="3521" w:type="pct"/>
            <w:vAlign w:val="center"/>
            <w:textDirection w:val="lrTb"/>
            <w:noWrap w:val="false"/>
          </w:tcPr>
          <w:p>
            <w:pPr>
              <w:keepLines w:val="0"/>
              <w:keepNext w:val="0"/>
              <w:pageBreakBefore w:val="0"/>
              <w:spacing w:before="75" w:after="75" w:line="28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安全生产管理体系制度完善、措施到位；安全培训制度；需对发生各类安全事故作善后处理承诺。</w:t>
            </w:r>
            <w:r/>
          </w:p>
          <w:p>
            <w:pPr>
              <w:keepLines w:val="0"/>
              <w:keepNext w:val="0"/>
              <w:pageBreakBefore w:val="0"/>
              <w:spacing w:before="75" w:after="75" w:line="28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工作制度严格，具有较强的安全保障，实施性较强得10分；</w:t>
            </w:r>
            <w:r/>
          </w:p>
          <w:p>
            <w:pPr>
              <w:keepLines w:val="0"/>
              <w:keepNext w:val="0"/>
              <w:pageBreakBefore w:val="0"/>
              <w:spacing w:before="75" w:after="75" w:line="28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工作制度较好，具有良好的安全保障实施方案，得7分；</w:t>
            </w:r>
            <w:r/>
          </w:p>
          <w:p>
            <w:pPr>
              <w:keepLines w:val="0"/>
              <w:keepNext w:val="0"/>
              <w:pageBreakBefore w:val="0"/>
              <w:spacing w:before="75" w:after="75" w:line="28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具有完整的工作制度，安全保障实施方案满足项目需求得4分；</w:t>
            </w:r>
            <w:r/>
          </w:p>
          <w:p>
            <w:pPr>
              <w:keepLines w:val="0"/>
              <w:keepNext w:val="0"/>
              <w:pageBreakBefore w:val="0"/>
              <w:spacing w:before="75" w:after="75" w:line="28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工作制度，安全保障一般得1分；</w:t>
            </w:r>
            <w:r/>
          </w:p>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sz w:val="24"/>
                <w:szCs w:val="24"/>
                <w:lang w:val="en-US" w:eastAsia="zh-CN"/>
              </w:rPr>
              <w:t xml:space="preserve">不提供或其他情况不得分。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90"/>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2.5</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sz w:val="24"/>
                <w:szCs w:val="24"/>
                <w:lang w:val="en-US" w:eastAsia="zh-CN"/>
              </w:rPr>
              <w:t xml:space="preserve">智慧环卫保障</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根据供应商提供的智慧环卫系统管理运营方案的科学性、全面性、针对性、可操作性及合理性打分，为了保证对车辆、人员的管理，系统需包含车辆在线可视监控、人员定位等功能。</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以上内容制定完善的得10分；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以上内容制定较完善的得7分；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以上内容制定一般的得4分；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以上内容制定较差的得1分；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lang w:val="zh-CN"/>
              </w:rPr>
            </w:pPr>
            <w:r>
              <w:rPr>
                <w:rFonts w:hint="eastAsia" w:ascii="宋体" w:hAnsi="宋体" w:eastAsia="宋体" w:cs="宋体"/>
                <w:sz w:val="24"/>
                <w:szCs w:val="24"/>
                <w:lang w:val="en-US" w:eastAsia="zh-CN"/>
              </w:rPr>
              <w:t xml:space="preserve">没有或不符合项目需求不得分。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1325"/>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2.6</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日常车辆管理方案及措施</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评委对供应商根据项目相关要求制定车辆日常管理方案及措施进行综合评分：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日常车辆管理方案及措施科学合理、针对性明确细致、方案、制度或措施考虑全面完善详细的得10分；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日常车辆管理方案及措施针对性明确但不够细致、方案、制度或措施详细可行的得7分；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日常车辆管理方案及措施无针对性、方案、制度或措施可行但不够详细的得4分；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日常车辆管理方案及措施无针对性、方案、制度或措施可行较差的得1分；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日常车辆管理方案及措施缺失的不得分；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388"/>
        </w:trPr>
        <w:tc>
          <w:tcPr>
            <w:gridSpan w:val="4"/>
            <w:shd w:val="clear" w:color="auto" w:fill="auto"/>
            <w:tcW w:w="5000"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3.业绩（15分）</w:t>
            </w:r>
            <w:r/>
          </w:p>
        </w:tc>
      </w:tr>
      <w:tr>
        <w:trPr>
          <w:jc w:val="center"/>
          <w:trHeight w:val="507"/>
        </w:trPr>
        <w:tc>
          <w:tcPr>
            <w:shd w:val="clear" w:color="auto" w:fill="auto"/>
            <w:tcW w:w="364"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3.1</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业绩</w:t>
            </w:r>
            <w:r/>
          </w:p>
        </w:tc>
        <w:tc>
          <w:tcPr>
            <w:shd w:val="clear" w:color="auto" w:fill="auto"/>
            <w:tcW w:w="3521" w:type="pct"/>
            <w:vAlign w:val="center"/>
            <w:textDirection w:val="lrTb"/>
            <w:noWrap w:val="false"/>
          </w:tcPr>
          <w:p>
            <w:pPr>
              <w:jc w:val="left"/>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供应商提供2023年8月1日以来承接过类似项目业绩或环卫道路作业的（含机械化作业）业绩有1个得5分，最多得15分。 </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sz w:val="24"/>
                <w:szCs w:val="24"/>
                <w:lang w:val="en-US" w:eastAsia="zh-CN"/>
              </w:rPr>
              <w:t xml:space="preserve">（提供相关业绩合同复印件加盖电子公章，合同应能反映相关内容，</w:t>
            </w:r>
            <w:r>
              <w:rPr>
                <w:rFonts w:hint="eastAsia" w:ascii="宋体" w:hAnsi="宋体" w:eastAsia="宋体" w:cs="宋体"/>
                <w:color w:val="000000"/>
                <w:sz w:val="24"/>
                <w:szCs w:val="24"/>
                <w:lang w:val="zh-CN"/>
              </w:rPr>
              <w:t xml:space="preserve">未提供不得分</w:t>
            </w:r>
            <w:r>
              <w:rPr>
                <w:rFonts w:hint="eastAsia" w:ascii="宋体" w:hAnsi="宋体" w:eastAsia="宋体" w:cs="宋体"/>
                <w:sz w:val="24"/>
                <w:szCs w:val="24"/>
                <w:lang w:val="en-US" w:eastAsia="zh-CN"/>
              </w:rPr>
              <w:t xml:space="preserve">）</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15分</w:t>
            </w:r>
            <w:r/>
          </w:p>
        </w:tc>
      </w:tr>
      <w:tr>
        <w:trPr>
          <w:jc w:val="center"/>
          <w:trHeight w:val="415"/>
        </w:trPr>
        <w:tc>
          <w:tcPr>
            <w:gridSpan w:val="4"/>
            <w:shd w:val="clear" w:color="auto" w:fill="auto"/>
            <w:tcW w:w="5000"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4.履约能力</w:t>
            </w:r>
            <w:r/>
          </w:p>
        </w:tc>
      </w:tr>
      <w:tr>
        <w:trPr>
          <w:jc w:val="center"/>
          <w:trHeight w:val="507"/>
        </w:trPr>
        <w:tc>
          <w:tcPr>
            <w:shd w:val="clear" w:color="auto" w:fill="auto"/>
            <w:tcW w:w="364"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4.1</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sz w:val="24"/>
                <w:szCs w:val="24"/>
                <w:lang w:val="en-US" w:eastAsia="zh-CN"/>
              </w:rPr>
              <w:t xml:space="preserve">人员配置</w:t>
            </w:r>
            <w:r/>
          </w:p>
        </w:tc>
        <w:tc>
          <w:tcPr>
            <w:shd w:val="clear" w:color="auto" w:fill="auto"/>
            <w:tcW w:w="3521" w:type="pct"/>
            <w:vAlign w:val="center"/>
            <w:textDirection w:val="lrTb"/>
            <w:noWrap w:val="false"/>
          </w:tcPr>
          <w:p>
            <w:pPr>
              <w:jc w:val="left"/>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1、供应商需安排驾驶作业人员不少于2名，年龄</w:t>
            </w:r>
            <w:r>
              <w:rPr>
                <w:rFonts w:hint="eastAsia" w:ascii="宋体" w:hAnsi="宋体" w:eastAsia="宋体" w:cs="宋体"/>
                <w:sz w:val="24"/>
                <w:szCs w:val="24"/>
              </w:rPr>
              <w:t xml:space="preserve">不得高于5</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周岁</w:t>
            </w:r>
            <w:r>
              <w:rPr>
                <w:rFonts w:hint="eastAsia" w:ascii="宋体" w:hAnsi="宋体" w:eastAsia="宋体" w:cs="宋体"/>
                <w:sz w:val="24"/>
                <w:szCs w:val="24"/>
                <w:lang w:val="en-US" w:eastAsia="zh-CN"/>
              </w:rPr>
              <w:t xml:space="preserve">且持有A2及以上驾驶证，每增加一名人员满足驾驶作业人员要求的得2分，满分得6分；没有不得分。</w:t>
            </w:r>
            <w:r/>
          </w:p>
          <w:p>
            <w:pPr>
              <w:jc w:val="left"/>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2、驾驶作业人员驾驶证初次领证日期至采购文件公告发布之日，持证时间在十年以上的得2分，满分得4分。没有不得分。</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sz w:val="24"/>
                <w:szCs w:val="24"/>
                <w:lang w:val="en-US" w:eastAsia="zh-CN"/>
              </w:rPr>
              <w:t xml:space="preserve">（提供有效期内驾驶证复印件、劳动合同复印件及为其连续缴纳的社保证明（2026年3月-2026年8月）并加盖电子公章）</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10分</w:t>
            </w:r>
            <w:r/>
          </w:p>
        </w:tc>
      </w:tr>
      <w:tr>
        <w:trPr>
          <w:jc w:val="center"/>
          <w:trHeight w:val="418"/>
        </w:trPr>
        <w:tc>
          <w:tcPr>
            <w:gridSpan w:val="3"/>
            <w:tcW w:w="451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100</w:t>
            </w:r>
            <w:r>
              <w:rPr>
                <w:rFonts w:hint="eastAsia" w:ascii="宋体" w:hAnsi="宋体" w:eastAsia="宋体" w:cs="宋体"/>
                <w:color w:val="auto"/>
                <w:sz w:val="24"/>
                <w:szCs w:val="24"/>
                <w:lang w:val="en-US" w:eastAsia="zh-CN"/>
              </w:rPr>
              <w:t xml:space="preserve">分</w:t>
            </w:r>
            <w:r/>
          </w:p>
        </w:tc>
      </w:tr>
    </w:tbl>
    <w:p>
      <w:pPr>
        <w:pStyle w:val="703"/>
        <w:ind w:left="0" w:firstLine="0"/>
        <w:jc w:val="left"/>
        <w:keepLines w:val="0"/>
        <w:keepNext w:val="0"/>
        <w:pageBreakBefore w:val="0"/>
        <w:spacing w:line="360" w:lineRule="exact"/>
        <w:widowControl w:val="off"/>
        <w:rPr>
          <w:rFonts w:hint="eastAsia" w:asciiTheme="minorEastAsia" w:hAnsiTheme="minorEastAsia" w:eastAsiaTheme="minorEastAsia" w:cstheme="minorEastAsia"/>
          <w:color w:val="auto"/>
          <w:sz w:val="22"/>
          <w:szCs w:val="22"/>
          <w:highlight w:val="none"/>
          <w:lang w:val="en-US" w:bidi="ar-SA"/>
        </w:rPr>
      </w:pPr>
      <w:r/>
      <w:bookmarkStart w:id="164" w:name="_Toc9863"/>
      <w:r/>
      <w:bookmarkStart w:id="165" w:name="_Toc22993"/>
      <w:r>
        <w:rPr>
          <w:rFonts w:hint="eastAsia" w:asciiTheme="minorEastAsia" w:hAnsiTheme="minorEastAsia" w:eastAsiaTheme="minorEastAsia" w:cstheme="minorEastAsia"/>
          <w:color w:val="auto"/>
          <w:sz w:val="22"/>
          <w:szCs w:val="22"/>
          <w:highlight w:val="none"/>
          <w:lang w:val="en-US" w:bidi="ar-SA"/>
        </w:rPr>
        <w:t xml:space="preserve">说明：</w:t>
      </w:r>
      <w:bookmarkEnd w:id="161"/>
      <w:r/>
      <w:bookmarkEnd w:id="162"/>
      <w:r/>
      <w:bookmarkEnd w:id="163"/>
      <w:r/>
      <w:bookmarkEnd w:id="164"/>
      <w:r/>
      <w:bookmarkEnd w:id="165"/>
      <w:r/>
      <w:r/>
    </w:p>
    <w:p>
      <w:pPr>
        <w:ind w:firstLine="414"/>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评审评分标准涉及的所有材料需按要求提供相应的证明材料在投标文件中，提供的证明材料必须真实可靠，如发现弄虚作假者，将向政府采购管理部门汇报，将供应商列入不良行为记录名单，并依法予以处罚。</w:t>
      </w:r>
      <w:r/>
    </w:p>
    <w:p>
      <w:pPr>
        <w:ind w:firstLine="414"/>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2、政策功能：</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2.1 </w:t>
      </w:r>
      <w:r>
        <w:rPr>
          <w:rFonts w:hint="eastAsia" w:ascii="仿宋" w:hAnsi="仿宋" w:eastAsia="仿宋" w:cs="仿宋"/>
          <w:b/>
          <w:bCs/>
          <w:color w:val="000000"/>
          <w:szCs w:val="21"/>
        </w:rPr>
        <w:t xml:space="preserve">本项目专门面向中小企业采购</w:t>
      </w:r>
      <w:r>
        <w:rPr>
          <w:rFonts w:hint="eastAsia" w:ascii="仿宋" w:hAnsi="仿宋" w:eastAsia="仿宋" w:cs="仿宋"/>
          <w:color w:val="000000"/>
          <w:szCs w:val="21"/>
        </w:rPr>
        <w:t xml:space="preserve">，评审时，采购人对小微企业的报价</w:t>
      </w:r>
      <w:r>
        <w:rPr>
          <w:rFonts w:hint="eastAsia" w:ascii="仿宋" w:hAnsi="仿宋" w:eastAsia="仿宋" w:cs="仿宋"/>
          <w:color w:val="000000"/>
          <w:szCs w:val="21"/>
          <w:lang w:val="en-US" w:eastAsia="zh-CN"/>
        </w:rPr>
        <w:t xml:space="preserve">不执行价格扣除政策，</w:t>
      </w:r>
      <w:r>
        <w:rPr>
          <w:rFonts w:hint="eastAsia" w:ascii="仿宋" w:hAnsi="仿宋" w:eastAsia="仿宋" w:cs="仿宋"/>
          <w:color w:val="000000"/>
          <w:szCs w:val="21"/>
        </w:rPr>
        <w:t xml:space="preserve">供应商应为中小微企业、监狱企业、残疾人福利性单位。</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2.2  小企业（含小型、微型企业）应当符合以下条件：</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（2）提供本企业制造的货物、承担的工程或者服务，或者提供其他小企业制造的货物。如果提供的货物为大中型企业注册商标的货物，视同大中型企业。</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（3）在货物采购项目中，供应商提供的货物既有中小企业制造货物，也有大型企业制造货物的，不享受本办法规定的中小企业扶持政策。</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（4）以联合体形式参加政府采购活动，联合体各方均为中小企业的，联合体视同中小企业。其中，联合体各方均为小微企业的，联合体视同小微企业。</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2.3 监狱和戒毒企业   </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2.4 残疾人福利性单位 </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残疾人福利单位需按照采购文件的要求提供《残疾人福利性单位声明函》。 残疾人福利单位标准请参照《关于促进残疾人就业政府采购政策的通知》（财库〔2017〕141 号）。</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2.5 监狱企业、残疾人福利单位属于小型、微型企业的，不重复享受政策。</w:t>
      </w:r>
      <w:r/>
    </w:p>
    <w:p>
      <w:pPr>
        <w:ind w:firstLine="415"/>
        <w:spacing w:line="240" w:lineRule="auto"/>
        <w:rPr>
          <w:rFonts w:hint="eastAsia" w:ascii="仿宋" w:hAnsi="仿宋" w:eastAsia="仿宋" w:cs="仿宋"/>
          <w:color w:val="auto"/>
          <w:szCs w:val="21"/>
        </w:rPr>
      </w:pPr>
      <w:r>
        <w:rPr>
          <w:rFonts w:hint="eastAsia" w:cs="仿宋"/>
          <w:color w:val="auto"/>
          <w:lang w:val="en-US" w:eastAsia="zh-CN"/>
        </w:rPr>
        <w:t xml:space="preserve">2.6</w:t>
      </w:r>
      <w:r>
        <w:rPr>
          <w:rFonts w:hint="eastAsia" w:ascii="仿宋" w:hAnsi="仿宋" w:eastAsia="仿宋" w:cs="仿宋"/>
          <w:color w:val="auto"/>
          <w:lang w:val="en-US" w:eastAsia="zh-CN"/>
        </w:rPr>
        <w:t xml:space="preserve">在满足采购基本要求的前提下，对国家认定的节能、环保产品分别给予磋商价的5%、5%的价格 扣除，用扣除后的价格参与评审。</w:t>
      </w:r>
      <w:r/>
    </w:p>
    <w:p>
      <w:pPr>
        <w:ind w:firstLine="414"/>
        <w:spacing w:line="240" w:lineRule="auto"/>
        <w:rPr>
          <w:rFonts w:hint="default" w:ascii="仿宋" w:hAnsi="仿宋" w:eastAsia="仿宋" w:cs="仿宋"/>
          <w:color w:val="000000"/>
          <w:szCs w:val="21"/>
          <w:lang w:eastAsia="zh-CN"/>
        </w:rPr>
      </w:pPr>
      <w:r/>
      <w:bookmarkStart w:id="166" w:name="_Toc13470"/>
      <w:r>
        <w:rPr>
          <w:rFonts w:hint="eastAsia" w:ascii="仿宋" w:hAnsi="仿宋" w:eastAsia="仿宋" w:cs="仿宋"/>
          <w:color w:val="000000"/>
          <w:szCs w:val="21"/>
          <w:lang w:val="en-US" w:eastAsia="zh-CN"/>
        </w:rPr>
        <w:t xml:space="preserve">3</w:t>
      </w:r>
      <w:r>
        <w:rPr>
          <w:rFonts w:hint="default" w:ascii="仿宋" w:hAnsi="仿宋" w:eastAsia="仿宋" w:cs="仿宋"/>
          <w:color w:val="000000"/>
          <w:szCs w:val="21"/>
          <w:lang w:val="en-US" w:eastAsia="zh-CN"/>
        </w:rPr>
        <w:t xml:space="preserve">、</w:t>
      </w:r>
      <w:r>
        <w:rPr>
          <w:rFonts w:hint="default" w:ascii="仿宋" w:hAnsi="仿宋" w:eastAsia="仿宋" w:cs="仿宋"/>
          <w:color w:val="000000"/>
          <w:szCs w:val="21"/>
          <w:lang w:eastAsia="zh-CN"/>
        </w:rPr>
        <w:t xml:space="preserve">本国产品的支持政策</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1</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2</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3</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供应商需按照招标文件的要求提供《关于符合本国产品标准的声明函》，如不提供将不享受本国产品价格评审优惠。</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eastAsia="zh-CN"/>
        </w:rPr>
        <w:t xml:space="preserve">4</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eastAsia="zh-CN"/>
        </w:rPr>
        <w:t xml:space="preserve">5</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6"/>
      <w:r/>
    </w:p>
    <w:p>
      <w:pPr>
        <w:jc w:val="center"/>
        <w:keepNext/>
        <w:rPr>
          <w:rFonts w:hint="eastAsia" w:ascii="黑体" w:hAnsi="Times New Roman" w:eastAsia="黑体"/>
          <w:bCs/>
          <w:color w:val="auto"/>
          <w:sz w:val="44"/>
          <w:szCs w:val="28"/>
          <w:highlight w:val="none"/>
        </w:rPr>
        <w:outlineLvl w:val="0"/>
      </w:pPr>
      <w:r/>
      <w:bookmarkStart w:id="167" w:name="_Toc11204"/>
      <w:r>
        <w:rPr>
          <w:rFonts w:hint="eastAsia" w:ascii="黑体" w:hAnsi="Times New Roman" w:eastAsia="黑体" w:cs="Times New Roman"/>
          <w:color w:val="auto"/>
          <w:sz w:val="44"/>
          <w:szCs w:val="44"/>
          <w:highlight w:val="none"/>
        </w:rPr>
        <w:t xml:space="preserve">第六章  响应文件格式</w:t>
      </w:r>
      <w:bookmarkEnd w:id="167"/>
      <w:r>
        <w:rPr>
          <w:rFonts w:hint="eastAsia" w:ascii="黑体" w:hAnsi="Times New Roman" w:eastAsia="黑体" w:cs="Times New Roman"/>
          <w:color w:val="auto"/>
          <w:sz w:val="44"/>
          <w:szCs w:val="44"/>
          <w:highlight w:val="none"/>
        </w:rPr>
        <w:t xml:space="preserve"> </w:t>
      </w:r>
      <w:r/>
    </w:p>
    <w:p>
      <w:pPr>
        <w:jc w:val="center"/>
        <w:rPr>
          <w:rFonts w:hint="eastAsia" w:ascii="宋体" w:hAnsi="宋体"/>
          <w:b/>
          <w:color w:val="auto"/>
          <w:sz w:val="72"/>
          <w:szCs w:val="21"/>
          <w:highlight w:val="none"/>
        </w:rPr>
      </w:pPr>
      <w:r/>
      <w:bookmarkStart w:id="168" w:name="_Hlt26955039"/>
      <w:r/>
      <w:bookmarkEnd w:id="168"/>
      <w:r/>
      <w:bookmarkStart w:id="169" w:name="_Hlt26671244"/>
      <w:r/>
      <w:bookmarkEnd w:id="169"/>
      <w:r/>
      <w:bookmarkStart w:id="170" w:name="_Toc49090576"/>
      <w:r/>
      <w:bookmarkStart w:id="171" w:name="_Toc26554094"/>
      <w:r/>
      <w:bookmarkStart w:id="172" w:name="_Toc120614282"/>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lang w:val="en-US" w:eastAsia="zh-CN"/>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rPr>
          <w:rFonts w:hint="eastAsia" w:ascii="宋体" w:hAnsi="宋体" w:eastAsia="宋体" w:cs="宋体"/>
          <w:b/>
          <w:color w:val="auto"/>
          <w:sz w:val="36"/>
          <w:szCs w:val="21"/>
          <w:highlight w:val="none"/>
          <w:u w:val="single"/>
          <w:lang w:val="en-US" w:eastAsia="zh-CN"/>
        </w:rPr>
        <w:t xml:space="preserve">    </w:t>
      </w:r>
      <w:r/>
    </w:p>
    <w:p>
      <w:pPr>
        <w:ind w:firstLine="1084"/>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rPr>
          <w:rFonts w:hint="eastAsia" w:ascii="宋体" w:hAnsi="宋体" w:eastAsia="宋体" w:cs="宋体"/>
          <w:b/>
          <w:color w:val="auto"/>
          <w:sz w:val="36"/>
          <w:szCs w:val="21"/>
          <w:highlight w:val="none"/>
          <w:u w:val="single"/>
          <w:lang w:val="en-US" w:eastAsia="zh-CN"/>
        </w:rPr>
        <w:t xml:space="preserve">    </w:t>
      </w:r>
      <w:r/>
    </w:p>
    <w:p>
      <w:pPr>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 xml:space="preserve">（加盖电子公章）</w:t>
      </w:r>
      <w:r>
        <w:rPr>
          <w:rFonts w:hint="eastAsia" w:ascii="宋体" w:hAnsi="宋体" w:eastAsia="宋体" w:cs="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一、</w:t>
      </w:r>
      <w:r>
        <w:rPr>
          <w:rFonts w:hint="eastAsia" w:ascii="宋体" w:hAnsi="宋体" w:eastAsia="宋体" w:cs="宋体"/>
          <w:b w:val="0"/>
          <w:bCs w:val="0"/>
          <w:i w:val="0"/>
          <w:color w:val="auto"/>
          <w:sz w:val="28"/>
          <w:szCs w:val="28"/>
          <w:highlight w:val="none"/>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二</w:t>
      </w:r>
      <w:r>
        <w:rPr>
          <w:rFonts w:hint="eastAsia" w:ascii="宋体" w:hAnsi="宋体" w:eastAsia="宋体" w:cs="宋体"/>
          <w:b w:val="0"/>
          <w:bCs w:val="0"/>
          <w:i w:val="0"/>
          <w:color w:val="auto"/>
          <w:sz w:val="28"/>
          <w:szCs w:val="28"/>
          <w:highlight w:val="none"/>
          <w:u w:val="none"/>
        </w:rPr>
        <w:t xml:space="preserve">、特定资格要求的证明文件</w:t>
      </w:r>
      <w:r>
        <w:rPr>
          <w:rFonts w:hint="eastAsia" w:ascii="宋体" w:hAnsi="宋体" w:eastAsia="宋体" w:cs="宋体"/>
          <w:b w:val="0"/>
          <w:bCs w:val="0"/>
          <w:i w:val="0"/>
          <w:color w:val="auto"/>
          <w:sz w:val="28"/>
          <w:szCs w:val="28"/>
          <w:highlight w:val="none"/>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三</w:t>
      </w:r>
      <w:r>
        <w:rPr>
          <w:rFonts w:hint="eastAsia" w:ascii="宋体" w:hAnsi="宋体" w:eastAsia="宋体" w:cs="宋体"/>
          <w:b w:val="0"/>
          <w:bCs w:val="0"/>
          <w:i w:val="0"/>
          <w:color w:val="auto"/>
          <w:sz w:val="28"/>
          <w:szCs w:val="28"/>
          <w:highlight w:val="none"/>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四</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磋商响应</w:t>
      </w:r>
      <w:r>
        <w:rPr>
          <w:rFonts w:hint="eastAsia"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hint="default" w:ascii="宋体" w:hAnsi="宋体" w:eastAsia="宋体" w:cs="宋体"/>
          <w:b w:val="0"/>
          <w:bCs w:val="0"/>
          <w:i w:val="0"/>
          <w:color w:val="auto"/>
          <w:sz w:val="28"/>
          <w:szCs w:val="28"/>
          <w:highlight w:val="none"/>
          <w:u w:val="none"/>
          <w:lang w:val="en-US" w:eastAsia="zh-CN"/>
        </w:rPr>
      </w:pPr>
      <w:r>
        <w:rPr>
          <w:rFonts w:hint="default" w:ascii="宋体" w:hAnsi="宋体" w:eastAsia="宋体" w:cs="宋体"/>
          <w:b w:val="0"/>
          <w:bCs w:val="0"/>
          <w:i w:val="0"/>
          <w:color w:val="auto"/>
          <w:sz w:val="28"/>
          <w:szCs w:val="28"/>
          <w:highlight w:val="none"/>
          <w:u w:val="none"/>
          <w:lang w:eastAsia="zh-CN"/>
        </w:rPr>
        <w:t xml:space="preserve">五、</w:t>
      </w:r>
      <w:r>
        <w:rPr>
          <w:rFonts w:hint="eastAsia" w:ascii="宋体" w:hAnsi="宋体" w:eastAsia="宋体" w:cs="宋体"/>
          <w:b w:val="0"/>
          <w:bCs w:val="0"/>
          <w:i w:val="0"/>
          <w:color w:val="auto"/>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default" w:ascii="宋体" w:hAnsi="宋体" w:eastAsia="宋体" w:cs="宋体"/>
          <w:b w:val="0"/>
          <w:bCs w:val="0"/>
          <w:i w:val="0"/>
          <w:color w:val="auto"/>
          <w:sz w:val="28"/>
          <w:szCs w:val="28"/>
          <w:highlight w:val="none"/>
          <w:u w:val="none"/>
          <w:lang w:eastAsia="zh-CN"/>
        </w:rPr>
        <w:t xml:space="preserve">六</w:t>
      </w:r>
      <w:r>
        <w:rPr>
          <w:rFonts w:hint="eastAsia" w:ascii="宋体" w:hAnsi="宋体" w:eastAsia="宋体" w:cs="宋体"/>
          <w:b w:val="0"/>
          <w:bCs w:val="0"/>
          <w:i w:val="0"/>
          <w:color w:val="auto"/>
          <w:sz w:val="28"/>
          <w:szCs w:val="28"/>
          <w:highlight w:val="none"/>
          <w:u w:val="none"/>
        </w:rPr>
        <w:t xml:space="preserve">、分项报价表</w:t>
      </w:r>
      <w:r>
        <w:rPr>
          <w:rFonts w:hint="eastAsia" w:ascii="宋体" w:hAnsi="宋体" w:eastAsia="宋体" w:cs="宋体"/>
          <w:b w:val="0"/>
          <w:bCs w:val="0"/>
          <w:i w:val="0"/>
          <w:color w:val="auto"/>
          <w:sz w:val="28"/>
          <w:szCs w:val="28"/>
          <w:highlight w:val="none"/>
          <w:u w:val="none"/>
          <w:lang w:eastAsia="zh-CN"/>
        </w:rPr>
        <w:t xml:space="preserve">（如有）</w:t>
      </w:r>
      <w:r/>
    </w:p>
    <w:p>
      <w:pPr>
        <w:ind w:firstLine="560"/>
        <w:keepLines w:val="0"/>
        <w:keepNext w:val="0"/>
        <w:pageBreakBefore w:val="0"/>
        <w:spacing w:line="600" w:lineRule="exact"/>
        <w:widowControl w:val="off"/>
        <w:rPr>
          <w:rFonts w:ascii="宋体" w:hAnsi="宋体"/>
          <w:color w:val="auto"/>
          <w:sz w:val="24"/>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b w:val="0"/>
          <w:bCs w:val="0"/>
          <w:iCs w:val="0"/>
          <w:color w:val="auto"/>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八</w:t>
      </w:r>
      <w:r>
        <w:rPr>
          <w:rFonts w:hint="eastAsia" w:ascii="宋体" w:hAnsi="宋体" w:eastAsia="宋体" w:cs="宋体"/>
          <w:b w:val="0"/>
          <w:bCs w:val="0"/>
          <w:iCs w:val="0"/>
          <w:color w:val="auto"/>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九</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lang w:val="en-US" w:eastAsia="zh-CN"/>
        </w:rPr>
        <w:t xml:space="preserve">中</w:t>
      </w:r>
      <w:r>
        <w:rPr>
          <w:rFonts w:hint="eastAsia" w:ascii="宋体" w:hAnsi="宋体" w:eastAsia="宋体" w:cs="宋体"/>
          <w:b w:val="0"/>
          <w:bCs w:val="0"/>
          <w:i w:val="0"/>
          <w:color w:val="auto"/>
          <w:sz w:val="28"/>
          <w:szCs w:val="28"/>
          <w:highlight w:val="none"/>
          <w:u w:val="none"/>
        </w:rPr>
        <w:t xml:space="preserve">小企业声明函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十一、属于监狱企业的证明文件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十二、节能产品认证文件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十三、环境标志产品认证文件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spacing w:line="600" w:lineRule="exact"/>
        <w:rPr>
          <w:rFonts w:hint="default" w:ascii="宋体" w:hAnsi="宋体" w:eastAsia="宋体" w:cs="宋体"/>
          <w:b w:val="0"/>
          <w:bCs w:val="0"/>
          <w:iCs w:val="0"/>
          <w:color w:val="auto"/>
          <w:sz w:val="28"/>
          <w:szCs w:val="28"/>
          <w:highlight w:val="none"/>
        </w:rPr>
      </w:pPr>
      <w:r>
        <w:rPr>
          <w:rFonts w:hint="eastAsia" w:ascii="宋体" w:hAnsi="宋体" w:eastAsia="宋体" w:cs="宋体"/>
          <w:b w:val="0"/>
          <w:bCs w:val="0"/>
          <w:i w:val="0"/>
          <w:color w:val="auto"/>
          <w:sz w:val="28"/>
          <w:szCs w:val="28"/>
          <w:highlight w:val="none"/>
          <w:u w:val="none"/>
          <w:lang w:val="en-US" w:eastAsia="zh-CN"/>
        </w:rPr>
        <w:t xml:space="preserve">十四、</w:t>
      </w:r>
      <w:r>
        <w:rPr>
          <w:rFonts w:hint="eastAsia" w:ascii="宋体" w:hAnsi="宋体" w:eastAsia="宋体" w:cs="宋体"/>
          <w:color w:val="auto"/>
          <w:sz w:val="28"/>
          <w:szCs w:val="28"/>
          <w:highlight w:val="none"/>
          <w:u w:val="none"/>
        </w:rPr>
        <w:t xml:space="preserve">关于符合本国产品标准的声明函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jc w:val="left"/>
        <w:rPr>
          <w:rFonts w:hint="eastAsia" w:ascii="黑体" w:hAnsi="黑体" w:eastAsia="黑体" w:cs="黑体"/>
          <w:i w:val="0"/>
          <w:color w:val="auto"/>
          <w:sz w:val="32"/>
          <w:szCs w:val="32"/>
          <w:highlight w:val="none"/>
          <w:u w:val="none"/>
          <w:lang w:val="en-US" w:eastAsia="zh-CN"/>
        </w:rPr>
      </w:pPr>
      <w:r>
        <w:rPr>
          <w:rFonts w:hint="eastAsia" w:ascii="黑体" w:hAnsi="黑体" w:eastAsia="黑体" w:cs="Times New Roman"/>
          <w:i/>
          <w:color w:val="auto"/>
          <w:sz w:val="32"/>
          <w:szCs w:val="32"/>
          <w:highlight w:val="none"/>
          <w:u w:val="single"/>
          <w:lang w:val="en-US" w:eastAsia="zh-CN"/>
        </w:rPr>
        <w:br w:type="page" w:clear="all"/>
      </w:r>
      <w:r>
        <w:rPr>
          <w:rFonts w:hint="eastAsia" w:ascii="黑体" w:hAnsi="黑体" w:eastAsia="黑体" w:cs="黑体"/>
          <w:i w:val="0"/>
          <w:color w:val="auto"/>
          <w:sz w:val="32"/>
          <w:szCs w:val="32"/>
          <w:highlight w:val="none"/>
          <w:u w:val="none"/>
          <w:lang w:val="en-US" w:eastAsia="zh-CN"/>
        </w:rPr>
        <w:t xml:space="preserve">一、《南京市政府采购供应商信用记录表暨信用承诺书》格式</w:t>
      </w:r>
      <w:r/>
    </w:p>
    <w:p>
      <w:pPr>
        <w:pStyle w:val="945"/>
        <w:ind w:firstLine="482"/>
        <w:jc w:val="center"/>
        <w:rPr>
          <w:rFonts w:hint="eastAsia"/>
          <w:b/>
          <w:bCs/>
          <w:sz w:val="28"/>
          <w:szCs w:val="24"/>
        </w:rPr>
      </w:pPr>
      <w:r>
        <w:rPr>
          <w:rFonts w:hint="eastAsia"/>
          <w:b/>
          <w:bCs/>
          <w:sz w:val="28"/>
          <w:szCs w:val="24"/>
        </w:rPr>
        <w:t xml:space="preserve">南京市政府采购供应商信用记录表暨信用承诺书</w:t>
      </w:r>
      <w:r/>
    </w:p>
    <w:p>
      <w:pPr>
        <w:ind w:firstLine="6835"/>
        <w:spacing w:before="270" w:line="185" w:lineRule="auto"/>
        <w:rPr>
          <w:rFonts w:ascii="宋体" w:hAnsi="宋体" w:cs="仿宋"/>
          <w:sz w:val="24"/>
        </w:rPr>
      </w:pPr>
      <w:r>
        <w:rPr>
          <w:rFonts w:ascii="宋体" w:hAnsi="宋体" w:cs="仿宋"/>
          <w:spacing w:val="-12"/>
          <w:sz w:val="24"/>
        </w:rPr>
        <w:t xml:space="preserve">2026年  月  日</w:t>
      </w:r>
      <w:r/>
    </w:p>
    <w:p>
      <w:pPr>
        <w:spacing w:line="143" w:lineRule="exact"/>
        <w:rPr>
          <w:rFonts w:ascii="宋体" w:hAnsi="宋体"/>
        </w:rPr>
      </w:pPr>
      <w:r>
        <w:rPr>
          <w:rFonts w:ascii="宋体" w:hAnsi="宋体"/>
        </w:rPr>
      </w:r>
      <w:r/>
    </w:p>
    <w:tbl>
      <w:tblPr>
        <w:tblStyle w:val="709"/>
        <w:tblW w:w="9464"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15"/>
        <w:gridCol w:w="2102"/>
        <w:gridCol w:w="2176"/>
        <w:gridCol w:w="2971"/>
      </w:tblGrid>
      <w:tr>
        <w:trPr>
          <w:trHeight w:val="642"/>
        </w:trPr>
        <w:tc>
          <w:tcPr>
            <w:tcW w:w="2215" w:type="dxa"/>
            <w:vAlign w:val="top"/>
            <w:textDirection w:val="lrTb"/>
            <w:noWrap w:val="false"/>
          </w:tcPr>
          <w:p>
            <w:pPr>
              <w:ind w:firstLine="126"/>
              <w:spacing w:before="249" w:line="185" w:lineRule="auto"/>
              <w:rPr>
                <w:rFonts w:ascii="宋体" w:hAnsi="宋体" w:cs="仿宋"/>
                <w:szCs w:val="21"/>
              </w:rPr>
            </w:pPr>
            <w:r>
              <w:rPr>
                <w:rFonts w:hint="eastAsia" w:ascii="宋体" w:hAnsi="宋体" w:cs="仿宋"/>
                <w:spacing w:val="-3"/>
                <w:szCs w:val="21"/>
              </w:rPr>
              <w:t xml:space="preserve">单位名称</w:t>
            </w:r>
            <w:r/>
          </w:p>
        </w:tc>
        <w:tc>
          <w:tcPr>
            <w:tcW w:w="2102" w:type="dxa"/>
            <w:vAlign w:val="top"/>
            <w:textDirection w:val="lrTb"/>
            <w:noWrap w:val="false"/>
          </w:tcPr>
          <w:p>
            <w:pPr>
              <w:rPr>
                <w:rFonts w:ascii="宋体" w:hAnsi="宋体" w:cs="仿宋"/>
                <w:szCs w:val="21"/>
              </w:rPr>
            </w:pPr>
            <w:r>
              <w:rPr>
                <w:rFonts w:ascii="宋体" w:hAnsi="宋体" w:cs="仿宋"/>
                <w:szCs w:val="21"/>
              </w:rPr>
            </w:r>
            <w:r/>
          </w:p>
        </w:tc>
        <w:tc>
          <w:tcPr>
            <w:tcW w:w="2176" w:type="dxa"/>
            <w:vAlign w:val="top"/>
            <w:textDirection w:val="lrTb"/>
            <w:noWrap w:val="false"/>
          </w:tcPr>
          <w:p>
            <w:pPr>
              <w:ind w:firstLine="124"/>
              <w:spacing w:before="249" w:line="185" w:lineRule="auto"/>
              <w:rPr>
                <w:rFonts w:ascii="宋体" w:hAnsi="宋体" w:cs="仿宋"/>
                <w:szCs w:val="21"/>
              </w:rPr>
            </w:pPr>
            <w:r>
              <w:rPr>
                <w:rFonts w:hint="eastAsia" w:ascii="宋体" w:hAnsi="宋体" w:cs="仿宋"/>
                <w:spacing w:val="-2"/>
                <w:szCs w:val="21"/>
              </w:rPr>
              <w:t xml:space="preserve">统一社会信用代码</w:t>
            </w:r>
            <w:r/>
          </w:p>
        </w:tc>
        <w:tc>
          <w:tcPr>
            <w:tcW w:w="2971" w:type="dxa"/>
            <w:vAlign w:val="top"/>
            <w:textDirection w:val="lrTb"/>
            <w:noWrap w:val="false"/>
          </w:tcPr>
          <w:p>
            <w:pPr>
              <w:rPr>
                <w:rFonts w:ascii="宋体" w:hAnsi="宋体" w:cs="仿宋"/>
                <w:szCs w:val="21"/>
              </w:rPr>
            </w:pPr>
            <w:r>
              <w:rPr>
                <w:rFonts w:ascii="宋体" w:hAnsi="宋体" w:cs="仿宋"/>
                <w:szCs w:val="21"/>
              </w:rPr>
            </w:r>
            <w:r/>
          </w:p>
        </w:tc>
      </w:tr>
      <w:tr>
        <w:trPr>
          <w:trHeight w:val="548"/>
        </w:trPr>
        <w:tc>
          <w:tcPr>
            <w:tcW w:w="2215" w:type="dxa"/>
            <w:vAlign w:val="top"/>
            <w:textDirection w:val="lrTb"/>
            <w:noWrap w:val="false"/>
          </w:tcPr>
          <w:p>
            <w:pPr>
              <w:ind w:firstLine="129"/>
              <w:spacing w:before="199" w:line="185" w:lineRule="auto"/>
              <w:rPr>
                <w:rFonts w:ascii="宋体" w:hAnsi="宋体" w:cs="仿宋"/>
                <w:szCs w:val="21"/>
              </w:rPr>
            </w:pPr>
            <w:r>
              <w:rPr>
                <w:rFonts w:hint="eastAsia" w:ascii="宋体" w:hAnsi="宋体" w:cs="仿宋"/>
                <w:spacing w:val="-3"/>
                <w:szCs w:val="21"/>
              </w:rPr>
              <w:t xml:space="preserve">法定代表人</w:t>
            </w:r>
            <w:r/>
          </w:p>
        </w:tc>
        <w:tc>
          <w:tcPr>
            <w:tcW w:w="2102" w:type="dxa"/>
            <w:vAlign w:val="top"/>
            <w:textDirection w:val="lrTb"/>
            <w:noWrap w:val="false"/>
          </w:tcPr>
          <w:p>
            <w:pPr>
              <w:rPr>
                <w:rFonts w:ascii="宋体" w:hAnsi="宋体" w:cs="仿宋"/>
                <w:szCs w:val="21"/>
              </w:rPr>
            </w:pPr>
            <w:r>
              <w:rPr>
                <w:rFonts w:ascii="宋体" w:hAnsi="宋体" w:cs="仿宋"/>
                <w:szCs w:val="21"/>
              </w:rPr>
            </w:r>
            <w:r/>
          </w:p>
        </w:tc>
        <w:tc>
          <w:tcPr>
            <w:tcW w:w="2176" w:type="dxa"/>
            <w:vAlign w:val="top"/>
            <w:textDirection w:val="lrTb"/>
            <w:noWrap w:val="false"/>
          </w:tcPr>
          <w:p>
            <w:pPr>
              <w:ind w:firstLine="117"/>
              <w:spacing w:before="199" w:line="185" w:lineRule="auto"/>
              <w:rPr>
                <w:rFonts w:ascii="宋体" w:hAnsi="宋体" w:cs="仿宋"/>
                <w:szCs w:val="21"/>
              </w:rPr>
            </w:pPr>
            <w:r>
              <w:rPr>
                <w:rFonts w:hint="eastAsia" w:ascii="宋体" w:hAnsi="宋体" w:cs="仿宋"/>
                <w:spacing w:val="-3"/>
                <w:szCs w:val="21"/>
              </w:rPr>
              <w:t xml:space="preserve">联系人</w:t>
            </w:r>
            <w:r/>
          </w:p>
        </w:tc>
        <w:tc>
          <w:tcPr>
            <w:tcW w:w="2971" w:type="dxa"/>
            <w:vAlign w:val="top"/>
            <w:textDirection w:val="lrTb"/>
            <w:noWrap w:val="false"/>
          </w:tcPr>
          <w:p>
            <w:pPr>
              <w:rPr>
                <w:rFonts w:ascii="宋体" w:hAnsi="宋体" w:cs="仿宋"/>
                <w:szCs w:val="21"/>
              </w:rPr>
            </w:pPr>
            <w:r>
              <w:rPr>
                <w:rFonts w:ascii="宋体" w:hAnsi="宋体" w:cs="仿宋"/>
                <w:szCs w:val="21"/>
              </w:rPr>
            </w:r>
            <w:r/>
          </w:p>
        </w:tc>
      </w:tr>
      <w:tr>
        <w:trPr>
          <w:trHeight w:val="543"/>
        </w:trPr>
        <w:tc>
          <w:tcPr>
            <w:tcW w:w="2215" w:type="dxa"/>
            <w:vAlign w:val="top"/>
            <w:textDirection w:val="lrTb"/>
            <w:noWrap w:val="false"/>
          </w:tcPr>
          <w:p>
            <w:pPr>
              <w:ind w:firstLine="119"/>
              <w:spacing w:before="197" w:line="185" w:lineRule="auto"/>
              <w:rPr>
                <w:rFonts w:ascii="宋体" w:hAnsi="宋体" w:cs="仿宋"/>
                <w:szCs w:val="21"/>
              </w:rPr>
            </w:pPr>
            <w:r>
              <w:rPr>
                <w:rFonts w:hint="eastAsia" w:ascii="宋体" w:hAnsi="宋体" w:cs="仿宋"/>
                <w:spacing w:val="-2"/>
                <w:szCs w:val="21"/>
              </w:rPr>
              <w:t xml:space="preserve">联系地址</w:t>
            </w:r>
            <w:r/>
          </w:p>
        </w:tc>
        <w:tc>
          <w:tcPr>
            <w:tcW w:w="2102" w:type="dxa"/>
            <w:vAlign w:val="top"/>
            <w:textDirection w:val="lrTb"/>
            <w:noWrap w:val="false"/>
          </w:tcPr>
          <w:p>
            <w:pPr>
              <w:rPr>
                <w:rFonts w:ascii="宋体" w:hAnsi="宋体" w:cs="仿宋"/>
                <w:szCs w:val="21"/>
              </w:rPr>
            </w:pPr>
            <w:r>
              <w:rPr>
                <w:rFonts w:ascii="宋体" w:hAnsi="宋体" w:cs="仿宋"/>
                <w:szCs w:val="21"/>
              </w:rPr>
            </w:r>
            <w:r/>
          </w:p>
        </w:tc>
        <w:tc>
          <w:tcPr>
            <w:tcW w:w="2176" w:type="dxa"/>
            <w:vAlign w:val="top"/>
            <w:textDirection w:val="lrTb"/>
            <w:noWrap w:val="false"/>
          </w:tcPr>
          <w:p>
            <w:pPr>
              <w:ind w:firstLine="117"/>
              <w:spacing w:before="197" w:line="185" w:lineRule="auto"/>
              <w:rPr>
                <w:rFonts w:ascii="宋体" w:hAnsi="宋体" w:cs="仿宋"/>
                <w:szCs w:val="21"/>
              </w:rPr>
            </w:pPr>
            <w:r>
              <w:rPr>
                <w:rFonts w:hint="eastAsia" w:ascii="宋体" w:hAnsi="宋体" w:cs="仿宋"/>
                <w:spacing w:val="-2"/>
                <w:szCs w:val="21"/>
              </w:rPr>
              <w:t xml:space="preserve">联系电话</w:t>
            </w:r>
            <w:r/>
          </w:p>
        </w:tc>
        <w:tc>
          <w:tcPr>
            <w:tcW w:w="2971" w:type="dxa"/>
            <w:vAlign w:val="top"/>
            <w:textDirection w:val="lrTb"/>
            <w:noWrap w:val="false"/>
          </w:tcPr>
          <w:p>
            <w:pPr>
              <w:rPr>
                <w:rFonts w:ascii="宋体" w:hAnsi="宋体" w:cs="仿宋"/>
                <w:szCs w:val="21"/>
              </w:rPr>
            </w:pPr>
            <w:r>
              <w:rPr>
                <w:rFonts w:ascii="宋体" w:hAnsi="宋体" w:cs="仿宋"/>
                <w:szCs w:val="21"/>
              </w:rPr>
            </w:r>
            <w:r/>
          </w:p>
        </w:tc>
      </w:tr>
      <w:tr>
        <w:trPr>
          <w:trHeight w:val="1005"/>
        </w:trPr>
        <w:tc>
          <w:tcPr>
            <w:tcW w:w="2215" w:type="dxa"/>
            <w:vAlign w:val="top"/>
            <w:textDirection w:val="lrTb"/>
            <w:noWrap w:val="false"/>
          </w:tcPr>
          <w:p>
            <w:pPr>
              <w:ind w:firstLine="121"/>
              <w:spacing w:before="72" w:line="185" w:lineRule="auto"/>
              <w:rPr>
                <w:rFonts w:ascii="宋体" w:hAnsi="宋体" w:cs="仿宋"/>
                <w:spacing w:val="-1"/>
                <w:szCs w:val="21"/>
              </w:rPr>
            </w:pPr>
            <w:r>
              <w:rPr>
                <w:rFonts w:ascii="宋体" w:hAnsi="宋体" w:cs="仿宋"/>
                <w:spacing w:val="-1"/>
                <w:szCs w:val="21"/>
              </w:rPr>
            </w:r>
            <w:r/>
          </w:p>
          <w:p>
            <w:pPr>
              <w:ind w:firstLine="121"/>
              <w:spacing w:before="72" w:line="185" w:lineRule="auto"/>
              <w:rPr>
                <w:rFonts w:ascii="宋体" w:hAnsi="宋体" w:cs="仿宋"/>
                <w:szCs w:val="21"/>
              </w:rPr>
            </w:pPr>
            <w:r>
              <w:rPr>
                <w:rFonts w:hint="eastAsia" w:ascii="宋体" w:hAnsi="宋体" w:cs="仿宋"/>
                <w:spacing w:val="-1"/>
                <w:szCs w:val="21"/>
              </w:rPr>
              <w:t xml:space="preserve">诚信档案记录情况</w:t>
            </w:r>
            <w:r/>
          </w:p>
        </w:tc>
        <w:tc>
          <w:tcPr>
            <w:gridSpan w:val="3"/>
            <w:tcW w:w="7249" w:type="dxa"/>
            <w:vAlign w:val="top"/>
            <w:textDirection w:val="lrTb"/>
            <w:noWrap w:val="false"/>
          </w:tcPr>
          <w:p>
            <w:pPr>
              <w:rPr>
                <w:rFonts w:ascii="宋体" w:hAnsi="宋体" w:cs="仿宋"/>
                <w:szCs w:val="21"/>
              </w:rPr>
            </w:pPr>
            <w:r>
              <w:rPr>
                <w:rFonts w:ascii="宋体" w:hAnsi="宋体" w:cs="仿宋"/>
                <w:szCs w:val="21"/>
              </w:rPr>
            </w:r>
            <w:r/>
          </w:p>
        </w:tc>
      </w:tr>
      <w:tr>
        <w:trPr>
          <w:trHeight w:val="4565"/>
        </w:trPr>
        <w:tc>
          <w:tcPr>
            <w:tcBorders>
              <w:bottom w:val="none" w:color="000000" w:sz="4" w:space="0"/>
            </w:tcBorders>
            <w:tcW w:w="2215" w:type="dxa"/>
            <w:vAlign w:val="top"/>
            <w:textDirection w:val="lrTb"/>
            <w:noWrap w:val="false"/>
          </w:tcPr>
          <w:p>
            <w:pPr>
              <w:spacing w:line="253" w:lineRule="auto"/>
              <w:rPr>
                <w:rFonts w:ascii="宋体" w:hAnsi="宋体" w:cs="仿宋"/>
                <w:szCs w:val="21"/>
              </w:rPr>
            </w:pPr>
            <w:r>
              <w:rPr>
                <w:rFonts w:ascii="宋体" w:hAnsi="宋体" w:cs="仿宋"/>
                <w:szCs w:val="21"/>
              </w:rPr>
            </w:r>
            <w:r/>
          </w:p>
          <w:p>
            <w:pPr>
              <w:spacing w:line="253" w:lineRule="auto"/>
              <w:rPr>
                <w:rFonts w:ascii="宋体" w:hAnsi="宋体" w:cs="仿宋"/>
                <w:szCs w:val="21"/>
              </w:rPr>
            </w:pPr>
            <w:r>
              <w:rPr>
                <w:rFonts w:ascii="宋体" w:hAnsi="宋体" w:cs="仿宋"/>
                <w:szCs w:val="21"/>
              </w:rPr>
            </w:r>
            <w:r/>
          </w:p>
          <w:p>
            <w:pPr>
              <w:spacing w:line="253" w:lineRule="auto"/>
              <w:rPr>
                <w:rFonts w:ascii="宋体" w:hAnsi="宋体" w:cs="仿宋"/>
                <w:szCs w:val="21"/>
              </w:rPr>
            </w:pPr>
            <w:r>
              <w:rPr>
                <w:rFonts w:ascii="宋体" w:hAnsi="宋体" w:cs="仿宋"/>
                <w:szCs w:val="21"/>
              </w:rPr>
            </w:r>
            <w:r/>
          </w:p>
          <w:p>
            <w:pPr>
              <w:spacing w:line="254" w:lineRule="auto"/>
              <w:rPr>
                <w:rFonts w:ascii="宋体" w:hAnsi="宋体" w:cs="仿宋"/>
                <w:szCs w:val="21"/>
              </w:rPr>
            </w:pPr>
            <w:r>
              <w:rPr>
                <w:rFonts w:ascii="宋体" w:hAnsi="宋体" w:cs="仿宋"/>
                <w:szCs w:val="21"/>
              </w:rPr>
            </w:r>
            <w:r/>
          </w:p>
          <w:p>
            <w:pPr>
              <w:spacing w:line="254" w:lineRule="auto"/>
              <w:rPr>
                <w:rFonts w:ascii="宋体" w:hAnsi="宋体" w:cs="仿宋"/>
                <w:szCs w:val="21"/>
              </w:rPr>
            </w:pPr>
            <w:r>
              <w:rPr>
                <w:rFonts w:ascii="宋体" w:hAnsi="宋体" w:cs="仿宋"/>
                <w:szCs w:val="21"/>
              </w:rPr>
            </w:r>
            <w:r/>
          </w:p>
          <w:p>
            <w:pPr>
              <w:spacing w:line="254" w:lineRule="auto"/>
              <w:rPr>
                <w:rFonts w:ascii="宋体" w:hAnsi="宋体" w:cs="仿宋"/>
                <w:szCs w:val="21"/>
              </w:rPr>
            </w:pPr>
            <w:r>
              <w:rPr>
                <w:rFonts w:ascii="宋体" w:hAnsi="宋体" w:cs="仿宋"/>
                <w:szCs w:val="21"/>
              </w:rPr>
            </w:r>
            <w:r/>
          </w:p>
          <w:p>
            <w:pPr>
              <w:spacing w:line="254" w:lineRule="auto"/>
              <w:rPr>
                <w:rFonts w:ascii="宋体" w:hAnsi="宋体" w:cs="仿宋"/>
                <w:szCs w:val="21"/>
              </w:rPr>
            </w:pPr>
            <w:r>
              <w:rPr>
                <w:rFonts w:ascii="宋体" w:hAnsi="宋体" w:cs="仿宋"/>
                <w:szCs w:val="21"/>
              </w:rPr>
            </w:r>
            <w:r/>
          </w:p>
          <w:p>
            <w:pPr>
              <w:spacing w:line="254" w:lineRule="auto"/>
              <w:rPr>
                <w:rFonts w:ascii="宋体" w:hAnsi="宋体" w:cs="仿宋"/>
                <w:szCs w:val="21"/>
              </w:rPr>
            </w:pPr>
            <w:r>
              <w:rPr>
                <w:rFonts w:ascii="宋体" w:hAnsi="宋体" w:cs="仿宋"/>
                <w:szCs w:val="21"/>
              </w:rPr>
            </w:r>
            <w:r/>
          </w:p>
          <w:p>
            <w:pPr>
              <w:spacing w:line="254" w:lineRule="auto"/>
              <w:rPr>
                <w:rFonts w:ascii="宋体" w:hAnsi="宋体" w:cs="仿宋"/>
                <w:szCs w:val="21"/>
              </w:rPr>
            </w:pPr>
            <w:r>
              <w:rPr>
                <w:rFonts w:ascii="宋体" w:hAnsi="宋体" w:cs="仿宋"/>
                <w:szCs w:val="21"/>
              </w:rPr>
            </w:r>
            <w:r/>
          </w:p>
          <w:p>
            <w:pPr>
              <w:spacing w:line="254" w:lineRule="auto"/>
              <w:rPr>
                <w:rFonts w:ascii="宋体" w:hAnsi="宋体" w:cs="仿宋"/>
                <w:szCs w:val="21"/>
              </w:rPr>
            </w:pPr>
            <w:r>
              <w:rPr>
                <w:rFonts w:ascii="宋体" w:hAnsi="宋体" w:cs="仿宋"/>
                <w:szCs w:val="21"/>
              </w:rPr>
            </w:r>
            <w:r/>
          </w:p>
          <w:p>
            <w:pPr>
              <w:spacing w:line="254" w:lineRule="auto"/>
              <w:rPr>
                <w:rFonts w:ascii="宋体" w:hAnsi="宋体" w:cs="仿宋"/>
                <w:szCs w:val="21"/>
              </w:rPr>
            </w:pPr>
            <w:r>
              <w:rPr>
                <w:rFonts w:ascii="宋体" w:hAnsi="宋体" w:cs="仿宋"/>
                <w:szCs w:val="21"/>
              </w:rPr>
            </w:r>
            <w:r/>
          </w:p>
          <w:p>
            <w:pPr>
              <w:ind w:firstLine="671"/>
              <w:spacing w:before="72" w:line="185" w:lineRule="auto"/>
              <w:rPr>
                <w:rFonts w:ascii="宋体" w:hAnsi="宋体" w:cs="仿宋"/>
                <w:szCs w:val="21"/>
              </w:rPr>
            </w:pPr>
            <w:r>
              <w:rPr>
                <w:rFonts w:hint="eastAsia" w:ascii="宋体" w:hAnsi="宋体" w:cs="仿宋"/>
                <w:spacing w:val="-3"/>
                <w:szCs w:val="21"/>
              </w:rPr>
              <w:t xml:space="preserve">信用承诺</w:t>
            </w:r>
            <w:r/>
          </w:p>
        </w:tc>
        <w:tc>
          <w:tcPr>
            <w:gridSpan w:val="3"/>
            <w:tcBorders>
              <w:bottom w:val="none" w:color="000000" w:sz="4" w:space="0"/>
            </w:tcBorders>
            <w:tcW w:w="7249" w:type="dxa"/>
            <w:vAlign w:val="top"/>
            <w:textDirection w:val="lrTb"/>
            <w:noWrap w:val="false"/>
          </w:tcPr>
          <w:p>
            <w:pPr>
              <w:ind w:left="113" w:right="108" w:firstLine="476"/>
              <w:spacing w:line="360" w:lineRule="auto"/>
              <w:rPr>
                <w:rFonts w:ascii="宋体" w:hAnsi="宋体" w:cs="仿宋"/>
                <w:szCs w:val="21"/>
              </w:rPr>
            </w:pPr>
            <w:r>
              <w:rPr>
                <w:rFonts w:hint="eastAsia" w:ascii="宋体" w:hAnsi="宋体" w:cs="仿宋"/>
                <w:spacing w:val="-11"/>
                <w:szCs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w:t>
            </w:r>
            <w:r>
              <w:rPr>
                <w:rFonts w:hint="eastAsia" w:ascii="宋体" w:hAnsi="宋体" w:cs="仿宋"/>
                <w:spacing w:val="-8"/>
                <w:szCs w:val="21"/>
              </w:rPr>
              <w:t xml:space="preserve">作</w:t>
            </w:r>
            <w:r>
              <w:rPr>
                <w:rFonts w:hint="eastAsia" w:ascii="宋体" w:hAnsi="宋体" w:cs="仿宋"/>
                <w:spacing w:val="-11"/>
                <w:szCs w:val="21"/>
              </w:rPr>
              <w:t xml:space="preserve">假或其他违法违规行为，愿承担一切法律责任，接受各级政府采购监管部</w:t>
            </w:r>
            <w:r>
              <w:rPr>
                <w:rFonts w:hint="eastAsia" w:ascii="宋体" w:hAnsi="宋体" w:cs="仿宋"/>
                <w:spacing w:val="-2"/>
                <w:szCs w:val="21"/>
              </w:rPr>
              <w:t xml:space="preserve">门和有权机关的审查和处罚。</w:t>
            </w:r>
            <w:r/>
          </w:p>
        </w:tc>
      </w:tr>
      <w:tr>
        <w:trPr>
          <w:trHeight w:val="2039"/>
        </w:trPr>
        <w:tc>
          <w:tcPr>
            <w:tcBorders>
              <w:top w:val="none" w:color="000000" w:sz="4" w:space="0"/>
            </w:tcBorders>
            <w:tcW w:w="2215" w:type="dxa"/>
            <w:vAlign w:val="top"/>
            <w:textDirection w:val="lrTb"/>
            <w:noWrap w:val="false"/>
          </w:tcPr>
          <w:p>
            <w:pPr>
              <w:rPr>
                <w:rFonts w:ascii="宋体" w:hAnsi="宋体" w:cs="仿宋"/>
                <w:szCs w:val="21"/>
              </w:rPr>
            </w:pPr>
            <w:r>
              <w:rPr>
                <w:rFonts w:ascii="宋体" w:hAnsi="宋体" w:cs="仿宋"/>
                <w:szCs w:val="21"/>
              </w:rPr>
            </w:r>
            <w:r/>
          </w:p>
        </w:tc>
        <w:tc>
          <w:tcPr>
            <w:gridSpan w:val="3"/>
            <w:tcBorders>
              <w:top w:val="none" w:color="000000" w:sz="4" w:space="0"/>
            </w:tcBorders>
            <w:tcW w:w="7249" w:type="dxa"/>
            <w:vAlign w:val="top"/>
            <w:textDirection w:val="lrTb"/>
            <w:noWrap w:val="false"/>
          </w:tcPr>
          <w:p>
            <w:pPr>
              <w:spacing w:line="297" w:lineRule="auto"/>
              <w:rPr>
                <w:rFonts w:ascii="宋体" w:hAnsi="宋体" w:cs="仿宋"/>
                <w:szCs w:val="21"/>
              </w:rPr>
            </w:pPr>
            <w:r>
              <w:rPr>
                <w:rFonts w:ascii="宋体" w:hAnsi="宋体" w:cs="仿宋"/>
                <w:szCs w:val="21"/>
              </w:rPr>
            </w:r>
            <w:r/>
          </w:p>
          <w:p>
            <w:pPr>
              <w:spacing w:line="298" w:lineRule="auto"/>
              <w:rPr>
                <w:rFonts w:ascii="宋体" w:hAnsi="宋体" w:cs="仿宋"/>
                <w:szCs w:val="21"/>
              </w:rPr>
            </w:pPr>
            <w:r>
              <w:rPr>
                <w:rFonts w:ascii="宋体" w:hAnsi="宋体" w:cs="仿宋"/>
                <w:szCs w:val="21"/>
              </w:rPr>
            </w:r>
            <w:r/>
          </w:p>
          <w:p>
            <w:pPr>
              <w:ind w:firstLine="2428"/>
              <w:spacing w:before="68" w:line="442" w:lineRule="exact"/>
              <w:rPr>
                <w:rFonts w:ascii="宋体" w:hAnsi="宋体" w:cs="仿宋"/>
                <w:szCs w:val="21"/>
              </w:rPr>
            </w:pPr>
            <w:r>
              <w:rPr>
                <w:rFonts w:hint="eastAsia" w:ascii="宋体" w:hAnsi="宋体" w:cs="仿宋"/>
                <w:spacing w:val="-10"/>
                <w:position w:val="17"/>
                <w:szCs w:val="21"/>
              </w:rPr>
              <w:t xml:space="preserve">供应商名称（盖章</w:t>
            </w:r>
            <w:r>
              <w:rPr>
                <w:rFonts w:hint="eastAsia" w:ascii="宋体" w:hAnsi="宋体" w:cs="仿宋"/>
                <w:spacing w:val="-24"/>
                <w:position w:val="17"/>
                <w:szCs w:val="21"/>
              </w:rPr>
              <w:t xml:space="preserve">）：</w:t>
            </w:r>
            <w:r/>
          </w:p>
          <w:p>
            <w:pPr>
              <w:ind w:firstLine="2434"/>
              <w:spacing w:line="204" w:lineRule="auto"/>
              <w:rPr>
                <w:rFonts w:ascii="宋体" w:hAnsi="宋体" w:cs="仿宋"/>
                <w:szCs w:val="21"/>
              </w:rPr>
            </w:pPr>
            <w:r>
              <w:rPr>
                <w:rFonts w:hint="eastAsia" w:ascii="宋体" w:hAnsi="宋体" w:cs="仿宋"/>
                <w:spacing w:val="-10"/>
                <w:szCs w:val="21"/>
              </w:rPr>
              <w:t xml:space="preserve">法定代表人（签字</w:t>
            </w:r>
            <w:r>
              <w:rPr>
                <w:rFonts w:hint="eastAsia" w:ascii="宋体" w:hAnsi="宋体" w:cs="仿宋"/>
                <w:spacing w:val="-26"/>
                <w:szCs w:val="21"/>
              </w:rPr>
              <w:t xml:space="preserve">）：</w:t>
            </w:r>
            <w:r/>
          </w:p>
          <w:p>
            <w:pPr>
              <w:ind w:firstLine="2434"/>
              <w:spacing w:before="206" w:line="186" w:lineRule="auto"/>
              <w:rPr>
                <w:rFonts w:ascii="宋体" w:hAnsi="宋体" w:cs="仿宋"/>
                <w:szCs w:val="21"/>
              </w:rPr>
            </w:pPr>
            <w:r>
              <w:rPr>
                <w:rFonts w:hint="eastAsia" w:ascii="宋体" w:hAnsi="宋体" w:cs="仿宋"/>
                <w:spacing w:val="-12"/>
                <w:szCs w:val="21"/>
              </w:rPr>
              <w:t xml:space="preserve">二〇</w:t>
            </w:r>
            <w:r>
              <w:rPr>
                <w:rFonts w:hint="eastAsia" w:ascii="宋体" w:hAnsi="宋体" w:cs="仿宋"/>
                <w:spacing w:val="-12"/>
                <w:szCs w:val="21"/>
              </w:rPr>
              <w:t xml:space="preserve">二六</w:t>
            </w:r>
            <w:r>
              <w:rPr>
                <w:rFonts w:hint="eastAsia" w:ascii="宋体" w:hAnsi="宋体" w:cs="仿宋"/>
                <w:spacing w:val="-12"/>
                <w:szCs w:val="21"/>
              </w:rPr>
              <w:t xml:space="preserve">年 月 日</w:t>
            </w:r>
            <w:r/>
          </w:p>
        </w:tc>
      </w:tr>
    </w:tbl>
    <w:p>
      <w:pPr>
        <w:jc w:val="left"/>
        <w:rPr>
          <w:rFonts w:hint="eastAsia" w:ascii="黑体" w:hAnsi="黑体" w:eastAsia="黑体" w:cs="黑体"/>
          <w:i w:val="0"/>
          <w:color w:val="auto"/>
          <w:sz w:val="32"/>
          <w:szCs w:val="32"/>
          <w:highlight w:val="none"/>
          <w:u w:val="none"/>
          <w:lang w:val="en-US" w:eastAsia="zh-CN"/>
        </w:rPr>
      </w:pPr>
      <w:r>
        <w:rPr>
          <w:rFonts w:hint="eastAsia" w:ascii="黑体" w:hAnsi="黑体" w:eastAsia="黑体" w:cs="黑体"/>
          <w:i w:val="0"/>
          <w:color w:val="auto"/>
          <w:sz w:val="32"/>
          <w:szCs w:val="32"/>
          <w:highlight w:val="none"/>
          <w:u w:val="none"/>
          <w:lang w:val="en-US" w:eastAsia="zh-CN"/>
        </w:rPr>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ind w:firstLine="480"/>
        <w:spacing w:line="440" w:lineRule="exact"/>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bookmarkEnd w:id="170"/>
      <w:bookmarkEnd w:id="171"/>
      <w:bookmarkEnd w:id="172"/>
      <w:r/>
    </w:p>
    <w:p>
      <w:pPr>
        <w:rPr>
          <w:rFonts w:hint="eastAsia" w:ascii="黑体" w:hAnsi="黑体" w:eastAsia="黑体" w:cs="黑体"/>
          <w:i w:val="0"/>
          <w:color w:val="auto"/>
          <w:sz w:val="32"/>
          <w:szCs w:val="32"/>
          <w:highlight w:val="none"/>
          <w:u w:val="none"/>
          <w:lang w:val="en-US" w:eastAsia="zh-CN"/>
        </w:rPr>
      </w:pPr>
      <w:r/>
      <w:bookmarkStart w:id="173" w:name="_Toc120614284"/>
      <w:r>
        <w:rPr>
          <w:rFonts w:hint="eastAsia" w:ascii="黑体" w:hAnsi="黑体" w:eastAsia="黑体" w:cs="黑体"/>
          <w:i w:val="0"/>
          <w:color w:val="auto"/>
          <w:sz w:val="32"/>
          <w:szCs w:val="32"/>
          <w:highlight w:val="none"/>
          <w:u w:val="none"/>
          <w:lang w:val="en-US" w:eastAsia="zh-CN"/>
        </w:rPr>
        <w:t xml:space="preserve">二、特定资格要求的证明文件（如有特定资格要求）</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w:t>
      </w:r>
      <w:r>
        <w:rPr>
          <w:rFonts w:hint="eastAsia" w:ascii="宋体" w:hAnsi="宋体" w:eastAsia="宋体" w:cs="宋体"/>
          <w:color w:val="auto"/>
          <w:sz w:val="24"/>
          <w:szCs w:val="21"/>
          <w:highlight w:val="none"/>
        </w:rPr>
        <w:t xml:space="preserve">本项目申请人的特定</w:t>
      </w:r>
      <w:r>
        <w:rPr>
          <w:rFonts w:hint="eastAsia" w:ascii="宋体" w:hAnsi="宋体" w:eastAsia="宋体" w:cs="宋体"/>
          <w:b w:val="0"/>
          <w:bCs w:val="0"/>
          <w:color w:val="auto"/>
          <w:sz w:val="24"/>
          <w:szCs w:val="21"/>
          <w:highlight w:val="none"/>
          <w:u w:val="none"/>
        </w:rPr>
        <w:t xml:space="preserve">资格要求</w:t>
      </w:r>
      <w:r>
        <w:rPr>
          <w:rFonts w:hint="eastAsia" w:ascii="宋体" w:hAnsi="宋体" w:eastAsia="宋体" w:cs="宋体"/>
          <w:color w:val="auto"/>
          <w:sz w:val="24"/>
          <w:szCs w:val="21"/>
          <w:highlight w:val="none"/>
        </w:rPr>
        <w:t xml:space="preserve">中要求提供的</w:t>
      </w:r>
      <w:r>
        <w:rPr>
          <w:rFonts w:hint="eastAsia" w:ascii="宋体" w:hAnsi="宋体" w:eastAsia="宋体" w:cs="宋体"/>
          <w:color w:val="auto"/>
          <w:sz w:val="24"/>
          <w:szCs w:val="21"/>
          <w:highlight w:val="none"/>
          <w:lang w:val="en-US" w:eastAsia="zh-CN"/>
        </w:rPr>
        <w:t xml:space="preserve">材料</w:t>
      </w:r>
      <w:r>
        <w:rPr>
          <w:rFonts w:hint="eastAsia" w:ascii="宋体" w:hAnsi="宋体" w:eastAsia="宋体" w:cs="宋体"/>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黑体"/>
          <w:i w:val="0"/>
          <w:color w:val="auto"/>
          <w:sz w:val="32"/>
          <w:szCs w:val="32"/>
          <w:highlight w:val="none"/>
          <w:u w:val="none"/>
          <w:lang w:val="en-US" w:eastAsia="zh-CN"/>
        </w:rPr>
      </w:pPr>
      <w:r>
        <w:rPr>
          <w:rFonts w:hint="eastAsia" w:ascii="黑体" w:hAnsi="黑体" w:eastAsia="黑体" w:cs="黑体"/>
          <w:i w:val="0"/>
          <w:color w:val="auto"/>
          <w:sz w:val="32"/>
          <w:szCs w:val="32"/>
          <w:highlight w:val="none"/>
          <w:u w:val="none"/>
          <w:lang w:val="en-US" w:eastAsia="zh-CN"/>
        </w:rPr>
        <w:t xml:space="preserve">三、法人授权书</w:t>
      </w:r>
      <w:r/>
    </w:p>
    <w:p>
      <w:pPr>
        <w:jc w:val="center"/>
        <w:rPr>
          <w:rFonts w:hint="eastAsia" w:ascii="黑体" w:hAnsi="黑体" w:eastAsia="黑体" w:cs="Times New Roman"/>
          <w:i w:val="0"/>
          <w:color w:val="auto"/>
          <w:sz w:val="32"/>
          <w:szCs w:val="32"/>
          <w:highlight w:val="none"/>
          <w:u w:val="none"/>
          <w:lang w:val="zh-CN" w:eastAsia="zh-CN"/>
        </w:rPr>
      </w:pPr>
      <w:r>
        <w:rPr>
          <w:rFonts w:hint="eastAsia" w:ascii="黑体" w:hAnsi="黑体" w:eastAsia="黑体" w:cs="Times New Roman"/>
          <w:i w:val="0"/>
          <w:color w:val="auto"/>
          <w:sz w:val="32"/>
          <w:szCs w:val="32"/>
          <w:highlight w:val="none"/>
          <w:u w:val="none"/>
          <w:lang w:val="zh-CN" w:eastAsia="zh-CN"/>
        </w:rPr>
        <w:t xml:space="preserve">法人授权书</w:t>
      </w:r>
      <w:r/>
    </w:p>
    <w:p>
      <w:pPr>
        <w:pStyle w:val="940"/>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 xml:space="preserve">（被授权人的姓名）</w:t>
      </w:r>
      <w:r>
        <w:rPr>
          <w:rFonts w:hint="eastAsia"/>
          <w:color w:val="auto"/>
          <w:sz w:val="24"/>
          <w:szCs w:val="24"/>
          <w:highlight w:val="none"/>
          <w:lang w:val="en-US" w:eastAsia="zh-CN"/>
        </w:rPr>
        <w:t xml:space="preserve">作</w:t>
      </w:r>
      <w:r>
        <w:rPr>
          <w:rFonts w:hint="eastAsia"/>
          <w:color w:val="auto"/>
          <w:sz w:val="24"/>
          <w:szCs w:val="24"/>
          <w:highlight w:val="none"/>
        </w:rPr>
        <w:t xml:space="preserve">为我方就</w:t>
      </w:r>
      <w:r>
        <w:rPr>
          <w:rFonts w:hint="eastAsia"/>
          <w:color w:val="auto"/>
          <w:sz w:val="24"/>
          <w:szCs w:val="24"/>
          <w:highlight w:val="none"/>
          <w:lang w:val="en-US" w:eastAsia="zh-CN"/>
        </w:rPr>
        <w:t xml:space="preserve">编号为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color w:val="auto"/>
          <w:sz w:val="24"/>
          <w:szCs w:val="24"/>
          <w:highlight w:val="none"/>
        </w:rPr>
        <w:t xml:space="preserve">项目采购活动的合法代理人</w:t>
      </w:r>
      <w:r>
        <w:rPr>
          <w:rFonts w:hint="eastAsia"/>
          <w:color w:val="auto"/>
          <w:sz w:val="24"/>
          <w:szCs w:val="24"/>
          <w:highlight w:val="none"/>
          <w:lang w:eastAsia="zh-CN"/>
        </w:rPr>
        <w:t xml:space="preserve">，</w:t>
      </w:r>
      <w:r>
        <w:rPr>
          <w:rFonts w:hint="eastAsia"/>
          <w:color w:val="auto"/>
          <w:sz w:val="24"/>
          <w:szCs w:val="24"/>
          <w:highlight w:val="none"/>
        </w:rPr>
        <w:t xml:space="preserve">以本单位名义全权处理一切与该项目采购有关的事务。</w:t>
      </w:r>
      <w:r/>
    </w:p>
    <w:p>
      <w:pPr>
        <w:pStyle w:val="940"/>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本授权书于______年____月____日起生效</w:t>
      </w:r>
      <w:r>
        <w:rPr>
          <w:rFonts w:hint="eastAsia"/>
          <w:color w:val="auto"/>
          <w:sz w:val="24"/>
          <w:szCs w:val="24"/>
          <w:highlight w:val="none"/>
          <w:lang w:eastAsia="zh-CN"/>
        </w:rPr>
        <w:t xml:space="preserve">，</w:t>
      </w:r>
      <w:r>
        <w:rPr>
          <w:rFonts w:hint="eastAsia"/>
          <w:color w:val="auto"/>
          <w:sz w:val="24"/>
          <w:szCs w:val="24"/>
          <w:highlight w:val="none"/>
        </w:rPr>
        <w:t xml:space="preserve">特此声明。</w:t>
      </w:r>
      <w:r/>
    </w:p>
    <w:p>
      <w:pPr>
        <w:pStyle w:val="940"/>
        <w:ind w:firstLine="0"/>
        <w:keepLines w:val="0"/>
        <w:keepNext w:val="0"/>
        <w:pageBreakBefore w:val="0"/>
        <w:spacing w:line="480" w:lineRule="auto"/>
        <w:widowControl w:val="off"/>
        <w:rPr>
          <w:rFonts w:hint="eastAsia"/>
          <w:color w:val="auto"/>
          <w:sz w:val="24"/>
          <w:szCs w:val="24"/>
          <w:highlight w:val="none"/>
          <w:u w:val="single"/>
        </w:rPr>
      </w:pPr>
      <w:r>
        <w:rPr>
          <w:rFonts w:hint="eastAsia"/>
          <w:color w:val="auto"/>
          <w:sz w:val="24"/>
          <w:szCs w:val="24"/>
          <w:highlight w:val="none"/>
        </w:rPr>
        <w:t xml:space="preserve">    被授权人身份证号码：</w:t>
      </w:r>
      <w:r/>
    </w:p>
    <w:p>
      <w:pPr>
        <w:pStyle w:val="940"/>
        <w:ind w:firstLine="480"/>
        <w:keepLines w:val="0"/>
        <w:keepNext w:val="0"/>
        <w:pageBreakBefore w:val="0"/>
        <w:spacing w:line="480" w:lineRule="auto"/>
        <w:widowControl w:val="off"/>
        <w:rPr>
          <w:rFonts w:hint="eastAsia" w:ascii="宋体" w:hAnsi="宋体" w:eastAsia="宋体" w:cs="宋体"/>
          <w:color w:val="auto"/>
          <w:sz w:val="24"/>
          <w:szCs w:val="24"/>
          <w:highlight w:val="none"/>
          <w:u w:val="single"/>
        </w:rPr>
      </w:pPr>
      <w:r>
        <w:rPr>
          <w:rFonts w:hint="eastAsia"/>
          <w:color w:val="auto"/>
          <w:sz w:val="24"/>
          <w:szCs w:val="24"/>
          <w:highlight w:val="none"/>
        </w:rPr>
        <w:t xml:space="preserve">被授权人联系电话：（手机）</w:t>
      </w:r>
      <w:r/>
    </w:p>
    <w:p>
      <w:pPr>
        <w:pStyle w:val="940"/>
        <w:ind w:firstLine="480"/>
        <w:keepLines w:val="0"/>
        <w:keepNext w:val="0"/>
        <w:pageBreakBefore w:val="0"/>
        <w:spacing w:line="480" w:lineRule="auto"/>
        <w:widowControl w:val="off"/>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授权单位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940"/>
        <w:ind w:firstLine="480"/>
        <w:keepLines w:val="0"/>
        <w:keepNext w:val="0"/>
        <w:pageBreakBefore w:val="0"/>
        <w:spacing w:line="480" w:lineRule="auto"/>
        <w:widowControl w:val="off"/>
        <w:rPr>
          <w:rFonts w:hint="eastAsia"/>
          <w:color w:val="auto"/>
          <w:sz w:val="24"/>
          <w:szCs w:val="24"/>
          <w:highlight w:val="none"/>
          <w:u w:val="single"/>
        </w:rPr>
      </w:pPr>
      <w:r>
        <w:rPr>
          <w:rFonts w:hint="eastAsia"/>
          <w:color w:val="auto"/>
          <w:sz w:val="24"/>
          <w:szCs w:val="24"/>
          <w:highlight w:val="none"/>
        </w:rPr>
        <w:t xml:space="preserve">单位地址：</w:t>
      </w:r>
      <w:r/>
    </w:p>
    <w:p>
      <w:pPr>
        <w:pStyle w:val="940"/>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174" w:name="_Hlt26955070"/>
      <w:r/>
      <w:bookmarkEnd w:id="174"/>
      <w:r/>
      <w:bookmarkStart w:id="175" w:name="_Hlt26671380"/>
      <w:r/>
      <w:bookmarkEnd w:id="175"/>
      <w:r/>
      <w:bookmarkStart w:id="176" w:name="_格式3__银行出具的资信证明"/>
      <w:r/>
      <w:bookmarkEnd w:id="176"/>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四、磋商响应函</w:t>
      </w:r>
      <w:r/>
    </w:p>
    <w:p>
      <w:pPr>
        <w:jc w:val="center"/>
        <w:rPr>
          <w:rFonts w:hint="eastAsia" w:ascii="黑体" w:hAnsi="黑体" w:eastAsia="黑体" w:cs="Times New Roman"/>
          <w:i w:val="0"/>
          <w:color w:val="auto"/>
          <w:sz w:val="32"/>
          <w:szCs w:val="32"/>
          <w:highlight w:val="none"/>
          <w:u w:val="none"/>
          <w:lang w:val="zh-CN" w:eastAsia="zh-CN"/>
        </w:rPr>
      </w:pPr>
      <w:r>
        <w:rPr>
          <w:rFonts w:hint="eastAsia" w:ascii="黑体" w:hAnsi="黑体" w:eastAsia="黑体" w:cs="Times New Roman"/>
          <w:i w:val="0"/>
          <w:color w:val="auto"/>
          <w:sz w:val="32"/>
          <w:szCs w:val="32"/>
          <w:highlight w:val="none"/>
          <w:u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南京鹏皓工程咨询有限公司</w:t>
      </w:r>
      <w:r/>
    </w:p>
    <w:p>
      <w:pPr>
        <w:pStyle w:val="941"/>
        <w:ind w:firstLine="480"/>
        <w:keepLines w:val="0"/>
        <w:keepNext w:val="0"/>
        <w:pageBreakBefore w:val="0"/>
        <w:spacing w:before="0"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w:t>
      </w:r>
      <w:r>
        <w:rPr>
          <w:rFonts w:hint="eastAsia" w:ascii="宋体" w:hAnsi="宋体" w:eastAsia="宋体" w:cs="宋体"/>
          <w:color w:val="auto"/>
          <w:szCs w:val="21"/>
          <w:highlight w:val="none"/>
          <w:lang w:val="en-US" w:eastAsia="zh-CN"/>
        </w:rPr>
        <w:t xml:space="preserve">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的</w:t>
      </w:r>
      <w:r>
        <w:rPr>
          <w:rFonts w:hint="eastAsia" w:ascii="宋体" w:hAnsi="宋体" w:eastAsia="宋体" w:cs="宋体"/>
          <w:color w:val="auto"/>
          <w:sz w:val="24"/>
          <w:szCs w:val="21"/>
          <w:highlight w:val="none"/>
          <w:lang w:val="en-US" w:eastAsia="zh-CN"/>
        </w:rPr>
        <w:t xml:space="preserve">项目</w:t>
      </w:r>
      <w:r>
        <w:rPr>
          <w:rFonts w:hint="eastAsia" w:ascii="宋体" w:hAnsi="宋体" w:eastAsia="宋体" w:cs="宋体"/>
          <w:color w:val="auto"/>
          <w:szCs w:val="21"/>
          <w:highlight w:val="none"/>
          <w:lang w:eastAsia="zh-CN"/>
        </w:rPr>
        <w:t xml:space="preserve">磋商</w:t>
      </w:r>
      <w:r>
        <w:rPr>
          <w:rFonts w:hint="eastAsia" w:ascii="宋体" w:hAnsi="宋体" w:eastAsia="宋体" w:cs="宋体"/>
          <w:color w:val="auto"/>
          <w:szCs w:val="21"/>
          <w:highlight w:val="none"/>
        </w:rPr>
        <w:t xml:space="preserve">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我方</w:t>
      </w:r>
      <w:r>
        <w:rPr>
          <w:rFonts w:hint="eastAsia" w:ascii="宋体" w:hAnsi="宋体" w:eastAsia="宋体" w:cs="宋体"/>
          <w:color w:val="auto"/>
          <w:szCs w:val="21"/>
          <w:highlight w:val="none"/>
        </w:rPr>
        <w:t xml:space="preserve">正式</w:t>
      </w:r>
      <w:r>
        <w:rPr>
          <w:rFonts w:hint="eastAsia" w:ascii="宋体" w:hAnsi="宋体" w:eastAsia="宋体" w:cs="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交磋商响应函，</w:t>
      </w:r>
      <w:r>
        <w:rPr>
          <w:rFonts w:hint="eastAsia" w:ascii="宋体" w:hAnsi="宋体" w:eastAsia="宋体" w:cs="宋体"/>
          <w:color w:val="auto"/>
          <w:szCs w:val="21"/>
          <w:highlight w:val="none"/>
          <w:lang w:val="en-US" w:eastAsia="zh-CN"/>
        </w:rPr>
        <w:t xml:space="preserve">并</w:t>
      </w:r>
      <w:r>
        <w:rPr>
          <w:rFonts w:hint="eastAsia" w:ascii="宋体" w:hAnsi="宋体" w:eastAsia="宋体" w:cs="宋体"/>
          <w:color w:val="auto"/>
          <w:szCs w:val="21"/>
          <w:highlight w:val="none"/>
        </w:rPr>
        <w:t xml:space="preserve">宣布同意如下</w:t>
      </w:r>
      <w:r>
        <w:rPr>
          <w:rFonts w:hint="eastAsia" w:ascii="宋体" w:hAnsi="宋体" w:eastAsia="宋体" w:cs="宋体"/>
          <w:color w:val="auto"/>
          <w:szCs w:val="21"/>
          <w:highlight w:val="none"/>
          <w:lang w:val="en-US" w:eastAsia="zh-CN"/>
        </w:rPr>
        <w:t xml:space="preserve">内容</w:t>
      </w:r>
      <w:r>
        <w:rPr>
          <w:rFonts w:hint="eastAsia" w:ascii="宋体" w:hAnsi="宋体" w:eastAsia="宋体" w:cs="宋体"/>
          <w:color w:val="auto"/>
          <w:szCs w:val="21"/>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1.按磋商文件规定的各项要求</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3.我们已详细审核全部磋商文件及其有效补充文件</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w:t>
      </w:r>
      <w:r>
        <w:rPr>
          <w:rFonts w:hint="eastAsia" w:ascii="宋体" w:hAnsi="宋体" w:eastAsia="宋体" w:cs="宋体"/>
          <w:color w:val="auto"/>
          <w:sz w:val="24"/>
          <w:szCs w:val="21"/>
          <w:highlight w:val="none"/>
          <w:lang w:val="en-US" w:eastAsia="zh-CN"/>
        </w:rPr>
        <w:t xml:space="preserve">磋商</w:t>
      </w:r>
      <w:r>
        <w:rPr>
          <w:rFonts w:hint="eastAsia" w:ascii="宋体" w:hAnsi="宋体" w:eastAsia="宋体" w:cs="宋体"/>
          <w:color w:val="auto"/>
          <w:sz w:val="24"/>
          <w:szCs w:val="21"/>
          <w:highlight w:val="none"/>
        </w:rPr>
        <w:t xml:space="preserve">日期起遵循本响应文件</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5.同意向贵方提供贵方可能另外要求的与磋商有关的任何证据或资料</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6.一旦我方成交</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严格履行合同的责任和义务</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w:t>
      </w:r>
      <w:r>
        <w:rPr>
          <w:rFonts w:hint="eastAsia" w:ascii="宋体" w:hAnsi="宋体" w:eastAsia="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w:t>
      </w:r>
      <w:r>
        <w:rPr>
          <w:rFonts w:hint="eastAsia" w:ascii="宋体" w:hAnsi="宋体" w:eastAsia="宋体" w:cs="宋体"/>
          <w:color w:val="auto"/>
          <w:sz w:val="24"/>
          <w:szCs w:val="24"/>
          <w:highlight w:val="none"/>
          <w:lang w:eastAsia="zh-CN"/>
        </w:rPr>
        <w:t xml:space="preserve">方</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rPr>
        <w:t xml:space="preserve">大型企业</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val="zh-CN" w:eastAsia="zh-CN"/>
        </w:rPr>
        <w:t xml:space="preserve">打</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.我方与</w:t>
      </w:r>
      <w:r>
        <w:rPr>
          <w:rFonts w:hint="eastAsia" w:ascii="宋体" w:hAnsi="宋体" w:eastAsia="宋体" w:cs="宋体"/>
          <w:color w:val="auto"/>
          <w:sz w:val="24"/>
          <w:szCs w:val="21"/>
          <w:highlight w:val="none"/>
          <w:lang w:eastAsia="zh-CN"/>
        </w:rPr>
        <w:t xml:space="preserve">本次</w:t>
      </w:r>
      <w:r>
        <w:rPr>
          <w:rFonts w:hint="eastAsia" w:ascii="宋体" w:hAnsi="宋体" w:eastAsia="宋体" w:cs="宋体"/>
          <w:color w:val="auto"/>
          <w:sz w:val="24"/>
          <w:szCs w:val="21"/>
          <w:highlight w:val="none"/>
        </w:rPr>
        <w:t xml:space="preserve">磋商有关的正式通讯地址为：</w:t>
      </w:r>
      <w:r/>
    </w:p>
    <w:p>
      <w:pPr>
        <w:pStyle w:val="941"/>
        <w:ind w:left="0" w:firstLine="480"/>
        <w:keepLines w:val="0"/>
        <w:keepNext w:val="0"/>
        <w:pageBreakBefore w:val="0"/>
        <w:spacing w:before="0"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941"/>
        <w:ind w:left="0" w:firstLine="480"/>
        <w:keepLines w:val="0"/>
        <w:keepNext w:val="0"/>
        <w:pageBreakBefore w:val="0"/>
        <w:spacing w:before="0" w:after="0" w:line="360" w:lineRule="auto"/>
        <w:widowControl w:val="off"/>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rPr>
        <w:t xml:space="preserve">邮  编：</w:t>
      </w:r>
      <w:r/>
    </w:p>
    <w:p>
      <w:pPr>
        <w:pStyle w:val="941"/>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41"/>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41"/>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41"/>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pStyle w:val="941"/>
        <w:ind w:left="0" w:firstLine="480"/>
        <w:keepLines w:val="0"/>
        <w:keepNext w:val="0"/>
        <w:pageBreakBefore w:val="0"/>
        <w:spacing w:before="0" w:after="0"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供应商</w:t>
      </w:r>
      <w:r>
        <w:rPr>
          <w:rFonts w:hint="eastAsia" w:ascii="宋体" w:hAnsi="宋体" w:eastAsia="宋体" w:cs="Times New Roman"/>
          <w:color w:val="auto"/>
          <w:szCs w:val="21"/>
          <w:highlight w:val="none"/>
        </w:rPr>
        <w:t xml:space="preserve">名称</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（加盖电子公章）</w:t>
      </w:r>
      <w:r/>
    </w:p>
    <w:p>
      <w:pPr>
        <w:pStyle w:val="941"/>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日  期：</w:t>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五、磋商报价表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磋商报价表</w:t>
      </w:r>
      <w:r/>
    </w:p>
    <w:p>
      <w:pPr>
        <w:ind w:firstLine="0"/>
        <w:keepLines w:val="0"/>
        <w:keepNext w:val="0"/>
        <w:pageBreakBefore w:val="0"/>
        <w:spacing w:line="24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val="en-US" w:eastAsia="zh-CN"/>
        </w:rPr>
        <w:t xml:space="preserve">                                项目</w:t>
      </w:r>
      <w:r>
        <w:rPr>
          <w:rFonts w:hint="eastAsia" w:ascii="宋体" w:hAnsi="宋体" w:eastAsia="宋体" w:cs="Times New Roman"/>
          <w:color w:val="auto"/>
          <w:sz w:val="24"/>
          <w:szCs w:val="24"/>
          <w:highlight w:val="none"/>
        </w:rPr>
        <w:t xml:space="preserve">编号：    </w:t>
      </w:r>
      <w:r/>
    </w:p>
    <w:tbl>
      <w:tblPr>
        <w:tblStyle w:val="709"/>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总报价</w:t>
            </w:r>
            <w:r/>
          </w:p>
        </w:tc>
      </w:tr>
      <w:tr>
        <w:trPr>
          <w:cantSplit/>
          <w:trHeight w:val="725"/>
        </w:trPr>
        <w:tc>
          <w:tcPr>
            <w:tcW w:w="9748" w:type="dxa"/>
            <w:vAlign w:val="center"/>
            <w:textDirection w:val="lrTb"/>
            <w:noWrap w:val="false"/>
          </w:tcPr>
          <w:p>
            <w:pPr>
              <w:ind w:firstLine="0"/>
              <w:keepLines w:val="0"/>
              <w:keepNext w:val="0"/>
              <w:pageBreakBefore w:val="0"/>
              <w:spacing w:line="24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大写（人民币）：</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rPr>
              <w:t xml:space="preserve">元。</w:t>
            </w:r>
            <w:r/>
          </w:p>
        </w:tc>
      </w:tr>
      <w:tr>
        <w:trPr>
          <w:cantSplit/>
          <w:trHeight w:val="780"/>
        </w:trPr>
        <w:tc>
          <w:tcPr>
            <w:tcW w:w="9748" w:type="dxa"/>
            <w:vAlign w:val="center"/>
            <w:textDirection w:val="lrTb"/>
            <w:noWrap w:val="false"/>
          </w:tcPr>
          <w:p>
            <w:pPr>
              <w:pStyle w:val="941"/>
              <w:ind w:firstLine="0"/>
              <w:jc w:val="both"/>
              <w:keepLines w:val="0"/>
              <w:keepNext w:val="0"/>
              <w:pageBreakBefore w:val="0"/>
              <w:spacing w:before="0" w:after="0" w:line="480" w:lineRule="auto"/>
              <w:widowControl w:val="off"/>
              <w:rPr>
                <w:rFonts w:hint="eastAsia" w:ascii="宋体" w:hAnsi="宋体"/>
                <w:color w:val="auto"/>
                <w:szCs w:val="21"/>
                <w:highlight w:val="none"/>
              </w:rPr>
            </w:pPr>
            <w:r>
              <w:rPr>
                <w:rFonts w:hint="eastAsia" w:ascii="宋体" w:hAnsi="宋体" w:cs="宋体"/>
                <w:color w:val="auto"/>
                <w:highlight w:val="none"/>
              </w:rPr>
              <w:t xml:space="preserve">小写（元）：</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元。</w:t>
            </w:r>
            <w:r>
              <w:rPr>
                <w:rFonts w:hint="eastAsia" w:ascii="宋体" w:hAnsi="宋体" w:cs="宋体"/>
                <w:color w:val="auto"/>
                <w:highlight w:val="none"/>
              </w:rPr>
              <w:t xml:space="preserve">                        </w:t>
            </w:r>
            <w:r/>
          </w:p>
        </w:tc>
      </w:tr>
    </w:tbl>
    <w:p>
      <w:pPr>
        <w:rPr>
          <w:rFonts w:hint="eastAsia" w:ascii="黑体" w:hAnsi="黑体" w:eastAsia="黑体"/>
          <w:b/>
          <w:i/>
          <w:color w:val="auto"/>
          <w:sz w:val="32"/>
          <w:szCs w:val="32"/>
          <w:highlight w:val="none"/>
          <w:u w:val="single"/>
        </w:rPr>
      </w:pPr>
      <w:r>
        <w:rPr>
          <w:rFonts w:hint="eastAsia" w:ascii="宋体" w:hAnsi="宋体" w:eastAsia="宋体" w:cs="Times New Roman"/>
          <w:color w:val="auto"/>
          <w:sz w:val="24"/>
          <w:szCs w:val="24"/>
          <w:highlight w:val="none"/>
          <w:lang w:val="en-US" w:eastAsia="zh-CN"/>
        </w:rPr>
        <w:t xml:space="preserve">供应商名称：（加盖电子公章）</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pStyle w:val="942"/>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ascii="宋体" w:hAnsi="宋体" w:eastAsia="宋体" w:cs="宋体"/>
          <w:color w:val="auto"/>
          <w:highlight w:val="none"/>
        </w:rPr>
      </w:pPr>
      <w:r>
        <w:rPr>
          <w:rFonts w:hint="eastAsia" w:ascii="宋体" w:hAnsi="宋体" w:eastAsia="宋体" w:cs="宋体"/>
          <w:b/>
          <w:bCs/>
          <w:sz w:val="24"/>
          <w:szCs w:val="24"/>
        </w:rPr>
        <w:t xml:space="preserve">备注：供应商报价低于采购项目预算50%，或者低于采购项目最高限价45%，或者</w:t>
      </w:r>
      <w:r>
        <w:rPr>
          <w:rFonts w:hint="eastAsia" w:ascii="宋体" w:hAnsi="宋体" w:eastAsia="宋体" w:cs="宋体"/>
          <w:b/>
          <w:bCs/>
          <w:sz w:val="24"/>
          <w:szCs w:val="24"/>
          <w:lang w:val="zh-CN"/>
        </w:rPr>
        <w:t xml:space="preserve">报价</w:t>
      </w:r>
      <w:r>
        <w:rPr>
          <w:rFonts w:hint="eastAsia" w:ascii="宋体" w:hAnsi="宋体" w:eastAsia="宋体" w:cs="宋体"/>
          <w:b/>
          <w:bCs/>
          <w:sz w:val="24"/>
          <w:szCs w:val="24"/>
        </w:rPr>
        <w:t xml:space="preserve">过低</w:t>
      </w:r>
      <w:r>
        <w:rPr>
          <w:rFonts w:hint="eastAsia" w:ascii="宋体" w:hAnsi="宋体" w:eastAsia="宋体" w:cs="宋体"/>
          <w:b/>
          <w:bCs/>
          <w:sz w:val="24"/>
          <w:szCs w:val="24"/>
          <w:lang w:val="zh-CN"/>
        </w:rPr>
        <w:t xml:space="preserve">，有可能影响</w:t>
      </w:r>
      <w:r>
        <w:rPr>
          <w:rFonts w:hint="eastAsia" w:ascii="宋体" w:hAnsi="宋体" w:eastAsia="宋体" w:cs="宋体"/>
          <w:b/>
          <w:bCs/>
          <w:sz w:val="24"/>
          <w:szCs w:val="24"/>
        </w:rPr>
        <w:t xml:space="preserve">产品或服务</w:t>
      </w:r>
      <w:r>
        <w:rPr>
          <w:rFonts w:hint="eastAsia" w:ascii="宋体" w:hAnsi="宋体" w:eastAsia="宋体" w:cs="宋体"/>
          <w:b/>
          <w:bCs/>
          <w:sz w:val="24"/>
          <w:szCs w:val="24"/>
          <w:lang w:val="zh-CN"/>
        </w:rPr>
        <w:t xml:space="preserve">质量或不能诚信履约的，</w:t>
      </w:r>
      <w:r>
        <w:rPr>
          <w:rFonts w:hint="eastAsia" w:ascii="宋体" w:hAnsi="宋体" w:eastAsia="宋体" w:cs="宋体"/>
          <w:b/>
          <w:bCs/>
          <w:sz w:val="24"/>
          <w:szCs w:val="24"/>
        </w:rPr>
        <w:t xml:space="preserve">磋商小组将启动异常低价投标审查机制，供应商应</w:t>
      </w:r>
      <w:r>
        <w:rPr>
          <w:rFonts w:hint="eastAsia" w:ascii="宋体" w:hAnsi="宋体" w:eastAsia="宋体" w:cs="宋体"/>
          <w:b/>
          <w:bCs/>
          <w:sz w:val="24"/>
          <w:szCs w:val="24"/>
          <w:lang w:val="zh-CN"/>
        </w:rPr>
        <w:t xml:space="preserve">在</w:t>
      </w:r>
      <w:r>
        <w:rPr>
          <w:rFonts w:hint="eastAsia" w:ascii="宋体" w:hAnsi="宋体" w:eastAsia="宋体" w:cs="宋体"/>
          <w:b/>
          <w:bCs/>
          <w:sz w:val="24"/>
          <w:szCs w:val="24"/>
        </w:rPr>
        <w:t xml:space="preserve">磋商小组规定的合理</w:t>
      </w:r>
      <w:r>
        <w:rPr>
          <w:rFonts w:hint="eastAsia" w:ascii="宋体" w:hAnsi="宋体" w:eastAsia="宋体" w:cs="宋体"/>
          <w:b/>
          <w:bCs/>
          <w:sz w:val="24"/>
          <w:szCs w:val="24"/>
          <w:lang w:val="zh-CN"/>
        </w:rPr>
        <w:t xml:space="preserve">时间内</w:t>
      </w:r>
      <w:r>
        <w:rPr>
          <w:rFonts w:hint="eastAsia" w:ascii="宋体" w:hAnsi="宋体" w:eastAsia="宋体" w:cs="宋体"/>
          <w:b/>
          <w:bCs/>
          <w:sz w:val="24"/>
          <w:szCs w:val="24"/>
        </w:rPr>
        <w:t xml:space="preserve">通过苏采云系统</w:t>
      </w:r>
      <w:r>
        <w:rPr>
          <w:rFonts w:hint="eastAsia" w:ascii="宋体" w:hAnsi="宋体" w:eastAsia="宋体" w:cs="宋体"/>
          <w:b/>
          <w:bCs/>
          <w:sz w:val="24"/>
          <w:szCs w:val="24"/>
          <w:lang w:val="zh-CN"/>
        </w:rPr>
        <w:t xml:space="preserve">提供</w:t>
      </w:r>
      <w:r>
        <w:rPr>
          <w:rFonts w:hint="eastAsia" w:ascii="宋体" w:hAnsi="宋体" w:eastAsia="宋体" w:cs="宋体"/>
          <w:b/>
          <w:bCs/>
          <w:sz w:val="24"/>
          <w:szCs w:val="24"/>
        </w:rPr>
        <w:t xml:space="preserve">项目具体成本测算等与报价合理性相关的书面</w:t>
      </w:r>
      <w:r>
        <w:rPr>
          <w:rFonts w:hint="eastAsia" w:ascii="宋体" w:hAnsi="宋体" w:eastAsia="宋体" w:cs="宋体"/>
          <w:b/>
          <w:bCs/>
          <w:sz w:val="24"/>
          <w:szCs w:val="24"/>
          <w:lang w:val="zh-CN"/>
        </w:rPr>
        <w:t xml:space="preserve">说明</w:t>
      </w:r>
      <w:r>
        <w:rPr>
          <w:rFonts w:hint="eastAsia" w:ascii="宋体" w:hAnsi="宋体" w:eastAsia="宋体" w:cs="宋体"/>
          <w:b/>
          <w:bCs/>
          <w:sz w:val="24"/>
          <w:szCs w:val="24"/>
        </w:rPr>
        <w:t xml:space="preserve">及相关证明材料</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供应商不提供书面说明及证明材料，或者书面说明、证明材料</w:t>
      </w:r>
      <w:r>
        <w:rPr>
          <w:rFonts w:hint="eastAsia" w:ascii="宋体" w:hAnsi="宋体" w:eastAsia="宋体" w:cs="宋体"/>
          <w:b/>
          <w:bCs/>
          <w:sz w:val="24"/>
          <w:szCs w:val="24"/>
          <w:lang w:val="zh-CN"/>
        </w:rPr>
        <w:t xml:space="preserve">不能证明其报价合理性的，将作为无效</w:t>
      </w:r>
      <w:r>
        <w:rPr>
          <w:rFonts w:hint="eastAsia" w:ascii="宋体" w:hAnsi="宋体" w:eastAsia="宋体" w:cs="宋体"/>
          <w:b/>
          <w:bCs/>
          <w:sz w:val="24"/>
          <w:szCs w:val="24"/>
        </w:rPr>
        <w:t xml:space="preserve">响应</w:t>
      </w:r>
      <w:r>
        <w:rPr>
          <w:rFonts w:hint="eastAsia" w:ascii="宋体" w:hAnsi="宋体" w:eastAsia="宋体" w:cs="宋体"/>
          <w:b/>
          <w:bCs/>
          <w:sz w:val="24"/>
          <w:szCs w:val="24"/>
          <w:lang w:val="zh-CN"/>
        </w:rPr>
        <w:t xml:space="preserve">处理。</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default"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六、分项报价表</w:t>
      </w:r>
      <w:r/>
    </w:p>
    <w:p>
      <w:pPr>
        <w:jc w:val="center"/>
        <w:rPr>
          <w:rFonts w:hint="eastAsia" w:ascii="宋体" w:hAnsi="宋体" w:eastAsia="宋体" w:cs="宋体"/>
          <w:i w:val="0"/>
          <w:color w:val="auto"/>
          <w:sz w:val="24"/>
          <w:szCs w:val="24"/>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分项报价表</w:t>
      </w:r>
      <w:r>
        <w:rPr>
          <w:rFonts w:hint="eastAsia" w:ascii="宋体" w:hAnsi="宋体" w:eastAsia="宋体" w:cs="宋体"/>
          <w:i w:val="0"/>
          <w:color w:val="auto"/>
          <w:sz w:val="24"/>
          <w:szCs w:val="24"/>
          <w:highlight w:val="none"/>
          <w:u w:val="none"/>
          <w:lang w:val="en-US" w:eastAsia="zh-CN"/>
        </w:rPr>
        <w:t xml:space="preserve">（自行编制）</w:t>
      </w:r>
      <w:r/>
    </w:p>
    <w:p>
      <w:pPr>
        <w:jc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r>
      <w:r/>
    </w:p>
    <w:p>
      <w:pPr>
        <w:pStyle w:val="714"/>
        <w:ind w:firstLine="24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val="en-US" w:eastAsia="zh-CN"/>
        </w:rPr>
        <w:t xml:space="preserve">                                项目</w:t>
      </w:r>
      <w:r>
        <w:rPr>
          <w:rFonts w:hint="eastAsia" w:ascii="宋体" w:hAnsi="宋体" w:eastAsia="宋体" w:cs="Times New Roman"/>
          <w:color w:val="auto"/>
          <w:sz w:val="24"/>
          <w:szCs w:val="24"/>
          <w:highlight w:val="none"/>
        </w:rPr>
        <w:t xml:space="preserve">编号：  </w:t>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供应商名称：（加盖电子公章）</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pStyle w:val="725"/>
        <w:ind w:firstLine="24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w:t>
      </w:r>
      <w:r/>
    </w:p>
    <w:p>
      <w:pPr>
        <w:pStyle w:val="72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1.“总报价”应包括为完成整个项目所产生的所有费用，采购文件另有规定的除外。</w:t>
      </w:r>
      <w:r/>
    </w:p>
    <w:p>
      <w:pPr>
        <w:pStyle w:val="72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2.《分项报价表》中“总报价”应当与《磋商报价表》中“总报价”一致。</w:t>
      </w:r>
      <w:r/>
    </w:p>
    <w:p>
      <w:pPr>
        <w:pStyle w:val="725"/>
        <w:jc w:val="both"/>
        <w:spacing w:before="0" w:beforeAutospacing="0" w:after="0" w:afterAutospacing="0"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color w:val="auto"/>
          <w:sz w:val="32"/>
          <w:szCs w:val="32"/>
          <w:highlight w:val="none"/>
          <w:u w:val="single"/>
          <w:lang w:val="en-US" w:eastAsia="zh-CN"/>
        </w:rPr>
        <w:br w:type="page" w:clear="all"/>
      </w:r>
      <w:bookmarkEnd w:id="173"/>
      <w:r>
        <w:rPr>
          <w:rFonts w:hint="eastAsia" w:ascii="黑体" w:hAnsi="黑体" w:eastAsia="黑体" w:cs="Times New Roman"/>
          <w:i w:val="0"/>
          <w:color w:val="auto"/>
          <w:sz w:val="32"/>
          <w:szCs w:val="32"/>
          <w:highlight w:val="none"/>
          <w:u w:val="none"/>
          <w:lang w:val="en-US" w:eastAsia="zh-CN"/>
        </w:rPr>
        <w:t xml:space="preserve">七、</w:t>
      </w:r>
      <w:r>
        <w:rPr>
          <w:rFonts w:hint="eastAsia" w:ascii="黑体" w:hAnsi="黑体" w:eastAsia="黑体" w:cs="Times New Roman"/>
          <w:i w:val="0"/>
          <w:iCs/>
          <w:color w:val="auto"/>
          <w:sz w:val="32"/>
          <w:szCs w:val="32"/>
          <w:highlight w:val="none"/>
          <w:u w:val="none"/>
          <w:lang w:val="en-US" w:eastAsia="zh-CN"/>
        </w:rPr>
        <w:t xml:space="preserve">技术要求响应及偏离表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技术要求响应及偏离表</w:t>
      </w:r>
      <w:r/>
    </w:p>
    <w:tbl>
      <w:tblPr>
        <w:tblStyle w:val="709"/>
        <w:tblW w:w="9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33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725"/>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25"/>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725"/>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1.供应商须对磋商文件技术要求中的实质性要求（斜体下划线内容或打“★”内容）及其他要求做出明确响应，否则视为无效响应。</w:t>
      </w:r>
      <w:r/>
    </w:p>
    <w:p>
      <w:pPr>
        <w:pStyle w:val="725"/>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黑体" w:eastAsia="黑体" w:cs="Times New Roman"/>
          <w:i w:val="0"/>
          <w:iCs/>
          <w:color w:val="auto"/>
          <w:sz w:val="32"/>
          <w:szCs w:val="32"/>
          <w:highlight w:val="none"/>
          <w:u w:val="none"/>
          <w:lang w:val="en-US" w:eastAsia="zh-CN"/>
        </w:rPr>
      </w:pPr>
      <w:r/>
      <w:bookmarkStart w:id="177" w:name="_Hlt26955054"/>
      <w:r/>
      <w:bookmarkEnd w:id="177"/>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704"/>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704"/>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704"/>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lang w:val="en-US" w:eastAsia="zh-CN"/>
        </w:rPr>
      </w:pPr>
      <w:r>
        <w:rPr>
          <w:rFonts w:hint="eastAsia"/>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八、商务要求响应及偏离表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商务要求响应及偏离表</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25"/>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（加盖电子公章）</w:t>
      </w:r>
      <w:r/>
    </w:p>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725"/>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725"/>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1.供应商须对磋商文件商务要求中的实质性要求（斜体下划线内容或打“★”内容）做出明确响应，否则视为无效响应。</w:t>
      </w:r>
      <w:r/>
    </w:p>
    <w:p>
      <w:pPr>
        <w:pStyle w:val="725"/>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42"/>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九、中小企业声明函</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根据《政府采购促进中小企业发展管理办法》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财库〔2020〕46号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本公司（联合体）参加</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u w:val="none"/>
        </w:rPr>
        <w:t xml:space="preserve">（分包号：</w:t>
      </w:r>
      <w:r>
        <w:rPr>
          <w:rFonts w:hint="eastAsia" w:ascii="宋体" w:hAnsi="宋体" w:eastAsia="宋体" w:cs="宋体"/>
          <w:color w:val="auto"/>
          <w:sz w:val="24"/>
          <w:szCs w:val="24"/>
          <w:highlight w:val="none"/>
          <w:u w:val="single"/>
          <w:lang w:val="en-US" w:eastAsia="zh-CN"/>
        </w:rPr>
        <w:t xml:space="preserve">XXX</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服务全部由符合政策的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小企业承接。根据《工业和信息化部、国家统计局、国家发展和改革委员会、财政部关于印发中小企业划型标准规定的通知》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工信部联企业〔2011〕300号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相关企业（含联合体中的小微企业、签订分包意向协议的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cs="宋体"/>
          <w:i/>
          <w:color w:val="auto"/>
          <w:sz w:val="24"/>
          <w:szCs w:val="24"/>
          <w:highlight w:val="none"/>
          <w:u w:val="singl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w:t>
      </w:r>
      <w:r>
        <w:rPr>
          <w:rFonts w:hint="eastAsia" w:ascii="宋体" w:hAnsi="宋体" w:eastAsia="宋体" w:cs="宋体"/>
          <w:color w:val="auto"/>
          <w:sz w:val="24"/>
          <w:szCs w:val="24"/>
          <w:highlight w:val="none"/>
          <w:u w:val="none"/>
          <w:lang w:eastAsia="zh-CN"/>
        </w:rPr>
        <w:t xml:space="preserve">（磋商文件中明确的所属行业）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微型企业</w:t>
      </w:r>
      <w:r>
        <w:rPr>
          <w:rFonts w:hint="eastAsia" w:ascii="宋体" w:hAnsi="宋体" w:eastAsia="宋体" w:cs="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color w:val="auto"/>
          <w:sz w:val="24"/>
          <w:szCs w:val="24"/>
          <w:highlight w:val="none"/>
          <w:u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w:t>
      </w:r>
      <w:r>
        <w:rPr>
          <w:rFonts w:hint="eastAsia" w:ascii="宋体" w:hAnsi="宋体" w:eastAsia="宋体" w:cs="宋体"/>
          <w:color w:val="auto"/>
          <w:sz w:val="24"/>
          <w:szCs w:val="24"/>
          <w:highlight w:val="none"/>
          <w:u w:val="none"/>
          <w:lang w:eastAsia="zh-CN"/>
        </w:rPr>
        <w:t xml:space="preserve">（磋商文件中明确的所属行业）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微型企业</w:t>
      </w:r>
      <w:r>
        <w:rPr>
          <w:rFonts w:hint="eastAsia" w:ascii="宋体" w:hAnsi="宋体" w:eastAsia="宋体" w:cs="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不属于大企业的分支机构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不存在控股股东为大企业的情形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本企业对上述声明内容的真实性负责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180" w:firstLine="36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highlight w:val="none"/>
          <w:lang w:val="en-US" w:eastAsia="zh-CN"/>
        </w:rPr>
        <w:t xml:space="preserve">2.在所属企业类型前</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打“</w:t>
      </w:r>
      <w:r>
        <w:rPr>
          <w:rFonts w:hint="default"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rPr>
          <w:rFonts w:hint="eastAsia" w:ascii="宋体" w:hAnsi="宋体" w:eastAsia="宋体" w:cs="Times New Roman"/>
          <w:color w:val="auto"/>
          <w:sz w:val="24"/>
          <w:szCs w:val="24"/>
          <w:highlight w:val="none"/>
          <w:lang w:val="en-US" w:eastAsia="zh-CN"/>
        </w:rPr>
        <w:t xml:space="preserve">3.供应商</w:t>
      </w:r>
      <w:r>
        <w:rPr>
          <w:rFonts w:hint="eastAsia" w:ascii="宋体" w:hAnsi="宋体" w:eastAsia="宋体" w:cs="Times New Roman"/>
          <w:color w:val="auto"/>
          <w:sz w:val="24"/>
          <w:szCs w:val="24"/>
          <w:highlight w:val="none"/>
          <w:lang w:eastAsia="zh-CN"/>
        </w:rPr>
        <w:t xml:space="preserve">如不提供此声明函，不得参加专门面向中小企业采购项目或者</w:t>
      </w:r>
      <w:r>
        <w:rPr>
          <w:rFonts w:hint="eastAsia" w:ascii="宋体" w:hAnsi="宋体" w:eastAsia="宋体" w:cs="Times New Roman"/>
          <w:color w:val="auto"/>
          <w:sz w:val="24"/>
          <w:szCs w:val="24"/>
          <w:highlight w:val="none"/>
          <w:lang w:val="en-US" w:eastAsia="zh-CN"/>
        </w:rPr>
        <w:t xml:space="preserve">不得享受小微企业价格扣除政策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highlight w:val="none"/>
          <w:lang w:val="en-US" w:eastAsia="zh-CN"/>
        </w:rPr>
        <w:t xml:space="preserve">4.服务</w:t>
      </w:r>
      <w:r>
        <w:rPr>
          <w:rFonts w:hint="eastAsia" w:ascii="宋体" w:hAnsi="宋体" w:eastAsia="宋体" w:cs="Times New Roman"/>
          <w:color w:val="auto"/>
          <w:sz w:val="24"/>
          <w:szCs w:val="24"/>
          <w:highlight w:val="none"/>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color w:val="auto"/>
          <w:sz w:val="32"/>
          <w:szCs w:val="32"/>
          <w:highlight w:val="none"/>
          <w:u w:val="none"/>
          <w:lang w:val="en-US" w:eastAsia="zh-CN"/>
        </w:rPr>
        <w:t xml:space="preserve">十、</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根据《财政部 民政部 中国残疾人联合会关于促进残疾人就业政府采购政策的通知》（财库〔2017〕141号）的规定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本单位为符合条件的残疾人福利性单位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u w:val="none"/>
        </w:rPr>
        <w:t xml:space="preserve">（分包号：</w:t>
      </w:r>
      <w:r>
        <w:rPr>
          <w:rFonts w:hint="eastAsia" w:ascii="宋体" w:hAnsi="宋体" w:eastAsia="宋体" w:cs="宋体"/>
          <w:color w:val="auto"/>
          <w:sz w:val="24"/>
          <w:szCs w:val="24"/>
          <w:highlight w:val="none"/>
          <w:u w:val="single"/>
          <w:lang w:val="en-US" w:eastAsia="zh-CN"/>
        </w:rPr>
        <w:t xml:space="preserve">XXX</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服务全部由</w:t>
      </w:r>
      <w:r>
        <w:rPr>
          <w:rFonts w:hint="eastAsia" w:ascii="宋体" w:hAnsi="宋体" w:eastAsia="宋体" w:cs="宋体"/>
          <w:color w:val="auto"/>
          <w:sz w:val="24"/>
          <w:szCs w:val="24"/>
          <w:highlight w:val="none"/>
          <w:lang w:eastAsia="zh-CN"/>
        </w:rPr>
        <w:t xml:space="preserve">本单位提供</w:t>
      </w:r>
      <w:r>
        <w:rPr>
          <w:rFonts w:hint="eastAsia" w:ascii="宋体" w:hAnsi="宋体" w:eastAsia="宋体" w:cs="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如有虚假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将依法承担相应责任。</w:t>
      </w:r>
      <w:r/>
    </w:p>
    <w:p>
      <w:pPr>
        <w:pStyle w:val="94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180" w:firstLine="36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为残疾人福利</w:t>
      </w:r>
      <w:r>
        <w:rPr>
          <w:rFonts w:hint="eastAsia" w:ascii="宋体" w:hAnsi="宋体" w:eastAsia="宋体" w:cs="宋体"/>
          <w:color w:val="auto"/>
          <w:sz w:val="24"/>
          <w:highlight w:val="none"/>
          <w:lang w:val="en-US" w:eastAsia="zh-CN"/>
        </w:rPr>
        <w:t xml:space="preserve">性</w:t>
      </w:r>
      <w:r>
        <w:rPr>
          <w:rFonts w:hint="eastAsia" w:ascii="宋体" w:hAnsi="宋体" w:eastAsia="宋体" w:cs="宋体"/>
          <w:color w:val="auto"/>
          <w:sz w:val="24"/>
          <w:highlight w:val="none"/>
        </w:rPr>
        <w:t xml:space="preserve">单位的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此声明函将随</w:t>
      </w:r>
      <w:r>
        <w:rPr>
          <w:rFonts w:hint="eastAsia" w:ascii="宋体" w:hAnsi="宋体" w:eastAsia="宋体" w:cs="宋体"/>
          <w:color w:val="auto"/>
          <w:sz w:val="24"/>
          <w:highlight w:val="none"/>
          <w:lang w:eastAsia="zh-CN"/>
        </w:rPr>
        <w:t xml:space="preserve">成交</w:t>
      </w:r>
      <w:r>
        <w:rPr>
          <w:rFonts w:hint="eastAsia" w:ascii="宋体" w:hAnsi="宋体" w:eastAsia="宋体" w:cs="宋体"/>
          <w:color w:val="auto"/>
          <w:sz w:val="24"/>
          <w:highlight w:val="none"/>
        </w:rPr>
        <w:t xml:space="preserve">结果同时公告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接受社会监督</w:t>
      </w:r>
      <w:r>
        <w:rPr>
          <w:rFonts w:hint="eastAsia" w:ascii="宋体" w:hAnsi="宋体" w:eastAsia="宋体" w:cs="宋体"/>
          <w:color w:val="auto"/>
          <w:sz w:val="24"/>
          <w:highlight w:val="none"/>
          <w:lang w:eastAsia="zh-CN"/>
        </w:rPr>
        <w:t xml:space="preserve">。</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十一、</w:t>
      </w:r>
      <w:r>
        <w:rPr>
          <w:rFonts w:hint="eastAsia" w:ascii="黑体" w:hAnsi="黑体" w:eastAsia="黑体" w:cs="Times New Roman"/>
          <w:i w:val="0"/>
          <w:color w:val="auto"/>
          <w:sz w:val="32"/>
          <w:szCs w:val="32"/>
          <w:highlight w:val="none"/>
          <w:u w:val="none"/>
          <w:lang w:val="en-US" w:eastAsia="zh-CN"/>
        </w:rPr>
        <w:t xml:space="preserve">属于监狱企业的证明文件</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属于监狱企业的证明文件</w:t>
      </w:r>
      <w:r/>
    </w:p>
    <w:p>
      <w:pPr>
        <w:jc w:val="center"/>
        <w:rPr>
          <w:rFonts w:hint="eastAsia" w:ascii="仿宋" w:hAnsi="仿宋" w:eastAsia="仿宋" w:cs="仿宋"/>
          <w:sz w:val="21"/>
        </w:rPr>
      </w:pPr>
      <w:r>
        <w:rPr>
          <w:rFonts w:hint="eastAsia" w:ascii="宋体" w:hAnsi="宋体" w:eastAsia="宋体" w:cs="宋体"/>
          <w:color w:val="auto"/>
          <w:sz w:val="24"/>
          <w:highlight w:val="none"/>
        </w:rPr>
        <w:t xml:space="preserve">（提供由省级以上监狱管理局、戒毒管理局(含新疆生产建设兵团)出具的属于监狱企业的证明文件）</w:t>
      </w:r>
      <w:r/>
    </w:p>
    <w:p>
      <w:pPr>
        <w:pStyle w:val="714"/>
        <w:rPr>
          <w:rFonts w:hint="eastAsia" w:ascii="仿宋" w:hAnsi="仿宋" w:eastAsia="仿宋" w:cs="仿宋"/>
          <w:sz w:val="20"/>
        </w:rPr>
        <w:outlineLvl w:val="9"/>
      </w:pPr>
      <w:r>
        <w:rPr>
          <w:rFonts w:hint="eastAsia" w:ascii="仿宋" w:hAnsi="仿宋" w:eastAsia="仿宋" w:cs="仿宋"/>
          <w:sz w:val="20"/>
        </w:rPr>
      </w:r>
      <w:r/>
    </w:p>
    <w:p>
      <w:pPr>
        <w:pStyle w:val="714"/>
        <w:rPr>
          <w:rFonts w:hint="eastAsia" w:ascii="仿宋" w:hAnsi="仿宋" w:eastAsia="仿宋" w:cs="仿宋"/>
          <w:sz w:val="20"/>
        </w:rPr>
        <w:outlineLvl w:val="9"/>
      </w:pPr>
      <w:r>
        <w:rPr>
          <w:rFonts w:hint="eastAsia" w:ascii="仿宋" w:hAnsi="仿宋" w:eastAsia="仿宋" w:cs="仿宋"/>
          <w:sz w:val="20"/>
        </w:rPr>
      </w:r>
      <w:r/>
    </w:p>
    <w:p>
      <w:pPr>
        <w:pStyle w:val="714"/>
        <w:ind w:left="0" w:firstLine="0"/>
        <w:rPr>
          <w:rFonts w:hint="eastAsia" w:ascii="仿宋" w:hAnsi="仿宋" w:eastAsia="仿宋" w:cs="仿宋"/>
          <w:sz w:val="20"/>
        </w:rPr>
        <w:outlineLvl w:val="9"/>
      </w:pPr>
      <w:r>
        <w:rPr>
          <w:rFonts w:hint="eastAsia" w:ascii="黑体" w:hAnsi="黑体" w:eastAsia="黑体" w:cs="Times New Roman"/>
          <w:i w:val="0"/>
          <w:color w:val="auto"/>
          <w:sz w:val="32"/>
          <w:szCs w:val="32"/>
          <w:highlight w:val="none"/>
          <w:u w:val="none"/>
          <w:lang w:val="en-US" w:eastAsia="zh-CN"/>
        </w:rPr>
        <w:t xml:space="preserve">十二、节能产品认证文件</w:t>
      </w:r>
      <w:r/>
    </w:p>
    <w:p>
      <w:pPr>
        <w:pStyle w:val="714"/>
        <w:spacing w:before="8"/>
        <w:rPr>
          <w:rFonts w:hint="eastAsia" w:ascii="仿宋" w:hAnsi="仿宋" w:eastAsia="仿宋" w:cs="仿宋"/>
          <w:sz w:val="15"/>
        </w:rPr>
        <w:outlineLvl w:val="9"/>
      </w:pPr>
      <w:r>
        <w:rPr>
          <w:rFonts w:hint="eastAsia" w:ascii="仿宋" w:hAnsi="仿宋" w:eastAsia="仿宋" w:cs="仿宋"/>
          <w:sz w:val="15"/>
        </w:rPr>
      </w:r>
      <w:r/>
    </w:p>
    <w:p>
      <w:pPr>
        <w:jc w:val="center"/>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节能产品认证文件</w:t>
      </w:r>
      <w:r/>
    </w:p>
    <w:p>
      <w:pPr>
        <w:ind w:left="820" w:right="1039" w:firstLine="0"/>
        <w:jc w:val="left"/>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（提供国家确定的认证机构出具的、处于有效期之内的产品认证证书）</w:t>
      </w:r>
      <w:r/>
    </w:p>
    <w:p>
      <w:pPr>
        <w:pStyle w:val="714"/>
        <w:rPr>
          <w:rFonts w:hint="eastAsia" w:ascii="仿宋" w:hAnsi="仿宋" w:eastAsia="仿宋" w:cs="仿宋"/>
          <w:sz w:val="20"/>
        </w:rPr>
        <w:outlineLvl w:val="9"/>
      </w:pPr>
      <w:r>
        <w:rPr>
          <w:rFonts w:hint="eastAsia" w:ascii="仿宋" w:hAnsi="仿宋" w:eastAsia="仿宋" w:cs="仿宋"/>
          <w:sz w:val="20"/>
        </w:rPr>
      </w:r>
      <w:r/>
    </w:p>
    <w:p>
      <w:pPr>
        <w:pStyle w:val="714"/>
        <w:rPr>
          <w:rFonts w:hint="eastAsia" w:ascii="仿宋" w:hAnsi="仿宋" w:eastAsia="仿宋" w:cs="仿宋"/>
          <w:sz w:val="20"/>
        </w:rPr>
        <w:outlineLvl w:val="9"/>
      </w:pPr>
      <w:r>
        <w:rPr>
          <w:rFonts w:hint="eastAsia" w:ascii="仿宋" w:hAnsi="仿宋" w:eastAsia="仿宋" w:cs="仿宋"/>
          <w:sz w:val="20"/>
        </w:rPr>
      </w:r>
      <w:r/>
    </w:p>
    <w:p>
      <w:pPr>
        <w:pStyle w:val="714"/>
        <w:rPr>
          <w:rFonts w:hint="eastAsia" w:ascii="仿宋" w:hAnsi="仿宋" w:eastAsia="仿宋" w:cs="仿宋"/>
          <w:sz w:val="20"/>
        </w:rPr>
        <w:outlineLvl w:val="9"/>
      </w:pPr>
      <w:r>
        <w:rPr>
          <w:rFonts w:hint="eastAsia" w:ascii="仿宋" w:hAnsi="仿宋" w:eastAsia="仿宋" w:cs="仿宋"/>
          <w:sz w:val="20"/>
        </w:rPr>
      </w:r>
      <w:r/>
    </w:p>
    <w:p>
      <w:pPr>
        <w:jc w:val="left"/>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十三、环境标志产品认证文件</w:t>
      </w:r>
      <w:r/>
    </w:p>
    <w:p>
      <w:pPr>
        <w:pStyle w:val="714"/>
        <w:spacing w:before="9"/>
        <w:rPr>
          <w:rFonts w:hint="eastAsia" w:ascii="仿宋" w:hAnsi="仿宋" w:eastAsia="仿宋" w:cs="仿宋"/>
          <w:sz w:val="27"/>
        </w:rPr>
        <w:outlineLvl w:val="9"/>
      </w:pPr>
      <w:r>
        <w:rPr>
          <w:rFonts w:hint="eastAsia" w:ascii="仿宋" w:hAnsi="仿宋" w:eastAsia="仿宋" w:cs="仿宋"/>
          <w:sz w:val="27"/>
        </w:rPr>
      </w:r>
      <w:r/>
    </w:p>
    <w:p>
      <w:pPr>
        <w:jc w:val="center"/>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环境标志产品认证文件</w:t>
      </w:r>
      <w:r/>
    </w:p>
    <w:p>
      <w:pPr>
        <w:ind w:left="820" w:right="1039" w:firstLine="0"/>
        <w:jc w:val="both"/>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（提供国家确定的认证机构出具的、处于有效期之内的产品认证证书）</w:t>
      </w:r>
      <w:r/>
    </w:p>
    <w:p>
      <w:pPr>
        <w:ind w:left="820" w:right="1039" w:firstLine="0"/>
        <w:jc w:val="both"/>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right="1039"/>
        <w:jc w:val="both"/>
        <w:spacing w:before="232" w:line="417" w:lineRule="auto"/>
        <w:rPr>
          <w:rFonts w:hint="eastAsia" w:ascii="宋体" w:hAnsi="宋体"/>
          <w:sz w:val="24"/>
        </w:rPr>
        <w:outlineLvl w:val="9"/>
      </w:pPr>
      <w:r>
        <w:rPr>
          <w:rFonts w:hint="eastAsia" w:ascii="黑体" w:hAnsi="黑体" w:eastAsia="黑体" w:cs="Times New Roman"/>
          <w:color w:val="auto"/>
          <w:sz w:val="32"/>
          <w:szCs w:val="32"/>
          <w:highlight w:val="none"/>
          <w:lang w:val="en-US" w:eastAsia="zh-CN"/>
        </w:rPr>
        <w:t xml:space="preserve">十四、</w:t>
      </w:r>
      <w:r>
        <w:rPr>
          <w:rFonts w:hint="eastAsia" w:ascii="黑体" w:hAnsi="黑体" w:eastAsia="黑体" w:cs="Times New Roman"/>
          <w:color w:val="auto"/>
          <w:sz w:val="32"/>
          <w:szCs w:val="32"/>
          <w:highlight w:val="none"/>
        </w:rPr>
        <w:t xml:space="preserve">关于符合本国产品标准的声明函</w:t>
      </w:r>
      <w:r/>
    </w:p>
    <w:p>
      <w:pPr>
        <w:jc w:val="center"/>
        <w:spacing w:line="240" w:lineRule="auto"/>
        <w:rPr>
          <w:rFonts w:hint="eastAsia" w:ascii="黑体" w:hAnsi="黑体" w:eastAsia="黑体" w:cs="Times New Roman"/>
          <w:color w:val="auto"/>
          <w:sz w:val="32"/>
          <w:szCs w:val="32"/>
          <w:highlight w:val="none"/>
        </w:rPr>
      </w:pPr>
      <w:r>
        <w:rPr>
          <w:rFonts w:hint="eastAsia" w:ascii="黑体" w:hAnsi="黑体" w:eastAsia="黑体" w:cs="Times New Roman"/>
          <w:color w:val="auto"/>
          <w:sz w:val="32"/>
          <w:szCs w:val="32"/>
          <w:highlight w:val="none"/>
          <w:shd w:val="clear" w:color="auto" w:fill="auto"/>
        </w:rPr>
        <w:t xml:space="preserve">（如有，可上传至“电子投标文件格式-企业报价折扣证明”）</w:t>
      </w:r>
      <w:r/>
    </w:p>
    <w:p>
      <w:pPr>
        <w:pStyle w:val="725"/>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rPr>
        <w:pBdr>
          <w:top w:val="none" w:color="auto" w:sz="0" w:space="0"/>
          <w:left w:val="none" w:color="auto" w:sz="0" w:space="0"/>
          <w:bottom w:val="none" w:color="auto" w:sz="0" w:space="0"/>
          <w:right w:val="none" w:color="auto" w:sz="0" w:space="0"/>
        </w:pBdr>
        <w:suppressLineNumbers w:val="0"/>
      </w:pPr>
      <w:r>
        <w:rPr>
          <w:rStyle w:val="729"/>
          <w:rFonts w:hint="eastAsia" w:ascii="宋体" w:hAnsi="宋体" w:eastAsia="宋体" w:cs="宋体"/>
          <w:i w:val="0"/>
          <w:iCs w:val="0"/>
          <w:caps w:val="0"/>
          <w:color w:val="333333"/>
          <w:spacing w:val="0"/>
          <w:sz w:val="36"/>
          <w:szCs w:val="36"/>
          <w:shd w:val="clear" w:color="auto" w:fill="ffffff"/>
        </w:rPr>
        <w:t xml:space="preserve">关于符合本国产品标准的声明函</w:t>
      </w:r>
      <w:r/>
    </w:p>
    <w:p>
      <w:pPr>
        <w:pStyle w:val="72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2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732"/>
          <w:rFonts w:hint="eastAsia" w:ascii="宋体" w:hAnsi="宋体" w:eastAsia="宋体" w:cs="宋体"/>
          <w:i w:val="0"/>
          <w:iCs w:val="0"/>
          <w:caps w:val="0"/>
          <w:color w:val="333333"/>
          <w:spacing w:val="0"/>
          <w:sz w:val="24"/>
          <w:szCs w:val="24"/>
          <w:shd w:val="clear" w:color="auto" w:fill="ffffff"/>
        </w:rPr>
        <w:t xml:space="preserve">（产品名称1）</w:t>
      </w:r>
      <w:r>
        <w:rPr>
          <w:rStyle w:val="732"/>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732"/>
          <w:rFonts w:hint="eastAsia" w:ascii="宋体" w:hAnsi="宋体" w:eastAsia="宋体" w:cs="宋体"/>
          <w:i w:val="0"/>
          <w:iCs w:val="0"/>
          <w:caps w:val="0"/>
          <w:color w:val="333333"/>
          <w:spacing w:val="0"/>
          <w:sz w:val="24"/>
          <w:szCs w:val="24"/>
          <w:shd w:val="clear" w:color="auto" w:fill="ffffff"/>
        </w:rPr>
        <w:t xml:space="preserve">（厂名）</w:t>
      </w:r>
      <w:r>
        <w:rPr>
          <w:rStyle w:val="732"/>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732"/>
          <w:rFonts w:hint="eastAsia" w:ascii="宋体" w:hAnsi="宋体" w:eastAsia="宋体" w:cs="宋体"/>
          <w:i w:val="0"/>
          <w:iCs w:val="0"/>
          <w:caps w:val="0"/>
          <w:color w:val="333333"/>
          <w:spacing w:val="0"/>
          <w:sz w:val="24"/>
          <w:szCs w:val="24"/>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32"/>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32"/>
          <w:rFonts w:hint="eastAsia" w:ascii="宋体" w:hAnsi="宋体" w:eastAsia="宋体" w:cs="宋体"/>
          <w:i w:val="0"/>
          <w:iCs w:val="0"/>
          <w:caps w:val="0"/>
          <w:color w:val="333333"/>
          <w:spacing w:val="0"/>
          <w:sz w:val="24"/>
          <w:szCs w:val="24"/>
          <w:shd w:val="clear" w:color="auto" w:fill="ffffff"/>
        </w:rPr>
        <w:t xml:space="preserve">（规定比例）</w:t>
      </w:r>
      <w:r>
        <w:rPr>
          <w:rStyle w:val="732"/>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732"/>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32"/>
          <w:rFonts w:hint="eastAsia" w:ascii="宋体" w:hAnsi="宋体" w:eastAsia="宋体" w:cs="宋体"/>
          <w:i w:val="0"/>
          <w:iCs w:val="0"/>
          <w:caps w:val="0"/>
          <w:color w:val="333333"/>
          <w:spacing w:val="0"/>
          <w:sz w:val="24"/>
          <w:szCs w:val="24"/>
          <w:shd w:val="clear" w:color="auto" w:fill="ffffff"/>
        </w:rPr>
        <w:t xml:space="preserve">（关键组件）</w:t>
      </w:r>
      <w:r>
        <w:rPr>
          <w:rStyle w:val="732"/>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32"/>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732"/>
          <w:rFonts w:hint="eastAsia" w:ascii="宋体" w:hAnsi="宋体" w:eastAsia="宋体" w:cs="宋体"/>
          <w:i w:val="0"/>
          <w:iCs w:val="0"/>
          <w:caps w:val="0"/>
          <w:color w:val="333333"/>
          <w:spacing w:val="0"/>
          <w:sz w:val="24"/>
          <w:szCs w:val="24"/>
          <w:shd w:val="clear" w:color="auto" w:fill="ffffff"/>
        </w:rPr>
        <w:t xml:space="preserve">（关键工序）</w:t>
      </w:r>
      <w:r>
        <w:rPr>
          <w:rStyle w:val="732"/>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2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732"/>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732"/>
          <w:rFonts w:hint="eastAsia" w:ascii="宋体" w:hAnsi="宋体" w:eastAsia="宋体" w:cs="宋体"/>
          <w:i w:val="0"/>
          <w:iCs w:val="0"/>
          <w:caps w:val="0"/>
          <w:color w:val="333333"/>
          <w:spacing w:val="0"/>
          <w:sz w:val="24"/>
          <w:szCs w:val="24"/>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732"/>
          <w:rFonts w:hint="eastAsia" w:ascii="宋体" w:hAnsi="宋体" w:eastAsia="宋体" w:cs="宋体"/>
          <w:i w:val="0"/>
          <w:iCs w:val="0"/>
          <w:caps w:val="0"/>
          <w:color w:val="333333"/>
          <w:spacing w:val="0"/>
          <w:sz w:val="24"/>
          <w:szCs w:val="24"/>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732"/>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732"/>
          <w:rFonts w:hint="eastAsia" w:ascii="宋体" w:hAnsi="宋体" w:eastAsia="宋体" w:cs="宋体"/>
          <w:i w:val="0"/>
          <w:iCs w:val="0"/>
          <w:caps w:val="0"/>
          <w:color w:val="333333"/>
          <w:spacing w:val="0"/>
          <w:sz w:val="24"/>
          <w:szCs w:val="24"/>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732"/>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32"/>
          <w:rFonts w:hint="eastAsia" w:ascii="宋体" w:hAnsi="宋体" w:eastAsia="宋体" w:cs="宋体"/>
          <w:i w:val="0"/>
          <w:iCs w:val="0"/>
          <w:caps w:val="0"/>
          <w:color w:val="333333"/>
          <w:spacing w:val="0"/>
          <w:sz w:val="24"/>
          <w:szCs w:val="24"/>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732"/>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732"/>
          <w:rFonts w:hint="eastAsia" w:ascii="宋体" w:hAnsi="宋体" w:eastAsia="宋体" w:cs="宋体"/>
          <w:i w:val="0"/>
          <w:iCs w:val="0"/>
          <w:caps w:val="0"/>
          <w:color w:val="333333"/>
          <w:spacing w:val="0"/>
          <w:sz w:val="24"/>
          <w:szCs w:val="24"/>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72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725"/>
        <w:ind w:firstLine="420"/>
        <w:spacing w:before="24" w:beforeAutospacing="0" w:after="24" w:afterAutospacing="0" w:line="360" w:lineRule="auto"/>
        <w:shd w:val="clear" w:color="auto" w:fill="ffffff"/>
        <w:rPr>
          <w:shd w:val="clear" w:color="auto" w:fill="ffffff"/>
        </w:rPr>
      </w:pPr>
      <w:r>
        <w:rPr>
          <w:rFonts w:hint="eastAsia" w:ascii="宋体" w:hAnsi="宋体" w:eastAsia="宋体" w:cs="宋体"/>
          <w:shd w:val="clear" w:color="auto" w:fill="ffffff"/>
        </w:rPr>
        <w:t xml:space="preserve">以上产品成本之和</w:t>
      </w:r>
      <w:r>
        <w:rPr>
          <w:rFonts w:ascii="Wingdings" w:hAnsi="Wingdings" w:eastAsia="Wingdings" w:cs="Wingdings"/>
          <w:b/>
          <w:bCs/>
          <w:shd w:val="clear" w:color="auto" w:fill="ffffff"/>
        </w:rPr>
        <w:t xml:space="preserve">¨</w:t>
      </w:r>
      <w:r>
        <w:rPr>
          <w:rFonts w:hint="eastAsia" w:ascii="宋体" w:hAnsi="宋体" w:eastAsia="宋体" w:cs="宋体"/>
          <w:shd w:val="clear" w:color="auto" w:fill="ffffff"/>
        </w:rPr>
        <w:t xml:space="preserve">是</w:t>
      </w:r>
      <w:r>
        <w:rPr>
          <w:rFonts w:ascii="Wingdings" w:hAnsi="Wingdings" w:eastAsia="Wingdings" w:cs="Wingdings"/>
          <w:b/>
          <w:bCs/>
          <w:shd w:val="clear" w:color="auto" w:fill="ffffff"/>
        </w:rPr>
        <w:t xml:space="preserve">¨</w:t>
      </w:r>
      <w:r>
        <w:rPr>
          <w:rFonts w:hint="eastAsia" w:ascii="宋体" w:hAnsi="宋体" w:eastAsia="宋体" w:cs="宋体"/>
          <w:shd w:val="clear" w:color="auto" w:fill="ffffff"/>
        </w:rPr>
        <w:t xml:space="preserve">否达到本公司（单位）提供的全部产品成本之和的80%以上。</w:t>
      </w:r>
      <w:r/>
    </w:p>
    <w:p>
      <w:pPr>
        <w:pStyle w:val="72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725"/>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725"/>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72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2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725"/>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72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p>
    <w:p>
      <w:pPr>
        <w:pStyle w:val="72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p>
    <w:p>
      <w:pPr>
        <w:pStyle w:val="72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72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p>
    <w:p>
      <w:pPr>
        <w:pStyle w:val="72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p>
    <w:p>
      <w:pPr>
        <w:ind w:firstLine="6000"/>
        <w:rPr>
          <w:rFonts w:hint="eastAsia" w:ascii="宋体" w:hAnsi="宋体" w:eastAsia="宋体" w:cs="Times New Roman"/>
          <w:color w:val="auto"/>
          <w:sz w:val="24"/>
          <w:szCs w:val="22"/>
          <w:highlight w:val="none"/>
        </w:rPr>
      </w:pPr>
      <w:r>
        <w:rPr>
          <w:rFonts w:hint="eastAsia" w:ascii="宋体" w:hAnsi="宋体" w:eastAsia="宋体" w:cs="Times New Roman"/>
          <w:color w:val="auto"/>
          <w:sz w:val="24"/>
          <w:highlight w:val="none"/>
          <w:shd w:val="clear" w:color="auto" w:fill="auto"/>
        </w:rPr>
        <w:t xml:space="preserve">  </w:t>
      </w:r>
      <w:r>
        <w:rPr>
          <w:rFonts w:hint="eastAsia" w:ascii="宋体" w:hAnsi="宋体" w:eastAsia="宋体" w:cs="Times New Roman"/>
          <w:color w:val="auto"/>
          <w:sz w:val="24"/>
          <w:szCs w:val="22"/>
          <w:highlight w:val="none"/>
          <w:shd w:val="clear" w:color="auto" w:fill="auto"/>
        </w:rPr>
        <w:t xml:space="preserve">     </w:t>
      </w:r>
      <w:r/>
    </w:p>
    <w:p>
      <w:pPr>
        <w:ind w:firstLine="480"/>
        <w:widowControl w:val="off"/>
        <w:rPr>
          <w:rFonts w:hint="eastAsia" w:ascii="宋体" w:hAnsi="宋体" w:eastAsia="宋体" w:cs="Times New Roman"/>
          <w:color w:val="auto"/>
          <w:sz w:val="24"/>
          <w:szCs w:val="22"/>
          <w:highlight w:val="none"/>
          <w:shd w:val="clear" w:color="auto" w:fill="auto"/>
        </w:rPr>
      </w:pPr>
      <w:r>
        <w:rPr>
          <w:rFonts w:hint="eastAsia" w:ascii="宋体" w:hAnsi="宋体" w:eastAsia="宋体" w:cs="Times New Roman"/>
          <w:color w:val="auto"/>
          <w:sz w:val="24"/>
          <w:szCs w:val="22"/>
          <w:highlight w:val="none"/>
          <w:shd w:val="clear" w:color="auto" w:fill="auto"/>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说明：</w:t>
      </w:r>
      <w:r/>
    </w:p>
    <w:p>
      <w:pPr>
        <w:ind w:firstLine="424"/>
        <w:jc w:val="left"/>
        <w:widowControl/>
        <w:rPr>
          <w:rFonts w:hint="eastAsia" w:ascii="宋体" w:hAnsi="宋体" w:eastAsia="宋体" w:cs="宋体"/>
          <w:sz w:val="21"/>
          <w:szCs w:val="21"/>
        </w:rPr>
      </w:pPr>
      <w:r>
        <w:rPr>
          <w:rFonts w:hint="eastAsia" w:ascii="宋体" w:hAnsi="宋体" w:eastAsia="宋体" w:cs="宋体"/>
          <w:sz w:val="21"/>
          <w:szCs w:val="21"/>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4"/>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2.如有对应货物需填写此表；无对应货物，此表不填写。</w:t>
      </w:r>
      <w:r/>
    </w:p>
    <w:p>
      <w:pPr>
        <w:jc w:val="right"/>
        <w:spacing w:before="135" w:after="0"/>
        <w:rPr>
          <w:rFonts w:hint="default" w:asciiTheme="minorEastAsia" w:hAnsiTheme="minorEastAsia" w:eastAsiaTheme="minorEastAsia" w:cstheme="minorEastAsia"/>
          <w:b w:val="0"/>
          <w:bCs/>
          <w:color w:val="auto"/>
          <w:sz w:val="22"/>
          <w:szCs w:val="22"/>
          <w:highlight w:val="none"/>
          <w:lang w:val="en-US" w:eastAsia="zh-CN"/>
        </w:rPr>
        <w:outlineLvl w:val="9"/>
      </w:pPr>
      <w:r>
        <w:rPr>
          <w:rFonts w:hint="default" w:asciiTheme="minorEastAsia" w:hAnsiTheme="minorEastAsia" w:eastAsiaTheme="minorEastAsia" w:cstheme="minorEastAsia"/>
          <w:b w:val="0"/>
          <w:bCs/>
          <w:color w:val="auto"/>
          <w:sz w:val="22"/>
          <w:szCs w:val="22"/>
          <w:highlight w:val="none"/>
          <w:lang w:val="en-US" w:eastAsia="zh-CN"/>
        </w:rPr>
      </w:r>
      <w:r/>
    </w:p>
    <w:sectPr>
      <w:footerReference w:type="default" r:id="rId13"/>
      <w:footnotePr/>
      <w:endnotePr/>
      <w:type w:val="nextPage"/>
      <w:pgSz w:w="11906" w:h="16838" w:orient="portrait"/>
      <w:pgMar w:top="1180" w:right="1160" w:bottom="1180" w:left="1160" w:header="0" w:footer="99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Liberation Sans">
    <w:panose1 w:val="020B0604020202020204"/>
  </w:font>
  <w:font w:name="Wingdings">
    <w:panose1 w:val="05000000000000000000"/>
  </w:font>
  <w:font w:name="新宋体">
    <w:panose1 w:val="02010609030101010101"/>
  </w:font>
  <w:font w:name="Symbol">
    <w:panose1 w:val="05050102010706020507"/>
  </w:font>
  <w:font w:name="黑体">
    <w:panose1 w:val="02010609060101010101"/>
  </w:font>
  <w:font w:name="Calibri">
    <w:panose1 w:val="020F0502020204030204"/>
  </w:font>
  <w:font w:name="Liberation Mono">
    <w:panose1 w:val="02070409020205020404"/>
  </w:font>
  <w:font w:name="微软雅黑">
    <w:panose1 w:val="020B0503020204020204"/>
  </w:font>
  <w:font w:name="Courier New">
    <w:panose1 w:val="02070309020205020404"/>
  </w:font>
  <w:font w:name="华文细黑">
    <w:panose1 w:val="02010600040101010101"/>
  </w:font>
  <w:font w:name="方正黑体_GBK">
    <w:panose1 w:val="020B0503020202020204"/>
  </w:font>
  <w:font w:name="Cambria">
    <w:panose1 w:val="0204050305040603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1"/>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12"/>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8"/>
    <w:link w:val="703"/>
    <w:uiPriority w:val="9"/>
    <w:rPr>
      <w:rFonts w:ascii="Arial" w:hAnsi="Arial" w:eastAsia="Arial" w:cs="Arial"/>
      <w:sz w:val="40"/>
      <w:szCs w:val="40"/>
    </w:rPr>
  </w:style>
  <w:style w:type="character" w:styleId="15">
    <w:name w:val="Heading 2 Char"/>
    <w:basedOn w:val="708"/>
    <w:link w:val="704"/>
    <w:uiPriority w:val="9"/>
    <w:rPr>
      <w:rFonts w:ascii="Arial" w:hAnsi="Arial" w:eastAsia="Arial" w:cs="Arial"/>
      <w:sz w:val="34"/>
    </w:rPr>
  </w:style>
  <w:style w:type="character" w:styleId="17">
    <w:name w:val="Heading 3 Char"/>
    <w:basedOn w:val="708"/>
    <w:link w:val="705"/>
    <w:uiPriority w:val="9"/>
    <w:rPr>
      <w:rFonts w:ascii="Arial" w:hAnsi="Arial" w:eastAsia="Arial" w:cs="Arial"/>
      <w:sz w:val="30"/>
      <w:szCs w:val="30"/>
    </w:rPr>
  </w:style>
  <w:style w:type="character" w:styleId="19">
    <w:name w:val="Heading 4 Char"/>
    <w:basedOn w:val="708"/>
    <w:link w:val="706"/>
    <w:uiPriority w:val="9"/>
    <w:rPr>
      <w:rFonts w:ascii="Arial" w:hAnsi="Arial" w:eastAsia="Arial" w:cs="Arial"/>
      <w:b/>
      <w:bCs/>
      <w:sz w:val="26"/>
      <w:szCs w:val="26"/>
    </w:rPr>
  </w:style>
  <w:style w:type="paragraph" w:styleId="20">
    <w:name w:val="Heading 5"/>
    <w:basedOn w:val="702"/>
    <w:next w:val="7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8"/>
    <w:link w:val="20"/>
    <w:uiPriority w:val="9"/>
    <w:rPr>
      <w:rFonts w:ascii="Arial" w:hAnsi="Arial" w:eastAsia="Arial" w:cs="Arial"/>
      <w:b/>
      <w:bCs/>
      <w:sz w:val="24"/>
      <w:szCs w:val="24"/>
    </w:rPr>
  </w:style>
  <w:style w:type="character" w:styleId="23">
    <w:name w:val="Heading 6 Char"/>
    <w:basedOn w:val="708"/>
    <w:link w:val="707"/>
    <w:uiPriority w:val="9"/>
    <w:rPr>
      <w:rFonts w:ascii="Arial" w:hAnsi="Arial" w:eastAsia="Arial" w:cs="Arial"/>
      <w:b/>
      <w:bCs/>
      <w:sz w:val="22"/>
      <w:szCs w:val="22"/>
    </w:rPr>
  </w:style>
  <w:style w:type="paragraph" w:styleId="24">
    <w:name w:val="Heading 7"/>
    <w:basedOn w:val="702"/>
    <w:next w:val="7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8"/>
    <w:link w:val="24"/>
    <w:uiPriority w:val="9"/>
    <w:rPr>
      <w:rFonts w:ascii="Arial" w:hAnsi="Arial" w:eastAsia="Arial" w:cs="Arial"/>
      <w:b/>
      <w:bCs/>
      <w:i/>
      <w:iCs/>
      <w:sz w:val="22"/>
      <w:szCs w:val="22"/>
    </w:rPr>
  </w:style>
  <w:style w:type="paragraph" w:styleId="26">
    <w:name w:val="Heading 8"/>
    <w:basedOn w:val="702"/>
    <w:next w:val="7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8"/>
    <w:link w:val="26"/>
    <w:uiPriority w:val="9"/>
    <w:rPr>
      <w:rFonts w:ascii="Arial" w:hAnsi="Arial" w:eastAsia="Arial" w:cs="Arial"/>
      <w:i/>
      <w:iCs/>
      <w:sz w:val="22"/>
      <w:szCs w:val="22"/>
    </w:rPr>
  </w:style>
  <w:style w:type="paragraph" w:styleId="28">
    <w:name w:val="Heading 9"/>
    <w:basedOn w:val="702"/>
    <w:next w:val="7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2"/>
    <w:next w:val="702"/>
    <w:link w:val="34"/>
    <w:uiPriority w:val="10"/>
    <w:qFormat/>
    <w:pPr>
      <w:contextualSpacing/>
      <w:spacing w:before="300" w:after="200"/>
    </w:pPr>
    <w:rPr>
      <w:sz w:val="48"/>
      <w:szCs w:val="48"/>
    </w:rPr>
  </w:style>
  <w:style w:type="character" w:styleId="34">
    <w:name w:val="Title Char"/>
    <w:basedOn w:val="708"/>
    <w:link w:val="33"/>
    <w:uiPriority w:val="10"/>
    <w:rPr>
      <w:sz w:val="48"/>
      <w:szCs w:val="48"/>
    </w:rPr>
  </w:style>
  <w:style w:type="paragraph" w:styleId="35">
    <w:name w:val="Subtitle"/>
    <w:basedOn w:val="702"/>
    <w:next w:val="702"/>
    <w:link w:val="36"/>
    <w:uiPriority w:val="11"/>
    <w:qFormat/>
    <w:pPr>
      <w:spacing w:before="200" w:after="200"/>
    </w:pPr>
    <w:rPr>
      <w:sz w:val="24"/>
      <w:szCs w:val="24"/>
    </w:rPr>
  </w:style>
  <w:style w:type="character" w:styleId="36">
    <w:name w:val="Subtitle Char"/>
    <w:basedOn w:val="708"/>
    <w:link w:val="35"/>
    <w:uiPriority w:val="11"/>
    <w:rPr>
      <w:sz w:val="24"/>
      <w:szCs w:val="24"/>
    </w:rPr>
  </w:style>
  <w:style w:type="paragraph" w:styleId="37">
    <w:name w:val="Quote"/>
    <w:basedOn w:val="702"/>
    <w:next w:val="702"/>
    <w:link w:val="38"/>
    <w:uiPriority w:val="29"/>
    <w:qFormat/>
    <w:pPr>
      <w:ind w:left="720" w:right="720"/>
    </w:pPr>
    <w:rPr>
      <w:i/>
    </w:rPr>
  </w:style>
  <w:style w:type="character" w:styleId="38">
    <w:name w:val="Quote Char"/>
    <w:link w:val="37"/>
    <w:uiPriority w:val="29"/>
    <w:rPr>
      <w:i/>
    </w:rPr>
  </w:style>
  <w:style w:type="paragraph" w:styleId="39">
    <w:name w:val="Intense Quote"/>
    <w:basedOn w:val="702"/>
    <w:next w:val="7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8"/>
    <w:link w:val="722"/>
    <w:uiPriority w:val="99"/>
  </w:style>
  <w:style w:type="character" w:styleId="44">
    <w:name w:val="Footer Char"/>
    <w:basedOn w:val="708"/>
    <w:link w:val="721"/>
    <w:uiPriority w:val="99"/>
  </w:style>
  <w:style w:type="character" w:styleId="46">
    <w:name w:val="Caption Char"/>
    <w:basedOn w:val="711"/>
    <w:link w:val="721"/>
    <w:uiPriority w:val="99"/>
  </w:style>
  <w:style w:type="table" w:styleId="48">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8"/>
    <w:uiPriority w:val="99"/>
    <w:unhideWhenUsed/>
    <w:rPr>
      <w:vertAlign w:val="superscript"/>
    </w:rPr>
  </w:style>
  <w:style w:type="paragraph" w:styleId="177">
    <w:name w:val="endnote text"/>
    <w:basedOn w:val="7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8"/>
    <w:uiPriority w:val="99"/>
    <w:semiHidden/>
    <w:unhideWhenUsed/>
    <w:rPr>
      <w:vertAlign w:val="superscript"/>
    </w:rPr>
  </w:style>
  <w:style w:type="paragraph" w:styleId="181">
    <w:name w:val="toc 2"/>
    <w:basedOn w:val="702"/>
    <w:next w:val="702"/>
    <w:uiPriority w:val="39"/>
    <w:unhideWhenUsed/>
    <w:pPr>
      <w:ind w:left="283" w:right="0" w:firstLine="0"/>
      <w:spacing w:after="57"/>
    </w:pPr>
  </w:style>
  <w:style w:type="paragraph" w:styleId="183">
    <w:name w:val="toc 4"/>
    <w:basedOn w:val="702"/>
    <w:next w:val="702"/>
    <w:uiPriority w:val="39"/>
    <w:unhideWhenUsed/>
    <w:pPr>
      <w:ind w:left="850" w:right="0" w:firstLine="0"/>
      <w:spacing w:after="57"/>
    </w:pPr>
  </w:style>
  <w:style w:type="paragraph" w:styleId="184">
    <w:name w:val="toc 5"/>
    <w:basedOn w:val="702"/>
    <w:next w:val="702"/>
    <w:uiPriority w:val="39"/>
    <w:unhideWhenUsed/>
    <w:pPr>
      <w:ind w:left="1134" w:right="0" w:firstLine="0"/>
      <w:spacing w:after="57"/>
    </w:pPr>
  </w:style>
  <w:style w:type="paragraph" w:styleId="185">
    <w:name w:val="toc 6"/>
    <w:basedOn w:val="702"/>
    <w:next w:val="702"/>
    <w:uiPriority w:val="39"/>
    <w:unhideWhenUsed/>
    <w:pPr>
      <w:ind w:left="1417" w:right="0" w:firstLine="0"/>
      <w:spacing w:after="57"/>
    </w:pPr>
  </w:style>
  <w:style w:type="paragraph" w:styleId="186">
    <w:name w:val="toc 7"/>
    <w:basedOn w:val="702"/>
    <w:next w:val="702"/>
    <w:uiPriority w:val="39"/>
    <w:unhideWhenUsed/>
    <w:pPr>
      <w:ind w:left="1701" w:right="0" w:firstLine="0"/>
      <w:spacing w:after="57"/>
    </w:pPr>
  </w:style>
  <w:style w:type="paragraph" w:styleId="187">
    <w:name w:val="toc 8"/>
    <w:basedOn w:val="702"/>
    <w:next w:val="702"/>
    <w:uiPriority w:val="39"/>
    <w:unhideWhenUsed/>
    <w:pPr>
      <w:ind w:left="1984" w:right="0" w:firstLine="0"/>
      <w:spacing w:after="57"/>
    </w:pPr>
  </w:style>
  <w:style w:type="paragraph" w:styleId="188">
    <w:name w:val="toc 9"/>
    <w:basedOn w:val="702"/>
    <w:next w:val="7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2"/>
    <w:next w:val="702"/>
    <w:uiPriority w:val="99"/>
    <w:unhideWhenUsed/>
    <w:pPr>
      <w:spacing w:after="0" w:afterAutospacing="0"/>
    </w:pPr>
  </w:style>
  <w:style w:type="paragraph" w:styleId="702" w:default="1">
    <w:name w:val="Normal"/>
    <w:uiPriority w:val="1"/>
    <w:qFormat/>
    <w:pPr>
      <w:widowControl w:val="off"/>
    </w:pPr>
    <w:rPr>
      <w:rFonts w:ascii="仿宋" w:hAnsi="仿宋" w:eastAsia="仿宋" w:cs="仿宋"/>
      <w:color w:val="auto"/>
      <w:sz w:val="22"/>
      <w:szCs w:val="22"/>
      <w:lang w:val="zh-CN" w:eastAsia="zh-CN" w:bidi="zh-CN"/>
    </w:rPr>
  </w:style>
  <w:style w:type="paragraph" w:styleId="703">
    <w:name w:val="Heading 1"/>
    <w:basedOn w:val="702"/>
    <w:next w:val="702"/>
    <w:uiPriority w:val="1"/>
    <w:qFormat/>
    <w:pPr>
      <w:ind w:left="2372" w:firstLine="0"/>
      <w:spacing w:before="54" w:after="0"/>
      <w:outlineLvl w:val="0"/>
    </w:pPr>
    <w:rPr>
      <w:b/>
      <w:bCs/>
      <w:sz w:val="32"/>
      <w:szCs w:val="32"/>
    </w:rPr>
  </w:style>
  <w:style w:type="paragraph" w:styleId="704">
    <w:name w:val="Heading 2"/>
    <w:basedOn w:val="702"/>
    <w:next w:val="702"/>
    <w:uiPriority w:val="1"/>
    <w:qFormat/>
    <w:pPr>
      <w:ind w:left="19" w:firstLine="0"/>
      <w:jc w:val="center"/>
      <w:spacing w:before="55" w:after="0"/>
      <w:outlineLvl w:val="1"/>
    </w:pPr>
    <w:rPr>
      <w:sz w:val="32"/>
      <w:szCs w:val="32"/>
    </w:rPr>
  </w:style>
  <w:style w:type="paragraph" w:styleId="705">
    <w:name w:val="Heading 3"/>
    <w:basedOn w:val="702"/>
    <w:next w:val="710"/>
    <w:uiPriority w:val="1"/>
    <w:qFormat/>
    <w:pPr>
      <w:ind w:left="255" w:firstLine="0"/>
      <w:spacing w:before="135" w:after="0"/>
      <w:outlineLvl w:val="2"/>
    </w:pPr>
    <w:rPr>
      <w:b/>
      <w:bCs/>
      <w:sz w:val="24"/>
      <w:szCs w:val="24"/>
    </w:rPr>
  </w:style>
  <w:style w:type="paragraph" w:styleId="706">
    <w:name w:val="Heading 4"/>
    <w:basedOn w:val="702"/>
    <w:next w:val="702"/>
    <w:uiPriority w:val="0"/>
    <w:qFormat/>
    <w:pPr>
      <w:keepLines/>
      <w:keepNext/>
      <w:spacing w:before="120" w:after="120"/>
      <w:outlineLvl w:val="3"/>
    </w:pPr>
    <w:rPr>
      <w:rFonts w:ascii="Cambria" w:hAnsi="Cambria" w:eastAsia="华文细黑"/>
      <w:b/>
      <w:sz w:val="28"/>
      <w:szCs w:val="20"/>
    </w:rPr>
  </w:style>
  <w:style w:type="paragraph" w:styleId="707">
    <w:name w:val="Heading 6"/>
    <w:basedOn w:val="702"/>
    <w:next w:val="702"/>
    <w:uiPriority w:val="1"/>
    <w:qFormat/>
    <w:pPr>
      <w:ind w:left="100"/>
      <w:outlineLvl w:val="5"/>
    </w:pPr>
    <w:rPr>
      <w:rFonts w:ascii="宋体" w:hAnsi="宋体"/>
      <w:sz w:val="27"/>
      <w:szCs w:val="27"/>
    </w:rPr>
  </w:style>
  <w:style w:type="character" w:styleId="708" w:default="1">
    <w:name w:val="Default Paragraph Font"/>
    <w:uiPriority w:val="1"/>
    <w:unhideWhenUsed/>
    <w:qFormat/>
  </w:style>
  <w:style w:type="table" w:styleId="709" w:default="1">
    <w:name w:val="Normal Table"/>
    <w:uiPriority w:val="99"/>
    <w:unhideWhenUsed/>
    <w:qFormat/>
    <w:tblPr>
      <w:tblCellMar>
        <w:left w:w="108" w:type="dxa"/>
        <w:top w:w="0" w:type="dxa"/>
        <w:right w:w="108" w:type="dxa"/>
        <w:bottom w:w="0" w:type="dxa"/>
      </w:tblCellMar>
    </w:tblPr>
  </w:style>
  <w:style w:type="paragraph" w:styleId="710">
    <w:name w:val="Normal Indent"/>
    <w:basedOn w:val="702"/>
    <w:uiPriority w:val="0"/>
    <w:qFormat/>
    <w:pPr>
      <w:ind w:firstLine="420"/>
    </w:pPr>
  </w:style>
  <w:style w:type="paragraph" w:styleId="711">
    <w:name w:val="Caption"/>
    <w:basedOn w:val="702"/>
    <w:next w:val="702"/>
    <w:uiPriority w:val="0"/>
    <w:qFormat/>
    <w:pPr>
      <w:spacing w:before="120" w:after="120"/>
      <w:suppressLineNumbers/>
    </w:pPr>
    <w:rPr>
      <w:rFonts w:cs="Arial"/>
      <w:i/>
      <w:iCs/>
      <w:sz w:val="24"/>
      <w:szCs w:val="24"/>
    </w:rPr>
  </w:style>
  <w:style w:type="paragraph" w:styleId="712">
    <w:name w:val="List Bullet"/>
    <w:basedOn w:val="702"/>
    <w:next w:val="702"/>
    <w:uiPriority w:val="0"/>
    <w:qFormat/>
    <w:pPr>
      <w:numPr>
        <w:ilvl w:val="0"/>
        <w:numId w:val="1"/>
      </w:numPr>
    </w:pPr>
  </w:style>
  <w:style w:type="paragraph" w:styleId="713">
    <w:name w:val="annotation text"/>
    <w:basedOn w:val="702"/>
    <w:uiPriority w:val="0"/>
    <w:qFormat/>
    <w:pPr>
      <w:jc w:val="left"/>
    </w:pPr>
  </w:style>
  <w:style w:type="paragraph" w:styleId="714">
    <w:name w:val="Body Text"/>
    <w:basedOn w:val="702"/>
    <w:uiPriority w:val="1"/>
    <w:qFormat/>
    <w:pPr>
      <w:ind w:left="255" w:firstLine="0"/>
    </w:pPr>
    <w:rPr>
      <w:sz w:val="24"/>
      <w:szCs w:val="24"/>
    </w:rPr>
  </w:style>
  <w:style w:type="paragraph" w:styleId="715">
    <w:name w:val="Body Text Indent"/>
    <w:basedOn w:val="702"/>
    <w:next w:val="716"/>
    <w:uiPriority w:val="0"/>
    <w:qFormat/>
    <w:pPr>
      <w:ind w:left="420"/>
      <w:spacing w:after="120"/>
    </w:pPr>
  </w:style>
  <w:style w:type="paragraph" w:styleId="716">
    <w:name w:val="envelope return"/>
    <w:basedOn w:val="702"/>
    <w:uiPriority w:val="0"/>
    <w:qFormat/>
    <w:rPr>
      <w:rFonts w:ascii="Arial" w:hAnsi="Arial"/>
    </w:rPr>
  </w:style>
  <w:style w:type="paragraph" w:styleId="717">
    <w:name w:val="index 4"/>
    <w:basedOn w:val="702"/>
    <w:next w:val="702"/>
    <w:uiPriority w:val="99"/>
    <w:unhideWhenUsed/>
    <w:qFormat/>
    <w:pPr>
      <w:ind w:left="600"/>
    </w:pPr>
  </w:style>
  <w:style w:type="paragraph" w:styleId="718">
    <w:name w:val="toc 3"/>
    <w:basedOn w:val="702"/>
    <w:next w:val="702"/>
    <w:uiPriority w:val="0"/>
    <w:qFormat/>
    <w:pPr>
      <w:ind w:left="840" w:firstLine="0"/>
    </w:pPr>
  </w:style>
  <w:style w:type="paragraph" w:styleId="719">
    <w:name w:val="Plain Text"/>
    <w:basedOn w:val="702"/>
    <w:uiPriority w:val="99"/>
    <w:qFormat/>
    <w:pPr>
      <w:jc w:val="both"/>
    </w:pPr>
    <w:rPr>
      <w:rFonts w:ascii="宋体" w:hAnsi="Courier New" w:eastAsia="宋体"/>
      <w:sz w:val="21"/>
      <w:szCs w:val="21"/>
    </w:rPr>
  </w:style>
  <w:style w:type="paragraph" w:styleId="720">
    <w:name w:val="Body Text Indent 2"/>
    <w:basedOn w:val="702"/>
    <w:next w:val="702"/>
    <w:uiPriority w:val="0"/>
    <w:qFormat/>
    <w:pPr>
      <w:ind w:firstLine="480"/>
      <w:jc w:val="both"/>
    </w:pPr>
    <w:rPr>
      <w:rFonts w:ascii="Times New Roman" w:hAnsi="Times New Roman" w:cs="Times New Roman"/>
      <w:sz w:val="24"/>
      <w:szCs w:val="24"/>
      <w:lang w:bidi="ar-SA"/>
    </w:rPr>
  </w:style>
  <w:style w:type="paragraph" w:styleId="721">
    <w:name w:val="Footer"/>
    <w:basedOn w:val="702"/>
    <w:uiPriority w:val="0"/>
    <w:qFormat/>
    <w:pPr>
      <w:tabs>
        <w:tab w:val="center" w:pos="4153" w:leader="none"/>
        <w:tab w:val="right" w:pos="8306" w:leader="none"/>
      </w:tabs>
    </w:pPr>
    <w:rPr>
      <w:sz w:val="18"/>
    </w:rPr>
  </w:style>
  <w:style w:type="paragraph" w:styleId="722">
    <w:name w:val="Header"/>
    <w:basedOn w:val="702"/>
    <w:uiPriority w:val="0"/>
    <w:qFormat/>
    <w:pPr>
      <w:jc w:val="both"/>
      <w:tabs>
        <w:tab w:val="center" w:pos="4153" w:leader="none"/>
        <w:tab w:val="right" w:pos="8306" w:leader="none"/>
      </w:tabs>
    </w:pPr>
    <w:rPr>
      <w:sz w:val="18"/>
    </w:rPr>
  </w:style>
  <w:style w:type="paragraph" w:styleId="723">
    <w:name w:val="toc 1"/>
    <w:basedOn w:val="702"/>
    <w:next w:val="702"/>
    <w:uiPriority w:val="0"/>
    <w:qFormat/>
  </w:style>
  <w:style w:type="paragraph" w:styleId="724">
    <w:name w:val="List"/>
    <w:basedOn w:val="714"/>
    <w:uiPriority w:val="0"/>
    <w:qFormat/>
    <w:rPr>
      <w:rFonts w:cs="Arial"/>
    </w:rPr>
  </w:style>
  <w:style w:type="paragraph" w:styleId="725">
    <w:name w:val="Normal (Web)"/>
    <w:basedOn w:val="702"/>
    <w:uiPriority w:val="0"/>
    <w:qFormat/>
    <w:pPr>
      <w:ind w:left="0" w:right="0"/>
      <w:jc w:val="left"/>
      <w:spacing w:before="0" w:beforeAutospacing="1" w:after="0" w:afterAutospacing="1"/>
    </w:pPr>
    <w:rPr>
      <w:sz w:val="24"/>
      <w:lang w:val="en-US" w:eastAsia="zh-CN" w:bidi="ar"/>
    </w:rPr>
  </w:style>
  <w:style w:type="paragraph" w:styleId="726">
    <w:name w:val="Body Text First Indent"/>
    <w:basedOn w:val="714"/>
    <w:uiPriority w:val="0"/>
    <w:qFormat/>
    <w:pPr>
      <w:ind w:left="0" w:firstLine="420"/>
      <w:spacing w:after="120"/>
    </w:pPr>
    <w:rPr>
      <w:szCs w:val="24"/>
    </w:rPr>
  </w:style>
  <w:style w:type="paragraph" w:styleId="727">
    <w:name w:val="Body Text First Indent 2"/>
    <w:basedOn w:val="715"/>
    <w:next w:val="702"/>
    <w:uiPriority w:val="0"/>
    <w:qFormat/>
    <w:pPr>
      <w:ind w:left="0" w:firstLine="420"/>
      <w:spacing w:after="0"/>
    </w:pPr>
    <w:rPr>
      <w:rFonts w:ascii="Calibri" w:hAnsi="Calibri" w:cs="Calibri"/>
      <w:szCs w:val="24"/>
    </w:rPr>
  </w:style>
  <w:style w:type="table" w:styleId="728">
    <w:name w:val="Table Grid"/>
    <w:basedOn w:val="709"/>
    <w:uiPriority w:val="0"/>
    <w:qFormat/>
    <w:pPr>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9">
    <w:name w:val="Strong"/>
    <w:basedOn w:val="708"/>
    <w:uiPriority w:val="0"/>
    <w:qFormat/>
    <w:rPr>
      <w:b/>
    </w:rPr>
  </w:style>
  <w:style w:type="character" w:styleId="730">
    <w:name w:val="page number"/>
    <w:uiPriority w:val="0"/>
    <w:qFormat/>
  </w:style>
  <w:style w:type="character" w:styleId="731">
    <w:name w:val="FollowedHyperlink"/>
    <w:uiPriority w:val="0"/>
    <w:qFormat/>
    <w:rPr>
      <w:color w:val="800080"/>
      <w:u w:val="single"/>
    </w:rPr>
  </w:style>
  <w:style w:type="character" w:styleId="732">
    <w:name w:val="Emphasis"/>
    <w:basedOn w:val="708"/>
    <w:uiPriority w:val="0"/>
    <w:qFormat/>
    <w:rPr>
      <w:i/>
    </w:rPr>
  </w:style>
  <w:style w:type="character" w:styleId="733">
    <w:name w:val="Hyperlink"/>
    <w:basedOn w:val="708"/>
    <w:uiPriority w:val="0"/>
    <w:qFormat/>
    <w:rPr>
      <w:color w:val="0000ff"/>
      <w:u w:val="single"/>
    </w:rPr>
  </w:style>
  <w:style w:type="paragraph" w:styleId="734" w:customStyle="1">
    <w:name w:val="目录 31"/>
    <w:basedOn w:val="702"/>
    <w:next w:val="702"/>
    <w:uiPriority w:val="0"/>
    <w:qFormat/>
    <w:pPr>
      <w:ind w:left="840"/>
      <w:jc w:val="both"/>
    </w:pPr>
    <w:rPr>
      <w:rFonts w:ascii="Times New Roman" w:hAnsi="Times New Roman" w:eastAsia="宋体"/>
      <w:sz w:val="21"/>
      <w:szCs w:val="20"/>
      <w:lang w:eastAsia="zh-CN"/>
    </w:rPr>
  </w:style>
  <w:style w:type="paragraph" w:styleId="735" w:customStyle="1">
    <w:name w:val="正文文本12"/>
    <w:basedOn w:val="702"/>
    <w:uiPriority w:val="1"/>
    <w:qFormat/>
    <w:pPr>
      <w:ind w:left="120"/>
    </w:pPr>
    <w:rPr>
      <w:rFonts w:ascii="宋体" w:hAnsi="宋体" w:eastAsia="宋体" w:cs="宋体"/>
      <w:sz w:val="21"/>
      <w:szCs w:val="21"/>
      <w:lang w:val="zh-CN" w:eastAsia="zh-CN" w:bidi="zh-CN"/>
    </w:rPr>
  </w:style>
  <w:style w:type="paragraph" w:styleId="736" w:customStyle="1">
    <w:name w:val="列出段落1"/>
    <w:basedOn w:val="702"/>
    <w:uiPriority w:val="34"/>
    <w:qFormat/>
    <w:pPr>
      <w:contextualSpacing/>
      <w:ind w:left="720"/>
      <w:widowControl/>
    </w:pPr>
    <w:rPr>
      <w:rFonts w:ascii="Arial" w:hAnsi="Arial" w:eastAsia="黑体"/>
      <w:sz w:val="24"/>
      <w:szCs w:val="24"/>
    </w:rPr>
  </w:style>
  <w:style w:type="paragraph" w:styleId="737" w:customStyle="1">
    <w:name w:val="首行缩进"/>
    <w:basedOn w:val="702"/>
    <w:uiPriority w:val="0"/>
    <w:qFormat/>
    <w:pPr>
      <w:ind w:firstLine="480"/>
    </w:pPr>
    <w:rPr>
      <w:lang w:val="zh-CN"/>
    </w:rPr>
  </w:style>
  <w:style w:type="paragraph" w:styleId="738" w:customStyle="1">
    <w:name w:val="List Paragraph"/>
    <w:basedOn w:val="702"/>
    <w:uiPriority w:val="1"/>
    <w:qFormat/>
    <w:pPr>
      <w:ind w:left="255" w:firstLine="480"/>
    </w:pPr>
  </w:style>
  <w:style w:type="paragraph" w:styleId="739" w:customStyle="1">
    <w:name w:val="正文1"/>
    <w:basedOn w:val="702"/>
    <w:uiPriority w:val="0"/>
    <w:qFormat/>
    <w:pPr>
      <w:ind w:firstLine="510"/>
      <w:spacing w:before="156" w:line="360" w:lineRule="auto"/>
    </w:pPr>
    <w:rPr>
      <w:rFonts w:ascii="Times New Roman" w:hAnsi="Times New Roman" w:eastAsia="宋体" w:cs="Times New Roman"/>
      <w:sz w:val="24"/>
    </w:rPr>
  </w:style>
  <w:style w:type="character" w:styleId="740" w:customStyle="1">
    <w:name w:val="ListLabel 1"/>
    <w:uiPriority w:val="0"/>
    <w:qFormat/>
    <w:rPr>
      <w:lang w:val="zh-CN" w:eastAsia="zh-CN" w:bidi="zh-CN"/>
    </w:rPr>
  </w:style>
  <w:style w:type="character" w:styleId="741" w:customStyle="1">
    <w:name w:val="ListLabel 2"/>
    <w:uiPriority w:val="0"/>
    <w:qFormat/>
    <w:rPr>
      <w:rFonts w:eastAsia="仿宋" w:cs="仿宋"/>
      <w:spacing w:val="-15"/>
      <w:sz w:val="24"/>
      <w:szCs w:val="24"/>
      <w:lang w:val="zh-CN" w:eastAsia="zh-CN" w:bidi="zh-CN"/>
    </w:rPr>
  </w:style>
  <w:style w:type="character" w:styleId="742" w:customStyle="1">
    <w:name w:val="ListLabel 3"/>
    <w:uiPriority w:val="0"/>
    <w:qFormat/>
    <w:rPr>
      <w:lang w:val="zh-CN" w:eastAsia="zh-CN" w:bidi="zh-CN"/>
    </w:rPr>
  </w:style>
  <w:style w:type="character" w:styleId="743" w:customStyle="1">
    <w:name w:val="ListLabel 4"/>
    <w:uiPriority w:val="0"/>
    <w:qFormat/>
    <w:rPr>
      <w:lang w:val="zh-CN" w:eastAsia="zh-CN" w:bidi="zh-CN"/>
    </w:rPr>
  </w:style>
  <w:style w:type="character" w:styleId="744" w:customStyle="1">
    <w:name w:val="ListLabel 5"/>
    <w:uiPriority w:val="0"/>
    <w:qFormat/>
    <w:rPr>
      <w:lang w:val="zh-CN" w:eastAsia="zh-CN" w:bidi="zh-CN"/>
    </w:rPr>
  </w:style>
  <w:style w:type="character" w:styleId="745" w:customStyle="1">
    <w:name w:val="ListLabel 6"/>
    <w:uiPriority w:val="0"/>
    <w:qFormat/>
    <w:rPr>
      <w:lang w:val="zh-CN" w:eastAsia="zh-CN" w:bidi="zh-CN"/>
    </w:rPr>
  </w:style>
  <w:style w:type="character" w:styleId="746" w:customStyle="1">
    <w:name w:val="ListLabel 7"/>
    <w:uiPriority w:val="0"/>
    <w:qFormat/>
    <w:rPr>
      <w:lang w:val="zh-CN" w:eastAsia="zh-CN" w:bidi="zh-CN"/>
    </w:rPr>
  </w:style>
  <w:style w:type="character" w:styleId="747" w:customStyle="1">
    <w:name w:val="ListLabel 8"/>
    <w:uiPriority w:val="0"/>
    <w:qFormat/>
    <w:rPr>
      <w:lang w:val="zh-CN" w:eastAsia="zh-CN" w:bidi="zh-CN"/>
    </w:rPr>
  </w:style>
  <w:style w:type="character" w:styleId="748" w:customStyle="1">
    <w:name w:val="ListLabel 9"/>
    <w:uiPriority w:val="0"/>
    <w:qFormat/>
    <w:rPr>
      <w:lang w:val="zh-CN" w:eastAsia="zh-CN" w:bidi="zh-CN"/>
    </w:rPr>
  </w:style>
  <w:style w:type="character" w:styleId="749" w:customStyle="1">
    <w:name w:val="ListLabel 10"/>
    <w:uiPriority w:val="0"/>
    <w:qFormat/>
    <w:rPr>
      <w:lang w:val="zh-CN" w:eastAsia="zh-CN" w:bidi="zh-CN"/>
    </w:rPr>
  </w:style>
  <w:style w:type="character" w:styleId="750" w:customStyle="1">
    <w:name w:val="ListLabel 11"/>
    <w:uiPriority w:val="0"/>
    <w:qFormat/>
    <w:rPr>
      <w:rFonts w:eastAsia="仿宋" w:cs="仿宋"/>
      <w:spacing w:val="-34"/>
      <w:sz w:val="24"/>
      <w:szCs w:val="24"/>
      <w:lang w:val="zh-CN" w:eastAsia="zh-CN" w:bidi="zh-CN"/>
    </w:rPr>
  </w:style>
  <w:style w:type="character" w:styleId="751" w:customStyle="1">
    <w:name w:val="ListLabel 12"/>
    <w:uiPriority w:val="0"/>
    <w:qFormat/>
    <w:rPr>
      <w:lang w:val="zh-CN" w:eastAsia="zh-CN" w:bidi="zh-CN"/>
    </w:rPr>
  </w:style>
  <w:style w:type="character" w:styleId="752" w:customStyle="1">
    <w:name w:val="ListLabel 13"/>
    <w:uiPriority w:val="0"/>
    <w:qFormat/>
    <w:rPr>
      <w:lang w:val="zh-CN" w:eastAsia="zh-CN" w:bidi="zh-CN"/>
    </w:rPr>
  </w:style>
  <w:style w:type="character" w:styleId="753" w:customStyle="1">
    <w:name w:val="ListLabel 14"/>
    <w:uiPriority w:val="0"/>
    <w:qFormat/>
    <w:rPr>
      <w:lang w:val="zh-CN" w:eastAsia="zh-CN" w:bidi="zh-CN"/>
    </w:rPr>
  </w:style>
  <w:style w:type="character" w:styleId="754" w:customStyle="1">
    <w:name w:val="ListLabel 15"/>
    <w:uiPriority w:val="0"/>
    <w:qFormat/>
    <w:rPr>
      <w:lang w:val="zh-CN" w:eastAsia="zh-CN" w:bidi="zh-CN"/>
    </w:rPr>
  </w:style>
  <w:style w:type="character" w:styleId="755" w:customStyle="1">
    <w:name w:val="ListLabel 16"/>
    <w:uiPriority w:val="0"/>
    <w:qFormat/>
    <w:rPr>
      <w:lang w:val="zh-CN" w:eastAsia="zh-CN" w:bidi="zh-CN"/>
    </w:rPr>
  </w:style>
  <w:style w:type="character" w:styleId="756" w:customStyle="1">
    <w:name w:val="ListLabel 17"/>
    <w:uiPriority w:val="0"/>
    <w:qFormat/>
    <w:rPr>
      <w:lang w:val="zh-CN" w:eastAsia="zh-CN" w:bidi="zh-CN"/>
    </w:rPr>
  </w:style>
  <w:style w:type="character" w:styleId="757" w:customStyle="1">
    <w:name w:val="ListLabel 18"/>
    <w:uiPriority w:val="0"/>
    <w:qFormat/>
    <w:rPr>
      <w:lang w:val="zh-CN" w:eastAsia="zh-CN" w:bidi="zh-CN"/>
    </w:rPr>
  </w:style>
  <w:style w:type="character" w:styleId="758" w:customStyle="1">
    <w:name w:val="ListLabel 19"/>
    <w:uiPriority w:val="0"/>
    <w:qFormat/>
    <w:rPr>
      <w:lang w:val="zh-CN" w:eastAsia="zh-CN" w:bidi="zh-CN"/>
    </w:rPr>
  </w:style>
  <w:style w:type="character" w:styleId="759" w:customStyle="1">
    <w:name w:val="ListLabel 20"/>
    <w:uiPriority w:val="0"/>
    <w:qFormat/>
    <w:rPr>
      <w:rFonts w:eastAsia="仿宋" w:cs="仿宋"/>
      <w:spacing w:val="-48"/>
      <w:sz w:val="24"/>
      <w:szCs w:val="24"/>
      <w:lang w:val="zh-CN" w:eastAsia="zh-CN" w:bidi="zh-CN"/>
    </w:rPr>
  </w:style>
  <w:style w:type="character" w:styleId="760" w:customStyle="1">
    <w:name w:val="ListLabel 21"/>
    <w:uiPriority w:val="0"/>
    <w:qFormat/>
    <w:rPr>
      <w:lang w:val="zh-CN" w:eastAsia="zh-CN" w:bidi="zh-CN"/>
    </w:rPr>
  </w:style>
  <w:style w:type="character" w:styleId="761" w:customStyle="1">
    <w:name w:val="ListLabel 22"/>
    <w:uiPriority w:val="0"/>
    <w:qFormat/>
    <w:rPr>
      <w:lang w:val="zh-CN" w:eastAsia="zh-CN" w:bidi="zh-CN"/>
    </w:rPr>
  </w:style>
  <w:style w:type="character" w:styleId="762" w:customStyle="1">
    <w:name w:val="ListLabel 23"/>
    <w:uiPriority w:val="0"/>
    <w:qFormat/>
    <w:rPr>
      <w:lang w:val="zh-CN" w:eastAsia="zh-CN" w:bidi="zh-CN"/>
    </w:rPr>
  </w:style>
  <w:style w:type="character" w:styleId="763" w:customStyle="1">
    <w:name w:val="ListLabel 24"/>
    <w:uiPriority w:val="0"/>
    <w:qFormat/>
    <w:rPr>
      <w:lang w:val="zh-CN" w:eastAsia="zh-CN" w:bidi="zh-CN"/>
    </w:rPr>
  </w:style>
  <w:style w:type="character" w:styleId="764" w:customStyle="1">
    <w:name w:val="ListLabel 25"/>
    <w:uiPriority w:val="0"/>
    <w:qFormat/>
    <w:rPr>
      <w:lang w:val="zh-CN" w:eastAsia="zh-CN" w:bidi="zh-CN"/>
    </w:rPr>
  </w:style>
  <w:style w:type="character" w:styleId="765" w:customStyle="1">
    <w:name w:val="ListLabel 26"/>
    <w:uiPriority w:val="0"/>
    <w:qFormat/>
    <w:rPr>
      <w:lang w:val="zh-CN" w:eastAsia="zh-CN" w:bidi="zh-CN"/>
    </w:rPr>
  </w:style>
  <w:style w:type="character" w:styleId="766" w:customStyle="1">
    <w:name w:val="ListLabel 27"/>
    <w:uiPriority w:val="0"/>
    <w:qFormat/>
    <w:rPr>
      <w:lang w:val="zh-CN" w:eastAsia="zh-CN" w:bidi="zh-CN"/>
    </w:rPr>
  </w:style>
  <w:style w:type="character" w:styleId="767" w:customStyle="1">
    <w:name w:val="ListLabel 28"/>
    <w:uiPriority w:val="0"/>
    <w:qFormat/>
    <w:rPr>
      <w:lang w:val="zh-CN" w:eastAsia="zh-CN" w:bidi="zh-CN"/>
    </w:rPr>
  </w:style>
  <w:style w:type="character" w:styleId="768" w:customStyle="1">
    <w:name w:val="ListLabel 29"/>
    <w:uiPriority w:val="0"/>
    <w:qFormat/>
    <w:rPr>
      <w:rFonts w:eastAsia="仿宋" w:cs="仿宋"/>
      <w:spacing w:val="-18"/>
      <w:sz w:val="24"/>
      <w:szCs w:val="24"/>
      <w:lang w:val="zh-CN" w:eastAsia="zh-CN" w:bidi="zh-CN"/>
    </w:rPr>
  </w:style>
  <w:style w:type="character" w:styleId="769" w:customStyle="1">
    <w:name w:val="ListLabel 30"/>
    <w:uiPriority w:val="0"/>
    <w:qFormat/>
    <w:rPr>
      <w:lang w:val="zh-CN" w:eastAsia="zh-CN" w:bidi="zh-CN"/>
    </w:rPr>
  </w:style>
  <w:style w:type="character" w:styleId="770" w:customStyle="1">
    <w:name w:val="ListLabel 31"/>
    <w:uiPriority w:val="0"/>
    <w:qFormat/>
    <w:rPr>
      <w:lang w:val="zh-CN" w:eastAsia="zh-CN" w:bidi="zh-CN"/>
    </w:rPr>
  </w:style>
  <w:style w:type="character" w:styleId="771" w:customStyle="1">
    <w:name w:val="ListLabel 32"/>
    <w:uiPriority w:val="0"/>
    <w:qFormat/>
    <w:rPr>
      <w:lang w:val="zh-CN" w:eastAsia="zh-CN" w:bidi="zh-CN"/>
    </w:rPr>
  </w:style>
  <w:style w:type="character" w:styleId="772" w:customStyle="1">
    <w:name w:val="ListLabel 33"/>
    <w:uiPriority w:val="0"/>
    <w:qFormat/>
    <w:rPr>
      <w:lang w:val="zh-CN" w:eastAsia="zh-CN" w:bidi="zh-CN"/>
    </w:rPr>
  </w:style>
  <w:style w:type="character" w:styleId="773" w:customStyle="1">
    <w:name w:val="ListLabel 34"/>
    <w:uiPriority w:val="0"/>
    <w:qFormat/>
    <w:rPr>
      <w:lang w:val="zh-CN" w:eastAsia="zh-CN" w:bidi="zh-CN"/>
    </w:rPr>
  </w:style>
  <w:style w:type="character" w:styleId="774" w:customStyle="1">
    <w:name w:val="ListLabel 35"/>
    <w:uiPriority w:val="0"/>
    <w:qFormat/>
    <w:rPr>
      <w:lang w:val="zh-CN" w:eastAsia="zh-CN" w:bidi="zh-CN"/>
    </w:rPr>
  </w:style>
  <w:style w:type="character" w:styleId="775" w:customStyle="1">
    <w:name w:val="ListLabel 36"/>
    <w:uiPriority w:val="0"/>
    <w:qFormat/>
    <w:rPr>
      <w:lang w:val="zh-CN" w:eastAsia="zh-CN" w:bidi="zh-CN"/>
    </w:rPr>
  </w:style>
  <w:style w:type="character" w:styleId="776" w:customStyle="1">
    <w:name w:val="ListLabel 37"/>
    <w:uiPriority w:val="0"/>
    <w:qFormat/>
    <w:rPr>
      <w:rFonts w:eastAsia="仿宋" w:cs="仿宋"/>
      <w:b/>
      <w:sz w:val="24"/>
      <w:szCs w:val="22"/>
      <w:lang w:val="zh-CN" w:eastAsia="zh-CN" w:bidi="zh-CN"/>
    </w:rPr>
  </w:style>
  <w:style w:type="character" w:styleId="777" w:customStyle="1">
    <w:name w:val="ListLabel 38"/>
    <w:uiPriority w:val="0"/>
    <w:qFormat/>
    <w:rPr>
      <w:lang w:val="zh-CN" w:eastAsia="zh-CN" w:bidi="zh-CN"/>
    </w:rPr>
  </w:style>
  <w:style w:type="character" w:styleId="778" w:customStyle="1">
    <w:name w:val="ListLabel 39"/>
    <w:uiPriority w:val="0"/>
    <w:qFormat/>
    <w:rPr>
      <w:lang w:val="zh-CN" w:eastAsia="zh-CN" w:bidi="zh-CN"/>
    </w:rPr>
  </w:style>
  <w:style w:type="character" w:styleId="779" w:customStyle="1">
    <w:name w:val="ListLabel 40"/>
    <w:uiPriority w:val="0"/>
    <w:qFormat/>
    <w:rPr>
      <w:lang w:val="zh-CN" w:eastAsia="zh-CN" w:bidi="zh-CN"/>
    </w:rPr>
  </w:style>
  <w:style w:type="character" w:styleId="780" w:customStyle="1">
    <w:name w:val="ListLabel 41"/>
    <w:uiPriority w:val="0"/>
    <w:qFormat/>
    <w:rPr>
      <w:lang w:val="zh-CN" w:eastAsia="zh-CN" w:bidi="zh-CN"/>
    </w:rPr>
  </w:style>
  <w:style w:type="character" w:styleId="781" w:customStyle="1">
    <w:name w:val="ListLabel 42"/>
    <w:uiPriority w:val="0"/>
    <w:qFormat/>
    <w:rPr>
      <w:lang w:val="zh-CN" w:eastAsia="zh-CN" w:bidi="zh-CN"/>
    </w:rPr>
  </w:style>
  <w:style w:type="character" w:styleId="782" w:customStyle="1">
    <w:name w:val="ListLabel 43"/>
    <w:uiPriority w:val="0"/>
    <w:qFormat/>
    <w:rPr>
      <w:lang w:val="zh-CN" w:eastAsia="zh-CN" w:bidi="zh-CN"/>
    </w:rPr>
  </w:style>
  <w:style w:type="character" w:styleId="783" w:customStyle="1">
    <w:name w:val="ListLabel 44"/>
    <w:uiPriority w:val="0"/>
    <w:qFormat/>
    <w:rPr>
      <w:lang w:val="zh-CN" w:eastAsia="zh-CN" w:bidi="zh-CN"/>
    </w:rPr>
  </w:style>
  <w:style w:type="character" w:styleId="784" w:customStyle="1">
    <w:name w:val="ListLabel 45"/>
    <w:uiPriority w:val="0"/>
    <w:qFormat/>
    <w:rPr>
      <w:lang w:val="zh-CN" w:eastAsia="zh-CN" w:bidi="zh-CN"/>
    </w:rPr>
  </w:style>
  <w:style w:type="character" w:styleId="785" w:customStyle="1">
    <w:name w:val="ListLabel 46"/>
    <w:uiPriority w:val="0"/>
    <w:qFormat/>
    <w:rPr>
      <w:rFonts w:eastAsia="仿宋" w:cs="仿宋"/>
      <w:spacing w:val="-36"/>
      <w:sz w:val="24"/>
      <w:szCs w:val="22"/>
      <w:lang w:val="zh-CN" w:eastAsia="zh-CN" w:bidi="zh-CN"/>
    </w:rPr>
  </w:style>
  <w:style w:type="character" w:styleId="786" w:customStyle="1">
    <w:name w:val="ListLabel 47"/>
    <w:uiPriority w:val="0"/>
    <w:qFormat/>
    <w:rPr>
      <w:lang w:val="zh-CN" w:eastAsia="zh-CN" w:bidi="zh-CN"/>
    </w:rPr>
  </w:style>
  <w:style w:type="character" w:styleId="787" w:customStyle="1">
    <w:name w:val="ListLabel 48"/>
    <w:uiPriority w:val="0"/>
    <w:qFormat/>
    <w:rPr>
      <w:lang w:val="zh-CN" w:eastAsia="zh-CN" w:bidi="zh-CN"/>
    </w:rPr>
  </w:style>
  <w:style w:type="character" w:styleId="788" w:customStyle="1">
    <w:name w:val="ListLabel 49"/>
    <w:uiPriority w:val="0"/>
    <w:qFormat/>
    <w:rPr>
      <w:lang w:val="zh-CN" w:eastAsia="zh-CN" w:bidi="zh-CN"/>
    </w:rPr>
  </w:style>
  <w:style w:type="character" w:styleId="789" w:customStyle="1">
    <w:name w:val="ListLabel 50"/>
    <w:uiPriority w:val="0"/>
    <w:qFormat/>
    <w:rPr>
      <w:lang w:val="zh-CN" w:eastAsia="zh-CN" w:bidi="zh-CN"/>
    </w:rPr>
  </w:style>
  <w:style w:type="character" w:styleId="790" w:customStyle="1">
    <w:name w:val="ListLabel 51"/>
    <w:uiPriority w:val="0"/>
    <w:qFormat/>
    <w:rPr>
      <w:lang w:val="zh-CN" w:eastAsia="zh-CN" w:bidi="zh-CN"/>
    </w:rPr>
  </w:style>
  <w:style w:type="character" w:styleId="791" w:customStyle="1">
    <w:name w:val="ListLabel 52"/>
    <w:uiPriority w:val="0"/>
    <w:qFormat/>
    <w:rPr>
      <w:lang w:val="zh-CN" w:eastAsia="zh-CN" w:bidi="zh-CN"/>
    </w:rPr>
  </w:style>
  <w:style w:type="character" w:styleId="792" w:customStyle="1">
    <w:name w:val="ListLabel 53"/>
    <w:uiPriority w:val="0"/>
    <w:qFormat/>
    <w:rPr>
      <w:lang w:val="zh-CN" w:eastAsia="zh-CN" w:bidi="zh-CN"/>
    </w:rPr>
  </w:style>
  <w:style w:type="character" w:styleId="793" w:customStyle="1">
    <w:name w:val="ListLabel 54"/>
    <w:uiPriority w:val="0"/>
    <w:qFormat/>
    <w:rPr>
      <w:lang w:val="zh-CN" w:eastAsia="zh-CN" w:bidi="zh-CN"/>
    </w:rPr>
  </w:style>
  <w:style w:type="character" w:styleId="794" w:customStyle="1">
    <w:name w:val="ListLabel 55"/>
    <w:uiPriority w:val="0"/>
    <w:qFormat/>
    <w:rPr>
      <w:lang w:val="zh-CN" w:eastAsia="zh-CN" w:bidi="zh-CN"/>
    </w:rPr>
  </w:style>
  <w:style w:type="character" w:styleId="795" w:customStyle="1">
    <w:name w:val="ListLabel 56"/>
    <w:uiPriority w:val="0"/>
    <w:qFormat/>
    <w:rPr>
      <w:rFonts w:eastAsia="仿宋" w:cs="仿宋"/>
      <w:sz w:val="24"/>
      <w:szCs w:val="24"/>
      <w:lang w:val="zh-CN" w:eastAsia="zh-CN" w:bidi="zh-CN"/>
    </w:rPr>
  </w:style>
  <w:style w:type="character" w:styleId="796" w:customStyle="1">
    <w:name w:val="ListLabel 57"/>
    <w:uiPriority w:val="0"/>
    <w:qFormat/>
    <w:rPr>
      <w:lang w:val="zh-CN" w:eastAsia="zh-CN" w:bidi="zh-CN"/>
    </w:rPr>
  </w:style>
  <w:style w:type="character" w:styleId="797" w:customStyle="1">
    <w:name w:val="ListLabel 58"/>
    <w:uiPriority w:val="0"/>
    <w:qFormat/>
    <w:rPr>
      <w:lang w:val="zh-CN" w:eastAsia="zh-CN" w:bidi="zh-CN"/>
    </w:rPr>
  </w:style>
  <w:style w:type="character" w:styleId="798" w:customStyle="1">
    <w:name w:val="ListLabel 59"/>
    <w:uiPriority w:val="0"/>
    <w:qFormat/>
    <w:rPr>
      <w:lang w:val="zh-CN" w:eastAsia="zh-CN" w:bidi="zh-CN"/>
    </w:rPr>
  </w:style>
  <w:style w:type="character" w:styleId="799" w:customStyle="1">
    <w:name w:val="ListLabel 60"/>
    <w:uiPriority w:val="0"/>
    <w:qFormat/>
    <w:rPr>
      <w:lang w:val="zh-CN" w:eastAsia="zh-CN" w:bidi="zh-CN"/>
    </w:rPr>
  </w:style>
  <w:style w:type="character" w:styleId="800" w:customStyle="1">
    <w:name w:val="ListLabel 61"/>
    <w:uiPriority w:val="0"/>
    <w:qFormat/>
    <w:rPr>
      <w:lang w:val="zh-CN" w:eastAsia="zh-CN" w:bidi="zh-CN"/>
    </w:rPr>
  </w:style>
  <w:style w:type="character" w:styleId="801" w:customStyle="1">
    <w:name w:val="ListLabel 62"/>
    <w:uiPriority w:val="0"/>
    <w:qFormat/>
    <w:rPr>
      <w:lang w:val="zh-CN" w:eastAsia="zh-CN" w:bidi="zh-CN"/>
    </w:rPr>
  </w:style>
  <w:style w:type="character" w:styleId="802" w:customStyle="1">
    <w:name w:val="ListLabel 63"/>
    <w:uiPriority w:val="0"/>
    <w:qFormat/>
    <w:rPr>
      <w:lang w:val="zh-CN" w:eastAsia="zh-CN" w:bidi="zh-CN"/>
    </w:rPr>
  </w:style>
  <w:style w:type="character" w:styleId="803" w:customStyle="1">
    <w:name w:val="ListLabel 64"/>
    <w:uiPriority w:val="0"/>
    <w:qFormat/>
    <w:rPr>
      <w:rFonts w:eastAsia="仿宋" w:cs="仿宋"/>
      <w:sz w:val="24"/>
      <w:szCs w:val="22"/>
      <w:lang w:val="zh-CN" w:eastAsia="zh-CN" w:bidi="zh-CN"/>
    </w:rPr>
  </w:style>
  <w:style w:type="character" w:styleId="804" w:customStyle="1">
    <w:name w:val="ListLabel 65"/>
    <w:uiPriority w:val="0"/>
    <w:qFormat/>
    <w:rPr>
      <w:lang w:val="zh-CN" w:eastAsia="zh-CN" w:bidi="zh-CN"/>
    </w:rPr>
  </w:style>
  <w:style w:type="character" w:styleId="805" w:customStyle="1">
    <w:name w:val="ListLabel 66"/>
    <w:uiPriority w:val="0"/>
    <w:qFormat/>
    <w:rPr>
      <w:lang w:val="zh-CN" w:eastAsia="zh-CN" w:bidi="zh-CN"/>
    </w:rPr>
  </w:style>
  <w:style w:type="character" w:styleId="806" w:customStyle="1">
    <w:name w:val="ListLabel 67"/>
    <w:uiPriority w:val="0"/>
    <w:qFormat/>
    <w:rPr>
      <w:lang w:val="zh-CN" w:eastAsia="zh-CN" w:bidi="zh-CN"/>
    </w:rPr>
  </w:style>
  <w:style w:type="character" w:styleId="807" w:customStyle="1">
    <w:name w:val="ListLabel 68"/>
    <w:uiPriority w:val="0"/>
    <w:qFormat/>
    <w:rPr>
      <w:lang w:val="zh-CN" w:eastAsia="zh-CN" w:bidi="zh-CN"/>
    </w:rPr>
  </w:style>
  <w:style w:type="character" w:styleId="808" w:customStyle="1">
    <w:name w:val="ListLabel 69"/>
    <w:uiPriority w:val="0"/>
    <w:qFormat/>
    <w:rPr>
      <w:lang w:val="zh-CN" w:eastAsia="zh-CN" w:bidi="zh-CN"/>
    </w:rPr>
  </w:style>
  <w:style w:type="character" w:styleId="809" w:customStyle="1">
    <w:name w:val="ListLabel 70"/>
    <w:uiPriority w:val="0"/>
    <w:qFormat/>
    <w:rPr>
      <w:lang w:val="zh-CN" w:eastAsia="zh-CN" w:bidi="zh-CN"/>
    </w:rPr>
  </w:style>
  <w:style w:type="character" w:styleId="810" w:customStyle="1">
    <w:name w:val="ListLabel 71"/>
    <w:uiPriority w:val="0"/>
    <w:qFormat/>
    <w:rPr>
      <w:lang w:val="zh-CN" w:eastAsia="zh-CN" w:bidi="zh-CN"/>
    </w:rPr>
  </w:style>
  <w:style w:type="character" w:styleId="811" w:customStyle="1">
    <w:name w:val="ListLabel 72"/>
    <w:uiPriority w:val="0"/>
    <w:qFormat/>
    <w:rPr>
      <w:lang w:val="zh-CN" w:eastAsia="zh-CN" w:bidi="zh-CN"/>
    </w:rPr>
  </w:style>
  <w:style w:type="character" w:styleId="812" w:customStyle="1">
    <w:name w:val="ListLabel 73"/>
    <w:uiPriority w:val="0"/>
    <w:qFormat/>
    <w:rPr>
      <w:lang w:val="zh-CN" w:eastAsia="zh-CN" w:bidi="zh-CN"/>
    </w:rPr>
  </w:style>
  <w:style w:type="character" w:styleId="813" w:customStyle="1">
    <w:name w:val="ListLabel 74"/>
    <w:uiPriority w:val="0"/>
    <w:qFormat/>
    <w:rPr>
      <w:rFonts w:eastAsia="仿宋" w:cs="仿宋"/>
      <w:sz w:val="24"/>
      <w:szCs w:val="24"/>
      <w:lang w:val="zh-CN" w:eastAsia="zh-CN" w:bidi="zh-CN"/>
    </w:rPr>
  </w:style>
  <w:style w:type="character" w:styleId="814" w:customStyle="1">
    <w:name w:val="ListLabel 75"/>
    <w:uiPriority w:val="0"/>
    <w:qFormat/>
    <w:rPr>
      <w:lang w:val="zh-CN" w:eastAsia="zh-CN" w:bidi="zh-CN"/>
    </w:rPr>
  </w:style>
  <w:style w:type="character" w:styleId="815" w:customStyle="1">
    <w:name w:val="ListLabel 76"/>
    <w:uiPriority w:val="0"/>
    <w:qFormat/>
    <w:rPr>
      <w:lang w:val="zh-CN" w:eastAsia="zh-CN" w:bidi="zh-CN"/>
    </w:rPr>
  </w:style>
  <w:style w:type="character" w:styleId="816" w:customStyle="1">
    <w:name w:val="ListLabel 77"/>
    <w:uiPriority w:val="0"/>
    <w:qFormat/>
    <w:rPr>
      <w:lang w:val="zh-CN" w:eastAsia="zh-CN" w:bidi="zh-CN"/>
    </w:rPr>
  </w:style>
  <w:style w:type="character" w:styleId="817" w:customStyle="1">
    <w:name w:val="ListLabel 78"/>
    <w:uiPriority w:val="0"/>
    <w:qFormat/>
    <w:rPr>
      <w:lang w:val="zh-CN" w:eastAsia="zh-CN" w:bidi="zh-CN"/>
    </w:rPr>
  </w:style>
  <w:style w:type="character" w:styleId="818" w:customStyle="1">
    <w:name w:val="ListLabel 79"/>
    <w:uiPriority w:val="0"/>
    <w:qFormat/>
    <w:rPr>
      <w:lang w:val="zh-CN" w:eastAsia="zh-CN" w:bidi="zh-CN"/>
    </w:rPr>
  </w:style>
  <w:style w:type="character" w:styleId="819" w:customStyle="1">
    <w:name w:val="ListLabel 80"/>
    <w:uiPriority w:val="0"/>
    <w:qFormat/>
    <w:rPr>
      <w:lang w:val="zh-CN" w:eastAsia="zh-CN" w:bidi="zh-CN"/>
    </w:rPr>
  </w:style>
  <w:style w:type="character" w:styleId="820" w:customStyle="1">
    <w:name w:val="ListLabel 81"/>
    <w:uiPriority w:val="0"/>
    <w:qFormat/>
    <w:rPr>
      <w:lang w:val="zh-CN" w:eastAsia="zh-CN" w:bidi="zh-CN"/>
    </w:rPr>
  </w:style>
  <w:style w:type="character" w:styleId="821" w:customStyle="1">
    <w:name w:val="ListLabel 82"/>
    <w:uiPriority w:val="0"/>
    <w:qFormat/>
    <w:rPr>
      <w:lang w:val="zh-CN" w:eastAsia="zh-CN" w:bidi="zh-CN"/>
    </w:rPr>
  </w:style>
  <w:style w:type="character" w:styleId="822" w:customStyle="1">
    <w:name w:val="ListLabel 83"/>
    <w:uiPriority w:val="0"/>
    <w:qFormat/>
    <w:rPr>
      <w:rFonts w:eastAsia="仿宋" w:cs="仿宋"/>
      <w:spacing w:val="-24"/>
      <w:sz w:val="24"/>
      <w:szCs w:val="24"/>
      <w:lang w:val="zh-CN" w:eastAsia="zh-CN" w:bidi="zh-CN"/>
    </w:rPr>
  </w:style>
  <w:style w:type="character" w:styleId="823" w:customStyle="1">
    <w:name w:val="ListLabel 84"/>
    <w:uiPriority w:val="0"/>
    <w:qFormat/>
    <w:rPr>
      <w:lang w:val="zh-CN" w:eastAsia="zh-CN" w:bidi="zh-CN"/>
    </w:rPr>
  </w:style>
  <w:style w:type="character" w:styleId="824" w:customStyle="1">
    <w:name w:val="ListLabel 85"/>
    <w:uiPriority w:val="0"/>
    <w:qFormat/>
    <w:rPr>
      <w:lang w:val="zh-CN" w:eastAsia="zh-CN" w:bidi="zh-CN"/>
    </w:rPr>
  </w:style>
  <w:style w:type="character" w:styleId="825" w:customStyle="1">
    <w:name w:val="ListLabel 86"/>
    <w:uiPriority w:val="0"/>
    <w:qFormat/>
    <w:rPr>
      <w:lang w:val="zh-CN" w:eastAsia="zh-CN" w:bidi="zh-CN"/>
    </w:rPr>
  </w:style>
  <w:style w:type="character" w:styleId="826" w:customStyle="1">
    <w:name w:val="ListLabel 87"/>
    <w:uiPriority w:val="0"/>
    <w:qFormat/>
    <w:rPr>
      <w:lang w:val="zh-CN" w:eastAsia="zh-CN" w:bidi="zh-CN"/>
    </w:rPr>
  </w:style>
  <w:style w:type="character" w:styleId="827" w:customStyle="1">
    <w:name w:val="ListLabel 88"/>
    <w:uiPriority w:val="0"/>
    <w:qFormat/>
    <w:rPr>
      <w:lang w:val="zh-CN" w:eastAsia="zh-CN" w:bidi="zh-CN"/>
    </w:rPr>
  </w:style>
  <w:style w:type="character" w:styleId="828" w:customStyle="1">
    <w:name w:val="ListLabel 89"/>
    <w:uiPriority w:val="0"/>
    <w:qFormat/>
    <w:rPr>
      <w:lang w:val="zh-CN" w:eastAsia="zh-CN" w:bidi="zh-CN"/>
    </w:rPr>
  </w:style>
  <w:style w:type="character" w:styleId="829" w:customStyle="1">
    <w:name w:val="ListLabel 90"/>
    <w:uiPriority w:val="0"/>
    <w:qFormat/>
    <w:rPr>
      <w:lang w:val="zh-CN" w:eastAsia="zh-CN" w:bidi="zh-CN"/>
    </w:rPr>
  </w:style>
  <w:style w:type="character" w:styleId="830" w:customStyle="1">
    <w:name w:val="ListLabel 91"/>
    <w:uiPriority w:val="0"/>
    <w:qFormat/>
    <w:rPr>
      <w:rFonts w:eastAsia="仿宋" w:cs="仿宋"/>
      <w:sz w:val="24"/>
      <w:szCs w:val="22"/>
      <w:lang w:val="zh-CN" w:eastAsia="zh-CN" w:bidi="zh-CN"/>
    </w:rPr>
  </w:style>
  <w:style w:type="character" w:styleId="831" w:customStyle="1">
    <w:name w:val="ListLabel 92"/>
    <w:uiPriority w:val="0"/>
    <w:qFormat/>
    <w:rPr>
      <w:lang w:val="zh-CN" w:eastAsia="zh-CN" w:bidi="zh-CN"/>
    </w:rPr>
  </w:style>
  <w:style w:type="character" w:styleId="832" w:customStyle="1">
    <w:name w:val="ListLabel 93"/>
    <w:uiPriority w:val="0"/>
    <w:qFormat/>
    <w:rPr>
      <w:lang w:val="zh-CN" w:eastAsia="zh-CN" w:bidi="zh-CN"/>
    </w:rPr>
  </w:style>
  <w:style w:type="character" w:styleId="833" w:customStyle="1">
    <w:name w:val="ListLabel 94"/>
    <w:uiPriority w:val="0"/>
    <w:qFormat/>
    <w:rPr>
      <w:lang w:val="zh-CN" w:eastAsia="zh-CN" w:bidi="zh-CN"/>
    </w:rPr>
  </w:style>
  <w:style w:type="character" w:styleId="834" w:customStyle="1">
    <w:name w:val="ListLabel 95"/>
    <w:uiPriority w:val="0"/>
    <w:qFormat/>
    <w:rPr>
      <w:lang w:val="zh-CN" w:eastAsia="zh-CN" w:bidi="zh-CN"/>
    </w:rPr>
  </w:style>
  <w:style w:type="character" w:styleId="835" w:customStyle="1">
    <w:name w:val="ListLabel 96"/>
    <w:uiPriority w:val="0"/>
    <w:qFormat/>
    <w:rPr>
      <w:lang w:val="zh-CN" w:eastAsia="zh-CN" w:bidi="zh-CN"/>
    </w:rPr>
  </w:style>
  <w:style w:type="character" w:styleId="836" w:customStyle="1">
    <w:name w:val="ListLabel 97"/>
    <w:uiPriority w:val="0"/>
    <w:qFormat/>
    <w:rPr>
      <w:lang w:val="zh-CN" w:eastAsia="zh-CN" w:bidi="zh-CN"/>
    </w:rPr>
  </w:style>
  <w:style w:type="character" w:styleId="837" w:customStyle="1">
    <w:name w:val="ListLabel 98"/>
    <w:uiPriority w:val="0"/>
    <w:qFormat/>
    <w:rPr>
      <w:lang w:val="zh-CN" w:eastAsia="zh-CN" w:bidi="zh-CN"/>
    </w:rPr>
  </w:style>
  <w:style w:type="character" w:styleId="838" w:customStyle="1">
    <w:name w:val="ListLabel 99"/>
    <w:uiPriority w:val="0"/>
    <w:qFormat/>
    <w:rPr>
      <w:lang w:val="zh-CN" w:eastAsia="zh-CN" w:bidi="zh-CN"/>
    </w:rPr>
  </w:style>
  <w:style w:type="character" w:styleId="839" w:customStyle="1">
    <w:name w:val="ListLabel 100"/>
    <w:uiPriority w:val="0"/>
    <w:qFormat/>
    <w:rPr>
      <w:rFonts w:eastAsia="仿宋" w:cs="仿宋"/>
      <w:sz w:val="24"/>
      <w:szCs w:val="22"/>
      <w:lang w:val="zh-CN" w:eastAsia="zh-CN" w:bidi="zh-CN"/>
    </w:rPr>
  </w:style>
  <w:style w:type="character" w:styleId="840" w:customStyle="1">
    <w:name w:val="ListLabel 101"/>
    <w:uiPriority w:val="0"/>
    <w:qFormat/>
    <w:rPr>
      <w:lang w:val="zh-CN" w:eastAsia="zh-CN" w:bidi="zh-CN"/>
    </w:rPr>
  </w:style>
  <w:style w:type="character" w:styleId="841" w:customStyle="1">
    <w:name w:val="ListLabel 102"/>
    <w:uiPriority w:val="0"/>
    <w:qFormat/>
    <w:rPr>
      <w:lang w:val="zh-CN" w:eastAsia="zh-CN" w:bidi="zh-CN"/>
    </w:rPr>
  </w:style>
  <w:style w:type="character" w:styleId="842" w:customStyle="1">
    <w:name w:val="ListLabel 103"/>
    <w:uiPriority w:val="0"/>
    <w:qFormat/>
    <w:rPr>
      <w:lang w:val="zh-CN" w:eastAsia="zh-CN" w:bidi="zh-CN"/>
    </w:rPr>
  </w:style>
  <w:style w:type="character" w:styleId="843" w:customStyle="1">
    <w:name w:val="ListLabel 104"/>
    <w:uiPriority w:val="0"/>
    <w:qFormat/>
    <w:rPr>
      <w:lang w:val="zh-CN" w:eastAsia="zh-CN" w:bidi="zh-CN"/>
    </w:rPr>
  </w:style>
  <w:style w:type="character" w:styleId="844" w:customStyle="1">
    <w:name w:val="ListLabel 105"/>
    <w:uiPriority w:val="0"/>
    <w:qFormat/>
    <w:rPr>
      <w:lang w:val="zh-CN" w:eastAsia="zh-CN" w:bidi="zh-CN"/>
    </w:rPr>
  </w:style>
  <w:style w:type="character" w:styleId="845" w:customStyle="1">
    <w:name w:val="ListLabel 106"/>
    <w:uiPriority w:val="0"/>
    <w:qFormat/>
    <w:rPr>
      <w:lang w:val="zh-CN" w:eastAsia="zh-CN" w:bidi="zh-CN"/>
    </w:rPr>
  </w:style>
  <w:style w:type="character" w:styleId="846" w:customStyle="1">
    <w:name w:val="ListLabel 107"/>
    <w:uiPriority w:val="0"/>
    <w:qFormat/>
    <w:rPr>
      <w:lang w:val="zh-CN" w:eastAsia="zh-CN" w:bidi="zh-CN"/>
    </w:rPr>
  </w:style>
  <w:style w:type="character" w:styleId="847" w:customStyle="1">
    <w:name w:val="ListLabel 108"/>
    <w:uiPriority w:val="0"/>
    <w:qFormat/>
    <w:rPr>
      <w:lang w:val="zh-CN" w:eastAsia="zh-CN" w:bidi="zh-CN"/>
    </w:rPr>
  </w:style>
  <w:style w:type="character" w:styleId="848" w:customStyle="1">
    <w:name w:val="ListLabel 109"/>
    <w:uiPriority w:val="0"/>
    <w:qFormat/>
    <w:rPr>
      <w:lang w:val="zh-CN" w:eastAsia="zh-CN" w:bidi="zh-CN"/>
    </w:rPr>
  </w:style>
  <w:style w:type="character" w:styleId="849" w:customStyle="1">
    <w:name w:val="ListLabel 110"/>
    <w:uiPriority w:val="0"/>
    <w:qFormat/>
    <w:rPr>
      <w:rFonts w:eastAsia="仿宋" w:cs="仿宋"/>
      <w:sz w:val="24"/>
      <w:szCs w:val="22"/>
      <w:lang w:val="zh-CN" w:eastAsia="zh-CN" w:bidi="zh-CN"/>
    </w:rPr>
  </w:style>
  <w:style w:type="character" w:styleId="850" w:customStyle="1">
    <w:name w:val="ListLabel 111"/>
    <w:uiPriority w:val="0"/>
    <w:qFormat/>
    <w:rPr>
      <w:lang w:val="zh-CN" w:eastAsia="zh-CN" w:bidi="zh-CN"/>
    </w:rPr>
  </w:style>
  <w:style w:type="character" w:styleId="851" w:customStyle="1">
    <w:name w:val="ListLabel 112"/>
    <w:uiPriority w:val="0"/>
    <w:qFormat/>
    <w:rPr>
      <w:lang w:val="zh-CN" w:eastAsia="zh-CN" w:bidi="zh-CN"/>
    </w:rPr>
  </w:style>
  <w:style w:type="character" w:styleId="852" w:customStyle="1">
    <w:name w:val="ListLabel 113"/>
    <w:uiPriority w:val="0"/>
    <w:qFormat/>
    <w:rPr>
      <w:lang w:val="zh-CN" w:eastAsia="zh-CN" w:bidi="zh-CN"/>
    </w:rPr>
  </w:style>
  <w:style w:type="character" w:styleId="853" w:customStyle="1">
    <w:name w:val="ListLabel 114"/>
    <w:uiPriority w:val="0"/>
    <w:qFormat/>
    <w:rPr>
      <w:lang w:val="zh-CN" w:eastAsia="zh-CN" w:bidi="zh-CN"/>
    </w:rPr>
  </w:style>
  <w:style w:type="character" w:styleId="854" w:customStyle="1">
    <w:name w:val="ListLabel 115"/>
    <w:uiPriority w:val="0"/>
    <w:qFormat/>
    <w:rPr>
      <w:lang w:val="zh-CN" w:eastAsia="zh-CN" w:bidi="zh-CN"/>
    </w:rPr>
  </w:style>
  <w:style w:type="character" w:styleId="855" w:customStyle="1">
    <w:name w:val="ListLabel 116"/>
    <w:uiPriority w:val="0"/>
    <w:qFormat/>
    <w:rPr>
      <w:lang w:val="zh-CN" w:eastAsia="zh-CN" w:bidi="zh-CN"/>
    </w:rPr>
  </w:style>
  <w:style w:type="character" w:styleId="856" w:customStyle="1">
    <w:name w:val="ListLabel 117"/>
    <w:uiPriority w:val="0"/>
    <w:qFormat/>
    <w:rPr>
      <w:lang w:val="zh-CN" w:eastAsia="zh-CN" w:bidi="zh-CN"/>
    </w:rPr>
  </w:style>
  <w:style w:type="character" w:styleId="857" w:customStyle="1">
    <w:name w:val="ListLabel 118"/>
    <w:uiPriority w:val="0"/>
    <w:qFormat/>
    <w:rPr>
      <w:lang w:val="zh-CN" w:eastAsia="zh-CN" w:bidi="zh-CN"/>
    </w:rPr>
  </w:style>
  <w:style w:type="character" w:styleId="858" w:customStyle="1">
    <w:name w:val="ListLabel 119"/>
    <w:uiPriority w:val="0"/>
    <w:qFormat/>
    <w:rPr>
      <w:rFonts w:eastAsia="仿宋" w:cs="仿宋"/>
      <w:sz w:val="24"/>
      <w:szCs w:val="24"/>
      <w:lang w:val="zh-CN" w:eastAsia="zh-CN" w:bidi="zh-CN"/>
    </w:rPr>
  </w:style>
  <w:style w:type="character" w:styleId="859" w:customStyle="1">
    <w:name w:val="ListLabel 120"/>
    <w:uiPriority w:val="0"/>
    <w:qFormat/>
    <w:rPr>
      <w:lang w:val="zh-CN" w:eastAsia="zh-CN" w:bidi="zh-CN"/>
    </w:rPr>
  </w:style>
  <w:style w:type="character" w:styleId="860" w:customStyle="1">
    <w:name w:val="ListLabel 121"/>
    <w:uiPriority w:val="0"/>
    <w:qFormat/>
    <w:rPr>
      <w:lang w:val="zh-CN" w:eastAsia="zh-CN" w:bidi="zh-CN"/>
    </w:rPr>
  </w:style>
  <w:style w:type="character" w:styleId="861" w:customStyle="1">
    <w:name w:val="ListLabel 122"/>
    <w:uiPriority w:val="0"/>
    <w:qFormat/>
    <w:rPr>
      <w:lang w:val="zh-CN" w:eastAsia="zh-CN" w:bidi="zh-CN"/>
    </w:rPr>
  </w:style>
  <w:style w:type="character" w:styleId="862" w:customStyle="1">
    <w:name w:val="ListLabel 123"/>
    <w:uiPriority w:val="0"/>
    <w:qFormat/>
    <w:rPr>
      <w:lang w:val="zh-CN" w:eastAsia="zh-CN" w:bidi="zh-CN"/>
    </w:rPr>
  </w:style>
  <w:style w:type="character" w:styleId="863" w:customStyle="1">
    <w:name w:val="ListLabel 124"/>
    <w:uiPriority w:val="0"/>
    <w:qFormat/>
    <w:rPr>
      <w:lang w:val="zh-CN" w:eastAsia="zh-CN" w:bidi="zh-CN"/>
    </w:rPr>
  </w:style>
  <w:style w:type="character" w:styleId="864" w:customStyle="1">
    <w:name w:val="ListLabel 125"/>
    <w:uiPriority w:val="0"/>
    <w:qFormat/>
    <w:rPr>
      <w:lang w:val="zh-CN" w:eastAsia="zh-CN" w:bidi="zh-CN"/>
    </w:rPr>
  </w:style>
  <w:style w:type="character" w:styleId="865" w:customStyle="1">
    <w:name w:val="ListLabel 126"/>
    <w:uiPriority w:val="0"/>
    <w:qFormat/>
    <w:rPr>
      <w:lang w:val="zh-CN" w:eastAsia="zh-CN" w:bidi="zh-CN"/>
    </w:rPr>
  </w:style>
  <w:style w:type="character" w:styleId="866" w:customStyle="1">
    <w:name w:val="ListLabel 127"/>
    <w:uiPriority w:val="0"/>
    <w:qFormat/>
    <w:rPr>
      <w:lang w:val="zh-CN" w:eastAsia="zh-CN" w:bidi="zh-CN"/>
    </w:rPr>
  </w:style>
  <w:style w:type="character" w:styleId="867" w:customStyle="1">
    <w:name w:val="ListLabel 128"/>
    <w:uiPriority w:val="0"/>
    <w:qFormat/>
    <w:rPr>
      <w:rFonts w:eastAsia="仿宋" w:cs="仿宋"/>
      <w:sz w:val="24"/>
      <w:szCs w:val="24"/>
      <w:lang w:val="zh-CN" w:eastAsia="zh-CN" w:bidi="zh-CN"/>
    </w:rPr>
  </w:style>
  <w:style w:type="character" w:styleId="868" w:customStyle="1">
    <w:name w:val="ListLabel 129"/>
    <w:uiPriority w:val="0"/>
    <w:qFormat/>
    <w:rPr>
      <w:lang w:val="zh-CN" w:eastAsia="zh-CN" w:bidi="zh-CN"/>
    </w:rPr>
  </w:style>
  <w:style w:type="character" w:styleId="869" w:customStyle="1">
    <w:name w:val="ListLabel 130"/>
    <w:uiPriority w:val="0"/>
    <w:qFormat/>
    <w:rPr>
      <w:lang w:val="zh-CN" w:eastAsia="zh-CN" w:bidi="zh-CN"/>
    </w:rPr>
  </w:style>
  <w:style w:type="character" w:styleId="870" w:customStyle="1">
    <w:name w:val="ListLabel 131"/>
    <w:uiPriority w:val="0"/>
    <w:qFormat/>
    <w:rPr>
      <w:lang w:val="zh-CN" w:eastAsia="zh-CN" w:bidi="zh-CN"/>
    </w:rPr>
  </w:style>
  <w:style w:type="character" w:styleId="871" w:customStyle="1">
    <w:name w:val="ListLabel 132"/>
    <w:uiPriority w:val="0"/>
    <w:qFormat/>
    <w:rPr>
      <w:lang w:val="zh-CN" w:eastAsia="zh-CN" w:bidi="zh-CN"/>
    </w:rPr>
  </w:style>
  <w:style w:type="character" w:styleId="872" w:customStyle="1">
    <w:name w:val="ListLabel 133"/>
    <w:uiPriority w:val="0"/>
    <w:qFormat/>
    <w:rPr>
      <w:lang w:val="zh-CN" w:eastAsia="zh-CN" w:bidi="zh-CN"/>
    </w:rPr>
  </w:style>
  <w:style w:type="character" w:styleId="873" w:customStyle="1">
    <w:name w:val="ListLabel 134"/>
    <w:uiPriority w:val="0"/>
    <w:qFormat/>
    <w:rPr>
      <w:lang w:val="zh-CN" w:eastAsia="zh-CN" w:bidi="zh-CN"/>
    </w:rPr>
  </w:style>
  <w:style w:type="character" w:styleId="874" w:customStyle="1">
    <w:name w:val="ListLabel 135"/>
    <w:uiPriority w:val="0"/>
    <w:qFormat/>
    <w:rPr>
      <w:lang w:val="zh-CN" w:eastAsia="zh-CN" w:bidi="zh-CN"/>
    </w:rPr>
  </w:style>
  <w:style w:type="character" w:styleId="875" w:customStyle="1">
    <w:name w:val="ListLabel 136"/>
    <w:uiPriority w:val="0"/>
    <w:qFormat/>
    <w:rPr>
      <w:rFonts w:eastAsia="仿宋" w:cs="仿宋"/>
      <w:sz w:val="24"/>
      <w:szCs w:val="22"/>
      <w:lang w:val="zh-CN" w:eastAsia="zh-CN" w:bidi="zh-CN"/>
    </w:rPr>
  </w:style>
  <w:style w:type="character" w:styleId="876" w:customStyle="1">
    <w:name w:val="ListLabel 137"/>
    <w:uiPriority w:val="0"/>
    <w:qFormat/>
    <w:rPr>
      <w:lang w:val="zh-CN" w:eastAsia="zh-CN" w:bidi="zh-CN"/>
    </w:rPr>
  </w:style>
  <w:style w:type="character" w:styleId="877" w:customStyle="1">
    <w:name w:val="ListLabel 138"/>
    <w:uiPriority w:val="0"/>
    <w:qFormat/>
    <w:rPr>
      <w:lang w:val="zh-CN" w:eastAsia="zh-CN" w:bidi="zh-CN"/>
    </w:rPr>
  </w:style>
  <w:style w:type="character" w:styleId="878" w:customStyle="1">
    <w:name w:val="ListLabel 139"/>
    <w:uiPriority w:val="0"/>
    <w:qFormat/>
    <w:rPr>
      <w:lang w:val="zh-CN" w:eastAsia="zh-CN" w:bidi="zh-CN"/>
    </w:rPr>
  </w:style>
  <w:style w:type="character" w:styleId="879" w:customStyle="1">
    <w:name w:val="ListLabel 140"/>
    <w:uiPriority w:val="0"/>
    <w:qFormat/>
    <w:rPr>
      <w:lang w:val="zh-CN" w:eastAsia="zh-CN" w:bidi="zh-CN"/>
    </w:rPr>
  </w:style>
  <w:style w:type="character" w:styleId="880" w:customStyle="1">
    <w:name w:val="ListLabel 141"/>
    <w:uiPriority w:val="0"/>
    <w:qFormat/>
    <w:rPr>
      <w:lang w:val="zh-CN" w:eastAsia="zh-CN" w:bidi="zh-CN"/>
    </w:rPr>
  </w:style>
  <w:style w:type="character" w:styleId="881" w:customStyle="1">
    <w:name w:val="ListLabel 142"/>
    <w:uiPriority w:val="0"/>
    <w:qFormat/>
    <w:rPr>
      <w:lang w:val="zh-CN" w:eastAsia="zh-CN" w:bidi="zh-CN"/>
    </w:rPr>
  </w:style>
  <w:style w:type="character" w:styleId="882" w:customStyle="1">
    <w:name w:val="ListLabel 143"/>
    <w:uiPriority w:val="0"/>
    <w:qFormat/>
    <w:rPr>
      <w:lang w:val="zh-CN" w:eastAsia="zh-CN" w:bidi="zh-CN"/>
    </w:rPr>
  </w:style>
  <w:style w:type="character" w:styleId="883" w:customStyle="1">
    <w:name w:val="ListLabel 144"/>
    <w:uiPriority w:val="0"/>
    <w:qFormat/>
    <w:rPr>
      <w:lang w:val="zh-CN" w:eastAsia="zh-CN" w:bidi="zh-CN"/>
    </w:rPr>
  </w:style>
  <w:style w:type="character" w:styleId="884" w:customStyle="1">
    <w:name w:val="ListLabel 145"/>
    <w:uiPriority w:val="0"/>
    <w:qFormat/>
    <w:rPr>
      <w:rFonts w:eastAsia="仿宋" w:cs="仿宋"/>
      <w:spacing w:val="-18"/>
      <w:sz w:val="24"/>
      <w:szCs w:val="22"/>
      <w:lang w:val="zh-CN" w:eastAsia="zh-CN" w:bidi="zh-CN"/>
    </w:rPr>
  </w:style>
  <w:style w:type="character" w:styleId="885" w:customStyle="1">
    <w:name w:val="ListLabel 146"/>
    <w:uiPriority w:val="0"/>
    <w:qFormat/>
    <w:rPr>
      <w:lang w:val="zh-CN" w:eastAsia="zh-CN" w:bidi="zh-CN"/>
    </w:rPr>
  </w:style>
  <w:style w:type="character" w:styleId="886" w:customStyle="1">
    <w:name w:val="ListLabel 147"/>
    <w:uiPriority w:val="0"/>
    <w:qFormat/>
    <w:rPr>
      <w:lang w:val="zh-CN" w:eastAsia="zh-CN" w:bidi="zh-CN"/>
    </w:rPr>
  </w:style>
  <w:style w:type="character" w:styleId="887" w:customStyle="1">
    <w:name w:val="ListLabel 148"/>
    <w:uiPriority w:val="0"/>
    <w:qFormat/>
    <w:rPr>
      <w:lang w:val="zh-CN" w:eastAsia="zh-CN" w:bidi="zh-CN"/>
    </w:rPr>
  </w:style>
  <w:style w:type="character" w:styleId="888" w:customStyle="1">
    <w:name w:val="ListLabel 149"/>
    <w:uiPriority w:val="0"/>
    <w:qFormat/>
    <w:rPr>
      <w:lang w:val="zh-CN" w:eastAsia="zh-CN" w:bidi="zh-CN"/>
    </w:rPr>
  </w:style>
  <w:style w:type="character" w:styleId="889" w:customStyle="1">
    <w:name w:val="ListLabel 150"/>
    <w:uiPriority w:val="0"/>
    <w:qFormat/>
    <w:rPr>
      <w:lang w:val="zh-CN" w:eastAsia="zh-CN" w:bidi="zh-CN"/>
    </w:rPr>
  </w:style>
  <w:style w:type="character" w:styleId="890" w:customStyle="1">
    <w:name w:val="ListLabel 151"/>
    <w:uiPriority w:val="0"/>
    <w:qFormat/>
    <w:rPr>
      <w:lang w:val="zh-CN" w:eastAsia="zh-CN" w:bidi="zh-CN"/>
    </w:rPr>
  </w:style>
  <w:style w:type="character" w:styleId="891" w:customStyle="1">
    <w:name w:val="ListLabel 152"/>
    <w:uiPriority w:val="0"/>
    <w:qFormat/>
    <w:rPr>
      <w:lang w:val="zh-CN" w:eastAsia="zh-CN" w:bidi="zh-CN"/>
    </w:rPr>
  </w:style>
  <w:style w:type="character" w:styleId="892" w:customStyle="1">
    <w:name w:val="ListLabel 153"/>
    <w:uiPriority w:val="0"/>
    <w:qFormat/>
    <w:rPr>
      <w:lang w:val="zh-CN" w:eastAsia="zh-CN" w:bidi="zh-CN"/>
    </w:rPr>
  </w:style>
  <w:style w:type="character" w:styleId="893" w:customStyle="1">
    <w:name w:val="ListLabel 154"/>
    <w:uiPriority w:val="0"/>
    <w:qFormat/>
    <w:rPr>
      <w:rFonts w:eastAsia="仿宋" w:cs="仿宋"/>
      <w:sz w:val="24"/>
      <w:szCs w:val="22"/>
      <w:lang w:val="zh-CN" w:eastAsia="zh-CN" w:bidi="zh-CN"/>
    </w:rPr>
  </w:style>
  <w:style w:type="character" w:styleId="894" w:customStyle="1">
    <w:name w:val="ListLabel 155"/>
    <w:uiPriority w:val="0"/>
    <w:qFormat/>
    <w:rPr>
      <w:lang w:val="zh-CN" w:eastAsia="zh-CN" w:bidi="zh-CN"/>
    </w:rPr>
  </w:style>
  <w:style w:type="character" w:styleId="895" w:customStyle="1">
    <w:name w:val="ListLabel 156"/>
    <w:uiPriority w:val="0"/>
    <w:qFormat/>
    <w:rPr>
      <w:lang w:val="zh-CN" w:eastAsia="zh-CN" w:bidi="zh-CN"/>
    </w:rPr>
  </w:style>
  <w:style w:type="character" w:styleId="896" w:customStyle="1">
    <w:name w:val="ListLabel 157"/>
    <w:uiPriority w:val="0"/>
    <w:qFormat/>
    <w:rPr>
      <w:lang w:val="zh-CN" w:eastAsia="zh-CN" w:bidi="zh-CN"/>
    </w:rPr>
  </w:style>
  <w:style w:type="character" w:styleId="897" w:customStyle="1">
    <w:name w:val="ListLabel 158"/>
    <w:uiPriority w:val="0"/>
    <w:qFormat/>
    <w:rPr>
      <w:lang w:val="zh-CN" w:eastAsia="zh-CN" w:bidi="zh-CN"/>
    </w:rPr>
  </w:style>
  <w:style w:type="character" w:styleId="898" w:customStyle="1">
    <w:name w:val="ListLabel 159"/>
    <w:uiPriority w:val="0"/>
    <w:qFormat/>
    <w:rPr>
      <w:lang w:val="zh-CN" w:eastAsia="zh-CN" w:bidi="zh-CN"/>
    </w:rPr>
  </w:style>
  <w:style w:type="character" w:styleId="899" w:customStyle="1">
    <w:name w:val="ListLabel 160"/>
    <w:uiPriority w:val="0"/>
    <w:qFormat/>
    <w:rPr>
      <w:lang w:val="zh-CN" w:eastAsia="zh-CN" w:bidi="zh-CN"/>
    </w:rPr>
  </w:style>
  <w:style w:type="character" w:styleId="900" w:customStyle="1">
    <w:name w:val="ListLabel 161"/>
    <w:uiPriority w:val="0"/>
    <w:qFormat/>
    <w:rPr>
      <w:lang w:val="zh-CN" w:eastAsia="zh-CN" w:bidi="zh-CN"/>
    </w:rPr>
  </w:style>
  <w:style w:type="character" w:styleId="901" w:customStyle="1">
    <w:name w:val="ListLabel 162"/>
    <w:uiPriority w:val="0"/>
    <w:qFormat/>
    <w:rPr>
      <w:lang w:val="zh-CN" w:eastAsia="zh-CN" w:bidi="zh-CN"/>
    </w:rPr>
  </w:style>
  <w:style w:type="character" w:styleId="902" w:customStyle="1">
    <w:name w:val="ListLabel 163"/>
    <w:uiPriority w:val="0"/>
    <w:qFormat/>
    <w:rPr>
      <w:rFonts w:eastAsia="仿宋" w:cs="仿宋"/>
      <w:sz w:val="24"/>
      <w:szCs w:val="22"/>
      <w:lang w:val="zh-CN" w:eastAsia="zh-CN" w:bidi="zh-CN"/>
    </w:rPr>
  </w:style>
  <w:style w:type="character" w:styleId="903" w:customStyle="1">
    <w:name w:val="ListLabel 164"/>
    <w:uiPriority w:val="0"/>
    <w:qFormat/>
    <w:rPr>
      <w:lang w:val="zh-CN" w:eastAsia="zh-CN" w:bidi="zh-CN"/>
    </w:rPr>
  </w:style>
  <w:style w:type="character" w:styleId="904" w:customStyle="1">
    <w:name w:val="ListLabel 165"/>
    <w:uiPriority w:val="0"/>
    <w:qFormat/>
    <w:rPr>
      <w:lang w:val="zh-CN" w:eastAsia="zh-CN" w:bidi="zh-CN"/>
    </w:rPr>
  </w:style>
  <w:style w:type="character" w:styleId="905" w:customStyle="1">
    <w:name w:val="ListLabel 166"/>
    <w:uiPriority w:val="0"/>
    <w:qFormat/>
    <w:rPr>
      <w:lang w:val="zh-CN" w:eastAsia="zh-CN" w:bidi="zh-CN"/>
    </w:rPr>
  </w:style>
  <w:style w:type="character" w:styleId="906" w:customStyle="1">
    <w:name w:val="ListLabel 167"/>
    <w:uiPriority w:val="0"/>
    <w:qFormat/>
    <w:rPr>
      <w:lang w:val="zh-CN" w:eastAsia="zh-CN" w:bidi="zh-CN"/>
    </w:rPr>
  </w:style>
  <w:style w:type="character" w:styleId="907" w:customStyle="1">
    <w:name w:val="ListLabel 168"/>
    <w:uiPriority w:val="0"/>
    <w:qFormat/>
    <w:rPr>
      <w:lang w:val="zh-CN" w:eastAsia="zh-CN" w:bidi="zh-CN"/>
    </w:rPr>
  </w:style>
  <w:style w:type="character" w:styleId="908" w:customStyle="1">
    <w:name w:val="ListLabel 169"/>
    <w:uiPriority w:val="0"/>
    <w:qFormat/>
    <w:rPr>
      <w:lang w:val="zh-CN" w:eastAsia="zh-CN" w:bidi="zh-CN"/>
    </w:rPr>
  </w:style>
  <w:style w:type="character" w:styleId="909" w:customStyle="1">
    <w:name w:val="ListLabel 170"/>
    <w:uiPriority w:val="0"/>
    <w:qFormat/>
    <w:rPr>
      <w:lang w:val="zh-CN" w:eastAsia="zh-CN" w:bidi="zh-CN"/>
    </w:rPr>
  </w:style>
  <w:style w:type="character" w:styleId="910" w:customStyle="1">
    <w:name w:val="ListLabel 171"/>
    <w:uiPriority w:val="0"/>
    <w:qFormat/>
    <w:rPr>
      <w:lang w:val="zh-CN" w:eastAsia="zh-CN" w:bidi="zh-CN"/>
    </w:rPr>
  </w:style>
  <w:style w:type="character" w:styleId="911" w:customStyle="1">
    <w:name w:val="ListLabel 172"/>
    <w:uiPriority w:val="0"/>
    <w:qFormat/>
    <w:rPr>
      <w:sz w:val="24"/>
    </w:rPr>
  </w:style>
  <w:style w:type="character" w:styleId="912" w:customStyle="1">
    <w:name w:val="Internet 链接"/>
    <w:uiPriority w:val="0"/>
    <w:qFormat/>
    <w:rPr>
      <w:color w:val="000080"/>
      <w:u w:val="single"/>
      <w:lang w:val="zh-CN" w:eastAsia="zh-CN" w:bidi="zh-CN"/>
    </w:rPr>
  </w:style>
  <w:style w:type="character" w:styleId="913" w:customStyle="1">
    <w:name w:val="ListLabel 173"/>
    <w:uiPriority w:val="0"/>
    <w:qFormat/>
  </w:style>
  <w:style w:type="character" w:styleId="914" w:customStyle="1">
    <w:name w:val="源文本"/>
    <w:uiPriority w:val="0"/>
    <w:qFormat/>
    <w:rPr>
      <w:rFonts w:ascii="Liberation Mono" w:hAnsi="Liberation Mono" w:eastAsia="新宋体" w:cs="Liberation Mono"/>
    </w:rPr>
  </w:style>
  <w:style w:type="paragraph" w:styleId="915" w:customStyle="1">
    <w:name w:val="标题样式"/>
    <w:basedOn w:val="702"/>
    <w:next w:val="714"/>
    <w:uiPriority w:val="0"/>
    <w:qFormat/>
    <w:pPr>
      <w:keepNext/>
      <w:spacing w:before="240" w:after="120"/>
    </w:pPr>
    <w:rPr>
      <w:rFonts w:ascii="Liberation Sans" w:hAnsi="Liberation Sans" w:eastAsia="微软雅黑" w:cs="Arial"/>
      <w:sz w:val="28"/>
      <w:szCs w:val="28"/>
    </w:rPr>
  </w:style>
  <w:style w:type="paragraph" w:styleId="916" w:customStyle="1">
    <w:name w:val="索引"/>
    <w:basedOn w:val="702"/>
    <w:uiPriority w:val="0"/>
    <w:qFormat/>
    <w:pPr>
      <w:suppressLineNumbers/>
    </w:pPr>
    <w:rPr>
      <w:rFonts w:cs="Arial"/>
    </w:rPr>
  </w:style>
  <w:style w:type="paragraph" w:styleId="917" w:customStyle="1">
    <w:name w:val="Table Paragraph"/>
    <w:basedOn w:val="702"/>
    <w:uiPriority w:val="1"/>
    <w:qFormat/>
  </w:style>
  <w:style w:type="paragraph" w:styleId="918"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19" w:customStyle="1">
    <w:name w:val="框架内容"/>
    <w:basedOn w:val="702"/>
    <w:uiPriority w:val="0"/>
    <w:qFormat/>
  </w:style>
  <w:style w:type="paragraph" w:styleId="920" w:customStyle="1">
    <w:name w:val="表格内容"/>
    <w:basedOn w:val="702"/>
    <w:uiPriority w:val="0"/>
    <w:qFormat/>
    <w:pPr>
      <w:suppressLineNumbers/>
    </w:pPr>
  </w:style>
  <w:style w:type="table" w:styleId="921" w:customStyle="1">
    <w:name w:val="Table Normal"/>
    <w:uiPriority w:val="2"/>
    <w:unhideWhenUsed/>
    <w:qFormat/>
    <w:tblPr>
      <w:tblCellMar>
        <w:left w:w="0" w:type="dxa"/>
        <w:top w:w="0" w:type="dxa"/>
        <w:right w:w="0" w:type="dxa"/>
        <w:bottom w:w="0" w:type="dxa"/>
      </w:tblCellMar>
    </w:tblPr>
  </w:style>
  <w:style w:type="paragraph" w:styleId="922" w:customStyle="1">
    <w:name w:val="正文文本1"/>
    <w:basedOn w:val="702"/>
    <w:next w:val="923"/>
    <w:uiPriority w:val="99"/>
    <w:unhideWhenUsed/>
    <w:qFormat/>
    <w:pPr>
      <w:spacing w:after="120"/>
    </w:pPr>
    <w:rPr>
      <w:sz w:val="24"/>
    </w:rPr>
  </w:style>
  <w:style w:type="paragraph" w:styleId="923" w:customStyle="1">
    <w:name w:val="正文首行缩进1"/>
    <w:basedOn w:val="922"/>
    <w:next w:val="924"/>
    <w:uiPriority w:val="99"/>
    <w:qFormat/>
    <w:pPr>
      <w:ind w:firstLine="420"/>
    </w:pPr>
  </w:style>
  <w:style w:type="paragraph" w:styleId="924" w:customStyle="1">
    <w:name w:val="目录 61"/>
    <w:basedOn w:val="702"/>
    <w:next w:val="702"/>
    <w:uiPriority w:val="39"/>
    <w:semiHidden/>
    <w:qFormat/>
    <w:pPr>
      <w:ind w:left="1050"/>
      <w:jc w:val="left"/>
    </w:pPr>
    <w:rPr>
      <w:szCs w:val="21"/>
    </w:rPr>
  </w:style>
  <w:style w:type="paragraph" w:styleId="925" w:customStyle="1">
    <w:name w:val="WPSOffice手动目录 1"/>
    <w:uiPriority w:val="0"/>
    <w:qFormat/>
    <w:rPr>
      <w:rFonts w:ascii="Times New Roman" w:hAnsi="Times New Roman" w:eastAsia="宋体" w:cs="Times New Roman"/>
      <w:sz w:val="20"/>
      <w:szCs w:val="20"/>
    </w:rPr>
  </w:style>
  <w:style w:type="paragraph" w:styleId="926"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927" w:customStyle="1">
    <w:name w:val="标题 21"/>
    <w:basedOn w:val="702"/>
    <w:next w:val="702"/>
    <w:uiPriority w:val="0"/>
    <w:qFormat/>
    <w:pPr>
      <w:keepLines/>
      <w:keepNext/>
      <w:spacing w:before="260" w:after="260" w:line="413" w:lineRule="auto"/>
      <w:outlineLvl w:val="1"/>
    </w:pPr>
    <w:rPr>
      <w:rFonts w:ascii="Arial" w:hAnsi="Arial" w:eastAsia="黑体"/>
      <w:b/>
      <w:bCs/>
      <w:sz w:val="32"/>
      <w:szCs w:val="32"/>
    </w:rPr>
  </w:style>
  <w:style w:type="paragraph" w:styleId="928" w:customStyle="1">
    <w:name w:val="Table Text"/>
    <w:basedOn w:val="702"/>
    <w:uiPriority w:val="0"/>
    <w:semiHidden/>
    <w:qFormat/>
    <w:rPr>
      <w:rFonts w:ascii="宋体" w:hAnsi="宋体" w:eastAsia="宋体" w:cs="宋体"/>
    </w:rPr>
  </w:style>
  <w:style w:type="paragraph" w:styleId="929" w:customStyle="1">
    <w:name w:val="_Style 2"/>
    <w:basedOn w:val="702"/>
    <w:uiPriority w:val="34"/>
    <w:qFormat/>
    <w:pPr>
      <w:ind w:firstLine="420"/>
    </w:pPr>
  </w:style>
  <w:style w:type="paragraph" w:styleId="930" w:customStyle="1">
    <w:name w:val="列表段落1"/>
    <w:basedOn w:val="702"/>
    <w:uiPriority w:val="0"/>
    <w:qFormat/>
    <w:pPr>
      <w:ind w:firstLine="420"/>
    </w:pPr>
    <w:rPr>
      <w:rFonts w:ascii="Calibri" w:hAnsi="Calibri"/>
      <w:szCs w:val="22"/>
    </w:rPr>
  </w:style>
  <w:style w:type="paragraph" w:styleId="931" w:customStyle="1">
    <w:name w:val="标题 51"/>
    <w:basedOn w:val="702"/>
    <w:next w:val="702"/>
    <w:uiPriority w:val="0"/>
    <w:qFormat/>
    <w:pPr>
      <w:keepLines/>
      <w:keepNext/>
      <w:spacing w:before="280" w:after="290" w:line="372" w:lineRule="auto"/>
      <w:outlineLvl w:val="4"/>
    </w:pPr>
    <w:rPr>
      <w:b/>
      <w:bCs/>
      <w:sz w:val="28"/>
      <w:szCs w:val="28"/>
    </w:rPr>
  </w:style>
  <w:style w:type="paragraph" w:styleId="932" w:customStyle="1">
    <w:name w:val="正文文本缩进1"/>
    <w:basedOn w:val="702"/>
    <w:next w:val="933"/>
    <w:uiPriority w:val="0"/>
    <w:unhideWhenUsed/>
    <w:qFormat/>
    <w:pPr>
      <w:ind w:left="420"/>
      <w:spacing w:after="120"/>
    </w:pPr>
  </w:style>
  <w:style w:type="paragraph" w:styleId="933" w:customStyle="1">
    <w:name w:val="正文首行缩进 21"/>
    <w:basedOn w:val="932"/>
    <w:uiPriority w:val="0"/>
    <w:qFormat/>
    <w:pPr>
      <w:ind w:left="0" w:firstLine="420"/>
      <w:spacing w:after="0" w:line="360" w:lineRule="auto"/>
    </w:pPr>
    <w:rPr>
      <w:rFonts w:ascii="宋体" w:hAnsi="宋体"/>
      <w:szCs w:val="20"/>
    </w:rPr>
  </w:style>
  <w:style w:type="character" w:styleId="934" w:customStyle="1">
    <w:name w:val="NormalCharacter"/>
    <w:uiPriority w:val="0"/>
    <w:qFormat/>
  </w:style>
  <w:style w:type="paragraph" w:styleId="935" w:customStyle="1">
    <w:name w:val="p0"/>
    <w:basedOn w:val="702"/>
    <w:uiPriority w:val="0"/>
    <w:qFormat/>
    <w:pPr>
      <w:spacing w:before="100" w:beforeAutospacing="1" w:after="100" w:afterAutospacing="1"/>
      <w:widowControl/>
    </w:pPr>
    <w:rPr>
      <w:sz w:val="24"/>
      <w:szCs w:val="24"/>
      <w:lang w:eastAsia="zh-CN"/>
    </w:rPr>
  </w:style>
  <w:style w:type="paragraph" w:styleId="936" w:customStyle="1">
    <w:name w:val="标题 111"/>
    <w:basedOn w:val="702"/>
    <w:next w:val="702"/>
    <w:uiPriority w:val="0"/>
    <w:qFormat/>
    <w:pPr>
      <w:keepLines/>
      <w:keepNext/>
      <w:spacing w:before="340" w:after="330" w:line="576" w:lineRule="auto"/>
      <w:outlineLvl w:val="0"/>
    </w:pPr>
    <w:rPr>
      <w:b/>
      <w:bCs/>
      <w:sz w:val="44"/>
      <w:szCs w:val="44"/>
    </w:rPr>
  </w:style>
  <w:style w:type="paragraph" w:styleId="937" w:customStyle="1">
    <w:name w:val="正文文本首行缩进 2"/>
    <w:basedOn w:val="938"/>
    <w:next w:val="702"/>
    <w:uiPriority w:val="0"/>
    <w:qFormat/>
    <w:pPr>
      <w:ind w:left="0" w:firstLine="420"/>
      <w:spacing w:after="0" w:line="360" w:lineRule="auto"/>
    </w:pPr>
    <w:rPr>
      <w:rFonts w:ascii="宋体" w:hAnsi="宋体"/>
      <w:sz w:val="20"/>
      <w:szCs w:val="20"/>
      <w:lang w:val="en-US" w:eastAsia="en-US"/>
    </w:rPr>
  </w:style>
  <w:style w:type="paragraph" w:styleId="938" w:customStyle="1">
    <w:name w:val="正文文本缩进111"/>
    <w:basedOn w:val="702"/>
    <w:next w:val="939"/>
    <w:uiPriority w:val="0"/>
    <w:unhideWhenUsed/>
    <w:qFormat/>
    <w:pPr>
      <w:ind w:left="420"/>
      <w:spacing w:after="120"/>
    </w:pPr>
  </w:style>
  <w:style w:type="paragraph" w:styleId="939" w:customStyle="1">
    <w:name w:val="寄信人地址11"/>
    <w:basedOn w:val="702"/>
    <w:uiPriority w:val="0"/>
    <w:qFormat/>
    <w:rPr>
      <w:rFonts w:ascii="Arial" w:hAnsi="Arial" w:eastAsia="宋体" w:cs="宋体"/>
    </w:rPr>
  </w:style>
  <w:style w:type="paragraph" w:styleId="940" w:customStyle="1">
    <w:name w:val="Char"/>
    <w:basedOn w:val="702"/>
    <w:uiPriority w:val="0"/>
    <w:qFormat/>
    <w:pPr>
      <w:ind w:firstLine="200"/>
      <w:tabs>
        <w:tab w:val="left" w:pos="360" w:leader="none"/>
      </w:tabs>
    </w:pPr>
    <w:rPr>
      <w:rFonts w:ascii="Times New Roman" w:hAnsi="Times New Roman" w:eastAsia="宋体" w:cs="Times New Roman"/>
      <w:sz w:val="28"/>
      <w:szCs w:val="30"/>
    </w:rPr>
  </w:style>
  <w:style w:type="paragraph" w:styleId="941" w:customStyle="1">
    <w:name w:val="普通正文"/>
    <w:basedOn w:val="702"/>
    <w:uiPriority w:val="0"/>
    <w:qFormat/>
    <w:pPr>
      <w:ind w:firstLine="480"/>
      <w:jc w:val="left"/>
      <w:spacing w:before="120" w:after="120" w:line="360" w:lineRule="auto"/>
    </w:pPr>
    <w:rPr>
      <w:rFonts w:ascii="Arial" w:hAnsi="Arial" w:eastAsia="宋体" w:cs="Times New Roman"/>
      <w:sz w:val="24"/>
      <w:szCs w:val="24"/>
    </w:rPr>
  </w:style>
  <w:style w:type="paragraph" w:styleId="942" w:customStyle="1">
    <w:name w:val="索引 41"/>
    <w:basedOn w:val="702"/>
    <w:next w:val="702"/>
    <w:uiPriority w:val="0"/>
    <w:semiHidden/>
    <w:qFormat/>
    <w:pPr>
      <w:ind w:left="1260"/>
    </w:pPr>
    <w:rPr>
      <w:rFonts w:ascii="Calibri" w:hAnsi="Calibri" w:eastAsia="Calibri" w:cs="宋体"/>
      <w:sz w:val="20"/>
      <w:lang w:val="zh-CN"/>
    </w:rPr>
  </w:style>
  <w:style w:type="character" w:styleId="943" w:customStyle="1">
    <w:name w:val="强调1"/>
    <w:uiPriority w:val="0"/>
    <w:qFormat/>
    <w:rPr>
      <w:sz w:val="21"/>
      <w:szCs w:val="22"/>
      <w:lang w:val="en-US" w:eastAsia="zh-CN" w:bidi="ar-SA"/>
    </w:rPr>
  </w:style>
  <w:style w:type="paragraph" w:styleId="944" w:customStyle="1">
    <w:name w:val="页眉1"/>
    <w:basedOn w:val="702"/>
    <w:uiPriority w:val="0"/>
    <w:qFormat/>
    <w:pPr>
      <w:jc w:val="center"/>
      <w:tabs>
        <w:tab w:val="center" w:pos="4153" w:leader="none"/>
        <w:tab w:val="right" w:pos="8306" w:leader="none"/>
      </w:tabs>
      <w:pBdr>
        <w:bottom w:val="single" w:color="000000" w:sz="6" w:space="1"/>
      </w:pBdr>
    </w:pPr>
    <w:rPr>
      <w:sz w:val="18"/>
      <w:szCs w:val="18"/>
    </w:rPr>
  </w:style>
  <w:style w:type="paragraph" w:styleId="945" w:customStyle="1">
    <w:name w:val="正文文本11"/>
    <w:basedOn w:val="702"/>
    <w:next w:val="946"/>
    <w:uiPriority w:val="99"/>
    <w:qFormat/>
    <w:pPr>
      <w:ind w:left="117"/>
      <w:spacing w:before="159"/>
    </w:pPr>
    <w:rPr>
      <w:rFonts w:ascii="宋体" w:hAnsi="宋体" w:eastAsia="宋体"/>
      <w:szCs w:val="21"/>
    </w:rPr>
  </w:style>
  <w:style w:type="paragraph" w:styleId="946" w:customStyle="1">
    <w:name w:val="目录 21"/>
    <w:basedOn w:val="702"/>
    <w:next w:val="702"/>
    <w:uiPriority w:val="39"/>
    <w:qFormat/>
    <w:pPr>
      <w:ind w:left="420"/>
    </w:pPr>
  </w:style>
  <w:style w:type="numbering" w:styleId="75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吴珍玲</cp:lastModifiedBy>
  <cp:revision>4</cp:revision>
  <dcterms:created xsi:type="dcterms:W3CDTF">2020-08-10T17:22:00Z</dcterms:created>
  <dcterms:modified xsi:type="dcterms:W3CDTF">2026-09-14T08:27:01Z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2020-07-24T00:00:00Z</vt:filetime>
  </property>
  <property fmtid="{D5CDD505-2E9C-101B-9397-08002B2CF9AE}" pid="3" name="Creator">
    <vt:lpwstr>WPS 文字</vt:lpwstr>
  </property>
  <property fmtid="{D5CDD505-2E9C-101B-9397-08002B2CF9AE}" pid="4" name="DocSecurity">
    <vt:i4>0</vt:i4>
  </property>
  <property fmtid="{D5CDD505-2E9C-101B-9397-08002B2CF9AE}" pid="5" name="KSOProductBuildVer">
    <vt:lpwstr>2052-12.1.0.28505</vt:lpwstr>
  </property>
  <property fmtid="{D5CDD505-2E9C-101B-9397-08002B2CF9AE}" pid="6" name="LastSaved">
    <vt:filetime>2020-08-10T00:00:00Z</vt:filetime>
  </property>
  <property fmtid="{D5CDD505-2E9C-101B-9397-08002B2CF9AE}" pid="7" name="LinksUpToDate">
    <vt:bool>false</vt:bool>
  </property>
  <property fmtid="{D5CDD505-2E9C-101B-9397-08002B2CF9AE}" pid="8" name="ScaleCrop">
    <vt:bool>false</vt:bool>
  </property>
  <property fmtid="{D5CDD505-2E9C-101B-9397-08002B2CF9AE}" pid="9" name="ICV">
    <vt:lpwstr>2C7C4427FB45479CB8FCF8618F521437_13</vt:lpwstr>
  </property>
  <property fmtid="{D5CDD505-2E9C-101B-9397-08002B2CF9AE}" pid="10" name="KSOTemplateDocerSaveRecord">
    <vt:lpwstr>eyJoZGlkIjoiNGU5NjkwYjc1Nzc4YTRhNDNkNjMzMWY0ZmQ4ZjE5NDIiLCJ1c2VySWQiOiI3MDY3NDc3MjQifQ==</vt:lpwstr>
  </property>
</Properties>
</file>