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643FFC">
      <w:pPr>
        <w:spacing w:line="360" w:lineRule="auto"/>
        <w:ind w:firstLine="160"/>
        <w:rPr>
          <w:rFonts w:hint="eastAsia" w:ascii="CESI黑体-GB2312" w:hAnsi="CESI黑体-GB2312" w:eastAsia="CESI黑体-GB2312" w:cs="CESI黑体-GB2312"/>
          <w:color w:val="auto"/>
          <w:sz w:val="32"/>
          <w:szCs w:val="32"/>
          <w:highlight w:val="none"/>
          <w:lang w:eastAsia="zh-CN"/>
        </w:rPr>
      </w:pPr>
      <w:bookmarkStart w:id="1234" w:name="_GoBack"/>
      <w:r>
        <w:rPr>
          <w:rFonts w:hint="eastAsia" w:ascii="CESI黑体-GB2312" w:hAnsi="CESI黑体-GB2312" w:eastAsia="CESI黑体-GB2312" w:cs="CESI黑体-GB2312"/>
          <w:color w:val="auto"/>
          <w:sz w:val="32"/>
          <w:szCs w:val="32"/>
          <w:highlight w:val="none"/>
        </w:rPr>
        <w:t xml:space="preserve"> </w:t>
      </w:r>
    </w:p>
    <w:p w14:paraId="789F5BC9">
      <w:pPr>
        <w:jc w:val="center"/>
        <w:rPr>
          <w:rFonts w:hint="default"/>
          <w:b/>
          <w:bCs/>
          <w:color w:val="auto"/>
          <w:sz w:val="60"/>
          <w:szCs w:val="60"/>
          <w:highlight w:val="none"/>
          <w:lang w:val="en-US"/>
        </w:rPr>
      </w:pPr>
      <w:r>
        <w:rPr>
          <w:rFonts w:hint="eastAsia"/>
          <w:b/>
          <w:bCs/>
          <w:color w:val="auto"/>
          <w:sz w:val="44"/>
          <w:szCs w:val="44"/>
          <w:highlight w:val="none"/>
          <w:lang w:eastAsia="zh-CN"/>
        </w:rPr>
        <w:t>XG080319地块土方回填工程</w:t>
      </w:r>
    </w:p>
    <w:p w14:paraId="138BFDA7">
      <w:pPr>
        <w:jc w:val="center"/>
        <w:rPr>
          <w:b/>
          <w:bCs/>
          <w:color w:val="auto"/>
          <w:sz w:val="60"/>
          <w:szCs w:val="60"/>
          <w:highlight w:val="none"/>
        </w:rPr>
      </w:pPr>
    </w:p>
    <w:p w14:paraId="3EEC3D7C">
      <w:pPr>
        <w:pStyle w:val="4"/>
        <w:rPr>
          <w:b/>
          <w:bCs/>
          <w:color w:val="auto"/>
          <w:sz w:val="60"/>
          <w:szCs w:val="60"/>
          <w:highlight w:val="none"/>
        </w:rPr>
      </w:pPr>
    </w:p>
    <w:p w14:paraId="30191B5E">
      <w:pPr>
        <w:rPr>
          <w:color w:val="auto"/>
          <w:highlight w:val="none"/>
        </w:rPr>
      </w:pPr>
    </w:p>
    <w:p w14:paraId="012B07E7">
      <w:pPr>
        <w:jc w:val="center"/>
        <w:rPr>
          <w:b/>
          <w:bCs/>
          <w:color w:val="auto"/>
          <w:sz w:val="60"/>
          <w:szCs w:val="60"/>
          <w:highlight w:val="none"/>
        </w:rPr>
      </w:pPr>
      <w:r>
        <w:rPr>
          <w:rFonts w:hint="eastAsia"/>
          <w:b/>
          <w:bCs/>
          <w:color w:val="auto"/>
          <w:sz w:val="60"/>
          <w:szCs w:val="60"/>
          <w:highlight w:val="none"/>
        </w:rPr>
        <w:t>竞</w:t>
      </w:r>
      <w:r>
        <w:rPr>
          <w:b/>
          <w:bCs/>
          <w:color w:val="auto"/>
          <w:sz w:val="60"/>
          <w:szCs w:val="60"/>
          <w:highlight w:val="none"/>
        </w:rPr>
        <w:t>争性磋商文件</w:t>
      </w:r>
    </w:p>
    <w:p w14:paraId="68621229">
      <w:pPr>
        <w:spacing w:line="360" w:lineRule="auto"/>
        <w:jc w:val="center"/>
        <w:rPr>
          <w:rFonts w:ascii="宋体" w:hAnsi="宋体"/>
          <w:b/>
          <w:bCs/>
          <w:color w:val="auto"/>
          <w:sz w:val="60"/>
          <w:szCs w:val="60"/>
          <w:highlight w:val="none"/>
        </w:rPr>
      </w:pPr>
    </w:p>
    <w:p w14:paraId="1F7F6444">
      <w:pPr>
        <w:spacing w:line="360" w:lineRule="auto"/>
        <w:jc w:val="center"/>
        <w:rPr>
          <w:rFonts w:ascii="宋体" w:hAnsi="宋体"/>
          <w:b/>
          <w:bCs/>
          <w:color w:val="auto"/>
          <w:sz w:val="60"/>
          <w:szCs w:val="60"/>
          <w:highlight w:val="none"/>
        </w:rPr>
      </w:pPr>
    </w:p>
    <w:p w14:paraId="2A6290E9">
      <w:pPr>
        <w:spacing w:line="360" w:lineRule="auto"/>
        <w:jc w:val="center"/>
        <w:rPr>
          <w:rFonts w:ascii="宋体" w:hAnsi="宋体"/>
          <w:b/>
          <w:bCs/>
          <w:color w:val="auto"/>
          <w:sz w:val="60"/>
          <w:szCs w:val="60"/>
          <w:highlight w:val="none"/>
        </w:rPr>
      </w:pPr>
    </w:p>
    <w:p w14:paraId="2B62B6A8">
      <w:pPr>
        <w:tabs>
          <w:tab w:val="left" w:pos="3240"/>
          <w:tab w:val="left" w:pos="3420"/>
        </w:tabs>
        <w:spacing w:line="360" w:lineRule="auto"/>
        <w:ind w:left="2832" w:hanging="1900"/>
        <w:jc w:val="left"/>
        <w:rPr>
          <w:rFonts w:hint="default"/>
          <w:bCs/>
          <w:color w:val="auto"/>
          <w:sz w:val="36"/>
          <w:szCs w:val="36"/>
          <w:highlight w:val="none"/>
          <w:lang w:val="en-US" w:eastAsia="zh-CN"/>
        </w:rPr>
      </w:pPr>
      <w:r>
        <w:rPr>
          <w:bCs/>
          <w:color w:val="auto"/>
          <w:sz w:val="36"/>
          <w:szCs w:val="36"/>
          <w:highlight w:val="none"/>
        </w:rPr>
        <w:t>项目名称：</w:t>
      </w:r>
      <w:r>
        <w:rPr>
          <w:rFonts w:hint="eastAsia"/>
          <w:bCs/>
          <w:color w:val="auto"/>
          <w:sz w:val="36"/>
          <w:szCs w:val="36"/>
          <w:highlight w:val="none"/>
          <w:lang w:eastAsia="zh-CN"/>
        </w:rPr>
        <w:t>XG080319地块土方回填工程</w:t>
      </w:r>
    </w:p>
    <w:p w14:paraId="72BEB44C">
      <w:pPr>
        <w:tabs>
          <w:tab w:val="left" w:pos="3240"/>
          <w:tab w:val="left" w:pos="3420"/>
        </w:tabs>
        <w:spacing w:line="360" w:lineRule="auto"/>
        <w:ind w:left="2832" w:hanging="1900"/>
        <w:jc w:val="left"/>
        <w:rPr>
          <w:rFonts w:hint="default" w:eastAsia="宋体"/>
          <w:bCs/>
          <w:color w:val="auto"/>
          <w:sz w:val="36"/>
          <w:szCs w:val="36"/>
          <w:highlight w:val="none"/>
          <w:lang w:val="en-US" w:eastAsia="zh-CN"/>
        </w:rPr>
      </w:pPr>
      <w:r>
        <w:rPr>
          <w:bCs/>
          <w:color w:val="auto"/>
          <w:sz w:val="36"/>
          <w:szCs w:val="36"/>
          <w:highlight w:val="none"/>
        </w:rPr>
        <w:t>项目编号：</w:t>
      </w:r>
      <w:r>
        <w:rPr>
          <w:rFonts w:hint="eastAsia" w:cs="Times New Roman"/>
          <w:bCs/>
          <w:color w:val="auto"/>
          <w:sz w:val="36"/>
          <w:szCs w:val="36"/>
          <w:highlight w:val="none"/>
          <w:lang w:val="en-US" w:eastAsia="zh-CN"/>
        </w:rPr>
        <w:t>JSZC-320411001-CZAF-C2026-0003</w:t>
      </w:r>
      <w:r>
        <w:rPr>
          <w:rFonts w:hint="eastAsia" w:cs="Times New Roman"/>
          <w:bCs/>
          <w:color w:val="auto"/>
          <w:sz w:val="36"/>
          <w:szCs w:val="36"/>
          <w:highlight w:val="none"/>
          <w:lang w:val="en-US" w:eastAsia="zh-CN"/>
        </w:rPr>
        <w:tab/>
      </w:r>
      <w:r>
        <w:rPr>
          <w:rFonts w:hint="eastAsia" w:cs="Times New Roman"/>
          <w:bCs/>
          <w:color w:val="auto"/>
          <w:sz w:val="36"/>
          <w:szCs w:val="36"/>
          <w:highlight w:val="none"/>
          <w:lang w:val="en-US" w:eastAsia="zh-CN"/>
        </w:rPr>
        <w:t xml:space="preserve"> </w:t>
      </w:r>
    </w:p>
    <w:p w14:paraId="15125732">
      <w:pPr>
        <w:tabs>
          <w:tab w:val="left" w:pos="3240"/>
          <w:tab w:val="left" w:pos="3420"/>
        </w:tabs>
        <w:spacing w:line="360" w:lineRule="auto"/>
        <w:ind w:left="2832" w:hanging="1900"/>
        <w:jc w:val="left"/>
        <w:rPr>
          <w:rFonts w:hint="default" w:eastAsia="宋体"/>
          <w:bCs/>
          <w:color w:val="auto"/>
          <w:sz w:val="36"/>
          <w:szCs w:val="36"/>
          <w:highlight w:val="none"/>
          <w:lang w:val="en-US" w:eastAsia="zh-CN"/>
        </w:rPr>
      </w:pPr>
      <w:r>
        <w:rPr>
          <w:bCs/>
          <w:color w:val="auto"/>
          <w:sz w:val="36"/>
          <w:szCs w:val="36"/>
          <w:highlight w:val="none"/>
        </w:rPr>
        <w:t>采 购 人：</w:t>
      </w:r>
      <w:r>
        <w:rPr>
          <w:rFonts w:hint="eastAsia"/>
          <w:bCs/>
          <w:color w:val="auto"/>
          <w:sz w:val="36"/>
          <w:szCs w:val="36"/>
          <w:highlight w:val="none"/>
          <w:lang w:eastAsia="zh-CN"/>
        </w:rPr>
        <w:t>江苏常州滨江经济开发区管理委员会</w:t>
      </w:r>
    </w:p>
    <w:p w14:paraId="181BDE28">
      <w:pPr>
        <w:tabs>
          <w:tab w:val="left" w:pos="3240"/>
          <w:tab w:val="left" w:pos="3420"/>
        </w:tabs>
        <w:spacing w:line="360" w:lineRule="auto"/>
        <w:ind w:left="2832" w:hanging="1900"/>
        <w:jc w:val="left"/>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常州安丰工程项目管理有限公司</w:t>
      </w:r>
    </w:p>
    <w:p w14:paraId="792E2EF6">
      <w:pPr>
        <w:spacing w:before="100" w:after="240" w:line="500" w:lineRule="exact"/>
        <w:jc w:val="center"/>
        <w:rPr>
          <w:b/>
          <w:bCs/>
          <w:color w:val="auto"/>
          <w:sz w:val="44"/>
          <w:highlight w:val="none"/>
        </w:rPr>
      </w:pPr>
      <w:r>
        <w:rPr>
          <w:b/>
          <w:bCs/>
          <w:color w:val="auto"/>
          <w:sz w:val="44"/>
          <w:highlight w:val="none"/>
        </w:rPr>
        <w:br w:type="page" w:clear="all"/>
      </w:r>
      <w:bookmarkStart w:id="0" w:name="_Toc104818924"/>
    </w:p>
    <w:p w14:paraId="456D1232">
      <w:pPr>
        <w:spacing w:before="100" w:after="240" w:line="500" w:lineRule="exact"/>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bookmarkEnd w:id="0"/>
    </w:p>
    <w:p w14:paraId="4B4FB20A">
      <w:pPr>
        <w:spacing w:line="360" w:lineRule="auto"/>
        <w:rPr>
          <w:rFonts w:hint="eastAsia" w:ascii="宋体" w:hAnsi="宋体" w:cs="宋体"/>
          <w:color w:val="auto"/>
          <w:sz w:val="32"/>
          <w:szCs w:val="32"/>
          <w:highlight w:val="none"/>
        </w:rPr>
      </w:pPr>
    </w:p>
    <w:p w14:paraId="069F156A">
      <w:pPr>
        <w:pStyle w:val="29"/>
        <w:spacing w:line="360" w:lineRule="auto"/>
        <w:rPr>
          <w:rStyle w:val="46"/>
          <w:rFonts w:hint="eastAsia" w:cs="宋体"/>
          <w:color w:val="auto"/>
          <w:sz w:val="32"/>
          <w:szCs w:val="32"/>
          <w:highlight w:val="none"/>
        </w:rPr>
      </w:pP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TOC \o "1-1" \h \u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HYPERLINK \l _Toc8614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第一章   采购邀请</w:t>
      </w:r>
      <w:r>
        <w:rPr>
          <w:rStyle w:val="46"/>
          <w:rFonts w:hint="eastAsia" w:cs="宋体"/>
          <w:color w:val="auto"/>
          <w:sz w:val="32"/>
          <w:szCs w:val="32"/>
          <w:highlight w:val="none"/>
        </w:rPr>
        <w:tab/>
      </w: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PAGEREF _Toc8614 \h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1</w:t>
      </w:r>
      <w:r>
        <w:rPr>
          <w:rStyle w:val="46"/>
          <w:rFonts w:hint="eastAsia" w:cs="宋体"/>
          <w:color w:val="auto"/>
          <w:sz w:val="32"/>
          <w:szCs w:val="32"/>
          <w:highlight w:val="none"/>
        </w:rPr>
        <w:fldChar w:fldCharType="end"/>
      </w:r>
      <w:r>
        <w:rPr>
          <w:rStyle w:val="46"/>
          <w:rFonts w:hint="eastAsia" w:cs="宋体"/>
          <w:color w:val="auto"/>
          <w:sz w:val="32"/>
          <w:szCs w:val="32"/>
          <w:highlight w:val="none"/>
        </w:rPr>
        <w:fldChar w:fldCharType="end"/>
      </w:r>
    </w:p>
    <w:p w14:paraId="5B83D46F">
      <w:pPr>
        <w:pStyle w:val="29"/>
        <w:spacing w:line="360" w:lineRule="auto"/>
        <w:rPr>
          <w:rStyle w:val="46"/>
          <w:rFonts w:hint="eastAsia" w:cs="宋体"/>
          <w:color w:val="auto"/>
          <w:sz w:val="32"/>
          <w:szCs w:val="32"/>
          <w:highlight w:val="none"/>
        </w:rPr>
      </w:pP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HYPERLINK \l _Toc5724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第二章   供应商须知</w:t>
      </w:r>
      <w:r>
        <w:rPr>
          <w:rStyle w:val="46"/>
          <w:rFonts w:hint="eastAsia" w:cs="宋体"/>
          <w:color w:val="auto"/>
          <w:sz w:val="32"/>
          <w:szCs w:val="32"/>
          <w:highlight w:val="none"/>
        </w:rPr>
        <w:tab/>
      </w: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PAGEREF _Toc5724 \h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5</w:t>
      </w:r>
      <w:r>
        <w:rPr>
          <w:rStyle w:val="46"/>
          <w:rFonts w:hint="eastAsia" w:cs="宋体"/>
          <w:color w:val="auto"/>
          <w:sz w:val="32"/>
          <w:szCs w:val="32"/>
          <w:highlight w:val="none"/>
        </w:rPr>
        <w:fldChar w:fldCharType="end"/>
      </w:r>
      <w:r>
        <w:rPr>
          <w:rStyle w:val="46"/>
          <w:rFonts w:hint="eastAsia" w:cs="宋体"/>
          <w:color w:val="auto"/>
          <w:sz w:val="32"/>
          <w:szCs w:val="32"/>
          <w:highlight w:val="none"/>
        </w:rPr>
        <w:fldChar w:fldCharType="end"/>
      </w:r>
    </w:p>
    <w:p w14:paraId="2A7D7B1A">
      <w:pPr>
        <w:pStyle w:val="29"/>
        <w:spacing w:line="360" w:lineRule="auto"/>
        <w:rPr>
          <w:rStyle w:val="46"/>
          <w:rFonts w:hint="eastAsia" w:cs="宋体"/>
          <w:color w:val="auto"/>
          <w:sz w:val="32"/>
          <w:szCs w:val="32"/>
          <w:highlight w:val="none"/>
        </w:rPr>
      </w:pP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HYPERLINK \l _Toc2600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第三章   评审程序、评审方法和评审标准</w:t>
      </w:r>
      <w:r>
        <w:rPr>
          <w:rStyle w:val="46"/>
          <w:rFonts w:hint="eastAsia" w:cs="宋体"/>
          <w:color w:val="auto"/>
          <w:sz w:val="32"/>
          <w:szCs w:val="32"/>
          <w:highlight w:val="none"/>
        </w:rPr>
        <w:tab/>
      </w: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PAGEREF _Toc2600 \h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7</w:t>
      </w:r>
      <w:r>
        <w:rPr>
          <w:rStyle w:val="46"/>
          <w:rFonts w:hint="eastAsia" w:cs="宋体"/>
          <w:color w:val="auto"/>
          <w:sz w:val="32"/>
          <w:szCs w:val="32"/>
          <w:highlight w:val="none"/>
        </w:rPr>
        <w:fldChar w:fldCharType="end"/>
      </w:r>
      <w:r>
        <w:rPr>
          <w:rStyle w:val="46"/>
          <w:rFonts w:hint="eastAsia" w:cs="宋体"/>
          <w:color w:val="auto"/>
          <w:sz w:val="32"/>
          <w:szCs w:val="32"/>
          <w:highlight w:val="none"/>
        </w:rPr>
        <w:fldChar w:fldCharType="end"/>
      </w:r>
    </w:p>
    <w:p w14:paraId="7E798FD1">
      <w:pPr>
        <w:pStyle w:val="29"/>
        <w:spacing w:line="360" w:lineRule="auto"/>
        <w:rPr>
          <w:rStyle w:val="46"/>
          <w:rFonts w:hint="eastAsia" w:cs="宋体"/>
          <w:color w:val="auto"/>
          <w:sz w:val="32"/>
          <w:szCs w:val="32"/>
          <w:highlight w:val="none"/>
        </w:rPr>
      </w:pP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HYPERLINK \l _Toc8874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第四章   采购需求</w:t>
      </w:r>
      <w:r>
        <w:rPr>
          <w:rStyle w:val="46"/>
          <w:rFonts w:hint="eastAsia" w:cs="宋体"/>
          <w:color w:val="auto"/>
          <w:sz w:val="32"/>
          <w:szCs w:val="32"/>
          <w:highlight w:val="none"/>
        </w:rPr>
        <w:tab/>
      </w: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PAGEREF _Toc8874 \h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35</w:t>
      </w:r>
      <w:r>
        <w:rPr>
          <w:rStyle w:val="46"/>
          <w:rFonts w:hint="eastAsia" w:cs="宋体"/>
          <w:color w:val="auto"/>
          <w:sz w:val="32"/>
          <w:szCs w:val="32"/>
          <w:highlight w:val="none"/>
        </w:rPr>
        <w:fldChar w:fldCharType="end"/>
      </w:r>
      <w:r>
        <w:rPr>
          <w:rStyle w:val="46"/>
          <w:rFonts w:hint="eastAsia" w:cs="宋体"/>
          <w:color w:val="auto"/>
          <w:sz w:val="32"/>
          <w:szCs w:val="32"/>
          <w:highlight w:val="none"/>
        </w:rPr>
        <w:fldChar w:fldCharType="end"/>
      </w:r>
    </w:p>
    <w:p w14:paraId="36DC0B3C">
      <w:pPr>
        <w:pStyle w:val="29"/>
        <w:spacing w:line="360" w:lineRule="auto"/>
        <w:rPr>
          <w:rStyle w:val="46"/>
          <w:rFonts w:hint="eastAsia" w:eastAsia="宋体" w:cs="宋体"/>
          <w:color w:val="auto"/>
          <w:sz w:val="32"/>
          <w:szCs w:val="32"/>
          <w:highlight w:val="none"/>
          <w:lang w:val="en-US" w:eastAsia="zh-CN"/>
        </w:rPr>
      </w:pP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HYPERLINK \l _Toc104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第五章   合同草案条款</w:t>
      </w:r>
      <w:r>
        <w:rPr>
          <w:rStyle w:val="46"/>
          <w:rFonts w:hint="eastAsia" w:cs="宋体"/>
          <w:color w:val="auto"/>
          <w:sz w:val="32"/>
          <w:szCs w:val="32"/>
          <w:highlight w:val="none"/>
        </w:rPr>
        <w:tab/>
      </w:r>
      <w:r>
        <w:rPr>
          <w:rStyle w:val="46"/>
          <w:rFonts w:hint="eastAsia" w:cs="宋体"/>
          <w:color w:val="auto"/>
          <w:sz w:val="32"/>
          <w:szCs w:val="32"/>
          <w:highlight w:val="none"/>
          <w:lang w:val="en-US" w:eastAsia="zh-CN"/>
        </w:rPr>
        <w:t>3</w:t>
      </w:r>
      <w:r>
        <w:rPr>
          <w:rStyle w:val="46"/>
          <w:rFonts w:hint="eastAsia" w:cs="宋体"/>
          <w:color w:val="auto"/>
          <w:sz w:val="32"/>
          <w:szCs w:val="32"/>
          <w:highlight w:val="none"/>
        </w:rPr>
        <w:fldChar w:fldCharType="end"/>
      </w:r>
      <w:r>
        <w:rPr>
          <w:rStyle w:val="46"/>
          <w:rFonts w:hint="eastAsia" w:cs="宋体"/>
          <w:color w:val="auto"/>
          <w:sz w:val="32"/>
          <w:szCs w:val="32"/>
          <w:highlight w:val="none"/>
          <w:lang w:val="en-US" w:eastAsia="zh-CN"/>
        </w:rPr>
        <w:t>3</w:t>
      </w:r>
    </w:p>
    <w:p w14:paraId="2C99C824">
      <w:pPr>
        <w:pStyle w:val="29"/>
        <w:spacing w:line="360" w:lineRule="auto"/>
        <w:rPr>
          <w:rStyle w:val="46"/>
          <w:rFonts w:hint="eastAsia" w:cs="宋体"/>
          <w:color w:val="auto"/>
          <w:sz w:val="32"/>
          <w:szCs w:val="32"/>
          <w:highlight w:val="none"/>
        </w:rPr>
      </w:pP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HYPERLINK \l _Toc10386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第六章   响应文件格式</w:t>
      </w:r>
      <w:r>
        <w:rPr>
          <w:rStyle w:val="46"/>
          <w:rFonts w:hint="eastAsia" w:cs="宋体"/>
          <w:color w:val="auto"/>
          <w:sz w:val="32"/>
          <w:szCs w:val="32"/>
          <w:highlight w:val="none"/>
        </w:rPr>
        <w:tab/>
      </w:r>
      <w:r>
        <w:rPr>
          <w:rStyle w:val="46"/>
          <w:rFonts w:hint="eastAsia" w:cs="宋体"/>
          <w:color w:val="auto"/>
          <w:sz w:val="32"/>
          <w:szCs w:val="32"/>
          <w:highlight w:val="none"/>
        </w:rPr>
        <w:fldChar w:fldCharType="begin"/>
      </w:r>
      <w:r>
        <w:rPr>
          <w:rStyle w:val="46"/>
          <w:rFonts w:hint="eastAsia" w:cs="宋体"/>
          <w:color w:val="auto"/>
          <w:sz w:val="32"/>
          <w:szCs w:val="32"/>
          <w:highlight w:val="none"/>
        </w:rPr>
        <w:instrText xml:space="preserve"> PAGEREF _Toc10386 \h </w:instrText>
      </w:r>
      <w:r>
        <w:rPr>
          <w:rStyle w:val="46"/>
          <w:rFonts w:hint="eastAsia" w:cs="宋体"/>
          <w:color w:val="auto"/>
          <w:sz w:val="32"/>
          <w:szCs w:val="32"/>
          <w:highlight w:val="none"/>
        </w:rPr>
        <w:fldChar w:fldCharType="separate"/>
      </w:r>
      <w:r>
        <w:rPr>
          <w:rStyle w:val="46"/>
          <w:rFonts w:hint="eastAsia" w:cs="宋体"/>
          <w:color w:val="auto"/>
          <w:sz w:val="32"/>
          <w:szCs w:val="32"/>
          <w:highlight w:val="none"/>
        </w:rPr>
        <w:t>64</w:t>
      </w:r>
      <w:r>
        <w:rPr>
          <w:rStyle w:val="46"/>
          <w:rFonts w:hint="eastAsia" w:cs="宋体"/>
          <w:color w:val="auto"/>
          <w:sz w:val="32"/>
          <w:szCs w:val="32"/>
          <w:highlight w:val="none"/>
        </w:rPr>
        <w:fldChar w:fldCharType="end"/>
      </w:r>
      <w:r>
        <w:rPr>
          <w:rStyle w:val="46"/>
          <w:rFonts w:hint="eastAsia" w:cs="宋体"/>
          <w:color w:val="auto"/>
          <w:sz w:val="32"/>
          <w:szCs w:val="32"/>
          <w:highlight w:val="none"/>
        </w:rPr>
        <w:fldChar w:fldCharType="end"/>
      </w:r>
    </w:p>
    <w:p w14:paraId="70BCB3FD">
      <w:pPr>
        <w:pStyle w:val="29"/>
        <w:spacing w:line="360" w:lineRule="auto"/>
        <w:rPr>
          <w:rFonts w:hint="eastAsia" w:cs="宋体"/>
          <w:b w:val="0"/>
          <w:color w:val="auto"/>
          <w:sz w:val="32"/>
          <w:szCs w:val="32"/>
          <w:highlight w:val="none"/>
        </w:rPr>
      </w:pPr>
      <w:r>
        <w:rPr>
          <w:rStyle w:val="46"/>
          <w:rFonts w:hint="eastAsia" w:cs="宋体"/>
          <w:color w:val="auto"/>
          <w:sz w:val="32"/>
          <w:szCs w:val="32"/>
          <w:highlight w:val="none"/>
        </w:rPr>
        <w:fldChar w:fldCharType="end"/>
      </w:r>
    </w:p>
    <w:p w14:paraId="55F8A7BA">
      <w:pPr>
        <w:pStyle w:val="29"/>
        <w:spacing w:line="360" w:lineRule="auto"/>
        <w:rPr>
          <w:rFonts w:hint="eastAsia" w:cs="宋体"/>
          <w:b w:val="0"/>
          <w:color w:val="auto"/>
          <w:sz w:val="32"/>
          <w:szCs w:val="32"/>
          <w:highlight w:val="none"/>
        </w:rPr>
      </w:pPr>
    </w:p>
    <w:p w14:paraId="12D6C05E">
      <w:pPr>
        <w:spacing w:line="360" w:lineRule="auto"/>
        <w:jc w:val="center"/>
        <w:rPr>
          <w:rFonts w:hint="eastAsia" w:ascii="宋体" w:hAnsi="宋体" w:cs="宋体"/>
          <w:b/>
          <w:color w:val="auto"/>
          <w:sz w:val="32"/>
          <w:szCs w:val="32"/>
          <w:highlight w:val="none"/>
        </w:rPr>
        <w:sectPr>
          <w:headerReference r:id="rId5" w:type="first"/>
          <w:footerReference r:id="rId8" w:type="first"/>
          <w:headerReference r:id="rId3" w:type="default"/>
          <w:footerReference r:id="rId6" w:type="default"/>
          <w:headerReference r:id="rId4" w:type="even"/>
          <w:footerReference r:id="rId7" w:type="even"/>
          <w:pgSz w:w="11907" w:h="16840" w:orient="landscape"/>
          <w:pgMar w:top="1418" w:right="1134" w:bottom="1418" w:left="1701" w:header="851" w:footer="851" w:gutter="0"/>
          <w:pgNumType w:start="1"/>
          <w:cols w:space="720" w:num="1"/>
        </w:sectPr>
      </w:pPr>
    </w:p>
    <w:p w14:paraId="5E45B0E9">
      <w:pPr>
        <w:spacing w:line="360" w:lineRule="auto"/>
        <w:jc w:val="center"/>
        <w:outlineLvl w:val="0"/>
        <w:rPr>
          <w:b/>
          <w:color w:val="auto"/>
          <w:sz w:val="36"/>
          <w:szCs w:val="36"/>
          <w:highlight w:val="none"/>
        </w:rPr>
      </w:pPr>
      <w:bookmarkStart w:id="1" w:name="_Toc104818925"/>
      <w:bookmarkStart w:id="2" w:name="_Toc8614"/>
      <w:r>
        <w:rPr>
          <w:b/>
          <w:color w:val="auto"/>
          <w:sz w:val="36"/>
          <w:szCs w:val="36"/>
          <w:highlight w:val="none"/>
        </w:rPr>
        <w:t>第一章   采购邀请</w:t>
      </w:r>
      <w:bookmarkEnd w:id="1"/>
      <w:bookmarkEnd w:id="2"/>
      <w:bookmarkStart w:id="3" w:name="_Toc35393790"/>
      <w:bookmarkStart w:id="4" w:name="_Toc28359079"/>
      <w:bookmarkStart w:id="5" w:name="_Toc28359002"/>
      <w:bookmarkStart w:id="6" w:name="_Toc35393621"/>
      <w:bookmarkStart w:id="7" w:name="_Hlk24379207"/>
    </w:p>
    <w:p w14:paraId="03FC2139">
      <w:pPr>
        <w:spacing w:line="360" w:lineRule="auto"/>
        <w:rPr>
          <w:rFonts w:hint="eastAsia" w:ascii="宋体" w:hAnsi="宋体"/>
          <w:b/>
          <w:bCs/>
          <w:color w:val="auto"/>
          <w:sz w:val="24"/>
          <w:highlight w:val="none"/>
        </w:rPr>
      </w:pPr>
      <w:r>
        <w:rPr>
          <w:rFonts w:hint="eastAsia" w:ascii="宋体" w:hAnsi="宋体"/>
          <w:b/>
          <w:bCs/>
          <w:color w:val="auto"/>
          <w:sz w:val="24"/>
          <w:highlight w:val="none"/>
        </w:rPr>
        <w:t>一、项目基本情况</w:t>
      </w:r>
      <w:bookmarkEnd w:id="3"/>
      <w:bookmarkEnd w:id="4"/>
      <w:bookmarkEnd w:id="5"/>
      <w:bookmarkEnd w:id="6"/>
    </w:p>
    <w:p w14:paraId="1E5F8FF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JSZC-320411001-CZAF-C2026-0003</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rPr>
        <w:t xml:space="preserve"> </w:t>
      </w:r>
    </w:p>
    <w:p w14:paraId="146941C4">
      <w:pPr>
        <w:spacing w:line="360" w:lineRule="auto"/>
        <w:ind w:firstLine="480"/>
        <w:rPr>
          <w:rFonts w:hint="default" w:ascii="宋体" w:hAnsi="宋体" w:cs="宋体"/>
          <w:color w:val="auto"/>
          <w:sz w:val="24"/>
          <w:highlight w:val="none"/>
          <w:u w:val="single"/>
          <w:lang w:val="en-US" w:eastAsia="zh-CN"/>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XG080319地块土方回填工程</w:t>
      </w:r>
      <w:r>
        <w:rPr>
          <w:rFonts w:hint="eastAsia" w:ascii="宋体" w:hAnsi="宋体" w:cs="宋体"/>
          <w:color w:val="auto"/>
          <w:sz w:val="24"/>
          <w:highlight w:val="none"/>
          <w:u w:val="single"/>
          <w:lang w:val="en-US" w:eastAsia="zh-CN"/>
        </w:rPr>
        <w:t xml:space="preserve"> </w:t>
      </w:r>
    </w:p>
    <w:p w14:paraId="58D65E3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3.采购方式：竞争性磋商</w:t>
      </w:r>
      <w:bookmarkEnd w:id="7"/>
    </w:p>
    <w:p w14:paraId="1924B9FB">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4.项目预算金额：</w:t>
      </w:r>
      <w:r>
        <w:rPr>
          <w:rFonts w:hint="eastAsia" w:ascii="宋体" w:hAnsi="宋体" w:cs="宋体"/>
          <w:color w:val="auto"/>
          <w:sz w:val="24"/>
          <w:highlight w:val="none"/>
          <w:u w:val="single"/>
          <w:lang w:val="en-US" w:eastAsia="zh-CN"/>
        </w:rPr>
        <w:t>297.257221万</w:t>
      </w:r>
      <w:r>
        <w:rPr>
          <w:rFonts w:hint="eastAsia" w:ascii="宋体" w:hAnsi="宋体" w:cs="宋体"/>
          <w:color w:val="auto"/>
          <w:sz w:val="24"/>
          <w:highlight w:val="none"/>
          <w:u w:val="none"/>
        </w:rPr>
        <w:t>元</w:t>
      </w:r>
      <w:r>
        <w:rPr>
          <w:rFonts w:hint="eastAsia" w:ascii="宋体" w:hAnsi="宋体" w:cs="宋体"/>
          <w:color w:val="auto"/>
          <w:sz w:val="24"/>
          <w:highlight w:val="none"/>
        </w:rPr>
        <w:t>、项目最高限价：</w:t>
      </w:r>
      <w:r>
        <w:rPr>
          <w:rFonts w:hint="eastAsia" w:ascii="宋体" w:hAnsi="宋体" w:cs="宋体"/>
          <w:color w:val="auto"/>
          <w:sz w:val="24"/>
          <w:highlight w:val="none"/>
          <w:u w:val="single"/>
          <w:lang w:val="en-US" w:eastAsia="zh-CN"/>
        </w:rPr>
        <w:t>297.257221万</w:t>
      </w:r>
      <w:r>
        <w:rPr>
          <w:rFonts w:hint="eastAsia" w:ascii="宋体" w:hAnsi="宋体" w:cs="宋体"/>
          <w:color w:val="auto"/>
          <w:sz w:val="24"/>
          <w:highlight w:val="none"/>
          <w:u w:val="none"/>
          <w:lang w:val="en-US" w:eastAsia="zh-CN"/>
        </w:rPr>
        <w:t>元</w:t>
      </w:r>
      <w:r>
        <w:rPr>
          <w:rFonts w:hint="eastAsia" w:ascii="宋体" w:hAnsi="宋体" w:cs="宋体"/>
          <w:color w:val="auto"/>
          <w:sz w:val="24"/>
          <w:highlight w:val="none"/>
          <w:u w:val="none"/>
          <w:lang w:eastAsia="zh-CN"/>
        </w:rPr>
        <w:t>。</w:t>
      </w:r>
    </w:p>
    <w:p w14:paraId="2314FAD0">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5.采购需求：</w:t>
      </w:r>
      <w:r>
        <w:rPr>
          <w:rFonts w:hint="eastAsia" w:ascii="宋体" w:hAnsi="宋体" w:cs="宋体"/>
          <w:color w:val="auto"/>
          <w:sz w:val="24"/>
          <w:highlight w:val="none"/>
          <w:lang w:val="en-US" w:eastAsia="zh-CN"/>
        </w:rPr>
        <w:t>本项目为</w:t>
      </w:r>
      <w:r>
        <w:rPr>
          <w:rFonts w:hint="eastAsia" w:ascii="宋体" w:hAnsi="宋体" w:cs="宋体"/>
          <w:bCs/>
          <w:color w:val="auto"/>
          <w:sz w:val="24"/>
          <w:highlight w:val="none"/>
          <w:lang w:eastAsia="zh-CN"/>
        </w:rPr>
        <w:t>XG080319地块土方回填工程，</w:t>
      </w:r>
      <w:r>
        <w:rPr>
          <w:rFonts w:hint="eastAsia" w:ascii="宋体" w:hAnsi="宋体" w:cs="宋体"/>
          <w:bCs/>
          <w:color w:val="auto"/>
          <w:sz w:val="24"/>
          <w:highlight w:val="none"/>
          <w:lang w:val="en-US" w:eastAsia="zh-CN"/>
        </w:rPr>
        <w:t>具体详见磋商文件。</w:t>
      </w:r>
    </w:p>
    <w:p w14:paraId="1B04F2E7">
      <w:pPr>
        <w:numPr>
          <w:ilvl w:val="0"/>
          <w:numId w:val="0"/>
        </w:numPr>
        <w:spacing w:line="360" w:lineRule="auto"/>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合同履行期限：</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日历天</w:t>
      </w:r>
      <w:r>
        <w:rPr>
          <w:rFonts w:hint="eastAsia" w:ascii="宋体" w:hAnsi="宋体" w:cs="宋体"/>
          <w:color w:val="auto"/>
          <w:sz w:val="24"/>
          <w:highlight w:val="none"/>
          <w:lang w:eastAsia="zh-CN"/>
        </w:rPr>
        <w:t>，</w:t>
      </w:r>
      <w:r>
        <w:rPr>
          <w:rFonts w:ascii="宋体" w:hAnsi="宋体" w:eastAsia="宋体" w:cs="宋体"/>
          <w:color w:val="auto"/>
          <w:sz w:val="24"/>
          <w:szCs w:val="24"/>
          <w:highlight w:val="none"/>
        </w:rPr>
        <w:t>逾期未完成的，</w:t>
      </w:r>
      <w:r>
        <w:rPr>
          <w:rFonts w:hint="eastAsia" w:ascii="宋体" w:hAnsi="宋体" w:eastAsia="宋体" w:cs="宋体"/>
          <w:color w:val="auto"/>
          <w:sz w:val="24"/>
          <w:szCs w:val="24"/>
          <w:highlight w:val="none"/>
          <w:lang w:val="en-US" w:eastAsia="zh-CN"/>
        </w:rPr>
        <w:t>采购人有权</w:t>
      </w:r>
      <w:r>
        <w:rPr>
          <w:rFonts w:ascii="宋体" w:hAnsi="宋体" w:eastAsia="宋体" w:cs="宋体"/>
          <w:color w:val="auto"/>
          <w:sz w:val="24"/>
          <w:szCs w:val="24"/>
          <w:highlight w:val="none"/>
        </w:rPr>
        <w:t>解除</w:t>
      </w:r>
      <w:r>
        <w:rPr>
          <w:rFonts w:hint="eastAsia" w:ascii="宋体" w:hAnsi="宋体" w:eastAsia="宋体" w:cs="宋体"/>
          <w:color w:val="auto"/>
          <w:sz w:val="24"/>
          <w:szCs w:val="24"/>
          <w:highlight w:val="none"/>
          <w:lang w:val="en-US" w:eastAsia="zh-CN"/>
        </w:rPr>
        <w:t>合同。</w:t>
      </w:r>
    </w:p>
    <w:p w14:paraId="1EDCC757">
      <w:pPr>
        <w:numPr>
          <w:ilvl w:val="0"/>
          <w:numId w:val="0"/>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7.本项目是否接受联合体：□是  ■否。</w:t>
      </w:r>
    </w:p>
    <w:p w14:paraId="6EC09285">
      <w:pPr>
        <w:spacing w:line="360" w:lineRule="auto"/>
        <w:rPr>
          <w:rFonts w:hint="eastAsia" w:ascii="宋体" w:hAnsi="宋体"/>
          <w:b/>
          <w:bCs/>
          <w:color w:val="auto"/>
          <w:sz w:val="24"/>
          <w:highlight w:val="none"/>
        </w:rPr>
      </w:pPr>
      <w:bookmarkStart w:id="8" w:name="_Toc35393622"/>
      <w:bookmarkStart w:id="9" w:name="_Toc28359080"/>
      <w:bookmarkStart w:id="10" w:name="_Toc28359003"/>
      <w:bookmarkStart w:id="11" w:name="_Toc35393791"/>
      <w:r>
        <w:rPr>
          <w:rFonts w:hint="eastAsia" w:ascii="宋体" w:hAnsi="宋体"/>
          <w:b/>
          <w:bCs/>
          <w:color w:val="auto"/>
          <w:sz w:val="24"/>
          <w:highlight w:val="none"/>
        </w:rPr>
        <w:t>二、申请人的资格要求（须同时满足）</w:t>
      </w:r>
      <w:bookmarkEnd w:id="8"/>
      <w:bookmarkEnd w:id="9"/>
      <w:bookmarkEnd w:id="10"/>
      <w:bookmarkEnd w:id="11"/>
    </w:p>
    <w:p w14:paraId="768B9E05">
      <w:pPr>
        <w:spacing w:line="360" w:lineRule="auto"/>
        <w:ind w:firstLine="480"/>
        <w:rPr>
          <w:rFonts w:hint="eastAsia"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1.满足《中华人民共和国政府采购法》第二十二条规定以及下列情形：</w:t>
      </w:r>
    </w:p>
    <w:p w14:paraId="5C7C1C0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4A8485C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0609D32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2.落实政府采购政策需满足的资格要求：</w:t>
      </w:r>
    </w:p>
    <w:p w14:paraId="2D3EABE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 中小企业政策</w:t>
      </w:r>
    </w:p>
    <w:p w14:paraId="5BCDC0F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334FB71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74EC109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19ACA9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4929B1">
      <w:pPr>
        <w:spacing w:line="360" w:lineRule="auto"/>
        <w:ind w:firstLine="480"/>
        <w:rPr>
          <w:rFonts w:hint="eastAsia"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65480995">
      <w:pPr>
        <w:tabs>
          <w:tab w:val="left" w:pos="900"/>
          <w:tab w:val="left" w:pos="1134"/>
          <w:tab w:val="left" w:pos="1589"/>
          <w:tab w:val="left" w:pos="5521"/>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3.1本项目是否接受分支机构参与响应：□是   ■否；</w:t>
      </w:r>
    </w:p>
    <w:p w14:paraId="739298EB">
      <w:pPr>
        <w:tabs>
          <w:tab w:val="left" w:pos="900"/>
          <w:tab w:val="left" w:pos="1134"/>
          <w:tab w:val="left" w:pos="1589"/>
          <w:tab w:val="left" w:pos="5521"/>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 本项目是否属于政府购买服务：</w:t>
      </w:r>
    </w:p>
    <w:p w14:paraId="24307E55">
      <w:pPr>
        <w:tabs>
          <w:tab w:val="left" w:pos="900"/>
          <w:tab w:val="left" w:pos="1134"/>
          <w:tab w:val="left" w:pos="1589"/>
          <w:tab w:val="left" w:pos="5521"/>
        </w:tabs>
        <w:spacing w:line="360" w:lineRule="auto"/>
        <w:ind w:left="991" w:firstLine="2"/>
        <w:rPr>
          <w:rFonts w:hint="eastAsia" w:ascii="宋体" w:hAnsi="宋体" w:cs="宋体"/>
          <w:color w:val="auto"/>
          <w:sz w:val="24"/>
          <w:highlight w:val="none"/>
        </w:rPr>
      </w:pPr>
      <w:r>
        <w:rPr>
          <w:rFonts w:hint="eastAsia" w:ascii="宋体" w:hAnsi="宋体" w:cs="宋体"/>
          <w:color w:val="auto"/>
          <w:sz w:val="24"/>
          <w:highlight w:val="none"/>
        </w:rPr>
        <w:t>□否</w:t>
      </w:r>
    </w:p>
    <w:p w14:paraId="0E8BFE0F">
      <w:pPr>
        <w:tabs>
          <w:tab w:val="left" w:pos="900"/>
          <w:tab w:val="left" w:pos="1134"/>
          <w:tab w:val="left" w:pos="1589"/>
          <w:tab w:val="left" w:pos="5521"/>
        </w:tabs>
        <w:spacing w:line="360" w:lineRule="auto"/>
        <w:ind w:left="991" w:firstLine="2"/>
        <w:rPr>
          <w:rFonts w:hint="eastAsia"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19FA8B47">
      <w:pPr>
        <w:tabs>
          <w:tab w:val="left" w:pos="900"/>
          <w:tab w:val="left" w:pos="1134"/>
          <w:tab w:val="left" w:pos="1589"/>
          <w:tab w:val="left" w:pos="5521"/>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3.3其他特定资格要求：</w:t>
      </w:r>
    </w:p>
    <w:p w14:paraId="3DE90440">
      <w:pPr>
        <w:tabs>
          <w:tab w:val="left" w:pos="900"/>
          <w:tab w:val="left" w:pos="1134"/>
          <w:tab w:val="left" w:pos="1589"/>
          <w:tab w:val="left" w:pos="5521"/>
        </w:tabs>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3.3.1供应商：</w:t>
      </w:r>
    </w:p>
    <w:p w14:paraId="7CB7C619">
      <w:pPr>
        <w:tabs>
          <w:tab w:val="left" w:pos="900"/>
          <w:tab w:val="left" w:pos="1134"/>
          <w:tab w:val="left" w:pos="1589"/>
          <w:tab w:val="left" w:pos="5521"/>
        </w:tabs>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（1）具备有效的</w:t>
      </w:r>
      <w:r>
        <w:rPr>
          <w:rFonts w:hint="eastAsia" w:ascii="宋体" w:hAnsi="宋体" w:cs="宋体"/>
          <w:b/>
          <w:bCs/>
          <w:color w:val="auto"/>
          <w:sz w:val="24"/>
          <w:highlight w:val="none"/>
          <w:lang w:val="en-US" w:eastAsia="zh-CN"/>
        </w:rPr>
        <w:t>市政公用</w:t>
      </w:r>
      <w:r>
        <w:rPr>
          <w:rFonts w:hint="eastAsia" w:ascii="宋体" w:hAnsi="宋体" w:cs="宋体"/>
          <w:b/>
          <w:bCs/>
          <w:color w:val="auto"/>
          <w:sz w:val="24"/>
          <w:highlight w:val="none"/>
        </w:rPr>
        <w:t>工程施工总承包三级及以上资质，并取得有效的安全生产许可证；</w:t>
      </w:r>
    </w:p>
    <w:p w14:paraId="08AF1ADC">
      <w:pPr>
        <w:tabs>
          <w:tab w:val="left" w:pos="900"/>
          <w:tab w:val="left" w:pos="1134"/>
          <w:tab w:val="left" w:pos="1589"/>
          <w:tab w:val="left" w:pos="5521"/>
        </w:tabs>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16A94D62">
      <w:pPr>
        <w:tabs>
          <w:tab w:val="left" w:pos="900"/>
          <w:tab w:val="left" w:pos="1134"/>
          <w:tab w:val="left" w:pos="1589"/>
          <w:tab w:val="left" w:pos="5521"/>
        </w:tabs>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3.3.2项目负责人：</w:t>
      </w:r>
    </w:p>
    <w:p w14:paraId="7CF23095">
      <w:pPr>
        <w:tabs>
          <w:tab w:val="left" w:pos="900"/>
          <w:tab w:val="left" w:pos="1134"/>
          <w:tab w:val="left" w:pos="1589"/>
          <w:tab w:val="left" w:pos="5521"/>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（1）具备</w:t>
      </w:r>
      <w:r>
        <w:rPr>
          <w:rFonts w:hint="eastAsia" w:ascii="宋体" w:hAnsi="宋体" w:cs="宋体"/>
          <w:b/>
          <w:bCs/>
          <w:color w:val="auto"/>
          <w:sz w:val="24"/>
          <w:highlight w:val="none"/>
          <w:lang w:val="en-US" w:eastAsia="zh-CN"/>
        </w:rPr>
        <w:t>市政公用</w:t>
      </w:r>
      <w:r>
        <w:rPr>
          <w:rFonts w:hint="eastAsia" w:ascii="宋体" w:hAnsi="宋体" w:cs="宋体"/>
          <w:b/>
          <w:bCs/>
          <w:color w:val="auto"/>
          <w:sz w:val="24"/>
          <w:highlight w:val="none"/>
        </w:rPr>
        <w:t>工程专业二级及以上注册建造师师；</w:t>
      </w:r>
    </w:p>
    <w:p w14:paraId="6C456138">
      <w:pPr>
        <w:tabs>
          <w:tab w:val="left" w:pos="900"/>
          <w:tab w:val="left" w:pos="1134"/>
          <w:tab w:val="left" w:pos="1589"/>
          <w:tab w:val="left" w:pos="5521"/>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（2）不得同时在两个或者两个以上单位受聘或者执业；</w:t>
      </w:r>
    </w:p>
    <w:p w14:paraId="4ED38295">
      <w:pPr>
        <w:tabs>
          <w:tab w:val="left" w:pos="900"/>
          <w:tab w:val="left" w:pos="1134"/>
          <w:tab w:val="left" w:pos="1589"/>
          <w:tab w:val="left" w:pos="5521"/>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（3）无在建工程（格式自拟）；</w:t>
      </w:r>
    </w:p>
    <w:p w14:paraId="1638666A">
      <w:pPr>
        <w:tabs>
          <w:tab w:val="left" w:pos="900"/>
          <w:tab w:val="left" w:pos="1134"/>
          <w:tab w:val="left" w:pos="1589"/>
          <w:tab w:val="left" w:pos="5521"/>
        </w:tabs>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（4）具有有效的建设行政主管部门核发的安全生产考核合格证（B证）；</w:t>
      </w:r>
    </w:p>
    <w:p w14:paraId="40B2ADF0">
      <w:pPr>
        <w:tabs>
          <w:tab w:val="left" w:pos="900"/>
          <w:tab w:val="left" w:pos="1134"/>
          <w:tab w:val="left" w:pos="1589"/>
          <w:tab w:val="left" w:pos="5521"/>
        </w:tabs>
        <w:spacing w:line="360" w:lineRule="auto"/>
        <w:ind w:firstLine="482"/>
        <w:rPr>
          <w:rFonts w:hint="eastAsia" w:ascii="宋体" w:hAnsi="宋体" w:cs="宋体"/>
          <w:color w:val="auto"/>
          <w:sz w:val="24"/>
          <w:highlight w:val="none"/>
          <w:u w:val="single"/>
        </w:rPr>
      </w:pPr>
      <w:r>
        <w:rPr>
          <w:rFonts w:hint="eastAsia" w:ascii="宋体" w:hAnsi="宋体" w:cs="宋体"/>
          <w:b/>
          <w:bCs/>
          <w:color w:val="auto"/>
          <w:sz w:val="24"/>
          <w:highlight w:val="none"/>
        </w:rPr>
        <w:t>（5）具有社保机构出具的供应商为项目负责人缴纳社会基本养老保险的</w:t>
      </w:r>
      <w:r>
        <w:rPr>
          <w:rFonts w:hint="eastAsia"/>
          <w:b/>
          <w:bCs/>
          <w:color w:val="auto"/>
          <w:sz w:val="24"/>
          <w:szCs w:val="20"/>
          <w:highlight w:val="none"/>
        </w:rPr>
        <w:t>2026年</w:t>
      </w:r>
      <w:r>
        <w:rPr>
          <w:rFonts w:hint="eastAsia"/>
          <w:b/>
          <w:bCs/>
          <w:color w:val="auto"/>
          <w:sz w:val="24"/>
          <w:szCs w:val="20"/>
          <w:highlight w:val="none"/>
          <w:lang w:val="en-US" w:eastAsia="zh-CN"/>
        </w:rPr>
        <w:t>6</w:t>
      </w:r>
      <w:r>
        <w:rPr>
          <w:rFonts w:hint="eastAsia"/>
          <w:b/>
          <w:bCs/>
          <w:color w:val="auto"/>
          <w:sz w:val="24"/>
          <w:szCs w:val="20"/>
          <w:highlight w:val="none"/>
        </w:rPr>
        <w:t>月至2026年</w:t>
      </w:r>
      <w:r>
        <w:rPr>
          <w:rFonts w:hint="eastAsia"/>
          <w:b/>
          <w:bCs/>
          <w:color w:val="auto"/>
          <w:sz w:val="24"/>
          <w:szCs w:val="20"/>
          <w:highlight w:val="none"/>
          <w:lang w:val="en-US" w:eastAsia="zh-CN"/>
        </w:rPr>
        <w:t>8</w:t>
      </w:r>
      <w:r>
        <w:rPr>
          <w:rFonts w:hint="eastAsia"/>
          <w:b/>
          <w:bCs/>
          <w:color w:val="auto"/>
          <w:sz w:val="24"/>
          <w:szCs w:val="20"/>
          <w:highlight w:val="none"/>
        </w:rPr>
        <w:t>月</w:t>
      </w:r>
      <w:r>
        <w:rPr>
          <w:rFonts w:hint="eastAsia" w:ascii="宋体" w:hAnsi="宋体" w:cs="宋体"/>
          <w:b/>
          <w:bCs/>
          <w:color w:val="auto"/>
          <w:sz w:val="24"/>
          <w:highlight w:val="none"/>
        </w:rPr>
        <w:t>中任意一个月的缴纳凭证。</w:t>
      </w:r>
      <w:bookmarkEnd w:id="12"/>
      <w:bookmarkEnd w:id="13"/>
    </w:p>
    <w:p w14:paraId="2D2D3A29">
      <w:pPr>
        <w:spacing w:line="360" w:lineRule="auto"/>
        <w:rPr>
          <w:rFonts w:hint="eastAsia" w:ascii="宋体" w:hAnsi="宋体"/>
          <w:b/>
          <w:bCs/>
          <w:color w:val="auto"/>
          <w:sz w:val="24"/>
          <w:highlight w:val="none"/>
        </w:rPr>
      </w:pPr>
      <w:bookmarkStart w:id="14" w:name="_Toc35393792"/>
      <w:bookmarkStart w:id="15" w:name="_Toc35393623"/>
      <w:r>
        <w:rPr>
          <w:rFonts w:hint="eastAsia" w:ascii="宋体" w:hAnsi="宋体"/>
          <w:b/>
          <w:bCs/>
          <w:color w:val="auto"/>
          <w:sz w:val="24"/>
          <w:highlight w:val="none"/>
        </w:rPr>
        <w:t>三、获取采购文件</w:t>
      </w:r>
      <w:bookmarkEnd w:id="14"/>
      <w:bookmarkEnd w:id="15"/>
    </w:p>
    <w:p w14:paraId="3D531944">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1.时间：</w:t>
      </w:r>
      <w:r>
        <w:rPr>
          <w:rFonts w:hint="eastAsia" w:ascii="宋体" w:hAnsi="宋体" w:cs="宋体"/>
          <w:color w:val="auto"/>
          <w:sz w:val="24"/>
          <w:highlight w:val="none"/>
          <w:u w:val="single"/>
        </w:rPr>
        <w:t>自磋商文件公告发布之日起至</w:t>
      </w:r>
      <w:r>
        <w:rPr>
          <w:rFonts w:hint="eastAsia" w:ascii="宋体" w:hAnsi="宋体" w:cs="宋体"/>
          <w:color w:val="auto"/>
          <w:sz w:val="24"/>
          <w:highlight w:val="none"/>
          <w:u w:val="single"/>
          <w:lang w:eastAsia="zh-CN"/>
        </w:rPr>
        <w:t>2026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日</w:t>
      </w:r>
      <w:r>
        <w:rPr>
          <w:rFonts w:hint="eastAsia" w:ascii="宋体" w:hAnsi="宋体" w:cs="宋体"/>
          <w:color w:val="auto"/>
          <w:sz w:val="24"/>
          <w:highlight w:val="none"/>
          <w:lang w:bidi="ar"/>
        </w:rPr>
        <w:t>（北京时间，法定节假日除外）。</w:t>
      </w:r>
    </w:p>
    <w:p w14:paraId="1D88BFED">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2.地点：政府采购一体化平台“苏采云”。</w:t>
      </w:r>
    </w:p>
    <w:p w14:paraId="4C13DB88">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3.方式：在“苏采云”平</w:t>
      </w:r>
      <w:r>
        <w:rPr>
          <w:rFonts w:hint="eastAsia" w:ascii="宋体" w:hAnsi="宋体" w:cs="宋体"/>
          <w:color w:val="auto"/>
          <w:sz w:val="24"/>
          <w:highlight w:val="none"/>
          <w:lang w:val="en-US" w:eastAsia="zh-CN" w:bidi="ar"/>
        </w:rPr>
        <w:t>台</w:t>
      </w:r>
      <w:r>
        <w:rPr>
          <w:rFonts w:hint="eastAsia" w:ascii="宋体" w:hAnsi="宋体" w:cs="宋体"/>
          <w:color w:val="auto"/>
          <w:sz w:val="24"/>
          <w:highlight w:val="none"/>
          <w:lang w:bidi="ar"/>
        </w:rPr>
        <w:t>自行免费下载磋商文件。</w:t>
      </w:r>
    </w:p>
    <w:p w14:paraId="508D681B">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3F3FCFB1">
      <w:pPr>
        <w:spacing w:line="360" w:lineRule="auto"/>
        <w:rPr>
          <w:rFonts w:hint="eastAsia" w:ascii="宋体" w:hAnsi="宋体"/>
          <w:b/>
          <w:bCs/>
          <w:color w:val="auto"/>
          <w:sz w:val="24"/>
          <w:highlight w:val="none"/>
        </w:rPr>
      </w:pPr>
      <w:bookmarkStart w:id="16" w:name="_Toc28359082"/>
      <w:bookmarkStart w:id="17" w:name="_Toc28359005"/>
      <w:bookmarkStart w:id="18" w:name="_Toc35393624"/>
      <w:bookmarkStart w:id="19" w:name="_Toc35393793"/>
      <w:r>
        <w:rPr>
          <w:rFonts w:hint="eastAsia" w:ascii="宋体" w:hAnsi="宋体"/>
          <w:b/>
          <w:bCs/>
          <w:color w:val="auto"/>
          <w:sz w:val="24"/>
          <w:highlight w:val="none"/>
        </w:rPr>
        <w:t>四、</w:t>
      </w:r>
      <w:bookmarkEnd w:id="16"/>
      <w:bookmarkEnd w:id="17"/>
      <w:bookmarkEnd w:id="18"/>
      <w:bookmarkEnd w:id="19"/>
      <w:r>
        <w:rPr>
          <w:rFonts w:hint="eastAsia" w:ascii="宋体" w:hAnsi="宋体"/>
          <w:b/>
          <w:bCs/>
          <w:color w:val="auto"/>
          <w:sz w:val="24"/>
          <w:highlight w:val="none"/>
        </w:rPr>
        <w:t>响应文件提交</w:t>
      </w:r>
    </w:p>
    <w:p w14:paraId="6E3DB885">
      <w:pPr>
        <w:spacing w:line="360" w:lineRule="auto"/>
        <w:ind w:firstLine="480"/>
        <w:rPr>
          <w:rFonts w:hint="eastAsia" w:ascii="宋体" w:hAnsi="宋体" w:cs="宋体"/>
          <w:bCs/>
          <w:color w:val="auto"/>
          <w:sz w:val="24"/>
          <w:highlight w:val="none"/>
          <w:u w:val="single"/>
        </w:rPr>
      </w:pPr>
      <w:r>
        <w:rPr>
          <w:rFonts w:hint="eastAsia" w:ascii="宋体" w:hAnsi="宋体" w:cs="宋体"/>
          <w:color w:val="auto"/>
          <w:sz w:val="24"/>
          <w:highlight w:val="none"/>
          <w:lang w:bidi="ar"/>
        </w:rPr>
        <w:t>截止时间：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 xml:space="preserve"> 14</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13</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B92AFA4">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color w:val="auto"/>
          <w:sz w:val="24"/>
          <w:highlight w:val="none"/>
          <w:lang w:bidi="ar"/>
        </w:rPr>
        <w:t>。</w:t>
      </w:r>
    </w:p>
    <w:p w14:paraId="0327F03E">
      <w:pPr>
        <w:spacing w:line="360" w:lineRule="auto"/>
        <w:rPr>
          <w:rFonts w:hint="eastAsia" w:ascii="宋体" w:hAnsi="宋体"/>
          <w:b/>
          <w:bCs/>
          <w:color w:val="auto"/>
          <w:sz w:val="24"/>
          <w:highlight w:val="none"/>
        </w:rPr>
      </w:pPr>
      <w:r>
        <w:rPr>
          <w:rFonts w:hint="eastAsia" w:ascii="宋体" w:hAnsi="宋体"/>
          <w:b/>
          <w:bCs/>
          <w:color w:val="auto"/>
          <w:sz w:val="24"/>
          <w:highlight w:val="none"/>
        </w:rPr>
        <w:t>五、开启</w:t>
      </w:r>
    </w:p>
    <w:p w14:paraId="28C12CA2">
      <w:pPr>
        <w:spacing w:line="360" w:lineRule="auto"/>
        <w:ind w:firstLine="480"/>
        <w:rPr>
          <w:rFonts w:hint="eastAsia" w:ascii="宋体" w:hAnsi="宋体" w:cs="宋体"/>
          <w:bCs/>
          <w:color w:val="auto"/>
          <w:sz w:val="24"/>
          <w:highlight w:val="none"/>
          <w:u w:val="single"/>
        </w:rPr>
      </w:pPr>
      <w:r>
        <w:rPr>
          <w:rFonts w:hint="eastAsia" w:ascii="宋体" w:hAnsi="宋体" w:cs="宋体"/>
          <w:color w:val="auto"/>
          <w:sz w:val="24"/>
          <w:highlight w:val="none"/>
          <w:lang w:bidi="ar"/>
        </w:rPr>
        <w:t>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 xml:space="preserve"> 14</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13</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57E05137">
      <w:pPr>
        <w:spacing w:line="360" w:lineRule="auto"/>
        <w:ind w:firstLine="480"/>
        <w:rPr>
          <w:rFonts w:hint="eastAsia" w:ascii="宋体" w:hAnsi="宋体" w:cs="宋体"/>
          <w:color w:val="auto"/>
          <w:sz w:val="24"/>
          <w:highlight w:val="none"/>
          <w:lang w:bidi="ar"/>
        </w:rPr>
      </w:pPr>
      <w:bookmarkStart w:id="20" w:name="_Toc35393794"/>
      <w:bookmarkStart w:id="21" w:name="_Toc35393625"/>
      <w:bookmarkStart w:id="22" w:name="_Toc28359007"/>
      <w:bookmarkStart w:id="23" w:name="_Toc2835908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color w:val="auto"/>
          <w:sz w:val="24"/>
          <w:highlight w:val="none"/>
          <w:lang w:bidi="ar"/>
        </w:rPr>
        <w:t>。</w:t>
      </w:r>
    </w:p>
    <w:p w14:paraId="22759CAD">
      <w:pPr>
        <w:spacing w:line="360" w:lineRule="auto"/>
        <w:rPr>
          <w:rFonts w:hint="eastAsia" w:ascii="宋体" w:hAnsi="宋体"/>
          <w:b/>
          <w:bCs/>
          <w:color w:val="auto"/>
          <w:sz w:val="24"/>
          <w:highlight w:val="none"/>
        </w:rPr>
      </w:pPr>
      <w:r>
        <w:rPr>
          <w:rFonts w:hint="eastAsia" w:ascii="宋体" w:hAnsi="宋体"/>
          <w:b/>
          <w:bCs/>
          <w:color w:val="auto"/>
          <w:sz w:val="24"/>
          <w:highlight w:val="none"/>
        </w:rPr>
        <w:t>六、公告期限</w:t>
      </w:r>
      <w:bookmarkEnd w:id="20"/>
      <w:bookmarkEnd w:id="21"/>
      <w:bookmarkEnd w:id="22"/>
      <w:bookmarkEnd w:id="23"/>
    </w:p>
    <w:p w14:paraId="5459BB7F">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自本公告发布之日起</w:t>
      </w:r>
      <w:r>
        <w:rPr>
          <w:rFonts w:hint="eastAsia" w:ascii="宋体" w:hAnsi="宋体" w:cs="宋体"/>
          <w:color w:val="auto"/>
          <w:sz w:val="24"/>
          <w:highlight w:val="none"/>
          <w:lang w:val="en-US" w:eastAsia="zh-CN" w:bidi="ar"/>
        </w:rPr>
        <w:t>5</w:t>
      </w:r>
      <w:r>
        <w:rPr>
          <w:rFonts w:hint="eastAsia" w:ascii="宋体" w:hAnsi="宋体" w:cs="宋体"/>
          <w:color w:val="auto"/>
          <w:sz w:val="24"/>
          <w:highlight w:val="none"/>
          <w:lang w:bidi="ar"/>
        </w:rPr>
        <w:t>个工作日。</w:t>
      </w:r>
    </w:p>
    <w:p w14:paraId="1D900D53">
      <w:pPr>
        <w:spacing w:line="360" w:lineRule="auto"/>
        <w:rPr>
          <w:rFonts w:hint="eastAsia"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七、其他补充事宜</w:t>
      </w:r>
      <w:bookmarkEnd w:id="24"/>
      <w:bookmarkEnd w:id="25"/>
    </w:p>
    <w:p w14:paraId="645DFA5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6C2467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本项目采用全流程电子化采购方式，请供应商认真学习“苏采云”系统发布的相关操作手册，办理CA认证证书、进行“苏采云”系统注册绑定，并认真核实数字认证证书情况确认是否符合本项目电子化采购流程要求。</w:t>
      </w:r>
    </w:p>
    <w:p w14:paraId="18CBB7B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技术支持服务热线    0519-85588210  0519-85588163</w:t>
      </w:r>
    </w:p>
    <w:p w14:paraId="34430E5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CA认证证书办理（可邮寄）联系电话   0519-85588120</w:t>
      </w:r>
    </w:p>
    <w:p w14:paraId="2DD38D5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2.1办理CA认证证书</w:t>
      </w:r>
    </w:p>
    <w:p w14:paraId="494007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供应商登录常州市政府采购网“下载中心”下载并查阅 “苏采云”系统（供应商）政务CA证书办理指南，按照程序要求办理。</w:t>
      </w:r>
    </w:p>
    <w:p w14:paraId="5626CF7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2.2注册</w:t>
      </w:r>
    </w:p>
    <w:p w14:paraId="21DD587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供应商登录常州市政府采购网“下载中心”-“苏采云”系统（供应商）操作手册下载相关操作手册、操作视频等，查阅后进行自助注册。</w:t>
      </w:r>
    </w:p>
    <w:p w14:paraId="725B69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2.3控件、客户端下载</w:t>
      </w:r>
    </w:p>
    <w:p w14:paraId="0A9C80F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供应商登录常州市政府采购网“下载中心”-政府采购管理交易系统（苏采云）CA及签章控件驱动下载相关控件及客户端。</w:t>
      </w:r>
    </w:p>
    <w:p w14:paraId="52CA48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 获取电子磋商文件</w:t>
      </w:r>
    </w:p>
    <w:p w14:paraId="0E11E17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供应商持CA数字认证证书登录“苏采云”系统获取电子磋商文件。未在规定期限内通过“苏采云”系统获取磋商文件的响应无效。</w:t>
      </w:r>
    </w:p>
    <w:p w14:paraId="122F6A9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2.5编制电子响应文件</w:t>
      </w:r>
    </w:p>
    <w:p w14:paraId="4DC6EAE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7C6A6FA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2.6提交电子响应文件</w:t>
      </w:r>
    </w:p>
    <w:p w14:paraId="76FC87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供应商应于响应截止时间前在“苏采云”系统提交电子响应文件，上传电子响应文件过程中请保持与互联网的连接畅通。</w:t>
      </w:r>
    </w:p>
    <w:p w14:paraId="450830D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2.7电子开标</w:t>
      </w:r>
    </w:p>
    <w:p w14:paraId="5286225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供应商使用CA认证证书登录“苏采云”系统进行电子化不见面开标。</w:t>
      </w:r>
    </w:p>
    <w:p w14:paraId="450C302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2.8注意事项</w:t>
      </w:r>
    </w:p>
    <w:p w14:paraId="72C1053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554AE9F0">
      <w:pPr>
        <w:spacing w:line="360" w:lineRule="auto"/>
        <w:ind w:firstLine="480"/>
        <w:rPr>
          <w:rFonts w:hint="eastAsia" w:ascii="宋体" w:hAnsi="宋体" w:cs="宋体"/>
          <w:color w:val="auto"/>
          <w:sz w:val="24"/>
          <w:highlight w:val="none"/>
          <w:lang w:val="zh-TW" w:bidi="ar"/>
        </w:rPr>
      </w:pPr>
      <w:r>
        <w:rPr>
          <w:rFonts w:hint="eastAsia" w:ascii="宋体" w:hAnsi="宋体" w:cs="宋体"/>
          <w:color w:val="auto"/>
          <w:sz w:val="24"/>
          <w:highlight w:val="none"/>
        </w:rPr>
        <w:t>3.</w:t>
      </w:r>
      <w:r>
        <w:rPr>
          <w:rFonts w:hint="eastAsia" w:ascii="宋体" w:hAnsi="宋体" w:cs="宋体"/>
          <w:color w:val="auto"/>
          <w:sz w:val="24"/>
          <w:highlight w:val="none"/>
          <w:lang w:val="zh-TW" w:bidi="ar"/>
        </w:rPr>
        <w:t>关于常州市中小企业政府采购信用融资：</w:t>
      </w:r>
    </w:p>
    <w:p w14:paraId="52D3E681">
      <w:pPr>
        <w:widowControl/>
        <w:spacing w:line="360" w:lineRule="auto"/>
        <w:ind w:firstLine="480"/>
        <w:jc w:val="left"/>
        <w:rPr>
          <w:rFonts w:hint="eastAsia" w:ascii="宋体" w:hAnsi="宋体" w:cs="宋体"/>
          <w:color w:val="auto"/>
          <w:sz w:val="24"/>
          <w:highlight w:val="none"/>
          <w:lang w:bidi="ar"/>
        </w:rPr>
      </w:pPr>
      <w:r>
        <w:rPr>
          <w:rFonts w:hint="eastAsia" w:ascii="宋体" w:hAnsi="宋体" w:cs="宋体"/>
          <w:color w:val="auto"/>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E2F86C1">
      <w:pPr>
        <w:spacing w:line="360" w:lineRule="auto"/>
        <w:rPr>
          <w:rFonts w:hint="eastAsia" w:ascii="宋体" w:hAnsi="宋体"/>
          <w:b/>
          <w:bCs/>
          <w:color w:val="auto"/>
          <w:sz w:val="24"/>
          <w:highlight w:val="none"/>
        </w:rPr>
      </w:pPr>
      <w:bookmarkStart w:id="26" w:name="_Toc28359008"/>
      <w:bookmarkStart w:id="27" w:name="_Toc35393627"/>
      <w:bookmarkStart w:id="28" w:name="_Toc28359085"/>
      <w:bookmarkStart w:id="29" w:name="_Toc35393796"/>
      <w:r>
        <w:rPr>
          <w:rFonts w:hint="eastAsia" w:ascii="宋体" w:hAnsi="宋体"/>
          <w:b/>
          <w:bCs/>
          <w:color w:val="auto"/>
          <w:sz w:val="24"/>
          <w:highlight w:val="none"/>
        </w:rPr>
        <w:t>八、对本项目提出询问，请按以下方式联系。</w:t>
      </w:r>
      <w:bookmarkEnd w:id="26"/>
      <w:bookmarkEnd w:id="27"/>
      <w:bookmarkEnd w:id="28"/>
      <w:bookmarkEnd w:id="29"/>
    </w:p>
    <w:p w14:paraId="78C14185">
      <w:pPr>
        <w:widowControl/>
        <w:spacing w:line="360" w:lineRule="auto"/>
        <w:ind w:firstLine="482"/>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1.采购人信息</w:t>
      </w:r>
    </w:p>
    <w:p w14:paraId="5DFC206A">
      <w:pPr>
        <w:widowControl/>
        <w:spacing w:line="360" w:lineRule="auto"/>
        <w:ind w:firstLine="480"/>
        <w:jc w:val="left"/>
        <w:rPr>
          <w:rFonts w:hint="default" w:ascii="宋体" w:hAnsi="宋体" w:cs="宋体"/>
          <w:color w:val="auto"/>
          <w:sz w:val="24"/>
          <w:highlight w:val="none"/>
          <w:lang w:val="en-US"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江苏常州滨江经济开发区管理委员会</w:t>
      </w:r>
      <w:r>
        <w:rPr>
          <w:rFonts w:hint="eastAsia" w:ascii="宋体" w:hAnsi="宋体" w:cs="宋体"/>
          <w:color w:val="auto"/>
          <w:sz w:val="24"/>
          <w:highlight w:val="none"/>
          <w:u w:val="single"/>
          <w:lang w:val="en-US" w:eastAsia="zh-CN" w:bidi="ar"/>
        </w:rPr>
        <w:t xml:space="preserve"> </w:t>
      </w:r>
    </w:p>
    <w:p w14:paraId="4B0ADA9A">
      <w:pPr>
        <w:widowControl/>
        <w:spacing w:line="360" w:lineRule="auto"/>
        <w:ind w:firstLine="48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常州市新北区东海路常州滨江国际企业港1号楼</w:t>
      </w:r>
      <w:r>
        <w:rPr>
          <w:rFonts w:hint="eastAsia" w:ascii="宋体" w:hAnsi="宋体" w:cs="宋体"/>
          <w:color w:val="auto"/>
          <w:sz w:val="24"/>
          <w:highlight w:val="none"/>
          <w:u w:val="single"/>
          <w:lang w:bidi="ar"/>
        </w:rPr>
        <w:t xml:space="preserve"> </w:t>
      </w:r>
    </w:p>
    <w:p w14:paraId="62CAAABC">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罗先生 0519-81591069</w:t>
      </w:r>
      <w:r>
        <w:rPr>
          <w:rFonts w:hint="eastAsia" w:ascii="宋体" w:hAnsi="宋体" w:cs="宋体"/>
          <w:color w:val="auto"/>
          <w:sz w:val="24"/>
          <w:highlight w:val="none"/>
          <w:u w:val="single"/>
          <w:lang w:bidi="ar"/>
        </w:rPr>
        <w:t xml:space="preserve">  </w:t>
      </w:r>
    </w:p>
    <w:p w14:paraId="12E144C2">
      <w:pPr>
        <w:widowControl/>
        <w:spacing w:line="360" w:lineRule="auto"/>
        <w:ind w:firstLine="482"/>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485DFF49">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常州安丰工程项目管理有限公司</w:t>
      </w:r>
      <w:r>
        <w:rPr>
          <w:rFonts w:hint="eastAsia" w:ascii="宋体" w:hAnsi="宋体" w:cs="宋体"/>
          <w:color w:val="auto"/>
          <w:sz w:val="24"/>
          <w:highlight w:val="none"/>
          <w:u w:val="single"/>
          <w:lang w:bidi="ar"/>
        </w:rPr>
        <w:t xml:space="preserve"> </w:t>
      </w:r>
    </w:p>
    <w:p w14:paraId="1557296F">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常州市新北区雅居乐星河湾苑6栋139室</w:t>
      </w:r>
      <w:r>
        <w:rPr>
          <w:rFonts w:hint="eastAsia" w:ascii="宋体" w:hAnsi="宋体" w:cs="宋体"/>
          <w:color w:val="auto"/>
          <w:sz w:val="24"/>
          <w:highlight w:val="none"/>
          <w:u w:val="single"/>
          <w:lang w:bidi="ar"/>
        </w:rPr>
        <w:t xml:space="preserve"> </w:t>
      </w:r>
    </w:p>
    <w:p w14:paraId="0AFCA77E">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0519-85971588</w:t>
      </w:r>
      <w:r>
        <w:rPr>
          <w:rFonts w:hint="eastAsia" w:ascii="宋体" w:hAnsi="宋体" w:cs="宋体"/>
          <w:color w:val="auto"/>
          <w:sz w:val="24"/>
          <w:highlight w:val="none"/>
          <w:u w:val="single"/>
          <w:lang w:bidi="ar"/>
        </w:rPr>
        <w:t xml:space="preserve"> </w:t>
      </w:r>
    </w:p>
    <w:p w14:paraId="72D53BCD">
      <w:pPr>
        <w:widowControl/>
        <w:spacing w:line="360" w:lineRule="auto"/>
        <w:ind w:firstLine="482"/>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518FA3BA">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魏女士</w:t>
      </w:r>
      <w:r>
        <w:rPr>
          <w:rFonts w:hint="eastAsia" w:ascii="宋体" w:hAnsi="宋体" w:cs="宋体"/>
          <w:color w:val="auto"/>
          <w:sz w:val="24"/>
          <w:highlight w:val="none"/>
          <w:u w:val="single"/>
          <w:lang w:bidi="ar"/>
        </w:rPr>
        <w:t xml:space="preserve"> </w:t>
      </w:r>
    </w:p>
    <w:p w14:paraId="4E93A8B2">
      <w:pPr>
        <w:widowControl/>
        <w:spacing w:line="360" w:lineRule="auto"/>
        <w:ind w:firstLine="480"/>
        <w:jc w:val="left"/>
        <w:rPr>
          <w:rFonts w:hint="eastAsia"/>
          <w:color w:val="auto"/>
          <w:highlight w:val="none"/>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0519-85971588</w:t>
      </w:r>
      <w:r>
        <w:rPr>
          <w:rFonts w:hint="eastAsia" w:ascii="宋体" w:hAnsi="宋体" w:cs="宋体"/>
          <w:color w:val="auto"/>
          <w:sz w:val="24"/>
          <w:highlight w:val="none"/>
          <w:u w:val="single"/>
          <w:lang w:bidi="ar"/>
        </w:rPr>
        <w:t xml:space="preserve"> </w:t>
      </w:r>
    </w:p>
    <w:p w14:paraId="13FAA23B">
      <w:pPr>
        <w:pStyle w:val="4"/>
        <w:rPr>
          <w:rFonts w:hint="eastAsia"/>
          <w:b w:val="0"/>
          <w:bCs/>
          <w:color w:val="auto"/>
          <w:highlight w:val="none"/>
        </w:rPr>
        <w:sectPr>
          <w:footerReference r:id="rId10" w:type="first"/>
          <w:footerReference r:id="rId9" w:type="default"/>
          <w:pgSz w:w="11907" w:h="16840" w:orient="landscape"/>
          <w:pgMar w:top="1418" w:right="1134" w:bottom="1418" w:left="1701" w:header="851" w:footer="851" w:gutter="0"/>
          <w:pgNumType w:start="1"/>
          <w:cols w:space="720" w:num="1"/>
          <w:titlePg/>
        </w:sectPr>
      </w:pPr>
      <w:r>
        <w:rPr>
          <w:rFonts w:hint="eastAsia"/>
          <w:b w:val="0"/>
          <w:bCs/>
          <w:color w:val="auto"/>
          <w:sz w:val="24"/>
          <w:highlight w:val="none"/>
          <w:lang w:val="en-US" w:eastAsia="zh-CN"/>
        </w:rPr>
        <w:t>注：</w:t>
      </w:r>
      <w:r>
        <w:rPr>
          <w:rFonts w:hint="eastAsia"/>
          <w:b w:val="0"/>
          <w:bCs/>
          <w:color w:val="auto"/>
          <w:sz w:val="24"/>
          <w:highlight w:val="none"/>
          <w:shd w:val="clear" w:color="auto" w:fill="auto"/>
          <w:lang w:val="en-US" w:eastAsia="zh-CN"/>
        </w:rPr>
        <w:t>以上信息由于工作需要经本人或机构同意对外公布</w:t>
      </w:r>
    </w:p>
    <w:p w14:paraId="67399EB2">
      <w:pPr>
        <w:spacing w:line="360" w:lineRule="auto"/>
        <w:jc w:val="center"/>
        <w:outlineLvl w:val="0"/>
        <w:rPr>
          <w:b/>
          <w:color w:val="auto"/>
          <w:sz w:val="36"/>
          <w:szCs w:val="36"/>
          <w:highlight w:val="none"/>
        </w:rPr>
      </w:pPr>
      <w:bookmarkStart w:id="30" w:name="_Toc353873938"/>
      <w:bookmarkStart w:id="31" w:name="_Toc305158854"/>
      <w:bookmarkStart w:id="32" w:name="_Toc127161488"/>
      <w:bookmarkStart w:id="33" w:name="_Toc150774783"/>
      <w:bookmarkStart w:id="34" w:name="_Toc127151777"/>
      <w:bookmarkStart w:id="35" w:name="_Toc264969275"/>
      <w:bookmarkStart w:id="36" w:name="_Toc226965856"/>
      <w:bookmarkStart w:id="37" w:name="_Toc195842950"/>
      <w:bookmarkStart w:id="38" w:name="_Toc353825548"/>
      <w:bookmarkStart w:id="39" w:name="_Toc5724"/>
      <w:bookmarkStart w:id="40" w:name="_Toc305158928"/>
      <w:bookmarkStart w:id="41" w:name="_Toc512937850"/>
      <w:bookmarkStart w:id="42" w:name="_Toc104818926"/>
      <w:bookmarkStart w:id="43" w:name="_Toc265228423"/>
      <w:r>
        <w:rPr>
          <w:b/>
          <w:color w:val="auto"/>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2D71B624">
      <w:pPr>
        <w:spacing w:line="360" w:lineRule="auto"/>
        <w:jc w:val="center"/>
        <w:rPr>
          <w:rFonts w:hint="eastAsia" w:ascii="宋体" w:hAnsi="宋体"/>
          <w:b/>
          <w:bCs/>
          <w:color w:val="auto"/>
          <w:sz w:val="28"/>
          <w:szCs w:val="28"/>
          <w:highlight w:val="none"/>
        </w:rPr>
      </w:pPr>
      <w:bookmarkStart w:id="44" w:name="_Toc226965792"/>
      <w:bookmarkStart w:id="45" w:name="_Toc150774724"/>
      <w:bookmarkStart w:id="46" w:name="_Toc164229214"/>
      <w:bookmarkStart w:id="47" w:name="_Toc142311021"/>
      <w:bookmarkStart w:id="48" w:name="_Toc151193617"/>
      <w:bookmarkStart w:id="49" w:name="_Toc151193689"/>
      <w:bookmarkStart w:id="50" w:name="_Toc226965709"/>
      <w:bookmarkStart w:id="51" w:name="_Toc151190146"/>
      <w:bookmarkStart w:id="52" w:name="_Toc151193761"/>
      <w:bookmarkStart w:id="53" w:name="_Toc127151519"/>
      <w:bookmarkStart w:id="54" w:name="_Toc127151720"/>
      <w:bookmarkStart w:id="55" w:name="_Toc151193907"/>
      <w:bookmarkStart w:id="56" w:name="_Toc150509270"/>
      <w:bookmarkStart w:id="57" w:name="_Toc226309763"/>
      <w:bookmarkStart w:id="58" w:name="_Toc195842884"/>
      <w:bookmarkStart w:id="59" w:name="_Toc151193833"/>
      <w:bookmarkStart w:id="60" w:name="_Toc150480757"/>
      <w:bookmarkStart w:id="61" w:name="_Toc520356144"/>
      <w:bookmarkStart w:id="62" w:name="_Toc164608633"/>
      <w:bookmarkStart w:id="63" w:name="_Toc226337215"/>
      <w:bookmarkStart w:id="64" w:name="_Toc149720812"/>
      <w:bookmarkStart w:id="65" w:name="_Toc164351613"/>
      <w:bookmarkStart w:id="66" w:name="_Toc150774619"/>
      <w:bookmarkStart w:id="67" w:name="_Toc164229360"/>
      <w:bookmarkStart w:id="68" w:name="_Toc127161433"/>
      <w:bookmarkStart w:id="69" w:name="_Toc164608788"/>
      <w:r>
        <w:rPr>
          <w:rFonts w:hint="eastAsia" w:ascii="宋体" w:hAnsi="宋体"/>
          <w:b/>
          <w:bCs/>
          <w:color w:val="auto"/>
          <w:sz w:val="28"/>
          <w:szCs w:val="28"/>
          <w:highlight w:val="none"/>
        </w:rPr>
        <w:t>供应商须知资料表</w:t>
      </w:r>
    </w:p>
    <w:p w14:paraId="7D5CAE65">
      <w:pPr>
        <w:jc w:val="center"/>
        <w:rPr>
          <w:b/>
          <w:color w:val="auto"/>
          <w:sz w:val="28"/>
          <w:szCs w:val="28"/>
          <w:highlight w:val="none"/>
        </w:rPr>
      </w:pPr>
    </w:p>
    <w:p w14:paraId="0546909D">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本表是对供应商须知的具体补充和修改，如有矛盾，均以本资料表为准。标记“■”的选项意为适用于本项目，标记“□”的选项意为不适用于本项目。</w:t>
      </w:r>
    </w:p>
    <w:tbl>
      <w:tblPr>
        <w:tblStyle w:val="4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8C2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1A100F7D">
            <w:pPr>
              <w:jc w:val="center"/>
              <w:rPr>
                <w:rFonts w:hint="eastAsia" w:ascii="宋体" w:hAnsi="宋体" w:cs="宋体"/>
                <w:b/>
                <w:bCs/>
                <w:color w:val="auto"/>
                <w:sz w:val="24"/>
                <w:highlight w:val="none"/>
              </w:rPr>
            </w:pPr>
            <w:r>
              <w:rPr>
                <w:rFonts w:hint="eastAsia" w:ascii="宋体" w:hAnsi="宋体" w:cs="宋体"/>
                <w:b/>
                <w:color w:val="auto"/>
                <w:sz w:val="24"/>
                <w:highlight w:val="none"/>
              </w:rPr>
              <w:t>条款号</w:t>
            </w:r>
          </w:p>
        </w:tc>
        <w:tc>
          <w:tcPr>
            <w:tcW w:w="1701" w:type="dxa"/>
            <w:noWrap w:val="0"/>
            <w:vAlign w:val="center"/>
          </w:tcPr>
          <w:p w14:paraId="67271BAF">
            <w:pPr>
              <w:jc w:val="center"/>
              <w:rPr>
                <w:rFonts w:hint="eastAsia" w:ascii="宋体" w:hAnsi="宋体" w:cs="宋体"/>
                <w:b/>
                <w:bCs/>
                <w:color w:val="auto"/>
                <w:sz w:val="24"/>
                <w:highlight w:val="none"/>
              </w:rPr>
            </w:pPr>
            <w:r>
              <w:rPr>
                <w:rFonts w:hint="eastAsia" w:ascii="宋体" w:hAnsi="宋体" w:cs="宋体"/>
                <w:b/>
                <w:bCs/>
                <w:color w:val="auto"/>
                <w:sz w:val="24"/>
                <w:highlight w:val="none"/>
              </w:rPr>
              <w:t>条目</w:t>
            </w:r>
          </w:p>
        </w:tc>
        <w:tc>
          <w:tcPr>
            <w:tcW w:w="7253" w:type="dxa"/>
            <w:noWrap w:val="0"/>
            <w:vAlign w:val="center"/>
          </w:tcPr>
          <w:p w14:paraId="3D138477">
            <w:pPr>
              <w:jc w:val="center"/>
              <w:rPr>
                <w:rFonts w:hint="eastAsia" w:ascii="宋体" w:hAnsi="宋体" w:cs="宋体"/>
                <w:b/>
                <w:bCs/>
                <w:color w:val="auto"/>
                <w:sz w:val="24"/>
                <w:highlight w:val="none"/>
              </w:rPr>
            </w:pPr>
            <w:r>
              <w:rPr>
                <w:rFonts w:hint="eastAsia" w:ascii="宋体" w:hAnsi="宋体" w:cs="宋体"/>
                <w:b/>
                <w:bCs/>
                <w:color w:val="auto"/>
                <w:sz w:val="24"/>
                <w:highlight w:val="none"/>
              </w:rPr>
              <w:t>内容</w:t>
            </w:r>
          </w:p>
        </w:tc>
      </w:tr>
      <w:tr w14:paraId="02EE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E50E526">
            <w:pPr>
              <w:pStyle w:val="23"/>
              <w:jc w:val="center"/>
              <w:rPr>
                <w:rFonts w:hAnsi="宋体" w:cs="宋体"/>
                <w:color w:val="auto"/>
                <w:sz w:val="24"/>
                <w:szCs w:val="24"/>
                <w:highlight w:val="none"/>
              </w:rPr>
            </w:pPr>
            <w:r>
              <w:rPr>
                <w:rFonts w:hAnsi="宋体" w:cs="宋体"/>
                <w:color w:val="auto"/>
                <w:sz w:val="24"/>
                <w:szCs w:val="24"/>
                <w:highlight w:val="none"/>
              </w:rPr>
              <w:t>2.2</w:t>
            </w:r>
          </w:p>
        </w:tc>
        <w:tc>
          <w:tcPr>
            <w:tcW w:w="1701" w:type="dxa"/>
            <w:noWrap w:val="0"/>
            <w:vAlign w:val="center"/>
          </w:tcPr>
          <w:p w14:paraId="4B94BCB3">
            <w:pPr>
              <w:jc w:val="center"/>
              <w:rPr>
                <w:rFonts w:hint="eastAsia" w:ascii="宋体" w:hAnsi="宋体" w:cs="宋体"/>
                <w:color w:val="auto"/>
                <w:sz w:val="24"/>
                <w:highlight w:val="none"/>
              </w:rPr>
            </w:pPr>
            <w:r>
              <w:rPr>
                <w:rFonts w:hint="eastAsia" w:ascii="宋体" w:hAnsi="宋体" w:cs="宋体"/>
                <w:color w:val="auto"/>
                <w:sz w:val="24"/>
                <w:highlight w:val="none"/>
              </w:rPr>
              <w:t>项目属性</w:t>
            </w:r>
          </w:p>
        </w:tc>
        <w:tc>
          <w:tcPr>
            <w:tcW w:w="7253" w:type="dxa"/>
            <w:noWrap w:val="0"/>
            <w:vAlign w:val="center"/>
          </w:tcPr>
          <w:p w14:paraId="3F285FB2">
            <w:pPr>
              <w:jc w:val="left"/>
              <w:rPr>
                <w:rFonts w:hint="eastAsia" w:ascii="宋体" w:hAnsi="宋体" w:cs="宋体"/>
                <w:color w:val="auto"/>
                <w:sz w:val="24"/>
                <w:highlight w:val="none"/>
              </w:rPr>
            </w:pPr>
            <w:r>
              <w:rPr>
                <w:rFonts w:hint="eastAsia" w:ascii="宋体" w:hAnsi="宋体" w:cs="宋体"/>
                <w:color w:val="auto"/>
                <w:sz w:val="24"/>
                <w:highlight w:val="none"/>
              </w:rPr>
              <w:t>项目属性：</w:t>
            </w:r>
          </w:p>
          <w:p w14:paraId="438B29B5">
            <w:pPr>
              <w:jc w:val="left"/>
              <w:rPr>
                <w:rFonts w:hint="eastAsia" w:ascii="宋体" w:hAnsi="宋体" w:cs="宋体"/>
                <w:color w:val="auto"/>
                <w:sz w:val="24"/>
                <w:highlight w:val="none"/>
              </w:rPr>
            </w:pPr>
            <w:r>
              <w:rPr>
                <w:rFonts w:hint="eastAsia" w:ascii="宋体" w:hAnsi="宋体" w:cs="宋体"/>
                <w:color w:val="auto"/>
                <w:sz w:val="24"/>
                <w:highlight w:val="none"/>
              </w:rPr>
              <w:t>□服务</w:t>
            </w:r>
          </w:p>
          <w:p w14:paraId="5E574E8A">
            <w:pPr>
              <w:jc w:val="left"/>
              <w:rPr>
                <w:rFonts w:hint="eastAsia" w:ascii="宋体" w:hAnsi="宋体" w:cs="宋体"/>
                <w:color w:val="auto"/>
                <w:sz w:val="24"/>
                <w:highlight w:val="none"/>
              </w:rPr>
            </w:pPr>
            <w:r>
              <w:rPr>
                <w:rFonts w:hint="eastAsia" w:ascii="宋体" w:hAnsi="宋体" w:cs="宋体"/>
                <w:color w:val="auto"/>
                <w:sz w:val="24"/>
                <w:highlight w:val="none"/>
              </w:rPr>
              <w:t>□货物</w:t>
            </w:r>
          </w:p>
          <w:p w14:paraId="31923153">
            <w:pPr>
              <w:jc w:val="left"/>
              <w:rPr>
                <w:rFonts w:hint="eastAsia" w:ascii="宋体" w:hAnsi="宋体" w:cs="宋体"/>
                <w:color w:val="auto"/>
                <w:sz w:val="24"/>
                <w:highlight w:val="none"/>
                <w:u w:val="single"/>
              </w:rPr>
            </w:pPr>
            <w:r>
              <w:rPr>
                <w:rFonts w:hint="eastAsia" w:ascii="宋体" w:hAnsi="宋体" w:cs="宋体"/>
                <w:color w:val="auto"/>
                <w:sz w:val="24"/>
                <w:highlight w:val="none"/>
              </w:rPr>
              <w:t>■工程</w:t>
            </w:r>
          </w:p>
        </w:tc>
      </w:tr>
      <w:tr w14:paraId="1BDB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16015782">
            <w:pPr>
              <w:pStyle w:val="23"/>
              <w:jc w:val="center"/>
              <w:rPr>
                <w:rFonts w:hAnsi="宋体" w:cs="宋体"/>
                <w:color w:val="auto"/>
                <w:sz w:val="24"/>
                <w:szCs w:val="24"/>
                <w:highlight w:val="none"/>
              </w:rPr>
            </w:pPr>
            <w:r>
              <w:rPr>
                <w:rFonts w:hAnsi="宋体" w:cs="宋体"/>
                <w:color w:val="auto"/>
                <w:sz w:val="24"/>
                <w:szCs w:val="24"/>
                <w:highlight w:val="none"/>
              </w:rPr>
              <w:t>3.1</w:t>
            </w:r>
          </w:p>
        </w:tc>
        <w:tc>
          <w:tcPr>
            <w:tcW w:w="1701" w:type="dxa"/>
            <w:noWrap w:val="0"/>
            <w:vAlign w:val="center"/>
          </w:tcPr>
          <w:p w14:paraId="00688257">
            <w:pPr>
              <w:jc w:val="center"/>
              <w:rPr>
                <w:rFonts w:hint="eastAsia" w:ascii="宋体" w:hAnsi="宋体" w:cs="宋体"/>
                <w:color w:val="auto"/>
                <w:sz w:val="24"/>
                <w:highlight w:val="none"/>
              </w:rPr>
            </w:pPr>
            <w:r>
              <w:rPr>
                <w:rFonts w:hint="eastAsia" w:ascii="宋体" w:hAnsi="宋体" w:cs="宋体"/>
                <w:color w:val="auto"/>
                <w:sz w:val="24"/>
                <w:highlight w:val="none"/>
              </w:rPr>
              <w:t>现场考察</w:t>
            </w:r>
          </w:p>
        </w:tc>
        <w:tc>
          <w:tcPr>
            <w:tcW w:w="7253" w:type="dxa"/>
            <w:noWrap w:val="0"/>
            <w:vAlign w:val="center"/>
          </w:tcPr>
          <w:p w14:paraId="7BD339D5">
            <w:pPr>
              <w:jc w:val="left"/>
              <w:rPr>
                <w:rFonts w:hint="eastAsia" w:ascii="宋体" w:hAnsi="宋体" w:cs="宋体"/>
                <w:color w:val="auto"/>
                <w:sz w:val="24"/>
                <w:highlight w:val="none"/>
              </w:rPr>
            </w:pPr>
            <w:r>
              <w:rPr>
                <w:rFonts w:hint="eastAsia" w:ascii="宋体" w:hAnsi="宋体" w:cs="宋体"/>
                <w:color w:val="auto"/>
                <w:sz w:val="24"/>
                <w:highlight w:val="none"/>
              </w:rPr>
              <w:t>■不组织</w:t>
            </w:r>
          </w:p>
          <w:p w14:paraId="149CEE80">
            <w:pPr>
              <w:jc w:val="left"/>
              <w:rPr>
                <w:rFonts w:hint="eastAsia"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25E93D7F">
            <w:pPr>
              <w:pStyle w:val="23"/>
              <w:rPr>
                <w:rFonts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3708B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0ED25342">
            <w:pPr>
              <w:pStyle w:val="23"/>
              <w:jc w:val="center"/>
              <w:rPr>
                <w:rFonts w:hAnsi="宋体" w:cs="宋体"/>
                <w:color w:val="auto"/>
                <w:sz w:val="24"/>
                <w:szCs w:val="24"/>
                <w:highlight w:val="none"/>
              </w:rPr>
            </w:pPr>
          </w:p>
        </w:tc>
        <w:tc>
          <w:tcPr>
            <w:tcW w:w="1701" w:type="dxa"/>
            <w:noWrap w:val="0"/>
            <w:vAlign w:val="center"/>
          </w:tcPr>
          <w:p w14:paraId="62819966">
            <w:pPr>
              <w:jc w:val="center"/>
              <w:rPr>
                <w:rFonts w:hint="eastAsia" w:ascii="宋体" w:hAnsi="宋体" w:cs="宋体"/>
                <w:color w:val="auto"/>
                <w:sz w:val="24"/>
                <w:highlight w:val="none"/>
              </w:rPr>
            </w:pPr>
            <w:r>
              <w:rPr>
                <w:rFonts w:hint="eastAsia" w:ascii="宋体" w:hAnsi="宋体" w:cs="宋体"/>
                <w:color w:val="auto"/>
                <w:sz w:val="24"/>
                <w:highlight w:val="none"/>
              </w:rPr>
              <w:t>磋商前答疑会</w:t>
            </w:r>
          </w:p>
        </w:tc>
        <w:tc>
          <w:tcPr>
            <w:tcW w:w="7253" w:type="dxa"/>
            <w:noWrap w:val="0"/>
            <w:vAlign w:val="center"/>
          </w:tcPr>
          <w:p w14:paraId="606DCF33">
            <w:pPr>
              <w:jc w:val="left"/>
              <w:rPr>
                <w:rFonts w:hint="eastAsia" w:ascii="宋体" w:hAnsi="宋体" w:cs="宋体"/>
                <w:color w:val="auto"/>
                <w:sz w:val="24"/>
                <w:highlight w:val="none"/>
              </w:rPr>
            </w:pPr>
            <w:r>
              <w:rPr>
                <w:rFonts w:hint="eastAsia" w:ascii="宋体" w:hAnsi="宋体" w:cs="宋体"/>
                <w:color w:val="auto"/>
                <w:sz w:val="24"/>
                <w:highlight w:val="none"/>
              </w:rPr>
              <w:t>■不召开</w:t>
            </w:r>
          </w:p>
          <w:p w14:paraId="741D61E1">
            <w:pPr>
              <w:jc w:val="left"/>
              <w:rPr>
                <w:rFonts w:hint="eastAsia"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49E9EF79">
            <w:pPr>
              <w:jc w:val="left"/>
              <w:rPr>
                <w:rFonts w:hint="eastAsia"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7E24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248FC86">
            <w:pPr>
              <w:pStyle w:val="23"/>
              <w:jc w:val="center"/>
              <w:rPr>
                <w:rFonts w:hAnsi="宋体" w:cs="宋体"/>
                <w:color w:val="auto"/>
                <w:sz w:val="24"/>
                <w:szCs w:val="24"/>
                <w:highlight w:val="none"/>
              </w:rPr>
            </w:pPr>
            <w:r>
              <w:rPr>
                <w:rFonts w:hAnsi="宋体" w:cs="宋体"/>
                <w:color w:val="auto"/>
                <w:sz w:val="24"/>
                <w:szCs w:val="24"/>
                <w:highlight w:val="none"/>
              </w:rPr>
              <w:t>4.2.5</w:t>
            </w:r>
          </w:p>
        </w:tc>
        <w:tc>
          <w:tcPr>
            <w:tcW w:w="1701" w:type="dxa"/>
            <w:noWrap w:val="0"/>
            <w:vAlign w:val="center"/>
          </w:tcPr>
          <w:p w14:paraId="61CE49D1">
            <w:pPr>
              <w:jc w:val="center"/>
              <w:rPr>
                <w:rFonts w:hint="eastAsia" w:ascii="宋体" w:hAnsi="宋体" w:cs="宋体"/>
                <w:color w:val="auto"/>
                <w:sz w:val="24"/>
                <w:highlight w:val="none"/>
              </w:rPr>
            </w:pPr>
            <w:r>
              <w:rPr>
                <w:rFonts w:hint="eastAsia" w:ascii="宋体" w:hAnsi="宋体" w:cs="宋体"/>
                <w:color w:val="auto"/>
                <w:sz w:val="24"/>
                <w:highlight w:val="none"/>
              </w:rPr>
              <w:t>标的所属行业</w:t>
            </w:r>
          </w:p>
        </w:tc>
        <w:tc>
          <w:tcPr>
            <w:tcW w:w="7253" w:type="dxa"/>
            <w:noWrap w:val="0"/>
            <w:vAlign w:val="center"/>
          </w:tcPr>
          <w:p w14:paraId="3C3B49DA">
            <w:pPr>
              <w:jc w:val="left"/>
              <w:rPr>
                <w:rFonts w:hint="eastAsia"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color w:val="auto"/>
                <w:sz w:val="24"/>
                <w:highlight w:val="none"/>
                <w:u w:val="single"/>
              </w:rPr>
              <w:t xml:space="preserve"> 建筑业 </w:t>
            </w:r>
          </w:p>
        </w:tc>
      </w:tr>
      <w:tr w14:paraId="1669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938EB7F">
            <w:pPr>
              <w:pStyle w:val="23"/>
              <w:jc w:val="center"/>
              <w:rPr>
                <w:rFonts w:hAnsi="宋体" w:cs="宋体"/>
                <w:color w:val="auto"/>
                <w:sz w:val="24"/>
                <w:szCs w:val="24"/>
                <w:highlight w:val="none"/>
              </w:rPr>
            </w:pPr>
            <w:r>
              <w:rPr>
                <w:rFonts w:hAnsi="宋体" w:cs="宋体"/>
                <w:color w:val="auto"/>
                <w:sz w:val="24"/>
                <w:szCs w:val="24"/>
                <w:highlight w:val="none"/>
              </w:rPr>
              <w:t>10.2</w:t>
            </w:r>
          </w:p>
        </w:tc>
        <w:tc>
          <w:tcPr>
            <w:tcW w:w="1701" w:type="dxa"/>
            <w:noWrap w:val="0"/>
            <w:vAlign w:val="center"/>
          </w:tcPr>
          <w:p w14:paraId="0FE64448">
            <w:pPr>
              <w:jc w:val="center"/>
              <w:rPr>
                <w:rFonts w:hint="eastAsia" w:ascii="宋体" w:hAnsi="宋体" w:cs="宋体"/>
                <w:color w:val="auto"/>
                <w:sz w:val="24"/>
                <w:highlight w:val="none"/>
              </w:rPr>
            </w:pPr>
            <w:r>
              <w:rPr>
                <w:rFonts w:hint="eastAsia" w:ascii="宋体" w:hAnsi="宋体" w:cs="宋体"/>
                <w:color w:val="auto"/>
                <w:sz w:val="24"/>
                <w:highlight w:val="none"/>
              </w:rPr>
              <w:t>报价</w:t>
            </w:r>
          </w:p>
        </w:tc>
        <w:tc>
          <w:tcPr>
            <w:tcW w:w="7253" w:type="dxa"/>
            <w:noWrap w:val="0"/>
            <w:vAlign w:val="center"/>
          </w:tcPr>
          <w:p w14:paraId="36BF4786">
            <w:pPr>
              <w:jc w:val="left"/>
              <w:rPr>
                <w:rFonts w:hint="eastAsia" w:ascii="宋体" w:hAnsi="宋体" w:cs="宋体"/>
                <w:color w:val="auto"/>
                <w:sz w:val="24"/>
                <w:highlight w:val="none"/>
              </w:rPr>
            </w:pPr>
            <w:r>
              <w:rPr>
                <w:rFonts w:hint="eastAsia" w:ascii="宋体" w:hAnsi="宋体" w:cs="宋体"/>
                <w:color w:val="auto"/>
                <w:sz w:val="24"/>
                <w:highlight w:val="none"/>
              </w:rPr>
              <w:t>报价的特殊规定：</w:t>
            </w:r>
          </w:p>
          <w:p w14:paraId="49579A4E">
            <w:pPr>
              <w:jc w:val="left"/>
              <w:rPr>
                <w:rFonts w:hint="eastAsia" w:ascii="宋体" w:hAnsi="宋体" w:cs="宋体"/>
                <w:color w:val="auto"/>
                <w:sz w:val="24"/>
                <w:highlight w:val="none"/>
              </w:rPr>
            </w:pPr>
            <w:r>
              <w:rPr>
                <w:rFonts w:hint="eastAsia" w:ascii="宋体" w:hAnsi="宋体" w:cs="宋体"/>
                <w:color w:val="auto"/>
                <w:sz w:val="24"/>
                <w:highlight w:val="none"/>
              </w:rPr>
              <w:t>□无</w:t>
            </w:r>
          </w:p>
          <w:p w14:paraId="77DED1A8">
            <w:pPr>
              <w:jc w:val="left"/>
              <w:rPr>
                <w:rFonts w:hint="eastAsia"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b/>
                <w:bCs/>
                <w:color w:val="auto"/>
                <w:sz w:val="24"/>
                <w:highlight w:val="none"/>
              </w:rPr>
              <w:t>本项目采用</w:t>
            </w:r>
            <w:r>
              <w:rPr>
                <w:rFonts w:hint="eastAsia" w:ascii="宋体" w:hAnsi="宋体" w:cs="宋体"/>
                <w:b/>
                <w:bCs/>
                <w:color w:val="auto"/>
                <w:sz w:val="24"/>
                <w:highlight w:val="none"/>
                <w:lang w:val="en-US" w:eastAsia="zh-CN"/>
              </w:rPr>
              <w:t>两</w:t>
            </w:r>
            <w:r>
              <w:rPr>
                <w:rFonts w:hint="eastAsia" w:ascii="宋体" w:hAnsi="宋体" w:cs="宋体"/>
                <w:b/>
                <w:bCs/>
                <w:color w:val="auto"/>
                <w:sz w:val="24"/>
                <w:highlight w:val="none"/>
              </w:rPr>
              <w:t>次报价</w:t>
            </w:r>
            <w:r>
              <w:rPr>
                <w:rFonts w:hint="eastAsia" w:ascii="宋体" w:hAnsi="宋体" w:cs="宋体"/>
                <w:b/>
                <w:bCs/>
                <w:color w:val="auto"/>
                <w:sz w:val="24"/>
                <w:highlight w:val="none"/>
                <w:lang w:eastAsia="zh-CN"/>
              </w:rPr>
              <w:t>，</w:t>
            </w:r>
            <w:r>
              <w:rPr>
                <w:rFonts w:hint="eastAsia" w:ascii="宋体" w:hAnsi="宋体" w:cs="宋体"/>
                <w:color w:val="auto"/>
                <w:sz w:val="24"/>
                <w:highlight w:val="none"/>
                <w:u w:val="single"/>
              </w:rPr>
              <w:t>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p>
        </w:tc>
      </w:tr>
      <w:tr w14:paraId="4D68C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92191DA">
            <w:pPr>
              <w:pStyle w:val="23"/>
              <w:jc w:val="center"/>
              <w:rPr>
                <w:rFonts w:hAnsi="宋体" w:cs="宋体"/>
                <w:color w:val="auto"/>
                <w:sz w:val="24"/>
                <w:szCs w:val="24"/>
                <w:highlight w:val="none"/>
              </w:rPr>
            </w:pPr>
            <w:r>
              <w:rPr>
                <w:rFonts w:hAnsi="宋体" w:cs="宋体"/>
                <w:color w:val="auto"/>
                <w:sz w:val="24"/>
                <w:szCs w:val="24"/>
                <w:highlight w:val="none"/>
              </w:rPr>
              <w:t>11.1</w:t>
            </w:r>
          </w:p>
        </w:tc>
        <w:tc>
          <w:tcPr>
            <w:tcW w:w="1701" w:type="dxa"/>
            <w:noWrap w:val="0"/>
            <w:vAlign w:val="center"/>
          </w:tcPr>
          <w:p w14:paraId="5BB7A670">
            <w:pPr>
              <w:jc w:val="center"/>
              <w:rPr>
                <w:rFonts w:hint="eastAsia" w:ascii="宋体" w:hAnsi="宋体" w:cs="宋体"/>
                <w:color w:val="auto"/>
                <w:sz w:val="24"/>
                <w:highlight w:val="none"/>
              </w:rPr>
            </w:pPr>
            <w:r>
              <w:rPr>
                <w:rFonts w:hint="eastAsia" w:ascii="宋体" w:hAnsi="宋体" w:cs="宋体"/>
                <w:color w:val="auto"/>
                <w:sz w:val="24"/>
                <w:highlight w:val="none"/>
              </w:rPr>
              <w:t>磋商保证金</w:t>
            </w:r>
          </w:p>
        </w:tc>
        <w:tc>
          <w:tcPr>
            <w:tcW w:w="7253" w:type="dxa"/>
            <w:noWrap w:val="0"/>
            <w:vAlign w:val="center"/>
          </w:tcPr>
          <w:p w14:paraId="76680D6E">
            <w:pPr>
              <w:jc w:val="left"/>
              <w:rPr>
                <w:rFonts w:hint="eastAsia" w:ascii="宋体" w:hAnsi="宋体" w:cs="宋体"/>
                <w:color w:val="auto"/>
                <w:sz w:val="24"/>
                <w:highlight w:val="none"/>
              </w:rPr>
            </w:pPr>
            <w:r>
              <w:rPr>
                <w:rFonts w:hint="eastAsia" w:ascii="宋体" w:hAnsi="宋体" w:cs="宋体"/>
                <w:color w:val="auto"/>
                <w:sz w:val="24"/>
                <w:highlight w:val="none"/>
              </w:rPr>
              <w:t>免收</w:t>
            </w:r>
          </w:p>
        </w:tc>
      </w:tr>
      <w:tr w14:paraId="59DF9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ED7869B">
            <w:pPr>
              <w:pStyle w:val="23"/>
              <w:jc w:val="center"/>
              <w:rPr>
                <w:rFonts w:hAnsi="宋体" w:cs="宋体"/>
                <w:color w:val="auto"/>
                <w:sz w:val="24"/>
                <w:szCs w:val="24"/>
                <w:highlight w:val="none"/>
              </w:rPr>
            </w:pPr>
            <w:r>
              <w:rPr>
                <w:rFonts w:hAnsi="宋体" w:cs="宋体"/>
                <w:color w:val="auto"/>
                <w:sz w:val="24"/>
                <w:szCs w:val="24"/>
                <w:highlight w:val="none"/>
              </w:rPr>
              <w:t>12.1</w:t>
            </w:r>
          </w:p>
        </w:tc>
        <w:tc>
          <w:tcPr>
            <w:tcW w:w="1701" w:type="dxa"/>
            <w:noWrap w:val="0"/>
            <w:vAlign w:val="center"/>
          </w:tcPr>
          <w:p w14:paraId="6152A81D">
            <w:pPr>
              <w:jc w:val="center"/>
              <w:rPr>
                <w:rFonts w:hint="eastAsia" w:ascii="宋体" w:hAnsi="宋体" w:cs="宋体"/>
                <w:color w:val="auto"/>
                <w:sz w:val="24"/>
                <w:highlight w:val="none"/>
              </w:rPr>
            </w:pPr>
            <w:r>
              <w:rPr>
                <w:rFonts w:hint="eastAsia" w:ascii="宋体" w:hAnsi="宋体" w:cs="宋体"/>
                <w:color w:val="auto"/>
                <w:sz w:val="24"/>
                <w:highlight w:val="none"/>
              </w:rPr>
              <w:t>响应有效期</w:t>
            </w:r>
          </w:p>
        </w:tc>
        <w:tc>
          <w:tcPr>
            <w:tcW w:w="7253" w:type="dxa"/>
            <w:noWrap w:val="0"/>
            <w:vAlign w:val="center"/>
          </w:tcPr>
          <w:p w14:paraId="6520457A">
            <w:pPr>
              <w:jc w:val="left"/>
              <w:rPr>
                <w:rFonts w:hint="eastAsia" w:ascii="宋体" w:hAnsi="宋体" w:cs="宋体"/>
                <w:color w:val="auto"/>
                <w:sz w:val="24"/>
                <w:highlight w:val="none"/>
              </w:rPr>
            </w:pPr>
            <w:r>
              <w:rPr>
                <w:rFonts w:hint="eastAsia" w:ascii="宋体" w:hAnsi="宋体" w:cs="宋体"/>
                <w:color w:val="auto"/>
                <w:sz w:val="24"/>
                <w:highlight w:val="none"/>
              </w:rPr>
              <w:t>自提交响应文件的截止之日起算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FCB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B47662F">
            <w:pPr>
              <w:pStyle w:val="23"/>
              <w:jc w:val="center"/>
              <w:rPr>
                <w:rFonts w:hAnsi="宋体" w:cs="宋体"/>
                <w:color w:val="auto"/>
                <w:sz w:val="24"/>
                <w:szCs w:val="24"/>
                <w:highlight w:val="none"/>
              </w:rPr>
            </w:pPr>
            <w:r>
              <w:rPr>
                <w:rFonts w:hAnsi="宋体" w:cs="宋体"/>
                <w:color w:val="auto"/>
                <w:sz w:val="24"/>
                <w:szCs w:val="24"/>
                <w:highlight w:val="none"/>
              </w:rPr>
              <w:t>23.5</w:t>
            </w:r>
          </w:p>
        </w:tc>
        <w:tc>
          <w:tcPr>
            <w:tcW w:w="1701" w:type="dxa"/>
            <w:noWrap w:val="0"/>
            <w:vAlign w:val="center"/>
          </w:tcPr>
          <w:p w14:paraId="543E1F67">
            <w:pPr>
              <w:jc w:val="center"/>
              <w:rPr>
                <w:rFonts w:hint="eastAsia" w:ascii="宋体" w:hAnsi="宋体" w:cs="宋体"/>
                <w:color w:val="auto"/>
                <w:sz w:val="24"/>
                <w:highlight w:val="none"/>
              </w:rPr>
            </w:pPr>
            <w:r>
              <w:rPr>
                <w:rFonts w:hint="eastAsia" w:ascii="宋体" w:hAnsi="宋体" w:cs="宋体"/>
                <w:color w:val="auto"/>
                <w:sz w:val="24"/>
                <w:highlight w:val="none"/>
              </w:rPr>
              <w:t>分包</w:t>
            </w:r>
          </w:p>
        </w:tc>
        <w:tc>
          <w:tcPr>
            <w:tcW w:w="7253" w:type="dxa"/>
            <w:noWrap w:val="0"/>
            <w:vAlign w:val="center"/>
          </w:tcPr>
          <w:p w14:paraId="649B5250">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本项目是否允许分包： </w:t>
            </w:r>
          </w:p>
          <w:p w14:paraId="7CC11165">
            <w:pPr>
              <w:jc w:val="left"/>
              <w:rPr>
                <w:rFonts w:hint="eastAsia" w:ascii="宋体" w:hAnsi="宋体" w:cs="宋体"/>
                <w:color w:val="auto"/>
                <w:sz w:val="24"/>
                <w:highlight w:val="none"/>
              </w:rPr>
            </w:pPr>
            <w:r>
              <w:rPr>
                <w:rFonts w:hint="eastAsia" w:ascii="宋体" w:hAnsi="宋体" w:cs="宋体"/>
                <w:color w:val="auto"/>
                <w:sz w:val="24"/>
                <w:highlight w:val="none"/>
              </w:rPr>
              <w:t>■不允许</w:t>
            </w:r>
          </w:p>
          <w:p w14:paraId="5D91BDC1">
            <w:pPr>
              <w:jc w:val="left"/>
              <w:rPr>
                <w:rFonts w:hint="eastAsia"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B4AC748">
            <w:pPr>
              <w:jc w:val="left"/>
              <w:rPr>
                <w:rFonts w:hint="eastAsia"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59BD8DF">
            <w:pPr>
              <w:jc w:val="left"/>
              <w:rPr>
                <w:rFonts w:hint="eastAsia"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2A169984">
            <w:pPr>
              <w:jc w:val="left"/>
              <w:rPr>
                <w:rFonts w:hint="eastAsia" w:ascii="宋体" w:hAnsi="宋体" w:cs="宋体"/>
                <w:color w:val="auto"/>
                <w:sz w:val="24"/>
                <w:highlight w:val="none"/>
                <w:u w:val="singl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4AC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CC7F265">
            <w:pPr>
              <w:pStyle w:val="23"/>
              <w:jc w:val="center"/>
              <w:rPr>
                <w:rFonts w:hAnsi="宋体" w:cs="宋体"/>
                <w:color w:val="auto"/>
                <w:sz w:val="24"/>
                <w:szCs w:val="24"/>
                <w:highlight w:val="none"/>
              </w:rPr>
            </w:pPr>
            <w:r>
              <w:rPr>
                <w:rFonts w:hAnsi="宋体" w:cs="宋体"/>
                <w:color w:val="auto"/>
                <w:sz w:val="24"/>
                <w:szCs w:val="24"/>
                <w:highlight w:val="none"/>
              </w:rPr>
              <w:t>24.1.1</w:t>
            </w:r>
          </w:p>
        </w:tc>
        <w:tc>
          <w:tcPr>
            <w:tcW w:w="1701" w:type="dxa"/>
            <w:noWrap w:val="0"/>
            <w:vAlign w:val="center"/>
          </w:tcPr>
          <w:p w14:paraId="7861564F">
            <w:pPr>
              <w:jc w:val="center"/>
              <w:rPr>
                <w:rFonts w:hint="eastAsia" w:ascii="宋体" w:hAnsi="宋体" w:cs="宋体"/>
                <w:color w:val="auto"/>
                <w:sz w:val="24"/>
                <w:highlight w:val="none"/>
              </w:rPr>
            </w:pPr>
            <w:r>
              <w:rPr>
                <w:rFonts w:hint="eastAsia" w:ascii="宋体" w:hAnsi="宋体" w:cs="宋体"/>
                <w:color w:val="auto"/>
                <w:sz w:val="24"/>
                <w:highlight w:val="none"/>
              </w:rPr>
              <w:t>询问</w:t>
            </w:r>
          </w:p>
        </w:tc>
        <w:tc>
          <w:tcPr>
            <w:tcW w:w="7253" w:type="dxa"/>
            <w:noWrap w:val="0"/>
            <w:vAlign w:val="center"/>
          </w:tcPr>
          <w:p w14:paraId="6344BBCB">
            <w:pPr>
              <w:jc w:val="left"/>
              <w:rPr>
                <w:rFonts w:hint="eastAsia"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于</w:t>
            </w:r>
            <w:r>
              <w:rPr>
                <w:rFonts w:hint="eastAsia" w:ascii="宋体" w:hAnsi="宋体" w:cs="宋体"/>
                <w:color w:val="auto"/>
                <w:sz w:val="24"/>
                <w:highlight w:val="none"/>
                <w:u w:val="single"/>
                <w:lang w:eastAsia="zh-CN"/>
              </w:rPr>
              <w:t>2026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10</w:t>
            </w:r>
            <w:r>
              <w:rPr>
                <w:rFonts w:hint="eastAsia" w:ascii="宋体" w:hAnsi="宋体" w:cs="宋体"/>
                <w:color w:val="auto"/>
                <w:sz w:val="24"/>
                <w:highlight w:val="none"/>
                <w:u w:val="single"/>
              </w:rPr>
              <w:t>日11：00</w:t>
            </w:r>
            <w:r>
              <w:rPr>
                <w:rFonts w:hint="eastAsia" w:ascii="宋体" w:hAnsi="宋体" w:cs="宋体"/>
                <w:color w:val="auto"/>
                <w:sz w:val="24"/>
                <w:highlight w:val="none"/>
                <w:u w:val="single"/>
              </w:rPr>
              <w:t>（北京时间）前以书面形式递交至</w:t>
            </w:r>
            <w:r>
              <w:rPr>
                <w:rFonts w:hint="eastAsia" w:ascii="宋体" w:hAnsi="宋体" w:cs="宋体"/>
                <w:color w:val="auto"/>
                <w:sz w:val="24"/>
                <w:highlight w:val="none"/>
                <w:u w:val="single"/>
                <w:lang w:eastAsia="zh-CN"/>
              </w:rPr>
              <w:t>常州安丰工程项目管理有限公司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574C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F25EF5F">
            <w:pPr>
              <w:pStyle w:val="23"/>
              <w:jc w:val="center"/>
              <w:rPr>
                <w:rFonts w:hAnsi="宋体" w:cs="宋体"/>
                <w:color w:val="auto"/>
                <w:sz w:val="24"/>
                <w:szCs w:val="24"/>
                <w:highlight w:val="none"/>
              </w:rPr>
            </w:pPr>
            <w:r>
              <w:rPr>
                <w:rFonts w:hAnsi="宋体" w:cs="宋体"/>
                <w:color w:val="auto"/>
                <w:sz w:val="24"/>
                <w:szCs w:val="24"/>
                <w:highlight w:val="none"/>
              </w:rPr>
              <w:t>24.3</w:t>
            </w:r>
          </w:p>
        </w:tc>
        <w:tc>
          <w:tcPr>
            <w:tcW w:w="1701" w:type="dxa"/>
            <w:noWrap w:val="0"/>
            <w:vAlign w:val="center"/>
          </w:tcPr>
          <w:p w14:paraId="74B54924">
            <w:pPr>
              <w:jc w:val="center"/>
              <w:rPr>
                <w:rFonts w:hint="eastAsia" w:ascii="宋体" w:hAnsi="宋体" w:cs="宋体"/>
                <w:color w:val="auto"/>
                <w:sz w:val="24"/>
                <w:highlight w:val="none"/>
              </w:rPr>
            </w:pPr>
            <w:r>
              <w:rPr>
                <w:rFonts w:hint="eastAsia" w:ascii="宋体" w:hAnsi="宋体" w:cs="宋体"/>
                <w:color w:val="auto"/>
                <w:sz w:val="24"/>
                <w:highlight w:val="none"/>
              </w:rPr>
              <w:t>联系方式</w:t>
            </w:r>
          </w:p>
        </w:tc>
        <w:tc>
          <w:tcPr>
            <w:tcW w:w="7253" w:type="dxa"/>
            <w:noWrap w:val="0"/>
            <w:vAlign w:val="center"/>
          </w:tcPr>
          <w:p w14:paraId="42078D1C">
            <w:pPr>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23493366">
            <w:pPr>
              <w:jc w:val="left"/>
              <w:rPr>
                <w:rFonts w:hint="eastAsia"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魏女士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61C1615">
            <w:pPr>
              <w:jc w:val="left"/>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0519-85971588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330C9AD">
            <w:pPr>
              <w:jc w:val="left"/>
              <w:rPr>
                <w:rFonts w:hint="eastAsia"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常州市新北区雅居乐星河湾苑6栋139室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3994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048469">
            <w:pPr>
              <w:pStyle w:val="23"/>
              <w:jc w:val="center"/>
              <w:rPr>
                <w:rFonts w:hAnsi="宋体" w:cs="宋体"/>
                <w:color w:val="auto"/>
                <w:sz w:val="24"/>
                <w:szCs w:val="24"/>
                <w:highlight w:val="none"/>
              </w:rPr>
            </w:pPr>
            <w:r>
              <w:rPr>
                <w:rFonts w:hAnsi="宋体" w:cs="宋体"/>
                <w:color w:val="auto"/>
                <w:sz w:val="24"/>
                <w:szCs w:val="24"/>
                <w:highlight w:val="none"/>
              </w:rPr>
              <w:t>25</w:t>
            </w:r>
          </w:p>
        </w:tc>
        <w:tc>
          <w:tcPr>
            <w:tcW w:w="1701" w:type="dxa"/>
            <w:noWrap w:val="0"/>
            <w:vAlign w:val="center"/>
          </w:tcPr>
          <w:p w14:paraId="5FB5FA10">
            <w:pPr>
              <w:jc w:val="center"/>
              <w:rPr>
                <w:rFonts w:hint="eastAsia" w:ascii="宋体" w:hAnsi="宋体" w:cs="宋体"/>
                <w:color w:val="auto"/>
                <w:sz w:val="24"/>
                <w:highlight w:val="none"/>
              </w:rPr>
            </w:pPr>
            <w:r>
              <w:rPr>
                <w:rFonts w:hint="eastAsia" w:ascii="宋体" w:hAnsi="宋体" w:cs="宋体"/>
                <w:color w:val="auto"/>
                <w:sz w:val="24"/>
                <w:highlight w:val="none"/>
              </w:rPr>
              <w:t>代理费</w:t>
            </w:r>
          </w:p>
        </w:tc>
        <w:tc>
          <w:tcPr>
            <w:tcW w:w="7253" w:type="dxa"/>
            <w:noWrap w:val="0"/>
            <w:vAlign w:val="center"/>
          </w:tcPr>
          <w:p w14:paraId="314D9491">
            <w:pPr>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5DD8A0C9">
            <w:pPr>
              <w:jc w:val="left"/>
              <w:rPr>
                <w:rFonts w:hint="eastAsia" w:ascii="宋体" w:hAnsi="宋体" w:cs="宋体"/>
                <w:color w:val="auto"/>
                <w:sz w:val="24"/>
                <w:highlight w:val="none"/>
              </w:rPr>
            </w:pPr>
            <w:r>
              <w:rPr>
                <w:rFonts w:hint="eastAsia" w:ascii="宋体" w:hAnsi="宋体" w:cs="宋体"/>
                <w:color w:val="auto"/>
                <w:sz w:val="24"/>
                <w:highlight w:val="none"/>
              </w:rPr>
              <w:t>□采购人</w:t>
            </w:r>
          </w:p>
          <w:p w14:paraId="1F407D02">
            <w:pPr>
              <w:jc w:val="left"/>
              <w:rPr>
                <w:rFonts w:hint="eastAsia" w:ascii="宋体" w:hAnsi="宋体" w:cs="宋体"/>
                <w:color w:val="auto"/>
                <w:sz w:val="24"/>
                <w:highlight w:val="none"/>
              </w:rPr>
            </w:pPr>
            <w:r>
              <w:rPr>
                <w:rFonts w:hint="eastAsia" w:ascii="宋体" w:hAnsi="宋体" w:cs="宋体"/>
                <w:color w:val="auto"/>
                <w:sz w:val="24"/>
                <w:highlight w:val="none"/>
              </w:rPr>
              <w:t>■成交供应商</w:t>
            </w:r>
          </w:p>
          <w:p w14:paraId="76F97E8C">
            <w:pPr>
              <w:ind w:firstLine="480"/>
              <w:jc w:val="left"/>
              <w:rPr>
                <w:rFonts w:hint="eastAsia" w:ascii="宋体" w:hAnsi="宋体" w:cs="宋体"/>
                <w:color w:val="auto"/>
                <w:sz w:val="24"/>
                <w:highlight w:val="none"/>
              </w:rPr>
            </w:pPr>
            <w:r>
              <w:rPr>
                <w:rFonts w:hint="eastAsia" w:ascii="宋体" w:hAnsi="宋体" w:cs="宋体"/>
                <w:color w:val="auto"/>
                <w:sz w:val="24"/>
                <w:highlight w:val="none"/>
              </w:rPr>
              <w:t>收费标准：招标代理费收费比例按差额定率累进法计算，100万元以下部分为1.0%，100万（含）-500万（不含）部分为0.7%。本项目采购代理服务费收费以中标金额为基数计算</w:t>
            </w:r>
            <w:r>
              <w:rPr>
                <w:rFonts w:hint="eastAsia" w:ascii="宋体" w:hAnsi="宋体" w:cs="宋体"/>
                <w:color w:val="auto"/>
                <w:sz w:val="24"/>
                <w:highlight w:val="none"/>
                <w:lang w:eastAsia="zh-CN"/>
              </w:rPr>
              <w:t>，</w:t>
            </w:r>
            <w:r>
              <w:rPr>
                <w:rFonts w:hint="eastAsia" w:ascii="宋体" w:hAnsi="宋体" w:cs="宋体"/>
                <w:color w:val="auto"/>
                <w:sz w:val="24"/>
                <w:highlight w:val="none"/>
              </w:rPr>
              <w:t>代理费按上述计算方法不足人民币3000元的，按人民币3000元收取。</w:t>
            </w:r>
          </w:p>
          <w:p w14:paraId="09534E71">
            <w:pPr>
              <w:ind w:firstLine="480"/>
              <w:jc w:val="left"/>
              <w:rPr>
                <w:rFonts w:hint="eastAsia" w:ascii="宋体" w:hAnsi="宋体" w:cs="宋体"/>
                <w:b/>
                <w:color w:val="auto"/>
                <w:sz w:val="24"/>
                <w:highlight w:val="none"/>
              </w:rPr>
            </w:pPr>
            <w:r>
              <w:rPr>
                <w:rFonts w:hint="eastAsia" w:ascii="宋体" w:hAnsi="宋体" w:cs="宋体"/>
                <w:color w:val="auto"/>
                <w:sz w:val="24"/>
                <w:highlight w:val="none"/>
                <w:lang w:val="en-US" w:eastAsia="zh-CN"/>
              </w:rPr>
              <w:t>最高限价编制</w:t>
            </w:r>
            <w:r>
              <w:rPr>
                <w:rFonts w:hint="eastAsia" w:ascii="宋体" w:hAnsi="宋体" w:cs="宋体"/>
                <w:color w:val="auto"/>
                <w:sz w:val="24"/>
                <w:highlight w:val="none"/>
              </w:rPr>
              <w:t>费按最高限价的0.38%计取</w:t>
            </w:r>
            <w:r>
              <w:rPr>
                <w:rFonts w:hint="eastAsia" w:ascii="宋体" w:hAnsi="宋体" w:cs="宋体"/>
                <w:color w:val="auto"/>
                <w:sz w:val="24"/>
                <w:highlight w:val="none"/>
                <w:lang w:eastAsia="zh-CN"/>
              </w:rPr>
              <w:t>。</w:t>
            </w:r>
          </w:p>
          <w:p w14:paraId="21869924">
            <w:pPr>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lang w:val="en-US" w:eastAsia="zh-CN"/>
              </w:rPr>
              <w:t>在领取《中标通知书》时，一次性向采购代理机构交纳招标代理服务费。</w:t>
            </w:r>
          </w:p>
          <w:p w14:paraId="1364716A">
            <w:pPr>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代理服务费支付相关说明：</w:t>
            </w:r>
          </w:p>
          <w:p w14:paraId="37DB7DEB">
            <w:pPr>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采购人在前期预算编制时，已经将采购代理费考虑在预算金额内。投标供应商在编制响应报价时，应当将代理服务费综合考虑在在总报价中。</w:t>
            </w:r>
          </w:p>
        </w:tc>
      </w:tr>
      <w:tr w14:paraId="3570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D16808">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rPr>
                <w:rFonts w:hAnsi="宋体" w:cs="宋体"/>
                <w:color w:val="auto"/>
                <w:sz w:val="24"/>
                <w:szCs w:val="24"/>
                <w:highlight w:val="none"/>
              </w:rPr>
            </w:pPr>
            <w:r>
              <w:rPr>
                <w:rFonts w:hint="eastAsia" w:ascii="宋体" w:hAnsi="宋体" w:eastAsia="宋体" w:cs="宋体"/>
                <w:color w:val="auto"/>
                <w:sz w:val="24"/>
                <w:szCs w:val="24"/>
                <w:highlight w:val="none"/>
              </w:rPr>
              <w:t>26</w:t>
            </w:r>
          </w:p>
        </w:tc>
        <w:tc>
          <w:tcPr>
            <w:tcW w:w="1701" w:type="dxa"/>
            <w:noWrap w:val="0"/>
            <w:vAlign w:val="center"/>
          </w:tcPr>
          <w:p w14:paraId="4AE66D6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rPr>
                <w:rFonts w:hint="eastAsia" w:ascii="宋体" w:hAnsi="宋体" w:cs="宋体"/>
                <w:color w:val="auto"/>
                <w:sz w:val="24"/>
                <w:highlight w:val="none"/>
              </w:rPr>
            </w:pPr>
            <w:r>
              <w:rPr>
                <w:rFonts w:hint="eastAsia" w:ascii="宋体" w:hAnsi="宋体" w:eastAsia="宋体" w:cs="宋体"/>
                <w:color w:val="auto"/>
                <w:sz w:val="24"/>
                <w:szCs w:val="24"/>
                <w:highlight w:val="none"/>
              </w:rPr>
              <w:t>纸质中标（成交）文件</w:t>
            </w:r>
          </w:p>
        </w:tc>
        <w:tc>
          <w:tcPr>
            <w:tcW w:w="7253" w:type="dxa"/>
            <w:noWrap w:val="0"/>
            <w:vAlign w:val="center"/>
          </w:tcPr>
          <w:p w14:paraId="0FA1A190">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ind w:left="0" w:leftChars="0" w:right="0" w:rightChars="0" w:firstLine="480" w:firstLineChars="200"/>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SA"/>
              </w:rPr>
              <w:t>成交供应商在签订合同前需递交与电子响应文件内容一致的纸质响应文件叁份（需打印清晰，标注目录及页码），作为项目归档使用。（递交方式可采用邮寄或现场送达至，联系方式见《第一章 投标邀请》）</w:t>
            </w:r>
          </w:p>
        </w:tc>
      </w:tr>
      <w:tr w14:paraId="0AA1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7DFD46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w:t>
            </w:r>
          </w:p>
        </w:tc>
        <w:tc>
          <w:tcPr>
            <w:tcW w:w="1701" w:type="dxa"/>
            <w:shd w:val="clear" w:color="auto" w:fill="auto"/>
            <w:noWrap w:val="0"/>
            <w:vAlign w:val="center"/>
          </w:tcPr>
          <w:p w14:paraId="279325FD">
            <w:pPr>
              <w:jc w:val="center"/>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其他补充说明</w:t>
            </w:r>
          </w:p>
        </w:tc>
        <w:tc>
          <w:tcPr>
            <w:tcW w:w="7253" w:type="dxa"/>
            <w:shd w:val="clear" w:color="auto" w:fill="auto"/>
            <w:noWrap w:val="0"/>
            <w:vAlign w:val="center"/>
          </w:tcPr>
          <w:p w14:paraId="73C17E5B">
            <w:pPr>
              <w:numPr>
                <w:ilvl w:val="0"/>
                <w:numId w:val="2"/>
              </w:numPr>
              <w:jc w:val="left"/>
              <w:rPr>
                <w:rFonts w:hint="eastAsia" w:ascii="宋体" w:hAnsi="宋体" w:cs="宋体"/>
                <w:color w:val="auto"/>
                <w:spacing w:val="2"/>
                <w:sz w:val="24"/>
                <w:highlight w:val="none"/>
                <w:lang w:val="zh-CN"/>
              </w:rPr>
            </w:pPr>
            <w:r>
              <w:rPr>
                <w:rFonts w:hint="eastAsia" w:ascii="宋体" w:hAnsi="宋体" w:cs="宋体"/>
                <w:color w:val="auto"/>
                <w:spacing w:val="2"/>
                <w:sz w:val="24"/>
                <w:highlight w:val="none"/>
                <w:lang w:val="zh-CN"/>
              </w:rPr>
              <w:t>如标书制作工具中格式和内容与“江苏政府采购网、常州市政府采购网”发布的</w:t>
            </w:r>
            <w:r>
              <w:rPr>
                <w:rFonts w:hint="eastAsia" w:ascii="宋体" w:hAnsi="宋体" w:cs="宋体"/>
                <w:color w:val="auto"/>
                <w:spacing w:val="2"/>
                <w:sz w:val="24"/>
                <w:highlight w:val="none"/>
              </w:rPr>
              <w:t>采购</w:t>
            </w:r>
            <w:r>
              <w:rPr>
                <w:rFonts w:hint="eastAsia" w:ascii="宋体" w:hAnsi="宋体" w:cs="宋体"/>
                <w:color w:val="auto"/>
                <w:spacing w:val="2"/>
                <w:sz w:val="24"/>
                <w:highlight w:val="none"/>
                <w:lang w:val="zh-CN"/>
              </w:rPr>
              <w:t>文件不一致，请以“江苏政府采购网、常州市政府采购网”发布的采购文件为准。</w:t>
            </w:r>
          </w:p>
          <w:p w14:paraId="1E1007EB">
            <w:pPr>
              <w:numPr>
                <w:ilvl w:val="0"/>
                <w:numId w:val="2"/>
              </w:numPr>
              <w:adjustRightInd w:val="0"/>
              <w:snapToGrid w:val="0"/>
              <w:spacing w:line="360" w:lineRule="auto"/>
              <w:rPr>
                <w:rFonts w:hint="eastAsia" w:ascii="宋体" w:hAnsi="宋体" w:cs="仿宋"/>
                <w:color w:val="auto"/>
                <w:spacing w:val="2"/>
                <w:sz w:val="24"/>
                <w:highlight w:val="none"/>
                <w:lang w:val="zh-CN"/>
              </w:rPr>
            </w:pPr>
            <w:r>
              <w:rPr>
                <w:rFonts w:hint="eastAsia" w:ascii="宋体" w:hAnsi="宋体" w:cs="仿宋"/>
                <w:color w:val="auto"/>
                <w:spacing w:val="2"/>
                <w:sz w:val="24"/>
                <w:highlight w:val="none"/>
                <w:lang w:val="zh-CN"/>
              </w:rPr>
              <w:t>CA数字证书和电子签章具体办理指南和操作手册见链接：</w:t>
            </w:r>
            <w:r>
              <w:rPr>
                <w:rFonts w:hint="eastAsia" w:ascii="宋体" w:hAnsi="宋体" w:cs="仿宋"/>
                <w:color w:val="auto"/>
                <w:spacing w:val="2"/>
                <w:sz w:val="24"/>
                <w:highlight w:val="none"/>
                <w:lang w:val="zh-CN"/>
              </w:rPr>
              <w:fldChar w:fldCharType="begin"/>
            </w:r>
            <w:r>
              <w:rPr>
                <w:rFonts w:hint="eastAsia" w:ascii="宋体" w:hAnsi="宋体" w:cs="仿宋"/>
                <w:color w:val="auto"/>
                <w:spacing w:val="2"/>
                <w:sz w:val="24"/>
                <w:highlight w:val="none"/>
                <w:lang w:val="zh-CN"/>
              </w:rPr>
              <w:instrText xml:space="preserve"> HYPERLINK "http://www.ccgp-jiangsu.gov.cn/jiangsu/zlxz/ee/ee3a4bc5a3454aa2b0d9312230633ce9.html。" </w:instrText>
            </w:r>
            <w:r>
              <w:rPr>
                <w:rFonts w:hint="eastAsia" w:ascii="宋体" w:hAnsi="宋体" w:cs="仿宋"/>
                <w:color w:val="auto"/>
                <w:spacing w:val="2"/>
                <w:sz w:val="24"/>
                <w:highlight w:val="none"/>
                <w:lang w:val="zh-CN"/>
              </w:rPr>
              <w:fldChar w:fldCharType="separate"/>
            </w:r>
            <w:r>
              <w:rPr>
                <w:rStyle w:val="46"/>
                <w:rFonts w:hint="eastAsia" w:ascii="宋体" w:hAnsi="宋体" w:cs="仿宋"/>
                <w:color w:val="auto"/>
                <w:spacing w:val="2"/>
                <w:sz w:val="24"/>
                <w:highlight w:val="none"/>
                <w:lang w:val="zh-CN"/>
              </w:rPr>
              <w:t>http://www.ccgp-jiangsu.gov.cn/jiangsu/zlxz/ee/ee3a4bc5a3454aa2b0d9312230633ce9.html。</w:t>
            </w:r>
            <w:r>
              <w:rPr>
                <w:rFonts w:hint="eastAsia" w:ascii="宋体" w:hAnsi="宋体" w:cs="仿宋"/>
                <w:color w:val="auto"/>
                <w:spacing w:val="2"/>
                <w:sz w:val="24"/>
                <w:highlight w:val="none"/>
                <w:lang w:val="zh-CN"/>
              </w:rPr>
              <w:fldChar w:fldCharType="end"/>
            </w:r>
          </w:p>
          <w:p w14:paraId="117F1C62">
            <w:pPr>
              <w:adjustRightInd w:val="0"/>
              <w:snapToGrid w:val="0"/>
              <w:spacing w:line="360" w:lineRule="auto"/>
              <w:rPr>
                <w:rFonts w:hint="eastAsia" w:ascii="宋体" w:hAnsi="宋体" w:eastAsia="宋体" w:cs="仿宋"/>
                <w:color w:val="auto"/>
                <w:spacing w:val="2"/>
                <w:sz w:val="24"/>
                <w:szCs w:val="24"/>
                <w:highlight w:val="none"/>
                <w:lang w:val="en-US" w:eastAsia="zh-CN" w:bidi="ar-SA"/>
              </w:rPr>
            </w:pPr>
            <w:r>
              <w:rPr>
                <w:rFonts w:hint="eastAsia" w:ascii="宋体" w:hAnsi="宋体" w:cs="仿宋"/>
                <w:color w:val="auto"/>
                <w:spacing w:val="2"/>
                <w:sz w:val="24"/>
                <w:highlight w:val="none"/>
              </w:rPr>
              <w:t>3、</w:t>
            </w:r>
            <w:r>
              <w:rPr>
                <w:rFonts w:hint="eastAsia" w:ascii="宋体" w:hAnsi="宋体" w:cs="仿宋"/>
                <w:color w:val="auto"/>
                <w:sz w:val="24"/>
                <w:highlight w:val="none"/>
              </w:rPr>
              <w:t>“信用中国”网站（www.creditchina.gov.cn）、“中国政府采购网”（www.ccgp.gov.cn）。</w:t>
            </w:r>
          </w:p>
        </w:tc>
      </w:tr>
    </w:tbl>
    <w:p w14:paraId="70E1F668">
      <w:pPr>
        <w:tabs>
          <w:tab w:val="left" w:pos="5580"/>
        </w:tabs>
        <w:spacing w:line="360" w:lineRule="auto"/>
        <w:jc w:val="both"/>
        <w:rPr>
          <w:color w:val="auto"/>
          <w:sz w:val="24"/>
          <w:highlight w:val="none"/>
        </w:rPr>
        <w:sectPr>
          <w:pgSz w:w="11907" w:h="16840" w:orient="landscape"/>
          <w:pgMar w:top="1418" w:right="1134" w:bottom="1418" w:left="1701" w:header="851" w:footer="851" w:gutter="0"/>
          <w:cols w:space="720" w:num="1"/>
          <w:titlePg/>
        </w:sectPr>
      </w:pPr>
    </w:p>
    <w:p w14:paraId="5AAEB6F7">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供应商须知</w:t>
      </w:r>
    </w:p>
    <w:p w14:paraId="6B130C6B">
      <w:pPr>
        <w:spacing w:line="360" w:lineRule="auto"/>
        <w:jc w:val="center"/>
        <w:rPr>
          <w:rFonts w:hint="eastAsia" w:ascii="宋体" w:hAnsi="宋体"/>
          <w:b/>
          <w:bCs/>
          <w:color w:val="auto"/>
          <w:sz w:val="28"/>
          <w:szCs w:val="28"/>
          <w:highlight w:val="none"/>
        </w:rPr>
      </w:pPr>
      <w:bookmarkStart w:id="70" w:name="_Toc226337214"/>
      <w:bookmarkStart w:id="71" w:name="_Toc226309762"/>
      <w:bookmarkStart w:id="72" w:name="_Toc305158860"/>
      <w:bookmarkStart w:id="73" w:name="_Toc151193832"/>
      <w:bookmarkStart w:id="74" w:name="_Toc195842883"/>
      <w:bookmarkStart w:id="75" w:name="_Toc226965708"/>
      <w:bookmarkStart w:id="76" w:name="_Toc151190145"/>
      <w:bookmarkStart w:id="77" w:name="_Toc520356143"/>
      <w:bookmarkStart w:id="78" w:name="_Toc151193616"/>
      <w:bookmarkStart w:id="79" w:name="_Toc264969208"/>
      <w:bookmarkStart w:id="80" w:name="_Toc305158786"/>
      <w:bookmarkStart w:id="81" w:name="_Toc226965791"/>
      <w:bookmarkStart w:id="82" w:name="_Toc151193688"/>
      <w:bookmarkStart w:id="83" w:name="_Toc265228356"/>
      <w:bookmarkStart w:id="84" w:name="_Toc151193906"/>
      <w:bookmarkStart w:id="85" w:name="_Toc127151518"/>
      <w:bookmarkStart w:id="86" w:name="_Toc150774618"/>
      <w:bookmarkStart w:id="87" w:name="_Toc151193760"/>
      <w:bookmarkStart w:id="88" w:name="_Toc150774723"/>
      <w:bookmarkStart w:id="89" w:name="_Toc142311020"/>
      <w:bookmarkStart w:id="90" w:name="_Toc150509269"/>
      <w:bookmarkStart w:id="91" w:name="_Toc150480756"/>
      <w:r>
        <w:rPr>
          <w:rFonts w:hint="eastAsia" w:ascii="宋体" w:hAnsi="宋体"/>
          <w:b/>
          <w:bCs/>
          <w:color w:val="auto"/>
          <w:sz w:val="28"/>
          <w:szCs w:val="28"/>
          <w:highlight w:val="none"/>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F5F0A84">
      <w:pPr>
        <w:numPr>
          <w:ilvl w:val="0"/>
          <w:numId w:val="3"/>
        </w:numPr>
        <w:tabs>
          <w:tab w:val="left" w:pos="360"/>
          <w:tab w:val="clear" w:pos="900"/>
        </w:tabs>
        <w:spacing w:line="360" w:lineRule="auto"/>
        <w:ind w:left="357" w:hanging="357"/>
        <w:rPr>
          <w:rFonts w:hint="eastAsia" w:ascii="宋体" w:hAnsi="宋体" w:cs="宋体"/>
          <w:color w:val="auto"/>
          <w:sz w:val="24"/>
          <w:highlight w:val="none"/>
        </w:rPr>
      </w:pPr>
      <w:bookmarkStart w:id="92" w:name="_Toc265228357"/>
      <w:bookmarkStart w:id="93" w:name="_Toc305158787"/>
      <w:bookmarkStart w:id="94" w:name="_Toc264969209"/>
      <w:bookmarkStart w:id="95" w:name="_Toc305158861"/>
      <w:bookmarkStart w:id="96" w:name="_Toc127151554"/>
      <w:bookmarkStart w:id="97" w:name="_Toc353873934"/>
      <w:bookmarkStart w:id="98" w:name="_Toc305158896"/>
      <w:bookmarkStart w:id="99" w:name="_Toc353825544"/>
      <w:bookmarkStart w:id="100" w:name="_Toc264969244"/>
      <w:bookmarkStart w:id="101" w:name="_Toc305158822"/>
      <w:bookmarkStart w:id="102" w:name="_Toc265228392"/>
      <w:bookmarkStart w:id="103" w:name="_Toc353873664"/>
      <w:bookmarkStart w:id="104" w:name="_Toc150774759"/>
      <w:bookmarkStart w:id="105" w:name="_Toc226337250"/>
      <w:bookmarkStart w:id="106" w:name="_Toc142311056"/>
      <w:bookmarkStart w:id="107" w:name="_Toc226965827"/>
      <w:bookmarkStart w:id="108" w:name="_Toc150480792"/>
      <w:bookmarkStart w:id="109" w:name="_Toc2600"/>
      <w:bookmarkStart w:id="110" w:name="_Toc104818927"/>
      <w:r>
        <w:rPr>
          <w:rFonts w:hint="eastAsia" w:ascii="宋体" w:hAnsi="宋体" w:cs="宋体"/>
          <w:color w:val="auto"/>
          <w:sz w:val="24"/>
          <w:highlight w:val="none"/>
        </w:rPr>
        <w:t>采购人、采购代理机构、供应商</w:t>
      </w:r>
      <w:bookmarkEnd w:id="92"/>
      <w:bookmarkEnd w:id="93"/>
      <w:bookmarkEnd w:id="94"/>
      <w:bookmarkEnd w:id="95"/>
      <w:r>
        <w:rPr>
          <w:rFonts w:hint="eastAsia" w:ascii="宋体" w:hAnsi="宋体" w:cs="宋体"/>
          <w:color w:val="auto"/>
          <w:sz w:val="24"/>
          <w:highlight w:val="none"/>
        </w:rPr>
        <w:t>、联合体</w:t>
      </w:r>
    </w:p>
    <w:p w14:paraId="7DE57AA2">
      <w:pPr>
        <w:numPr>
          <w:ilvl w:val="1"/>
          <w:numId w:val="3"/>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采购人、采购代理机构：指依法进行政府采购的国家机关、事业单位、团体组织，及其委托的采购代理机构。本项目采购人、采购代理机构见第一章《采购邀请》。</w:t>
      </w:r>
    </w:p>
    <w:p w14:paraId="1E37DEB1">
      <w:pPr>
        <w:numPr>
          <w:ilvl w:val="1"/>
          <w:numId w:val="3"/>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供应商（也称“申请人”）：指向采购人提供货物、工程或者服务的法人、其他组织或者自然人。</w:t>
      </w:r>
    </w:p>
    <w:p w14:paraId="27731CEB">
      <w:pPr>
        <w:numPr>
          <w:ilvl w:val="1"/>
          <w:numId w:val="3"/>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18E266BF">
      <w:pPr>
        <w:numPr>
          <w:ilvl w:val="0"/>
          <w:numId w:val="3"/>
        </w:numPr>
        <w:tabs>
          <w:tab w:val="left" w:pos="360"/>
          <w:tab w:val="clear" w:pos="900"/>
        </w:tabs>
        <w:spacing w:line="360" w:lineRule="auto"/>
        <w:ind w:left="357" w:hanging="357"/>
        <w:rPr>
          <w:rFonts w:hint="eastAsia" w:ascii="宋体" w:hAnsi="宋体" w:cs="宋体"/>
          <w:color w:val="auto"/>
          <w:sz w:val="24"/>
          <w:highlight w:val="none"/>
        </w:rPr>
      </w:pPr>
      <w:bookmarkStart w:id="111" w:name="_Toc164229215"/>
      <w:bookmarkStart w:id="112" w:name="_Toc164351614"/>
      <w:bookmarkStart w:id="113" w:name="_Toc127151721"/>
      <w:bookmarkStart w:id="114" w:name="_Toc265228358"/>
      <w:bookmarkStart w:id="115" w:name="_Toc151193762"/>
      <w:bookmarkStart w:id="116" w:name="_Toc305158788"/>
      <w:bookmarkStart w:id="117" w:name="_Toc164608634"/>
      <w:bookmarkStart w:id="118" w:name="_Toc264969210"/>
      <w:bookmarkStart w:id="119" w:name="_Toc195842885"/>
      <w:bookmarkStart w:id="120" w:name="_Toc151193834"/>
      <w:bookmarkStart w:id="121" w:name="_Toc150774620"/>
      <w:bookmarkStart w:id="122" w:name="_Toc142311022"/>
      <w:bookmarkStart w:id="123" w:name="_Toc164229361"/>
      <w:bookmarkStart w:id="124" w:name="_Toc150480758"/>
      <w:bookmarkStart w:id="125" w:name="_Toc151193908"/>
      <w:bookmarkStart w:id="126" w:name="_Toc305158862"/>
      <w:bookmarkStart w:id="127" w:name="_Toc226965710"/>
      <w:bookmarkStart w:id="128" w:name="_Toc226965793"/>
      <w:bookmarkStart w:id="129" w:name="_Toc151193690"/>
      <w:bookmarkStart w:id="130" w:name="_Toc150509271"/>
      <w:bookmarkStart w:id="131" w:name="_Toc149720813"/>
      <w:bookmarkStart w:id="132" w:name="_Toc226337216"/>
      <w:bookmarkStart w:id="133" w:name="_Toc226309764"/>
      <w:bookmarkStart w:id="134" w:name="_Toc150774725"/>
      <w:bookmarkStart w:id="135" w:name="_Toc127151520"/>
      <w:bookmarkStart w:id="136" w:name="_Toc164608789"/>
      <w:bookmarkStart w:id="137" w:name="_Toc127161434"/>
      <w:bookmarkStart w:id="138" w:name="_Toc151193618"/>
      <w:bookmarkStart w:id="139" w:name="_Toc151190147"/>
      <w:r>
        <w:rPr>
          <w:rFonts w:hint="eastAsia" w:ascii="宋体" w:hAnsi="宋体" w:cs="宋体"/>
          <w:color w:val="auto"/>
          <w:sz w:val="24"/>
          <w:highlight w:val="none"/>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color w:val="auto"/>
          <w:sz w:val="24"/>
          <w:highlight w:val="none"/>
        </w:rPr>
        <w:t>、项目属性、科研仪器设备采购</w:t>
      </w:r>
    </w:p>
    <w:p w14:paraId="0AB70D0A">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0ADB1A0D">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项目属性见《供应商须知资料表》。</w:t>
      </w:r>
    </w:p>
    <w:p w14:paraId="40CF2160">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是否属于科研仪器设备采购见《供应商须知资料表》。</w:t>
      </w:r>
    </w:p>
    <w:p w14:paraId="23D5D014">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现场考察、磋商前答疑会</w:t>
      </w:r>
    </w:p>
    <w:p w14:paraId="5C2AF349">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若《供应商须知资料表》中规定了组织现场考察、召开磋商前答疑会，则供应商应按要求在规定的时间和地点参加。</w:t>
      </w:r>
      <w:bookmarkStart w:id="140" w:name="_Toc226965795"/>
      <w:bookmarkStart w:id="141" w:name="_Toc150774727"/>
      <w:bookmarkStart w:id="142" w:name="_Toc305158864"/>
      <w:bookmarkStart w:id="143" w:name="_Toc305158790"/>
      <w:bookmarkStart w:id="144" w:name="_Toc127151522"/>
      <w:bookmarkStart w:id="145" w:name="_Toc151193836"/>
      <w:bookmarkStart w:id="146" w:name="_Toc226337218"/>
      <w:bookmarkStart w:id="147" w:name="_Toc520356146"/>
      <w:bookmarkStart w:id="148" w:name="_Toc195842887"/>
      <w:bookmarkStart w:id="149" w:name="_Toc151193910"/>
      <w:bookmarkStart w:id="150" w:name="_Toc151193764"/>
      <w:bookmarkStart w:id="151" w:name="_Toc150774622"/>
      <w:bookmarkStart w:id="152" w:name="_Toc151193620"/>
      <w:bookmarkStart w:id="153" w:name="_Toc226965712"/>
      <w:bookmarkStart w:id="154" w:name="_Toc264969212"/>
      <w:bookmarkStart w:id="155" w:name="_Toc226309766"/>
      <w:bookmarkStart w:id="156" w:name="_Toc150509273"/>
      <w:bookmarkStart w:id="157" w:name="_Toc150480760"/>
      <w:bookmarkStart w:id="158" w:name="_Toc265228360"/>
      <w:bookmarkStart w:id="159" w:name="_Toc142311024"/>
      <w:bookmarkStart w:id="160" w:name="_Toc151193692"/>
      <w:bookmarkStart w:id="161" w:name="_Toc151190149"/>
    </w:p>
    <w:p w14:paraId="7ED705DD">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209F2397">
      <w:pPr>
        <w:numPr>
          <w:ilvl w:val="0"/>
          <w:numId w:val="3"/>
        </w:numPr>
        <w:tabs>
          <w:tab w:val="left" w:pos="360"/>
          <w:tab w:val="clear" w:pos="90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15ED1FFC">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进口产品（本项目不涉及）</w:t>
      </w:r>
    </w:p>
    <w:p w14:paraId="3AFC1C11">
      <w:pPr>
        <w:numPr>
          <w:ilvl w:val="2"/>
          <w:numId w:val="3"/>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D87FD6F">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13246F18">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中小企业定义：</w:t>
      </w:r>
    </w:p>
    <w:p w14:paraId="5D078948">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4.2.1.1</w:t>
      </w: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E1BE716">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4.2.1.2</w:t>
      </w:r>
      <w:r>
        <w:rPr>
          <w:rFonts w:hint="eastAsia" w:ascii="宋体" w:hAnsi="宋体" w:cs="宋体"/>
          <w:color w:val="auto"/>
          <w:sz w:val="24"/>
          <w:highlight w:val="none"/>
        </w:rPr>
        <w:t>供应商提供的货物、工程或者服务符合下列情形的，享受中小企业扶持政策：</w:t>
      </w:r>
    </w:p>
    <w:p w14:paraId="35E99772">
      <w:pPr>
        <w:tabs>
          <w:tab w:val="left" w:pos="1980"/>
        </w:tabs>
        <w:spacing w:line="360" w:lineRule="auto"/>
        <w:ind w:left="2835"/>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74F4ABE7">
      <w:pPr>
        <w:tabs>
          <w:tab w:val="left" w:pos="1980"/>
        </w:tabs>
        <w:spacing w:line="360" w:lineRule="auto"/>
        <w:ind w:left="2835"/>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5ED10E38">
      <w:pPr>
        <w:tabs>
          <w:tab w:val="left" w:pos="1980"/>
        </w:tabs>
        <w:spacing w:line="360" w:lineRule="auto"/>
        <w:ind w:left="2835"/>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7CBF6FB5">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4.2.1.3</w:t>
      </w: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07D4EC67">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4.2.1.4</w:t>
      </w: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44BBB9C2">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E6BC40">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06EBF444">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4.2.3.1</w:t>
      </w:r>
      <w:r>
        <w:rPr>
          <w:rFonts w:hint="eastAsia" w:ascii="宋体" w:hAnsi="宋体" w:cs="宋体"/>
          <w:color w:val="auto"/>
          <w:sz w:val="24"/>
          <w:highlight w:val="none"/>
        </w:rPr>
        <w:t>安置的残疾人占本单位在职职工人数的比例不低于25%（含25%），并且安置的残疾人人数不少于10 人（含10 人）；</w:t>
      </w:r>
    </w:p>
    <w:p w14:paraId="635BA299">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4.2.3.2</w:t>
      </w:r>
      <w:r>
        <w:rPr>
          <w:rFonts w:hint="eastAsia" w:ascii="宋体" w:hAnsi="宋体" w:cs="宋体"/>
          <w:color w:val="auto"/>
          <w:sz w:val="24"/>
          <w:highlight w:val="none"/>
        </w:rPr>
        <w:t>依法与安置的每位残疾人签订了一年以上（含一年）的劳动合同或服务协议；</w:t>
      </w:r>
    </w:p>
    <w:p w14:paraId="2BA93D99">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4.2.3.3</w:t>
      </w: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163A7CCB">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4.2.3.4</w:t>
      </w: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06559ED6">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4.2.3.5</w:t>
      </w: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491C0EB8">
      <w:pPr>
        <w:numPr>
          <w:ilvl w:val="3"/>
          <w:numId w:val="0"/>
        </w:numPr>
        <w:tabs>
          <w:tab w:val="left" w:pos="1980"/>
          <w:tab w:val="left" w:pos="2035"/>
          <w:tab w:val="left" w:pos="2885"/>
          <w:tab w:val="left" w:pos="2977"/>
        </w:tabs>
        <w:spacing w:line="360" w:lineRule="auto"/>
        <w:ind w:left="2885" w:hanging="9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4.2.3.6</w:t>
      </w: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36B12E7">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本项目是否专门面向中小企业预留采购份额见第一章《采购邀请》。</w:t>
      </w:r>
    </w:p>
    <w:p w14:paraId="010023FE">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采购标的对应的中小企业划分标准所属行业见《供应商须知资料表》。</w:t>
      </w:r>
    </w:p>
    <w:p w14:paraId="4DF71D0A">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小微企业价格评审优惠的政策调整：见第三章《评审方法和评审标准》。</w:t>
      </w:r>
    </w:p>
    <w:p w14:paraId="77B419F9">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64D4823A">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92E9253">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A5B1060">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5F35A5A0">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非政府强制采购的节能产品或环境标志产品，依据品目清单和认证证书实施政府优先采购。优先采购的具体规定见第三章《评审方法和评审标准》。</w:t>
      </w:r>
    </w:p>
    <w:p w14:paraId="6CB766EB">
      <w:pPr>
        <w:numPr>
          <w:ilvl w:val="2"/>
          <w:numId w:val="3"/>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645450D5">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49E50B26">
      <w:pPr>
        <w:numPr>
          <w:ilvl w:val="2"/>
          <w:numId w:val="3"/>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w:t>
      </w:r>
    </w:p>
    <w:p w14:paraId="657BDD7E">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正版软件（本项目不涉及）</w:t>
      </w:r>
    </w:p>
    <w:p w14:paraId="5FAD8A07">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响应无效</w:t>
      </w:r>
      <w:r>
        <w:rPr>
          <w:rFonts w:hint="eastAsia" w:ascii="宋体" w:hAnsi="宋体" w:cs="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BC71E5">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B4CE7A">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5A177D72">
      <w:pPr>
        <w:numPr>
          <w:ilvl w:val="2"/>
          <w:numId w:val="3"/>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A4C9160">
      <w:pPr>
        <w:numPr>
          <w:ilvl w:val="1"/>
          <w:numId w:val="3"/>
        </w:numPr>
        <w:tabs>
          <w:tab w:val="left" w:pos="1080"/>
          <w:tab w:val="left" w:pos="2014"/>
        </w:tabs>
        <w:spacing w:line="360" w:lineRule="auto"/>
        <w:ind w:left="1080" w:hanging="720"/>
        <w:rPr>
          <w:color w:val="auto"/>
          <w:sz w:val="24"/>
          <w:highlight w:val="none"/>
        </w:rPr>
      </w:pPr>
      <w:r>
        <w:rPr>
          <w:rFonts w:hint="eastAsia"/>
          <w:color w:val="auto"/>
          <w:sz w:val="24"/>
          <w:highlight w:val="none"/>
        </w:rPr>
        <w:t>绿色采购政策</w:t>
      </w:r>
    </w:p>
    <w:p w14:paraId="7F7CA4CB">
      <w:pPr>
        <w:numPr>
          <w:ilvl w:val="2"/>
          <w:numId w:val="3"/>
        </w:numPr>
        <w:tabs>
          <w:tab w:val="left" w:pos="2014"/>
        </w:tabs>
        <w:spacing w:line="360" w:lineRule="auto"/>
        <w:rPr>
          <w:rFonts w:hint="eastAsia" w:ascii="宋体" w:hAnsi="宋体" w:cs="宋体"/>
          <w:color w:val="auto"/>
          <w:sz w:val="24"/>
          <w:highlight w:val="none"/>
          <w:lang w:val="en-US" w:eastAsia="zh-CN"/>
        </w:rPr>
      </w:pPr>
      <w:r>
        <w:rPr>
          <w:rFonts w:hint="eastAsia" w:ascii="宋体" w:hAnsi="宋体" w:cs="宋体"/>
          <w:b w:val="0"/>
          <w:bCs w:val="0"/>
          <w:color w:val="auto"/>
          <w:sz w:val="24"/>
          <w:highlight w:val="none"/>
          <w:lang w:val="en-US" w:eastAsia="zh-CN"/>
        </w:rPr>
        <w:t>绿色数据中心政策：</w:t>
      </w:r>
      <w:r>
        <w:rPr>
          <w:rFonts w:hint="eastAsia" w:ascii="宋体" w:hAnsi="宋体" w:cs="宋体"/>
          <w:color w:val="auto"/>
          <w:sz w:val="24"/>
          <w:highlight w:val="none"/>
          <w:lang w:val="en-US" w:eastAsia="zh-CN"/>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9FF72C4">
      <w:pPr>
        <w:numPr>
          <w:ilvl w:val="2"/>
          <w:numId w:val="3"/>
        </w:numPr>
        <w:tabs>
          <w:tab w:val="left" w:pos="2014"/>
        </w:tabs>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C3BCBB6">
      <w:pPr>
        <w:numPr>
          <w:ilvl w:val="2"/>
          <w:numId w:val="3"/>
        </w:numPr>
        <w:tabs>
          <w:tab w:val="left" w:pos="2014"/>
        </w:tabs>
        <w:spacing w:line="360" w:lineRule="auto"/>
        <w:rPr>
          <w:rFonts w:hint="eastAsia"/>
          <w:color w:val="auto"/>
          <w:highlight w:val="none"/>
        </w:rPr>
      </w:pPr>
      <w:r>
        <w:rPr>
          <w:rFonts w:hint="eastAsia" w:ascii="宋体" w:hAnsi="宋体" w:cs="宋体"/>
          <w:color w:val="auto"/>
          <w:sz w:val="24"/>
          <w:highlight w:val="none"/>
          <w:lang w:val="en-US" w:eastAsia="zh-CN"/>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auto"/>
          <w:sz w:val="24"/>
          <w:highlight w:val="none"/>
        </w:rPr>
        <w:t xml:space="preserve"> </w:t>
      </w:r>
    </w:p>
    <w:p w14:paraId="4BD8CB45">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响应费用</w:t>
      </w:r>
    </w:p>
    <w:p w14:paraId="1B7443A1">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供应商应自行承担所有与准备和参加磋商有关的费用，无论磋商的结果如何，采购人或采购代理机构在任何情况下均无承担这些费用的义务和责任。</w:t>
      </w:r>
    </w:p>
    <w:p w14:paraId="674F087A">
      <w:pPr>
        <w:spacing w:line="360" w:lineRule="auto"/>
        <w:jc w:val="center"/>
        <w:rPr>
          <w:rFonts w:hint="eastAsia" w:ascii="宋体" w:hAnsi="宋体"/>
          <w:b/>
          <w:bCs/>
          <w:color w:val="auto"/>
          <w:sz w:val="28"/>
          <w:szCs w:val="28"/>
          <w:highlight w:val="none"/>
        </w:rPr>
      </w:pPr>
      <w:bookmarkStart w:id="162" w:name="_1.8_计量单位"/>
      <w:bookmarkEnd w:id="162"/>
    </w:p>
    <w:p w14:paraId="6A444B93">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7C6F6033">
      <w:pPr>
        <w:numPr>
          <w:ilvl w:val="0"/>
          <w:numId w:val="3"/>
        </w:numPr>
        <w:tabs>
          <w:tab w:val="left" w:pos="360"/>
        </w:tabs>
        <w:spacing w:line="360" w:lineRule="auto"/>
        <w:ind w:left="357" w:hanging="357"/>
        <w:rPr>
          <w:rFonts w:hint="eastAsia" w:ascii="宋体" w:hAnsi="宋体" w:cs="宋体"/>
          <w:color w:val="auto"/>
          <w:sz w:val="24"/>
          <w:highlight w:val="none"/>
        </w:rPr>
      </w:pPr>
      <w:bookmarkStart w:id="163" w:name="_Toc151193693"/>
      <w:bookmarkStart w:id="164" w:name="_Toc151190150"/>
      <w:bookmarkStart w:id="165" w:name="_Toc226309767"/>
      <w:bookmarkStart w:id="166" w:name="_Toc127161437"/>
      <w:bookmarkStart w:id="167" w:name="_Toc164229218"/>
      <w:bookmarkStart w:id="168" w:name="_Toc164229364"/>
      <w:bookmarkStart w:id="169" w:name="_Toc164608637"/>
      <w:bookmarkStart w:id="170" w:name="_Toc305158865"/>
      <w:bookmarkStart w:id="171" w:name="_Toc127151724"/>
      <w:bookmarkStart w:id="172" w:name="_Toc265228361"/>
      <w:bookmarkStart w:id="173" w:name="_Toc520356147"/>
      <w:bookmarkStart w:id="174" w:name="_Toc226965713"/>
      <w:bookmarkStart w:id="175" w:name="_Toc151193621"/>
      <w:bookmarkStart w:id="176" w:name="_Toc151193911"/>
      <w:bookmarkStart w:id="177" w:name="_Toc151193765"/>
      <w:bookmarkStart w:id="178" w:name="_Toc142311025"/>
      <w:bookmarkStart w:id="179" w:name="_Toc226965796"/>
      <w:bookmarkStart w:id="180" w:name="_Toc127151523"/>
      <w:bookmarkStart w:id="181" w:name="_Toc226337219"/>
      <w:bookmarkStart w:id="182" w:name="_Toc150774623"/>
      <w:bookmarkStart w:id="183" w:name="_Toc195842888"/>
      <w:bookmarkStart w:id="184" w:name="_Toc150774728"/>
      <w:bookmarkStart w:id="185" w:name="_Toc305158791"/>
      <w:bookmarkStart w:id="186" w:name="_Toc149720816"/>
      <w:bookmarkStart w:id="187" w:name="_Toc264969213"/>
      <w:bookmarkStart w:id="188" w:name="_Toc150480761"/>
      <w:bookmarkStart w:id="189" w:name="_Toc164608792"/>
      <w:bookmarkStart w:id="190" w:name="_Toc150509274"/>
      <w:bookmarkStart w:id="191" w:name="_Toc151193837"/>
      <w:bookmarkStart w:id="192" w:name="_Toc164351617"/>
      <w:r>
        <w:rPr>
          <w:rFonts w:hint="eastAsia" w:ascii="宋体" w:hAnsi="宋体" w:cs="宋体"/>
          <w:color w:val="auto"/>
          <w:sz w:val="24"/>
          <w:highlight w:val="none"/>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color w:val="auto"/>
          <w:sz w:val="24"/>
          <w:highlight w:val="none"/>
        </w:rPr>
        <w:t>成</w:t>
      </w:r>
    </w:p>
    <w:p w14:paraId="3FF43E69">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竞争性磋商文件包括以下部分：</w:t>
      </w:r>
    </w:p>
    <w:p w14:paraId="77061788">
      <w:pPr>
        <w:numPr>
          <w:ilvl w:val="0"/>
          <w:numId w:val="4"/>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采购邀请</w:t>
      </w:r>
    </w:p>
    <w:p w14:paraId="3AC186E4">
      <w:pPr>
        <w:numPr>
          <w:ilvl w:val="0"/>
          <w:numId w:val="4"/>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供应商须知</w:t>
      </w:r>
    </w:p>
    <w:p w14:paraId="39B064C4">
      <w:pPr>
        <w:numPr>
          <w:ilvl w:val="0"/>
          <w:numId w:val="4"/>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评审程序、评审方法和评审标准</w:t>
      </w:r>
    </w:p>
    <w:p w14:paraId="3C62F495">
      <w:pPr>
        <w:numPr>
          <w:ilvl w:val="0"/>
          <w:numId w:val="4"/>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采购需求</w:t>
      </w:r>
    </w:p>
    <w:p w14:paraId="5C1E8A6E">
      <w:pPr>
        <w:numPr>
          <w:ilvl w:val="0"/>
          <w:numId w:val="4"/>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合同草案条款</w:t>
      </w:r>
    </w:p>
    <w:p w14:paraId="1B44CBDD">
      <w:pPr>
        <w:numPr>
          <w:ilvl w:val="0"/>
          <w:numId w:val="4"/>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响应文件格式</w:t>
      </w:r>
    </w:p>
    <w:p w14:paraId="1FF003E9">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49B64C4D">
      <w:pPr>
        <w:numPr>
          <w:ilvl w:val="0"/>
          <w:numId w:val="3"/>
        </w:numPr>
        <w:tabs>
          <w:tab w:val="left" w:pos="1080"/>
          <w:tab w:val="left" w:pos="2014"/>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对竞争性磋商文件的澄清或修改</w:t>
      </w:r>
    </w:p>
    <w:p w14:paraId="5495BE32">
      <w:pPr>
        <w:numPr>
          <w:ilvl w:val="1"/>
          <w:numId w:val="3"/>
        </w:numPr>
        <w:tabs>
          <w:tab w:val="left" w:pos="1080"/>
          <w:tab w:val="left" w:pos="1561"/>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采购人或采购代理机构对已发出的竞争性磋商文件进行必要澄清或者修改的，将在原公告发布媒体上以发布更正公告的形式通知所有获取磋商文件的供应商。</w:t>
      </w:r>
    </w:p>
    <w:p w14:paraId="23F491CD">
      <w:pPr>
        <w:numPr>
          <w:ilvl w:val="1"/>
          <w:numId w:val="3"/>
        </w:numPr>
        <w:tabs>
          <w:tab w:val="left" w:pos="1080"/>
          <w:tab w:val="left" w:pos="1561"/>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754C7B06">
      <w:pPr>
        <w:spacing w:line="360" w:lineRule="auto"/>
        <w:jc w:val="center"/>
        <w:rPr>
          <w:rFonts w:hint="eastAsia" w:ascii="宋体" w:hAnsi="宋体"/>
          <w:b/>
          <w:bCs/>
          <w:color w:val="auto"/>
          <w:sz w:val="28"/>
          <w:szCs w:val="28"/>
          <w:highlight w:val="none"/>
        </w:rPr>
      </w:pPr>
      <w:bookmarkStart w:id="193" w:name="_Toc516367020"/>
      <w:bookmarkStart w:id="194" w:name="_Toc226965716"/>
      <w:bookmarkStart w:id="195" w:name="_Toc151193624"/>
      <w:bookmarkStart w:id="196" w:name="_Toc151193768"/>
      <w:bookmarkStart w:id="197" w:name="_Toc195842891"/>
      <w:bookmarkStart w:id="198" w:name="_Toc142311028"/>
      <w:bookmarkStart w:id="199" w:name="_Toc265228364"/>
      <w:bookmarkStart w:id="200" w:name="_Toc226965799"/>
      <w:bookmarkStart w:id="201" w:name="_Toc127151526"/>
      <w:bookmarkStart w:id="202" w:name="_Toc151190153"/>
      <w:bookmarkStart w:id="203" w:name="_Toc150774731"/>
      <w:bookmarkStart w:id="204" w:name="_Toc264969216"/>
      <w:bookmarkStart w:id="205" w:name="_Toc520356150"/>
      <w:bookmarkStart w:id="206" w:name="_Toc226337222"/>
      <w:bookmarkStart w:id="207" w:name="_Toc150480764"/>
      <w:bookmarkStart w:id="208" w:name="_Toc151193840"/>
      <w:bookmarkStart w:id="209" w:name="_Toc305158794"/>
      <w:bookmarkStart w:id="210" w:name="_Toc305158868"/>
      <w:bookmarkStart w:id="211" w:name="_Toc150509277"/>
      <w:bookmarkStart w:id="212" w:name="_Toc151193696"/>
      <w:bookmarkStart w:id="213" w:name="_Toc151193914"/>
      <w:bookmarkStart w:id="214" w:name="_Toc226309770"/>
      <w:bookmarkStart w:id="215" w:name="_Toc150774626"/>
    </w:p>
    <w:p w14:paraId="27845B52">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三   响应文件</w:t>
      </w:r>
      <w:bookmarkEnd w:id="193"/>
      <w:r>
        <w:rPr>
          <w:rFonts w:hint="eastAsia" w:ascii="宋体" w:hAnsi="宋体"/>
          <w:b/>
          <w:bCs/>
          <w:color w:val="auto"/>
          <w:sz w:val="28"/>
          <w:szCs w:val="28"/>
          <w:highlight w:val="none"/>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8AB9799">
      <w:pPr>
        <w:numPr>
          <w:ilvl w:val="0"/>
          <w:numId w:val="3"/>
        </w:numPr>
        <w:tabs>
          <w:tab w:val="left" w:pos="360"/>
        </w:tabs>
        <w:spacing w:line="360" w:lineRule="auto"/>
        <w:ind w:left="357" w:hanging="357"/>
        <w:rPr>
          <w:rFonts w:hint="eastAsia" w:ascii="宋体" w:hAnsi="宋体" w:cs="宋体"/>
          <w:color w:val="auto"/>
          <w:sz w:val="24"/>
          <w:highlight w:val="none"/>
        </w:rPr>
      </w:pPr>
      <w:bookmarkStart w:id="216" w:name="_Toc164351621"/>
      <w:bookmarkStart w:id="217" w:name="_Toc305158795"/>
      <w:bookmarkStart w:id="218" w:name="_Toc264969217"/>
      <w:bookmarkStart w:id="219" w:name="_Toc305158869"/>
      <w:bookmarkStart w:id="220" w:name="_Toc226965717"/>
      <w:bookmarkStart w:id="221" w:name="_Toc516367021"/>
      <w:bookmarkStart w:id="222" w:name="_Toc265228365"/>
      <w:bookmarkStart w:id="223" w:name="_Toc151193841"/>
      <w:bookmarkStart w:id="224" w:name="_Toc127151527"/>
      <w:bookmarkStart w:id="225" w:name="_Toc142311029"/>
      <w:bookmarkStart w:id="226" w:name="_Toc164608641"/>
      <w:bookmarkStart w:id="227" w:name="_Toc164229368"/>
      <w:bookmarkStart w:id="228" w:name="_Toc151190154"/>
      <w:bookmarkStart w:id="229" w:name="_Toc127151728"/>
      <w:bookmarkStart w:id="230" w:name="_Toc226337223"/>
      <w:bookmarkStart w:id="231" w:name="_Toc151193625"/>
      <w:bookmarkStart w:id="232" w:name="_Toc226309771"/>
      <w:bookmarkStart w:id="233" w:name="_Toc149720820"/>
      <w:bookmarkStart w:id="234" w:name="_Toc150774627"/>
      <w:bookmarkStart w:id="235" w:name="_Toc151193915"/>
      <w:bookmarkStart w:id="236" w:name="_Toc150480765"/>
      <w:bookmarkStart w:id="237" w:name="_Toc151193697"/>
      <w:bookmarkStart w:id="238" w:name="_Toc127161441"/>
      <w:bookmarkStart w:id="239" w:name="_Toc164608796"/>
      <w:bookmarkStart w:id="240" w:name="_Toc520356151"/>
      <w:bookmarkStart w:id="241" w:name="_Toc150774732"/>
      <w:bookmarkStart w:id="242" w:name="_Toc151193769"/>
      <w:bookmarkStart w:id="243" w:name="_Toc164229222"/>
      <w:bookmarkStart w:id="244" w:name="_Toc226965800"/>
      <w:bookmarkStart w:id="245" w:name="_Toc195842892"/>
      <w:bookmarkStart w:id="246" w:name="_Toc150509278"/>
      <w:r>
        <w:rPr>
          <w:rFonts w:hint="eastAsia" w:ascii="宋体" w:hAnsi="宋体" w:cs="宋体"/>
          <w:color w:val="auto"/>
          <w:sz w:val="24"/>
          <w:highlight w:val="none"/>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color w:val="auto"/>
          <w:sz w:val="24"/>
          <w:highlight w:val="none"/>
        </w:rPr>
        <w:t>及磋商语言</w:t>
      </w:r>
    </w:p>
    <w:p w14:paraId="2B000ADA">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580B2B80">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除竞争性磋商文件有特殊要求外，本项目磋商所使用的计量单位，应采用中华人民共和国法定计量单位。</w:t>
      </w:r>
    </w:p>
    <w:p w14:paraId="49997529">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CEEB966">
      <w:pPr>
        <w:numPr>
          <w:ilvl w:val="0"/>
          <w:numId w:val="3"/>
        </w:numPr>
        <w:tabs>
          <w:tab w:val="left" w:pos="360"/>
        </w:tabs>
        <w:spacing w:line="360" w:lineRule="auto"/>
        <w:ind w:left="357" w:hanging="357"/>
        <w:rPr>
          <w:rFonts w:hint="eastAsia" w:ascii="宋体" w:hAnsi="宋体" w:cs="宋体"/>
          <w:color w:val="auto"/>
          <w:sz w:val="24"/>
          <w:highlight w:val="none"/>
        </w:rPr>
      </w:pPr>
      <w:bookmarkStart w:id="247" w:name="_Toc516367022"/>
      <w:bookmarkStart w:id="248" w:name="_Ref467306676"/>
      <w:bookmarkStart w:id="249" w:name="_Ref467306195"/>
      <w:bookmarkStart w:id="250" w:name="_Toc150480766"/>
      <w:bookmarkStart w:id="251" w:name="_Toc151193698"/>
      <w:bookmarkStart w:id="252" w:name="_Toc265228366"/>
      <w:bookmarkStart w:id="253" w:name="_Toc226337224"/>
      <w:bookmarkStart w:id="254" w:name="_Toc520356152"/>
      <w:bookmarkStart w:id="255" w:name="_Toc226965801"/>
      <w:bookmarkStart w:id="256" w:name="_Toc151193770"/>
      <w:bookmarkStart w:id="257" w:name="_Toc150774733"/>
      <w:bookmarkStart w:id="258" w:name="_Toc150774628"/>
      <w:bookmarkStart w:id="259" w:name="_Toc151193626"/>
      <w:bookmarkStart w:id="260" w:name="_Toc305158870"/>
      <w:bookmarkStart w:id="261" w:name="_Toc149720821"/>
      <w:bookmarkStart w:id="262" w:name="_Toc164608642"/>
      <w:bookmarkStart w:id="263" w:name="_Toc151190155"/>
      <w:bookmarkStart w:id="264" w:name="_Toc127151528"/>
      <w:bookmarkStart w:id="265" w:name="_Toc264969218"/>
      <w:bookmarkStart w:id="266" w:name="_Toc226965718"/>
      <w:bookmarkStart w:id="267" w:name="_Toc195842893"/>
      <w:bookmarkStart w:id="268" w:name="_Toc151193842"/>
      <w:bookmarkStart w:id="269" w:name="_Toc164229369"/>
      <w:bookmarkStart w:id="270" w:name="_Toc305158796"/>
      <w:bookmarkStart w:id="271" w:name="_Toc164608797"/>
      <w:bookmarkStart w:id="272" w:name="_Toc142311030"/>
      <w:bookmarkStart w:id="273" w:name="_Toc150509279"/>
      <w:bookmarkStart w:id="274" w:name="_Toc151193916"/>
      <w:bookmarkStart w:id="275" w:name="_Toc127151729"/>
      <w:bookmarkStart w:id="276" w:name="_Toc226309772"/>
      <w:bookmarkStart w:id="277" w:name="_Toc164229223"/>
      <w:bookmarkStart w:id="278" w:name="_Toc127161442"/>
      <w:bookmarkStart w:id="279" w:name="_Toc164351622"/>
      <w:r>
        <w:rPr>
          <w:rFonts w:hint="eastAsia" w:ascii="宋体" w:hAnsi="宋体" w:cs="宋体"/>
          <w:color w:val="auto"/>
          <w:sz w:val="24"/>
          <w:highlight w:val="none"/>
        </w:rPr>
        <w:t>响应文件</w:t>
      </w:r>
      <w:bookmarkEnd w:id="247"/>
      <w:bookmarkEnd w:id="248"/>
      <w:bookmarkEnd w:id="249"/>
      <w:r>
        <w:rPr>
          <w:rFonts w:hint="eastAsia" w:ascii="宋体" w:hAnsi="宋体" w:cs="宋体"/>
          <w:color w:val="auto"/>
          <w:sz w:val="24"/>
          <w:highlight w:val="none"/>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79AA3FD6">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bookmarkStart w:id="280" w:name="_Ref467052588"/>
      <w:r>
        <w:rPr>
          <w:rFonts w:hint="eastAsia" w:ascii="宋体" w:hAnsi="宋体" w:cs="宋体"/>
          <w:color w:val="auto"/>
          <w:sz w:val="24"/>
          <w:highlight w:val="none"/>
        </w:rPr>
        <w:t>供应商应当按照竞争性磋商文件的要求编制响应文件，并对其提交的响应文件的真实性、合法性承担法律责任。响应文件的部分格式要求，见第六章《响应文件格式》。</w:t>
      </w:r>
    </w:p>
    <w:p w14:paraId="088AC738">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否则响应无效</w:t>
      </w:r>
      <w:r>
        <w:rPr>
          <w:rFonts w:hint="eastAsia" w:ascii="宋体" w:hAnsi="宋体" w:cs="宋体"/>
          <w:color w:val="auto"/>
          <w:sz w:val="24"/>
          <w:highlight w:val="none"/>
        </w:rPr>
        <w:t>。未标记“实质性格式”的文件和竞争性磋商文件未提供格式的内容，可由供应商自行编写。</w:t>
      </w:r>
    </w:p>
    <w:p w14:paraId="651A871B">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第三章《评审方法和评审标准》中涉及的证明文件。</w:t>
      </w:r>
    </w:p>
    <w:p w14:paraId="58EC7FDF">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37D8ECE">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供应商认为应附的其他材料。</w:t>
      </w:r>
      <w:bookmarkEnd w:id="280"/>
    </w:p>
    <w:p w14:paraId="6731EC93">
      <w:pPr>
        <w:numPr>
          <w:ilvl w:val="0"/>
          <w:numId w:val="3"/>
        </w:numPr>
        <w:tabs>
          <w:tab w:val="left" w:pos="360"/>
        </w:tabs>
        <w:spacing w:line="360" w:lineRule="auto"/>
        <w:ind w:left="357" w:hanging="357"/>
        <w:rPr>
          <w:rFonts w:hint="eastAsia" w:ascii="宋体" w:hAnsi="宋体" w:cs="宋体"/>
          <w:color w:val="auto"/>
          <w:sz w:val="24"/>
          <w:highlight w:val="none"/>
        </w:rPr>
      </w:pPr>
      <w:bookmarkStart w:id="281" w:name="_Toc149720823"/>
      <w:bookmarkStart w:id="282" w:name="_Toc164351624"/>
      <w:bookmarkStart w:id="283" w:name="_Toc127151731"/>
      <w:bookmarkStart w:id="284" w:name="_Toc195842895"/>
      <w:bookmarkStart w:id="285" w:name="_Toc142311032"/>
      <w:bookmarkStart w:id="286" w:name="_Toc151193628"/>
      <w:bookmarkStart w:id="287" w:name="_Toc127151530"/>
      <w:bookmarkStart w:id="288" w:name="_Toc151193772"/>
      <w:bookmarkStart w:id="289" w:name="_Toc164608644"/>
      <w:bookmarkStart w:id="290" w:name="_Toc151193844"/>
      <w:bookmarkStart w:id="291" w:name="_Toc164229371"/>
      <w:bookmarkStart w:id="292" w:name="_Toc151193700"/>
      <w:bookmarkStart w:id="293" w:name="_Toc151193918"/>
      <w:bookmarkStart w:id="294" w:name="_Toc150480768"/>
      <w:bookmarkStart w:id="295" w:name="_Toc164608799"/>
      <w:bookmarkStart w:id="296" w:name="_Toc164229225"/>
      <w:bookmarkStart w:id="297" w:name="_Toc150774735"/>
      <w:bookmarkStart w:id="298" w:name="_Toc520356155"/>
      <w:bookmarkStart w:id="299" w:name="_Toc151190157"/>
      <w:bookmarkStart w:id="300" w:name="_Toc127161444"/>
      <w:bookmarkStart w:id="301" w:name="_Toc150509281"/>
      <w:bookmarkStart w:id="302" w:name="_Toc150774630"/>
      <w:r>
        <w:rPr>
          <w:rFonts w:hint="eastAsia" w:ascii="宋体" w:hAnsi="宋体" w:cs="宋体"/>
          <w:color w:val="auto"/>
          <w:sz w:val="24"/>
          <w:highlight w:val="none"/>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A8D62EA">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所有响应均以人民币报价。</w:t>
      </w:r>
    </w:p>
    <w:p w14:paraId="421665DE">
      <w:pPr>
        <w:numPr>
          <w:ilvl w:val="1"/>
          <w:numId w:val="3"/>
        </w:numPr>
        <w:tabs>
          <w:tab w:val="left" w:pos="10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292E00A4">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0D57CACD">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按照竞争性磋商文件要求完成本项目的全部相关服务费用。</w:t>
      </w:r>
    </w:p>
    <w:p w14:paraId="65E12CCF">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6E85630A">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供应商不能提供任何有选择性或可调整的最终报价（竞争性磋商文件另有规定的除外），否则其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7E6BA4F9">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磋商保证金</w:t>
      </w:r>
    </w:p>
    <w:p w14:paraId="1AB88E8D">
      <w:pPr>
        <w:tabs>
          <w:tab w:val="left" w:pos="360"/>
        </w:tabs>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根据江苏省和常州市的相关文件规定，免收保证金。</w:t>
      </w:r>
    </w:p>
    <w:p w14:paraId="65F6B97C">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响应有效期</w:t>
      </w:r>
    </w:p>
    <w:p w14:paraId="3290EE09">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109187E4">
      <w:pPr>
        <w:numPr>
          <w:ilvl w:val="0"/>
          <w:numId w:val="3"/>
        </w:numPr>
        <w:tabs>
          <w:tab w:val="left" w:pos="360"/>
        </w:tabs>
        <w:spacing w:line="360" w:lineRule="auto"/>
        <w:ind w:left="357" w:hanging="357"/>
        <w:rPr>
          <w:rFonts w:hint="eastAsia" w:ascii="宋体" w:hAnsi="宋体" w:cs="宋体"/>
          <w:color w:val="auto"/>
          <w:sz w:val="24"/>
          <w:highlight w:val="none"/>
        </w:rPr>
      </w:pPr>
      <w:bookmarkStart w:id="303" w:name="_Toc151193775"/>
      <w:bookmarkStart w:id="304" w:name="_Toc164229228"/>
      <w:bookmarkStart w:id="305" w:name="_Toc164351627"/>
      <w:bookmarkStart w:id="306" w:name="_Toc127151533"/>
      <w:bookmarkStart w:id="307" w:name="_Toc226337229"/>
      <w:bookmarkStart w:id="308" w:name="_Toc150509284"/>
      <w:bookmarkStart w:id="309" w:name="_Toc150480771"/>
      <w:bookmarkStart w:id="310" w:name="_Toc264969223"/>
      <w:bookmarkStart w:id="311" w:name="_Toc151193847"/>
      <w:bookmarkStart w:id="312" w:name="_Toc127151734"/>
      <w:bookmarkStart w:id="313" w:name="_Toc151190160"/>
      <w:bookmarkStart w:id="314" w:name="_Toc142311035"/>
      <w:bookmarkStart w:id="315" w:name="_Toc226965723"/>
      <w:bookmarkStart w:id="316" w:name="_Toc195842898"/>
      <w:bookmarkStart w:id="317" w:name="_Toc226965806"/>
      <w:bookmarkStart w:id="318" w:name="_Toc520356158"/>
      <w:bookmarkStart w:id="319" w:name="_Toc164608647"/>
      <w:bookmarkStart w:id="320" w:name="_Toc150774738"/>
      <w:bookmarkStart w:id="321" w:name="_Toc305158801"/>
      <w:bookmarkStart w:id="322" w:name="_Toc150774633"/>
      <w:bookmarkStart w:id="323" w:name="_Toc164229374"/>
      <w:bookmarkStart w:id="324" w:name="_Toc164608802"/>
      <w:bookmarkStart w:id="325" w:name="_Toc151193703"/>
      <w:bookmarkStart w:id="326" w:name="_Toc127161447"/>
      <w:bookmarkStart w:id="327" w:name="_Toc151193631"/>
      <w:bookmarkStart w:id="328" w:name="_Toc305158875"/>
      <w:bookmarkStart w:id="329" w:name="_Toc226309777"/>
      <w:bookmarkStart w:id="330" w:name="_Toc151193921"/>
      <w:bookmarkStart w:id="331" w:name="_Toc265228371"/>
      <w:bookmarkStart w:id="332" w:name="_Toc149720826"/>
      <w:r>
        <w:rPr>
          <w:rFonts w:hint="eastAsia" w:ascii="宋体" w:hAnsi="宋体" w:cs="宋体"/>
          <w:color w:val="auto"/>
          <w:sz w:val="24"/>
          <w:highlight w:val="none"/>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cs="宋体"/>
          <w:color w:val="auto"/>
          <w:sz w:val="24"/>
          <w:highlight w:val="none"/>
        </w:rPr>
        <w:t>、盖章</w:t>
      </w:r>
    </w:p>
    <w:p w14:paraId="3FA36ACF">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08344293">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竞争性磋商文件要求盖章的内容，一般通过磋商响应文件编制工具加盖电子签章。</w:t>
      </w:r>
    </w:p>
    <w:p w14:paraId="0094B97C">
      <w:pPr>
        <w:spacing w:line="360" w:lineRule="auto"/>
        <w:jc w:val="center"/>
        <w:rPr>
          <w:rFonts w:hint="eastAsia" w:ascii="宋体" w:hAnsi="宋体"/>
          <w:b/>
          <w:bCs/>
          <w:color w:val="auto"/>
          <w:sz w:val="28"/>
          <w:szCs w:val="28"/>
          <w:highlight w:val="none"/>
        </w:rPr>
      </w:pPr>
      <w:bookmarkStart w:id="333" w:name="_Toc151193848"/>
      <w:bookmarkStart w:id="334" w:name="_Toc195842899"/>
      <w:bookmarkStart w:id="335" w:name="_Toc264969224"/>
      <w:bookmarkStart w:id="336" w:name="_Toc151193704"/>
      <w:bookmarkStart w:id="337" w:name="_Toc151193632"/>
      <w:bookmarkStart w:id="338" w:name="_Toc151193922"/>
      <w:bookmarkStart w:id="339" w:name="_Toc305158876"/>
      <w:bookmarkStart w:id="340" w:name="_Toc226309778"/>
      <w:bookmarkStart w:id="341" w:name="_Toc226965724"/>
      <w:bookmarkStart w:id="342" w:name="_Toc150774634"/>
      <w:bookmarkStart w:id="343" w:name="_Toc151190161"/>
      <w:bookmarkStart w:id="344" w:name="_Toc127151534"/>
      <w:bookmarkStart w:id="345" w:name="_Toc150774739"/>
      <w:bookmarkStart w:id="346" w:name="_Toc305158802"/>
      <w:bookmarkStart w:id="347" w:name="_Toc151193776"/>
      <w:bookmarkStart w:id="348" w:name="_Toc520356159"/>
      <w:bookmarkStart w:id="349" w:name="_Toc226337230"/>
      <w:bookmarkStart w:id="350" w:name="_Toc265228372"/>
      <w:bookmarkStart w:id="351" w:name="_Toc150480772"/>
      <w:bookmarkStart w:id="352" w:name="_Toc142311036"/>
      <w:bookmarkStart w:id="353" w:name="_Toc150509285"/>
      <w:bookmarkStart w:id="354" w:name="_Toc226965807"/>
    </w:p>
    <w:p w14:paraId="6448BA3D">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57DEAC37">
      <w:pPr>
        <w:numPr>
          <w:ilvl w:val="0"/>
          <w:numId w:val="3"/>
        </w:numPr>
        <w:tabs>
          <w:tab w:val="left" w:pos="360"/>
        </w:tabs>
        <w:spacing w:line="360" w:lineRule="auto"/>
        <w:ind w:left="357" w:hanging="357"/>
        <w:rPr>
          <w:rFonts w:hint="eastAsia" w:ascii="宋体" w:hAnsi="宋体" w:cs="宋体"/>
          <w:color w:val="auto"/>
          <w:sz w:val="24"/>
          <w:highlight w:val="none"/>
        </w:rPr>
      </w:pPr>
      <w:bookmarkStart w:id="355" w:name="_Toc164229376"/>
      <w:bookmarkStart w:id="356" w:name="_Toc151193705"/>
      <w:bookmarkStart w:id="357" w:name="_Toc151193633"/>
      <w:bookmarkStart w:id="358" w:name="_Toc226337231"/>
      <w:bookmarkStart w:id="359" w:name="_Toc305158877"/>
      <w:bookmarkStart w:id="360" w:name="_Toc195842900"/>
      <w:bookmarkStart w:id="361" w:name="_Toc150480773"/>
      <w:bookmarkStart w:id="362" w:name="_Toc151190162"/>
      <w:bookmarkStart w:id="363" w:name="_Toc150774635"/>
      <w:bookmarkStart w:id="364" w:name="_Toc142311037"/>
      <w:bookmarkStart w:id="365" w:name="_Toc149720828"/>
      <w:bookmarkStart w:id="366" w:name="_Toc127161449"/>
      <w:bookmarkStart w:id="367" w:name="_Toc150509286"/>
      <w:bookmarkStart w:id="368" w:name="_Toc164608804"/>
      <w:bookmarkStart w:id="369" w:name="_Toc264969225"/>
      <w:bookmarkStart w:id="370" w:name="_Toc127151736"/>
      <w:bookmarkStart w:id="371" w:name="_Toc151193777"/>
      <w:bookmarkStart w:id="372" w:name="_Toc164608649"/>
      <w:bookmarkStart w:id="373" w:name="_Toc305158803"/>
      <w:bookmarkStart w:id="374" w:name="_Toc151193849"/>
      <w:bookmarkStart w:id="375" w:name="_Toc265228373"/>
      <w:bookmarkStart w:id="376" w:name="_Toc127151535"/>
      <w:bookmarkStart w:id="377" w:name="_Toc226965808"/>
      <w:bookmarkStart w:id="378" w:name="_Toc164351629"/>
      <w:bookmarkStart w:id="379" w:name="_Toc520356160"/>
      <w:bookmarkStart w:id="380" w:name="_Toc151193923"/>
      <w:bookmarkStart w:id="381" w:name="_Toc226965725"/>
      <w:bookmarkStart w:id="382" w:name="_Toc150774740"/>
      <w:bookmarkStart w:id="383" w:name="_Toc164229230"/>
      <w:bookmarkStart w:id="384" w:name="_Toc226309779"/>
      <w:r>
        <w:rPr>
          <w:rFonts w:hint="eastAsia" w:ascii="宋体" w:hAnsi="宋体" w:cs="宋体"/>
          <w:color w:val="auto"/>
          <w:sz w:val="24"/>
          <w:highlight w:val="none"/>
        </w:rPr>
        <w:t>响应文件的提交</w:t>
      </w:r>
    </w:p>
    <w:p w14:paraId="13972745">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本项目使用“苏采云”政府采购一体化平台。供应商根据竞争性磋商文件及“苏采云”政府采购一体化平台供应商操作手册要求编制、生成并提交电子响应文件。</w:t>
      </w:r>
    </w:p>
    <w:p w14:paraId="3799834C">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采购人及采购代理机构拒绝接受通过“苏采云”政府采购一体化平台以外任何形式提交的响应文件，磋商保证金</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除外。</w:t>
      </w:r>
    </w:p>
    <w:p w14:paraId="7B83A37E">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响应文件截止时间</w:t>
      </w:r>
    </w:p>
    <w:p w14:paraId="0742432D">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供应商应在竞争性磋商文件要求提交响应文件截止时间前，将电子响应文件提交至“苏采云”政府采购一体化平台。</w:t>
      </w:r>
    </w:p>
    <w:p w14:paraId="06BA2EBC">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响应文件的修改与撤回</w:t>
      </w:r>
    </w:p>
    <w:p w14:paraId="4AC5276A">
      <w:pPr>
        <w:numPr>
          <w:ilvl w:val="1"/>
          <w:numId w:val="3"/>
        </w:numPr>
        <w:tabs>
          <w:tab w:val="left" w:pos="1080"/>
          <w:tab w:val="left" w:pos="2014"/>
        </w:tabs>
        <w:spacing w:line="360" w:lineRule="auto"/>
        <w:ind w:left="1077" w:hanging="720"/>
        <w:rPr>
          <w:color w:val="auto"/>
          <w:sz w:val="24"/>
          <w:highlight w:val="none"/>
        </w:rPr>
      </w:pPr>
      <w:r>
        <w:rPr>
          <w:rFonts w:hint="eastAsia" w:ascii="宋体" w:hAnsi="宋体" w:cs="宋体"/>
          <w:color w:val="auto"/>
          <w:sz w:val="24"/>
          <w:highlight w:val="none"/>
        </w:rPr>
        <w:t>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p>
    <w:p w14:paraId="079C3531">
      <w:pPr>
        <w:numPr>
          <w:ilvl w:val="1"/>
          <w:numId w:val="3"/>
        </w:numPr>
        <w:tabs>
          <w:tab w:val="left" w:pos="1080"/>
          <w:tab w:val="left" w:pos="2014"/>
        </w:tabs>
        <w:spacing w:line="360" w:lineRule="auto"/>
        <w:ind w:left="1077" w:hanging="720"/>
        <w:rPr>
          <w:color w:val="auto"/>
          <w:sz w:val="24"/>
          <w:highlight w:val="none"/>
        </w:rPr>
      </w:pPr>
      <w:r>
        <w:rPr>
          <w:rFonts w:hint="eastAsia" w:ascii="宋体" w:hAnsi="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sz w:val="24"/>
          <w:highlight w:val="none"/>
        </w:rPr>
        <w:t>充、修改的内容为准。</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503603AB">
      <w:pPr>
        <w:spacing w:line="360" w:lineRule="auto"/>
        <w:jc w:val="center"/>
        <w:rPr>
          <w:rFonts w:hint="eastAsia" w:ascii="宋体" w:hAnsi="宋体"/>
          <w:b/>
          <w:bCs/>
          <w:color w:val="auto"/>
          <w:sz w:val="28"/>
          <w:szCs w:val="28"/>
          <w:highlight w:val="none"/>
        </w:rPr>
      </w:pPr>
    </w:p>
    <w:p w14:paraId="793CC718">
      <w:pPr>
        <w:spacing w:line="360" w:lineRule="auto"/>
        <w:jc w:val="center"/>
        <w:rPr>
          <w:rFonts w:hint="eastAsia" w:ascii="宋体" w:hAnsi="宋体"/>
          <w:b/>
          <w:bCs/>
          <w:color w:val="auto"/>
          <w:sz w:val="28"/>
          <w:szCs w:val="28"/>
          <w:highlight w:val="none"/>
        </w:rPr>
      </w:pPr>
      <w:bookmarkStart w:id="385" w:name="_Toc151193636"/>
      <w:bookmarkStart w:id="386" w:name="_Toc150480776"/>
      <w:bookmarkStart w:id="387" w:name="_Toc150774743"/>
      <w:bookmarkStart w:id="388" w:name="_Toc226965811"/>
      <w:bookmarkStart w:id="389" w:name="_Toc264969228"/>
      <w:bookmarkStart w:id="390" w:name="_Toc305158880"/>
      <w:bookmarkStart w:id="391" w:name="_Toc305158806"/>
      <w:bookmarkStart w:id="392" w:name="_Toc127151538"/>
      <w:bookmarkStart w:id="393" w:name="_Toc151193926"/>
      <w:bookmarkStart w:id="394" w:name="_Toc520356163"/>
      <w:bookmarkStart w:id="395" w:name="_Toc142311040"/>
      <w:bookmarkStart w:id="396" w:name="_Toc151193780"/>
      <w:bookmarkStart w:id="397" w:name="_Toc226309782"/>
      <w:bookmarkStart w:id="398" w:name="_Toc151193708"/>
      <w:bookmarkStart w:id="399" w:name="_Toc151193852"/>
      <w:bookmarkStart w:id="400" w:name="_Toc226965728"/>
      <w:bookmarkStart w:id="401" w:name="_Toc150509289"/>
      <w:bookmarkStart w:id="402" w:name="_Toc151190165"/>
      <w:bookmarkStart w:id="403" w:name="_Toc265228376"/>
      <w:bookmarkStart w:id="404" w:name="_Toc226337234"/>
      <w:bookmarkStart w:id="405" w:name="_Toc195842903"/>
      <w:bookmarkStart w:id="406" w:name="_Toc150774638"/>
      <w:r>
        <w:rPr>
          <w:rFonts w:hint="eastAsia" w:ascii="宋体" w:hAnsi="宋体"/>
          <w:b/>
          <w:bCs/>
          <w:color w:val="auto"/>
          <w:sz w:val="28"/>
          <w:szCs w:val="28"/>
          <w:highlight w:val="none"/>
        </w:rPr>
        <w:t xml:space="preserve">五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hint="eastAsia" w:ascii="宋体" w:hAnsi="宋体"/>
          <w:b/>
          <w:bCs/>
          <w:color w:val="auto"/>
          <w:sz w:val="28"/>
          <w:szCs w:val="28"/>
          <w:highlight w:val="none"/>
        </w:rPr>
        <w:t>评审</w:t>
      </w:r>
    </w:p>
    <w:p w14:paraId="5527A507">
      <w:pPr>
        <w:numPr>
          <w:ilvl w:val="0"/>
          <w:numId w:val="3"/>
        </w:numPr>
        <w:tabs>
          <w:tab w:val="left" w:pos="360"/>
        </w:tabs>
        <w:spacing w:line="360" w:lineRule="auto"/>
        <w:ind w:left="357" w:hanging="357"/>
        <w:outlineLvl w:val="1"/>
        <w:rPr>
          <w:color w:val="auto"/>
          <w:sz w:val="24"/>
          <w:highlight w:val="none"/>
        </w:rPr>
      </w:pPr>
      <w:bookmarkStart w:id="407" w:name="_Toc520356169"/>
      <w:r>
        <w:rPr>
          <w:color w:val="auto"/>
          <w:sz w:val="24"/>
          <w:highlight w:val="none"/>
        </w:rPr>
        <w:t>响应文件的</w:t>
      </w:r>
      <w:r>
        <w:rPr>
          <w:rFonts w:hint="eastAsia"/>
          <w:color w:val="auto"/>
          <w:sz w:val="24"/>
          <w:highlight w:val="none"/>
        </w:rPr>
        <w:t>解密与</w:t>
      </w:r>
      <w:r>
        <w:rPr>
          <w:color w:val="auto"/>
          <w:sz w:val="24"/>
          <w:highlight w:val="none"/>
        </w:rPr>
        <w:t>开启</w:t>
      </w:r>
    </w:p>
    <w:p w14:paraId="548F77EB">
      <w:pPr>
        <w:numPr>
          <w:ilvl w:val="1"/>
          <w:numId w:val="3"/>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6ED13C14">
      <w:pPr>
        <w:numPr>
          <w:ilvl w:val="1"/>
          <w:numId w:val="3"/>
        </w:numPr>
        <w:tabs>
          <w:tab w:val="left" w:pos="1080"/>
          <w:tab w:val="left" w:pos="2014"/>
        </w:tabs>
        <w:spacing w:line="360" w:lineRule="auto"/>
        <w:ind w:left="1077" w:hanging="720"/>
        <w:rPr>
          <w:color w:val="auto"/>
          <w:sz w:val="24"/>
          <w:highlight w:val="none"/>
        </w:rPr>
      </w:pPr>
      <w:r>
        <w:rPr>
          <w:rFonts w:hint="eastAsia"/>
          <w:color w:val="auto"/>
          <w:sz w:val="24"/>
          <w:highlight w:val="none"/>
        </w:rPr>
        <w:t>本项目采用不见面交易模式，使用“苏采云”政府采购一体化平台在线进行解密。</w:t>
      </w:r>
      <w:r>
        <w:rPr>
          <w:color w:val="auto"/>
          <w:sz w:val="24"/>
          <w:highlight w:val="none"/>
        </w:rPr>
        <w:t>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02D841C2">
      <w:pPr>
        <w:numPr>
          <w:ilvl w:val="1"/>
          <w:numId w:val="3"/>
        </w:numPr>
        <w:tabs>
          <w:tab w:val="left" w:pos="1080"/>
          <w:tab w:val="left" w:pos="2014"/>
        </w:tabs>
        <w:spacing w:line="360" w:lineRule="auto"/>
        <w:ind w:left="1077" w:hanging="720"/>
        <w:rPr>
          <w:color w:val="auto"/>
          <w:sz w:val="24"/>
          <w:highlight w:val="none"/>
        </w:rPr>
      </w:pPr>
      <w:r>
        <w:rPr>
          <w:color w:val="auto"/>
          <w:sz w:val="24"/>
          <w:highlight w:val="none"/>
        </w:rPr>
        <w:t>供应商不足3家的，不予解密。</w:t>
      </w:r>
    </w:p>
    <w:p w14:paraId="631410F1">
      <w:pPr>
        <w:numPr>
          <w:ilvl w:val="1"/>
          <w:numId w:val="3"/>
        </w:numPr>
        <w:tabs>
          <w:tab w:val="left" w:pos="1080"/>
          <w:tab w:val="left" w:pos="2014"/>
        </w:tabs>
        <w:spacing w:line="360" w:lineRule="auto"/>
        <w:ind w:left="1077" w:hanging="720"/>
        <w:rPr>
          <w:rFonts w:hint="eastAsia"/>
          <w:color w:val="auto"/>
          <w:sz w:val="24"/>
          <w:highlight w:val="none"/>
        </w:rPr>
      </w:pPr>
      <w:bookmarkStart w:id="408" w:name="_Toc520356165"/>
      <w:r>
        <w:rPr>
          <w:color w:val="auto"/>
          <w:sz w:val="24"/>
          <w:highlight w:val="none"/>
        </w:rPr>
        <w:t>本项目不公开报价。</w:t>
      </w:r>
    </w:p>
    <w:p w14:paraId="0AD6B948">
      <w:pPr>
        <w:numPr>
          <w:ilvl w:val="1"/>
          <w:numId w:val="3"/>
        </w:numPr>
        <w:tabs>
          <w:tab w:val="left" w:pos="1080"/>
          <w:tab w:val="left" w:pos="2014"/>
        </w:tabs>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0210F30C">
      <w:pPr>
        <w:numPr>
          <w:ilvl w:val="1"/>
          <w:numId w:val="3"/>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513E753F">
      <w:pPr>
        <w:numPr>
          <w:ilvl w:val="1"/>
          <w:numId w:val="3"/>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采购活动过程中出现以下情形，导致“苏采云”政府采购一体化平台无法正常运行，或者无法保证本项目采购活动的公平、公正和安全时，代理机构可以延缓或者暂停采购活动，情况严重的可以终止采购活动</w:t>
      </w:r>
      <w:r>
        <w:rPr>
          <w:color w:val="auto"/>
          <w:sz w:val="24"/>
          <w:highlight w:val="none"/>
        </w:rPr>
        <w:t>：</w:t>
      </w:r>
    </w:p>
    <w:p w14:paraId="5AD18CAC">
      <w:pPr>
        <w:numPr>
          <w:ilvl w:val="0"/>
          <w:numId w:val="0"/>
        </w:numPr>
        <w:tabs>
          <w:tab w:val="left" w:pos="1080"/>
          <w:tab w:val="left" w:pos="2014"/>
        </w:tabs>
        <w:spacing w:line="360" w:lineRule="auto"/>
        <w:ind w:firstLine="1200"/>
        <w:rPr>
          <w:color w:val="auto"/>
          <w:sz w:val="24"/>
          <w:highlight w:val="none"/>
        </w:rPr>
      </w:pPr>
      <w:r>
        <w:rPr>
          <w:rFonts w:hint="eastAsia"/>
          <w:color w:val="auto"/>
          <w:sz w:val="24"/>
          <w:highlight w:val="none"/>
        </w:rPr>
        <w:t>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7FAF05CF">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7882D25A">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123E7BE0">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4E006740">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5EF0527C">
      <w:pPr>
        <w:tabs>
          <w:tab w:val="left" w:pos="993"/>
          <w:tab w:val="left" w:pos="1589"/>
          <w:tab w:val="left" w:pos="2014"/>
        </w:tabs>
        <w:spacing w:line="360" w:lineRule="auto"/>
        <w:ind w:firstLine="48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bookmarkEnd w:id="408"/>
    </w:p>
    <w:p w14:paraId="5C777457">
      <w:pPr>
        <w:numPr>
          <w:ilvl w:val="0"/>
          <w:numId w:val="3"/>
        </w:numPr>
        <w:tabs>
          <w:tab w:val="left" w:pos="360"/>
        </w:tabs>
        <w:spacing w:line="360" w:lineRule="auto"/>
        <w:ind w:left="357" w:hanging="357"/>
        <w:outlineLvl w:val="1"/>
        <w:rPr>
          <w:color w:val="auto"/>
          <w:sz w:val="24"/>
          <w:highlight w:val="none"/>
        </w:rPr>
      </w:pPr>
      <w:r>
        <w:rPr>
          <w:color w:val="auto"/>
          <w:sz w:val="24"/>
          <w:highlight w:val="none"/>
        </w:rPr>
        <w:t>磋商小组</w:t>
      </w:r>
    </w:p>
    <w:p w14:paraId="71F9A62B">
      <w:pPr>
        <w:numPr>
          <w:ilvl w:val="1"/>
          <w:numId w:val="3"/>
        </w:numPr>
        <w:tabs>
          <w:tab w:val="left" w:pos="1080"/>
          <w:tab w:val="left" w:pos="2014"/>
        </w:tabs>
        <w:spacing w:line="360" w:lineRule="auto"/>
        <w:ind w:left="1077" w:hanging="720"/>
        <w:rPr>
          <w:color w:val="auto"/>
          <w:sz w:val="24"/>
          <w:highlight w:val="none"/>
        </w:rPr>
      </w:pPr>
      <w:r>
        <w:rPr>
          <w:color w:val="auto"/>
          <w:sz w:val="24"/>
          <w:highlight w:val="none"/>
        </w:rPr>
        <w:t>磋商小组根据政府采购有关规定和本次采购项目的特点进行组建，并负责具体评审事务，独立履行职责。</w:t>
      </w:r>
      <w:bookmarkStart w:id="409" w:name="_Toc520356166"/>
    </w:p>
    <w:p w14:paraId="6D087A1C">
      <w:pPr>
        <w:numPr>
          <w:ilvl w:val="1"/>
          <w:numId w:val="3"/>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409"/>
    </w:p>
    <w:p w14:paraId="307662EE">
      <w:pPr>
        <w:numPr>
          <w:ilvl w:val="0"/>
          <w:numId w:val="3"/>
        </w:numPr>
        <w:tabs>
          <w:tab w:val="left" w:pos="360"/>
        </w:tabs>
        <w:spacing w:line="360" w:lineRule="auto"/>
        <w:outlineLvl w:val="1"/>
        <w:rPr>
          <w:color w:val="auto"/>
          <w:sz w:val="24"/>
          <w:highlight w:val="none"/>
        </w:rPr>
      </w:pPr>
      <w:r>
        <w:rPr>
          <w:color w:val="auto"/>
          <w:sz w:val="24"/>
          <w:highlight w:val="none"/>
        </w:rPr>
        <w:t>评审方法和评审标准</w:t>
      </w:r>
    </w:p>
    <w:p w14:paraId="241148C5">
      <w:pPr>
        <w:numPr>
          <w:ilvl w:val="1"/>
          <w:numId w:val="3"/>
        </w:numPr>
        <w:tabs>
          <w:tab w:val="left" w:pos="1080"/>
          <w:tab w:val="left" w:pos="2014"/>
        </w:tabs>
        <w:spacing w:line="360" w:lineRule="auto"/>
        <w:ind w:left="1077" w:hanging="720"/>
        <w:rPr>
          <w:color w:val="auto"/>
          <w:sz w:val="24"/>
          <w:highlight w:val="none"/>
        </w:rPr>
      </w:pPr>
      <w:r>
        <w:rPr>
          <w:color w:val="auto"/>
          <w:sz w:val="24"/>
          <w:highlight w:val="none"/>
        </w:rPr>
        <w:t>见第三章《评审方法和评审标准》。</w:t>
      </w:r>
    </w:p>
    <w:p w14:paraId="63B3ED97">
      <w:pPr>
        <w:spacing w:line="360" w:lineRule="auto"/>
        <w:jc w:val="center"/>
        <w:rPr>
          <w:rFonts w:hint="eastAsia" w:ascii="宋体" w:hAnsi="宋体"/>
          <w:b/>
          <w:bCs/>
          <w:color w:val="auto"/>
          <w:sz w:val="28"/>
          <w:szCs w:val="28"/>
          <w:highlight w:val="none"/>
        </w:rPr>
      </w:pPr>
    </w:p>
    <w:p w14:paraId="1CB5FDC5">
      <w:pPr>
        <w:spacing w:line="360" w:lineRule="auto"/>
        <w:jc w:val="center"/>
        <w:rPr>
          <w:rFonts w:hint="eastAsia" w:ascii="宋体" w:hAnsi="宋体"/>
          <w:b/>
          <w:bCs/>
          <w:color w:val="auto"/>
          <w:sz w:val="28"/>
          <w:szCs w:val="28"/>
          <w:highlight w:val="none"/>
        </w:rPr>
      </w:pPr>
      <w:bookmarkStart w:id="410" w:name="_Toc150509296"/>
      <w:bookmarkStart w:id="411" w:name="_Toc151193643"/>
      <w:bookmarkStart w:id="412" w:name="_Toc226337241"/>
      <w:bookmarkStart w:id="413" w:name="_Toc226309789"/>
      <w:bookmarkStart w:id="414" w:name="_Toc226965735"/>
      <w:bookmarkStart w:id="415" w:name="_Toc151193859"/>
      <w:bookmarkStart w:id="416" w:name="_Toc305158813"/>
      <w:bookmarkStart w:id="417" w:name="_Toc142311047"/>
      <w:bookmarkStart w:id="418" w:name="_Toc151193787"/>
      <w:bookmarkStart w:id="419" w:name="_Toc151190172"/>
      <w:bookmarkStart w:id="420" w:name="_Toc195842910"/>
      <w:bookmarkStart w:id="421" w:name="_Toc150774750"/>
      <w:bookmarkStart w:id="422" w:name="_Toc226965818"/>
      <w:bookmarkStart w:id="423" w:name="_Toc151193715"/>
      <w:bookmarkStart w:id="424" w:name="_Toc305158887"/>
      <w:bookmarkStart w:id="425" w:name="_Toc265228383"/>
      <w:bookmarkStart w:id="426" w:name="_Toc127151545"/>
      <w:bookmarkStart w:id="427" w:name="_Toc264969235"/>
      <w:bookmarkStart w:id="428" w:name="_Toc150480783"/>
      <w:bookmarkStart w:id="429" w:name="_Toc151193933"/>
      <w:bookmarkStart w:id="430" w:name="_Toc150774645"/>
      <w:r>
        <w:rPr>
          <w:rFonts w:hint="eastAsia" w:ascii="宋体" w:hAnsi="宋体"/>
          <w:b/>
          <w:bCs/>
          <w:color w:val="auto"/>
          <w:sz w:val="28"/>
          <w:szCs w:val="28"/>
          <w:highlight w:val="none"/>
        </w:rPr>
        <w:t xml:space="preserve">六   </w:t>
      </w:r>
      <w:bookmarkEnd w:id="407"/>
      <w:r>
        <w:rPr>
          <w:rFonts w:hint="eastAsia" w:ascii="宋体" w:hAnsi="宋体"/>
          <w:b/>
          <w:bCs/>
          <w:color w:val="auto"/>
          <w:sz w:val="28"/>
          <w:szCs w:val="28"/>
          <w:highlight w:val="none"/>
        </w:rPr>
        <w:t>确定</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Pr>
          <w:rFonts w:hint="eastAsia" w:ascii="宋体" w:hAnsi="宋体"/>
          <w:b/>
          <w:bCs/>
          <w:color w:val="auto"/>
          <w:sz w:val="28"/>
          <w:szCs w:val="28"/>
          <w:highlight w:val="none"/>
        </w:rPr>
        <w:t>成交</w:t>
      </w:r>
    </w:p>
    <w:p w14:paraId="17E6C460">
      <w:pPr>
        <w:numPr>
          <w:ilvl w:val="0"/>
          <w:numId w:val="3"/>
        </w:numPr>
        <w:tabs>
          <w:tab w:val="left" w:pos="360"/>
        </w:tabs>
        <w:spacing w:line="360" w:lineRule="auto"/>
        <w:ind w:left="357" w:hanging="357"/>
        <w:rPr>
          <w:rFonts w:hint="eastAsia" w:ascii="宋体" w:hAnsi="宋体" w:cs="宋体"/>
          <w:color w:val="auto"/>
          <w:sz w:val="24"/>
          <w:highlight w:val="none"/>
        </w:rPr>
      </w:pPr>
      <w:bookmarkStart w:id="431" w:name="_Toc150480785"/>
      <w:bookmarkStart w:id="432" w:name="_Toc142311049"/>
      <w:bookmarkStart w:id="433" w:name="_Toc151193789"/>
      <w:bookmarkStart w:id="434" w:name="_Toc151193861"/>
      <w:bookmarkStart w:id="435" w:name="_Toc151190174"/>
      <w:bookmarkStart w:id="436" w:name="_Toc226337243"/>
      <w:bookmarkStart w:id="437" w:name="_Toc164351641"/>
      <w:bookmarkStart w:id="438" w:name="_Toc151193717"/>
      <w:bookmarkStart w:id="439" w:name="_Toc150509298"/>
      <w:bookmarkStart w:id="440" w:name="_Toc150774647"/>
      <w:bookmarkStart w:id="441" w:name="_Toc305158889"/>
      <w:bookmarkStart w:id="442" w:name="_Toc195842912"/>
      <w:bookmarkStart w:id="443" w:name="_Toc264969237"/>
      <w:bookmarkStart w:id="444" w:name="_Toc149720840"/>
      <w:bookmarkStart w:id="445" w:name="_Toc127161461"/>
      <w:bookmarkStart w:id="446" w:name="_Toc150774752"/>
      <w:bookmarkStart w:id="447" w:name="_Toc151193935"/>
      <w:bookmarkStart w:id="448" w:name="_Toc164608816"/>
      <w:bookmarkStart w:id="449" w:name="_Toc164229388"/>
      <w:bookmarkStart w:id="450" w:name="_Toc226965820"/>
      <w:bookmarkStart w:id="451" w:name="_Toc127151547"/>
      <w:bookmarkStart w:id="452" w:name="_Toc164229242"/>
      <w:bookmarkStart w:id="453" w:name="_Toc151193645"/>
      <w:bookmarkStart w:id="454" w:name="_Toc305158815"/>
      <w:bookmarkStart w:id="455" w:name="_Toc265228385"/>
      <w:bookmarkStart w:id="456" w:name="_Toc226309791"/>
      <w:bookmarkStart w:id="457" w:name="_Toc164608661"/>
      <w:bookmarkStart w:id="458" w:name="_Toc127151748"/>
      <w:bookmarkStart w:id="459" w:name="_Toc226965737"/>
      <w:r>
        <w:rPr>
          <w:rFonts w:hint="eastAsia" w:ascii="宋体" w:hAnsi="宋体" w:cs="宋体"/>
          <w:color w:val="auto"/>
          <w:sz w:val="24"/>
          <w:highlight w:val="none"/>
        </w:rPr>
        <w:t>确定成交供应商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79C1E403">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采购人将在收到评审报告后，从评审报告提出的成交候选供应商中，按照排序由高到低的原则确定成交供应商。成交候选人并列的，由采购人依法确定。</w:t>
      </w:r>
    </w:p>
    <w:p w14:paraId="62322ADD">
      <w:pPr>
        <w:numPr>
          <w:ilvl w:val="0"/>
          <w:numId w:val="3"/>
        </w:numPr>
        <w:tabs>
          <w:tab w:val="left" w:pos="360"/>
        </w:tabs>
        <w:spacing w:line="360" w:lineRule="auto"/>
        <w:ind w:left="357" w:hanging="357"/>
        <w:rPr>
          <w:rFonts w:hint="eastAsia" w:ascii="宋体" w:hAnsi="宋体" w:cs="宋体"/>
          <w:color w:val="auto"/>
          <w:sz w:val="24"/>
          <w:highlight w:val="none"/>
        </w:rPr>
      </w:pPr>
      <w:bookmarkStart w:id="460" w:name="_Toc305158891"/>
      <w:bookmarkStart w:id="461" w:name="_Toc305158817"/>
      <w:bookmarkStart w:id="462" w:name="_Toc164229244"/>
      <w:bookmarkStart w:id="463" w:name="_Toc127161463"/>
      <w:bookmarkStart w:id="464" w:name="_Toc150509300"/>
      <w:bookmarkStart w:id="465" w:name="_Toc127151750"/>
      <w:bookmarkStart w:id="466" w:name="_Toc151193719"/>
      <w:bookmarkStart w:id="467" w:name="_Toc150774754"/>
      <w:bookmarkStart w:id="468" w:name="_Toc195842914"/>
      <w:bookmarkStart w:id="469" w:name="_Toc226965822"/>
      <w:bookmarkStart w:id="470" w:name="_Toc150774649"/>
      <w:bookmarkStart w:id="471" w:name="_Toc164351643"/>
      <w:bookmarkStart w:id="472" w:name="_Toc151190176"/>
      <w:bookmarkStart w:id="473" w:name="_Toc164608663"/>
      <w:bookmarkStart w:id="474" w:name="_Toc226309793"/>
      <w:bookmarkStart w:id="475" w:name="_Toc164229390"/>
      <w:bookmarkStart w:id="476" w:name="_Toc142311051"/>
      <w:bookmarkStart w:id="477" w:name="_Toc164608818"/>
      <w:bookmarkStart w:id="478" w:name="_Toc151193647"/>
      <w:bookmarkStart w:id="479" w:name="_Toc226337245"/>
      <w:bookmarkStart w:id="480" w:name="_Toc151193863"/>
      <w:bookmarkStart w:id="481" w:name="_Toc265228387"/>
      <w:bookmarkStart w:id="482" w:name="_Toc150480787"/>
      <w:bookmarkStart w:id="483" w:name="_Toc127151549"/>
      <w:bookmarkStart w:id="484" w:name="_Toc226965739"/>
      <w:bookmarkStart w:id="485" w:name="_Toc151193791"/>
      <w:bookmarkStart w:id="486" w:name="_Toc151193937"/>
      <w:bookmarkStart w:id="487" w:name="_Toc264969239"/>
      <w:bookmarkStart w:id="488" w:name="_Toc149720842"/>
      <w:bookmarkStart w:id="489" w:name="_Ref467306425"/>
      <w:bookmarkStart w:id="490" w:name="_Ref467307090"/>
      <w:bookmarkStart w:id="491" w:name="_Toc520356176"/>
      <w:r>
        <w:rPr>
          <w:rFonts w:hint="eastAsia" w:ascii="宋体" w:hAnsi="宋体" w:cs="宋体"/>
          <w:color w:val="auto"/>
          <w:sz w:val="24"/>
          <w:highlight w:val="none"/>
        </w:rPr>
        <w:t>成交公告与成交通知书</w:t>
      </w:r>
      <w:bookmarkEnd w:id="460"/>
      <w:bookmarkEnd w:id="461"/>
    </w:p>
    <w:p w14:paraId="48AC4B8B">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采购人或采购代理机构将在成交供应商确定后2个工作日内，在常州市政府采购网和</w:t>
      </w:r>
      <w:r>
        <w:rPr>
          <w:rFonts w:hint="eastAsia" w:ascii="宋体" w:hAnsi="宋体" w:cs="宋体"/>
          <w:color w:val="auto"/>
          <w:sz w:val="24"/>
          <w:highlight w:val="none"/>
          <w:lang w:eastAsia="zh-CN"/>
        </w:rPr>
        <w:t>常州安丰工程项目管理有限公司</w:t>
      </w:r>
      <w:r>
        <w:rPr>
          <w:rFonts w:hint="eastAsia" w:ascii="宋体" w:hAnsi="宋体" w:cs="宋体"/>
          <w:color w:val="auto"/>
          <w:sz w:val="24"/>
          <w:highlight w:val="none"/>
        </w:rPr>
        <w:t>网公告成交结果，同时向成交供应商发出成交通知书，成交公告期限为1个工作日。</w:t>
      </w:r>
    </w:p>
    <w:p w14:paraId="5F15552C">
      <w:pPr>
        <w:numPr>
          <w:ilvl w:val="1"/>
          <w:numId w:val="3"/>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p>
    <w:p w14:paraId="29F10619">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终止</w:t>
      </w:r>
    </w:p>
    <w:p w14:paraId="7ABCFBA1">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在采购中，出现下列情形之一的，采购人或采购代理机构将终止竞争性磋商采购活动，发布项目终止公告并说明原因，重新开展采购活动：</w:t>
      </w:r>
    </w:p>
    <w:p w14:paraId="0A8CFCB5">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因情况变化，不再符合规定的竞争性磋商采购方式适用情形的；</w:t>
      </w:r>
    </w:p>
    <w:p w14:paraId="5C858EE7">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2969E533">
      <w:pPr>
        <w:numPr>
          <w:ilvl w:val="2"/>
          <w:numId w:val="3"/>
        </w:numPr>
        <w:spacing w:line="360" w:lineRule="auto"/>
        <w:rPr>
          <w:color w:val="auto"/>
          <w:sz w:val="24"/>
          <w:highlight w:val="none"/>
        </w:rPr>
      </w:pPr>
      <w:r>
        <w:rPr>
          <w:rFonts w:hint="eastAsia" w:ascii="宋体" w:hAnsi="宋体" w:cs="宋体"/>
          <w:color w:val="auto"/>
          <w:sz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7AD5EAF">
      <w:pPr>
        <w:numPr>
          <w:ilvl w:val="2"/>
          <w:numId w:val="3"/>
        </w:numPr>
        <w:spacing w:line="360" w:lineRule="auto"/>
        <w:rPr>
          <w:rFonts w:hint="eastAsia"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47D736AB">
      <w:pPr>
        <w:numPr>
          <w:ilvl w:val="0"/>
          <w:numId w:val="3"/>
        </w:numPr>
        <w:tabs>
          <w:tab w:val="left" w:pos="360"/>
        </w:tabs>
        <w:spacing w:line="360" w:lineRule="auto"/>
        <w:ind w:left="357" w:hanging="357"/>
        <w:rPr>
          <w:rFonts w:hint="eastAsia" w:ascii="宋体" w:hAnsi="宋体" w:cs="宋体"/>
          <w:color w:val="auto"/>
          <w:sz w:val="24"/>
          <w:highlight w:val="none"/>
        </w:rPr>
      </w:pPr>
      <w:bookmarkStart w:id="492" w:name="_Toc226965740"/>
      <w:bookmarkStart w:id="493" w:name="_Toc150774650"/>
      <w:bookmarkStart w:id="494" w:name="_Ref467306978"/>
      <w:bookmarkStart w:id="495" w:name="_Toc305158892"/>
      <w:bookmarkStart w:id="496" w:name="_Toc127151550"/>
      <w:bookmarkStart w:id="497" w:name="_Toc195842915"/>
      <w:bookmarkStart w:id="498" w:name="_Toc164351644"/>
      <w:bookmarkStart w:id="499" w:name="_Toc150509301"/>
      <w:bookmarkStart w:id="500" w:name="_Toc151190177"/>
      <w:bookmarkStart w:id="501" w:name="_Ref467307062"/>
      <w:bookmarkStart w:id="502" w:name="_Toc150480788"/>
      <w:bookmarkStart w:id="503" w:name="_Toc264969240"/>
      <w:bookmarkStart w:id="504" w:name="_Toc151193938"/>
      <w:bookmarkStart w:id="505" w:name="_Toc151193792"/>
      <w:bookmarkStart w:id="506" w:name="_Toc149720843"/>
      <w:bookmarkStart w:id="507" w:name="_Toc226965823"/>
      <w:bookmarkStart w:id="508" w:name="_Toc151193648"/>
      <w:bookmarkStart w:id="509" w:name="_Toc151193864"/>
      <w:bookmarkStart w:id="510" w:name="_Toc164608664"/>
      <w:bookmarkStart w:id="511" w:name="_Ref467306377"/>
      <w:bookmarkStart w:id="512" w:name="_Toc305158818"/>
      <w:bookmarkStart w:id="513" w:name="_Ref467307204"/>
      <w:bookmarkStart w:id="514" w:name="_Toc127161464"/>
      <w:bookmarkStart w:id="515" w:name="_Toc226309794"/>
      <w:bookmarkStart w:id="516" w:name="_Toc151193720"/>
      <w:bookmarkStart w:id="517" w:name="_Toc265228388"/>
      <w:bookmarkStart w:id="518" w:name="_Toc164229245"/>
      <w:bookmarkStart w:id="519" w:name="_Toc226337246"/>
      <w:bookmarkStart w:id="520" w:name="_Toc150774755"/>
      <w:bookmarkStart w:id="521" w:name="_Toc142311052"/>
      <w:bookmarkStart w:id="522" w:name="_Toc520356175"/>
      <w:bookmarkStart w:id="523" w:name="_Toc164608819"/>
      <w:bookmarkStart w:id="524" w:name="_Toc127151751"/>
      <w:bookmarkStart w:id="525" w:name="_Toc164229391"/>
      <w:r>
        <w:rPr>
          <w:rFonts w:hint="eastAsia" w:ascii="宋体" w:hAnsi="宋体" w:cs="宋体"/>
          <w:color w:val="auto"/>
          <w:sz w:val="24"/>
          <w:highlight w:val="none"/>
        </w:rPr>
        <w:t>签订合同</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4D141215">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采购人与成交供应商将在成交通知书发出之日起30日内，按照磋商文件确定的合同文本以及采购标的、采购金额、采购数量、技术和服务要求等事项签订政府采购合同。</w:t>
      </w:r>
    </w:p>
    <w:p w14:paraId="15F52D8B">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5299065">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联合体获得成交资格的，联合体各方应当共同与采购人签订合同，就成交项目向采购人承担连带责任。</w:t>
      </w:r>
    </w:p>
    <w:p w14:paraId="7C55A5FA">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政府采购合同不能转包。</w:t>
      </w:r>
    </w:p>
    <w:p w14:paraId="3D574BB5">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本项目是否允许分包，见《供应商须知资料表》。</w:t>
      </w:r>
      <w:bookmarkEnd w:id="489"/>
      <w:bookmarkEnd w:id="490"/>
      <w:bookmarkEnd w:id="491"/>
    </w:p>
    <w:p w14:paraId="1DA94798">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询问与质疑</w:t>
      </w:r>
    </w:p>
    <w:p w14:paraId="76DFB7C6">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询问</w:t>
      </w:r>
    </w:p>
    <w:p w14:paraId="281EBE5C">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供应商对政府采购活动事项有疑问的，可依法提出询问，并按《供应商须知资料表》载明的形式送达采购人或采购代理机构。</w:t>
      </w:r>
    </w:p>
    <w:p w14:paraId="207BB539">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采购人或采购代理机构对供应商依法提出的询问，在3个工作日内作出答复，但答复的内容不得涉及商业秘密。</w:t>
      </w:r>
    </w:p>
    <w:p w14:paraId="56B96A2F">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质疑</w:t>
      </w:r>
    </w:p>
    <w:p w14:paraId="2E8E8540">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5430032">
      <w:pPr>
        <w:numPr>
          <w:ilvl w:val="2"/>
          <w:numId w:val="3"/>
        </w:numPr>
        <w:spacing w:line="360" w:lineRule="auto"/>
        <w:rPr>
          <w:rFonts w:hint="eastAsia" w:ascii="宋体" w:hAnsi="宋体" w:cs="宋体"/>
          <w:color w:val="auto"/>
          <w:sz w:val="24"/>
          <w:highlight w:val="none"/>
        </w:rPr>
      </w:pPr>
      <w:r>
        <w:rPr>
          <w:rFonts w:hint="eastAsia" w:ascii="宋体" w:hAnsi="宋体" w:cs="宋体"/>
          <w:b/>
          <w:color w:val="auto"/>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07B8051D">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"http://gks.mof.gov.cn/ztztz/zhengfucaigouguanli/201802/t20180201_2804589.htm" </w:instrText>
      </w:r>
      <w:r>
        <w:rPr>
          <w:rFonts w:hint="eastAsia" w:ascii="宋体" w:hAnsi="宋体" w:cs="宋体"/>
          <w:color w:val="auto"/>
          <w:sz w:val="24"/>
          <w:highlight w:val="none"/>
        </w:rPr>
        <w:fldChar w:fldCharType="separate"/>
      </w:r>
      <w:r>
        <w:rPr>
          <w:rStyle w:val="46"/>
          <w:rFonts w:hint="eastAsia" w:ascii="宋体" w:hAnsi="宋体" w:cs="宋体"/>
          <w:color w:val="auto"/>
          <w:sz w:val="24"/>
          <w:highlight w:val="none"/>
        </w:rPr>
        <w:t>http：//gk</w:t>
      </w:r>
      <w:bookmarkStart w:id="526" w:name="_Hlt100654014"/>
      <w:r>
        <w:rPr>
          <w:rStyle w:val="46"/>
          <w:rFonts w:hint="eastAsia" w:ascii="宋体" w:hAnsi="宋体" w:cs="宋体"/>
          <w:color w:val="auto"/>
          <w:sz w:val="24"/>
          <w:highlight w:val="none"/>
        </w:rPr>
        <w:t>s</w:t>
      </w:r>
      <w:bookmarkEnd w:id="526"/>
      <w:r>
        <w:rPr>
          <w:rStyle w:val="46"/>
          <w:rFonts w:hint="eastAsia" w:ascii="宋体" w:hAnsi="宋体" w:cs="宋体"/>
          <w:color w:val="auto"/>
          <w:sz w:val="24"/>
          <w:highlight w:val="none"/>
        </w:rPr>
        <w:t>.m</w:t>
      </w:r>
      <w:bookmarkStart w:id="527" w:name="_Hlt100653994"/>
      <w:bookmarkStart w:id="528" w:name="_Hlt100653993"/>
      <w:r>
        <w:rPr>
          <w:rStyle w:val="46"/>
          <w:rFonts w:hint="eastAsia" w:ascii="宋体" w:hAnsi="宋体" w:cs="宋体"/>
          <w:color w:val="auto"/>
          <w:sz w:val="24"/>
          <w:highlight w:val="none"/>
        </w:rPr>
        <w:t>o</w:t>
      </w:r>
      <w:bookmarkEnd w:id="527"/>
      <w:bookmarkEnd w:id="528"/>
      <w:bookmarkStart w:id="529" w:name="_Hlt101169156"/>
      <w:r>
        <w:rPr>
          <w:rStyle w:val="46"/>
          <w:rFonts w:hint="eastAsia" w:ascii="宋体" w:hAnsi="宋体" w:cs="宋体"/>
          <w:color w:val="auto"/>
          <w:sz w:val="24"/>
          <w:highlight w:val="none"/>
        </w:rPr>
        <w:t>f</w:t>
      </w:r>
      <w:bookmarkEnd w:id="529"/>
      <w:r>
        <w:rPr>
          <w:rStyle w:val="46"/>
          <w:rFonts w:hint="eastAsia" w:ascii="宋体" w:hAnsi="宋体" w:cs="宋体"/>
          <w:color w:val="auto"/>
          <w:sz w:val="24"/>
          <w:highlight w:val="none"/>
        </w:rPr>
        <w:t>.gov.cn/ztztz/zhengfucaigouguanli/201802/t20180201_2804589.htm</w:t>
      </w:r>
      <w:r>
        <w:rPr>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13FCC655">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供应商为自然人的，应当由本人签字；供应商为法人或者其他组织的，应当由法定代表人、主要负责人，或者其授权代表签字或者盖章，并加盖公章。</w:t>
      </w:r>
    </w:p>
    <w:p w14:paraId="1F51BB57">
      <w:pPr>
        <w:numPr>
          <w:ilvl w:val="2"/>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3777E0C5">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接收询问和质疑的联系部门、联系电话和通讯地址见《供应商须知资料表》。</w:t>
      </w:r>
    </w:p>
    <w:p w14:paraId="1755FA57">
      <w:pPr>
        <w:numPr>
          <w:ilvl w:val="0"/>
          <w:numId w:val="3"/>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代理费</w:t>
      </w:r>
    </w:p>
    <w:p w14:paraId="76DF3ACA">
      <w:pPr>
        <w:numPr>
          <w:ilvl w:val="1"/>
          <w:numId w:val="3"/>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收费对象、收费标准及缴纳时间见《供应商须知资料表》。由成交供应商支付的，成交供应商须一次性向采购代理机构缴纳代理费，报价应包含代理</w:t>
      </w:r>
      <w:r>
        <w:rPr>
          <w:rFonts w:hint="eastAsia" w:ascii="宋体" w:hAnsi="宋体" w:cs="宋体"/>
          <w:color w:val="auto"/>
          <w:sz w:val="24"/>
          <w:highlight w:val="none"/>
          <w:lang w:val="en-US" w:eastAsia="zh-CN"/>
        </w:rPr>
        <w:t>等相关</w:t>
      </w:r>
      <w:r>
        <w:rPr>
          <w:rFonts w:hint="eastAsia" w:ascii="宋体" w:hAnsi="宋体" w:cs="宋体"/>
          <w:color w:val="auto"/>
          <w:sz w:val="24"/>
          <w:highlight w:val="none"/>
        </w:rPr>
        <w:t>费用。</w:t>
      </w:r>
    </w:p>
    <w:p w14:paraId="703E59BB">
      <w:pPr>
        <w:rPr>
          <w:b/>
          <w:color w:val="auto"/>
          <w:sz w:val="36"/>
          <w:szCs w:val="36"/>
          <w:highlight w:val="none"/>
        </w:rPr>
      </w:pPr>
      <w:r>
        <w:rPr>
          <w:b/>
          <w:color w:val="auto"/>
          <w:sz w:val="36"/>
          <w:szCs w:val="36"/>
          <w:highlight w:val="none"/>
        </w:rPr>
        <w:br w:type="page" w:clear="all"/>
      </w:r>
    </w:p>
    <w:p w14:paraId="0E2FFBC5">
      <w:pPr>
        <w:spacing w:line="360" w:lineRule="auto"/>
        <w:jc w:val="center"/>
        <w:outlineLvl w:val="0"/>
        <w:rPr>
          <w:b/>
          <w:color w:val="auto"/>
          <w:sz w:val="36"/>
          <w:szCs w:val="36"/>
          <w:highlight w:val="none"/>
        </w:rPr>
      </w:pPr>
      <w:r>
        <w:rPr>
          <w:b/>
          <w:color w:val="auto"/>
          <w:sz w:val="36"/>
          <w:szCs w:val="36"/>
          <w:highlight w:val="none"/>
        </w:rPr>
        <w:t xml:space="preserve">第三章   </w:t>
      </w:r>
      <w:bookmarkEnd w:id="96"/>
      <w:bookmarkEnd w:id="97"/>
      <w:bookmarkEnd w:id="98"/>
      <w:bookmarkEnd w:id="99"/>
      <w:bookmarkEnd w:id="100"/>
      <w:bookmarkEnd w:id="101"/>
      <w:bookmarkEnd w:id="102"/>
      <w:bookmarkEnd w:id="103"/>
      <w:bookmarkEnd w:id="104"/>
      <w:bookmarkEnd w:id="105"/>
      <w:bookmarkEnd w:id="106"/>
      <w:bookmarkEnd w:id="107"/>
      <w:bookmarkEnd w:id="108"/>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109"/>
      <w:bookmarkEnd w:id="110"/>
      <w:bookmarkStart w:id="530" w:name="_Toc487900382"/>
    </w:p>
    <w:p w14:paraId="7B5052A3">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一、评审程序</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p>
    <w:p w14:paraId="2574078F">
      <w:pPr>
        <w:numPr>
          <w:ilvl w:val="0"/>
          <w:numId w:val="5"/>
        </w:numPr>
        <w:tabs>
          <w:tab w:val="left" w:pos="360"/>
        </w:tabs>
        <w:spacing w:line="360" w:lineRule="auto"/>
        <w:rPr>
          <w:rFonts w:hint="eastAsia" w:ascii="宋体" w:hAnsi="宋体" w:cs="宋体"/>
          <w:color w:val="auto"/>
          <w:sz w:val="24"/>
          <w:highlight w:val="none"/>
        </w:rPr>
      </w:pPr>
      <w:bookmarkStart w:id="531" w:name="_Toc151193711"/>
      <w:bookmarkStart w:id="532" w:name="_Toc150774746"/>
      <w:bookmarkStart w:id="533" w:name="_Toc151190168"/>
      <w:bookmarkStart w:id="534" w:name="_Toc127161455"/>
      <w:bookmarkStart w:id="535" w:name="_Toc195842906"/>
      <w:bookmarkStart w:id="536" w:name="_Toc226965731"/>
      <w:bookmarkStart w:id="537" w:name="_Toc265228379"/>
      <w:bookmarkStart w:id="538" w:name="_Toc226337237"/>
      <w:bookmarkStart w:id="539" w:name="_Toc164229382"/>
      <w:bookmarkStart w:id="540" w:name="_Toc127151541"/>
      <w:bookmarkStart w:id="541" w:name="_Toc164229236"/>
      <w:bookmarkStart w:id="542" w:name="_Toc226965814"/>
      <w:bookmarkStart w:id="543" w:name="_Toc151193855"/>
      <w:bookmarkStart w:id="544" w:name="_Toc127151742"/>
      <w:bookmarkStart w:id="545" w:name="_Toc305158809"/>
      <w:bookmarkStart w:id="546" w:name="_Toc151193783"/>
      <w:bookmarkStart w:id="547" w:name="_Toc164351635"/>
      <w:bookmarkStart w:id="548" w:name="_Toc142311043"/>
      <w:bookmarkStart w:id="549" w:name="_Toc151193929"/>
      <w:bookmarkStart w:id="550" w:name="_Toc164608810"/>
      <w:bookmarkStart w:id="551" w:name="_Toc150774641"/>
      <w:bookmarkStart w:id="552" w:name="_Toc150509292"/>
      <w:bookmarkStart w:id="553" w:name="_Toc264969231"/>
      <w:bookmarkStart w:id="554" w:name="_Toc226309785"/>
      <w:bookmarkStart w:id="555" w:name="_Toc305158883"/>
      <w:bookmarkStart w:id="556" w:name="_Toc150480779"/>
      <w:bookmarkStart w:id="557" w:name="_Toc151193639"/>
      <w:bookmarkStart w:id="558" w:name="_Toc149720834"/>
      <w:bookmarkStart w:id="559" w:name="_Toc164608655"/>
      <w:bookmarkStart w:id="560" w:name="_Toc353873941"/>
      <w:bookmarkStart w:id="561" w:name="_Toc353825551"/>
      <w:bookmarkStart w:id="562" w:name="_Toc150480793"/>
      <w:bookmarkStart w:id="563" w:name="_Toc226965828"/>
      <w:bookmarkStart w:id="564" w:name="_Toc353825545"/>
      <w:bookmarkStart w:id="565" w:name="_Toc226337251"/>
      <w:bookmarkStart w:id="566" w:name="_Toc305158823"/>
      <w:bookmarkStart w:id="567" w:name="_Toc353873665"/>
      <w:bookmarkStart w:id="568" w:name="_Toc353873935"/>
      <w:bookmarkStart w:id="569" w:name="_Toc150774760"/>
      <w:bookmarkStart w:id="570" w:name="_Toc142311057"/>
      <w:bookmarkStart w:id="571" w:name="_Toc127151555"/>
      <w:bookmarkStart w:id="572" w:name="_Toc305158897"/>
      <w:bookmarkStart w:id="573" w:name="_Toc195842920"/>
      <w:bookmarkStart w:id="574" w:name="_Toc265228393"/>
      <w:bookmarkStart w:id="575" w:name="_Toc264969245"/>
      <w:r>
        <w:rPr>
          <w:rFonts w:hint="eastAsia" w:ascii="宋体" w:hAnsi="宋体" w:cs="宋体"/>
          <w:color w:val="auto"/>
          <w:sz w:val="24"/>
          <w:highlight w:val="none"/>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ascii="宋体" w:hAnsi="宋体" w:cs="宋体"/>
          <w:color w:val="auto"/>
          <w:sz w:val="24"/>
          <w:highlight w:val="none"/>
        </w:rPr>
        <w:t>资格性检查和符合性审查</w:t>
      </w:r>
    </w:p>
    <w:p w14:paraId="70492A67">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无效响应</w:t>
      </w:r>
      <w:r>
        <w:rPr>
          <w:rFonts w:hint="eastAsia" w:ascii="宋体" w:hAnsi="宋体" w:cs="宋体"/>
          <w:color w:val="auto"/>
          <w:sz w:val="24"/>
          <w:highlight w:val="none"/>
        </w:rPr>
        <w:t>处理，磋商小组应当告知提交响应文件的供应商。</w:t>
      </w:r>
    </w:p>
    <w:p w14:paraId="1E6A7B56">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《资格性检查要求》中对格式有要求的，除竞争性磋商文件另有规定外，均为“实质性格式”文件。</w:t>
      </w:r>
    </w:p>
    <w:p w14:paraId="1F935BC8">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《资格性检查要求》见下表：</w:t>
      </w:r>
    </w:p>
    <w:p w14:paraId="4902019E">
      <w:pPr>
        <w:tabs>
          <w:tab w:val="left" w:pos="900"/>
          <w:tab w:val="left" w:pos="1080"/>
          <w:tab w:val="left" w:pos="1447"/>
        </w:tabs>
        <w:spacing w:line="360" w:lineRule="auto"/>
        <w:jc w:val="center"/>
        <w:rPr>
          <w:b/>
          <w:color w:val="auto"/>
          <w:sz w:val="24"/>
          <w:highlight w:val="none"/>
        </w:rPr>
      </w:pPr>
      <w:r>
        <w:rPr>
          <w:b/>
          <w:color w:val="auto"/>
          <w:sz w:val="24"/>
          <w:highlight w:val="none"/>
        </w:rPr>
        <w:t>资格性检查要求</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0B02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0" w:type="dxa"/>
            <w:noWrap w:val="0"/>
            <w:vAlign w:val="center"/>
          </w:tcPr>
          <w:p w14:paraId="29F41E46">
            <w:pPr>
              <w:tabs>
                <w:tab w:val="left" w:pos="1080"/>
              </w:tabs>
              <w:jc w:val="center"/>
              <w:rPr>
                <w:rFonts w:hint="eastAsia" w:ascii="宋体" w:hAnsi="宋体" w:cs="宋体"/>
                <w:b/>
                <w:color w:val="auto"/>
                <w:sz w:val="24"/>
                <w:highlight w:val="none"/>
              </w:rPr>
            </w:pPr>
            <w:bookmarkStart w:id="576" w:name="_Hlt487972895"/>
            <w:bookmarkEnd w:id="576"/>
            <w:r>
              <w:rPr>
                <w:rFonts w:hint="eastAsia" w:ascii="宋体" w:hAnsi="宋体" w:cs="宋体"/>
                <w:b/>
                <w:color w:val="auto"/>
                <w:sz w:val="24"/>
                <w:highlight w:val="none"/>
              </w:rPr>
              <w:t>序号</w:t>
            </w:r>
          </w:p>
        </w:tc>
        <w:tc>
          <w:tcPr>
            <w:tcW w:w="1728" w:type="dxa"/>
            <w:noWrap w:val="0"/>
            <w:vAlign w:val="center"/>
          </w:tcPr>
          <w:p w14:paraId="13976A1C">
            <w:pPr>
              <w:tabs>
                <w:tab w:val="left" w:pos="1080"/>
              </w:tabs>
              <w:jc w:val="center"/>
              <w:rPr>
                <w:rFonts w:hint="eastAsia" w:ascii="宋体" w:hAnsi="宋体" w:cs="宋体"/>
                <w:b/>
                <w:color w:val="auto"/>
                <w:sz w:val="24"/>
                <w:highlight w:val="none"/>
              </w:rPr>
            </w:pPr>
            <w:r>
              <w:rPr>
                <w:rFonts w:hint="eastAsia" w:ascii="宋体" w:hAnsi="宋体" w:cs="宋体"/>
                <w:b/>
                <w:color w:val="auto"/>
                <w:sz w:val="24"/>
                <w:highlight w:val="none"/>
              </w:rPr>
              <w:t>审查因素</w:t>
            </w:r>
          </w:p>
        </w:tc>
        <w:tc>
          <w:tcPr>
            <w:tcW w:w="4494" w:type="dxa"/>
            <w:noWrap w:val="0"/>
            <w:vAlign w:val="center"/>
          </w:tcPr>
          <w:p w14:paraId="2746510E">
            <w:pPr>
              <w:tabs>
                <w:tab w:val="left" w:pos="1080"/>
              </w:tabs>
              <w:jc w:val="center"/>
              <w:rPr>
                <w:rFonts w:hint="eastAsia" w:ascii="宋体" w:hAnsi="宋体" w:cs="宋体"/>
                <w:b/>
                <w:color w:val="auto"/>
                <w:sz w:val="24"/>
                <w:highlight w:val="none"/>
              </w:rPr>
            </w:pPr>
            <w:r>
              <w:rPr>
                <w:rFonts w:hint="eastAsia" w:ascii="宋体" w:hAnsi="宋体" w:cs="宋体"/>
                <w:b/>
                <w:color w:val="auto"/>
                <w:sz w:val="24"/>
                <w:highlight w:val="none"/>
              </w:rPr>
              <w:t>审查内容</w:t>
            </w:r>
          </w:p>
        </w:tc>
        <w:tc>
          <w:tcPr>
            <w:tcW w:w="1660" w:type="dxa"/>
            <w:noWrap w:val="0"/>
            <w:vAlign w:val="center"/>
          </w:tcPr>
          <w:p w14:paraId="7D298C4F">
            <w:pPr>
              <w:tabs>
                <w:tab w:val="left" w:pos="1080"/>
              </w:tabs>
              <w:jc w:val="center"/>
              <w:rPr>
                <w:rFonts w:hint="eastAsia" w:ascii="宋体" w:hAnsi="宋体" w:cs="宋体"/>
                <w:b/>
                <w:color w:val="auto"/>
                <w:sz w:val="24"/>
                <w:highlight w:val="none"/>
              </w:rPr>
            </w:pPr>
            <w:r>
              <w:rPr>
                <w:rFonts w:hint="eastAsia" w:ascii="宋体" w:hAnsi="宋体" w:cs="宋体"/>
                <w:b/>
                <w:color w:val="auto"/>
                <w:sz w:val="24"/>
                <w:highlight w:val="none"/>
              </w:rPr>
              <w:t>格式要求</w:t>
            </w:r>
          </w:p>
        </w:tc>
      </w:tr>
      <w:tr w14:paraId="00EC7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1C595A2">
            <w:pPr>
              <w:tabs>
                <w:tab w:val="left" w:pos="1080"/>
              </w:tabs>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28" w:type="dxa"/>
            <w:noWrap w:val="0"/>
            <w:vAlign w:val="center"/>
          </w:tcPr>
          <w:p w14:paraId="71E0D09F">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满足《中华人民共和国政府采购法》第二十二条规定及法律法规的其他规定</w:t>
            </w:r>
          </w:p>
        </w:tc>
        <w:tc>
          <w:tcPr>
            <w:tcW w:w="4494" w:type="dxa"/>
            <w:noWrap w:val="0"/>
            <w:vAlign w:val="center"/>
          </w:tcPr>
          <w:p w14:paraId="2246AFB6">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具体规定见第一章《采购邀请》</w:t>
            </w:r>
          </w:p>
        </w:tc>
        <w:tc>
          <w:tcPr>
            <w:tcW w:w="1660" w:type="dxa"/>
            <w:noWrap w:val="0"/>
            <w:vAlign w:val="center"/>
          </w:tcPr>
          <w:p w14:paraId="580A94EE">
            <w:pPr>
              <w:tabs>
                <w:tab w:val="left" w:pos="1080"/>
              </w:tabs>
              <w:rPr>
                <w:rFonts w:hint="eastAsia" w:ascii="宋体" w:hAnsi="宋体" w:cs="宋体"/>
                <w:color w:val="auto"/>
                <w:sz w:val="24"/>
                <w:highlight w:val="none"/>
              </w:rPr>
            </w:pPr>
          </w:p>
        </w:tc>
      </w:tr>
      <w:tr w14:paraId="1147B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0" w:type="dxa"/>
            <w:noWrap w:val="0"/>
            <w:vAlign w:val="center"/>
          </w:tcPr>
          <w:p w14:paraId="281BDC52">
            <w:pPr>
              <w:tabs>
                <w:tab w:val="left" w:pos="1080"/>
              </w:tabs>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728" w:type="dxa"/>
            <w:noWrap w:val="0"/>
            <w:vAlign w:val="center"/>
          </w:tcPr>
          <w:p w14:paraId="387FFD25">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供应商资格声明函</w:t>
            </w:r>
          </w:p>
        </w:tc>
        <w:tc>
          <w:tcPr>
            <w:tcW w:w="4494" w:type="dxa"/>
            <w:noWrap w:val="0"/>
            <w:vAlign w:val="center"/>
          </w:tcPr>
          <w:p w14:paraId="0F318B78">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提供了符合采购文件要求的《供应商资格声明函》。</w:t>
            </w:r>
          </w:p>
        </w:tc>
        <w:tc>
          <w:tcPr>
            <w:tcW w:w="1660" w:type="dxa"/>
            <w:noWrap w:val="0"/>
            <w:vAlign w:val="center"/>
          </w:tcPr>
          <w:p w14:paraId="5E7ECA70">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格式见《响应文件格式》</w:t>
            </w:r>
          </w:p>
        </w:tc>
      </w:tr>
      <w:tr w14:paraId="4502A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58AF9076">
            <w:pPr>
              <w:tabs>
                <w:tab w:val="left" w:pos="1080"/>
              </w:tabs>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728" w:type="dxa"/>
            <w:noWrap w:val="0"/>
            <w:vAlign w:val="center"/>
          </w:tcPr>
          <w:p w14:paraId="0E6F2604">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供应商信用记录</w:t>
            </w:r>
          </w:p>
        </w:tc>
        <w:tc>
          <w:tcPr>
            <w:tcW w:w="4494" w:type="dxa"/>
            <w:noWrap w:val="0"/>
            <w:vAlign w:val="center"/>
          </w:tcPr>
          <w:p w14:paraId="5CD8BA45">
            <w:pPr>
              <w:tabs>
                <w:tab w:val="left" w:pos="900"/>
                <w:tab w:val="left" w:pos="1980"/>
              </w:tabs>
              <w:rPr>
                <w:rFonts w:hint="eastAsia" w:ascii="宋体" w:hAnsi="宋体" w:cs="宋体"/>
                <w:color w:val="auto"/>
                <w:sz w:val="24"/>
                <w:highlight w:val="none"/>
              </w:rPr>
            </w:pPr>
            <w:r>
              <w:rPr>
                <w:rFonts w:hint="eastAsia" w:ascii="宋体" w:hAnsi="宋体" w:cs="宋体"/>
                <w:color w:val="auto"/>
                <w:sz w:val="24"/>
                <w:highlight w:val="none"/>
              </w:rPr>
              <w:t>查询渠道：信用中国网站和中国政府采购网（www.creditchina.gov.cn、www.ccgp.gov.cn）；</w:t>
            </w:r>
          </w:p>
          <w:p w14:paraId="2CEB4C4C">
            <w:pPr>
              <w:tabs>
                <w:tab w:val="left" w:pos="900"/>
                <w:tab w:val="left" w:pos="1980"/>
              </w:tabs>
              <w:rPr>
                <w:rFonts w:hint="eastAsia" w:ascii="宋体" w:hAnsi="宋体" w:cs="宋体"/>
                <w:color w:val="auto"/>
                <w:sz w:val="24"/>
                <w:highlight w:val="none"/>
              </w:rPr>
            </w:pPr>
            <w:r>
              <w:rPr>
                <w:rFonts w:hint="eastAsia" w:ascii="宋体" w:hAnsi="宋体" w:cs="宋体"/>
                <w:color w:val="auto"/>
                <w:sz w:val="24"/>
                <w:highlight w:val="none"/>
              </w:rPr>
              <w:t>截止时点：提交响应文件截止时间以后、资格审查阶段采购人或采购代理机构的实际查询时间；</w:t>
            </w:r>
          </w:p>
          <w:p w14:paraId="19836CB6">
            <w:pPr>
              <w:tabs>
                <w:tab w:val="left" w:pos="900"/>
                <w:tab w:val="left" w:pos="1980"/>
              </w:tabs>
              <w:rPr>
                <w:rFonts w:hint="eastAsia" w:ascii="宋体" w:hAnsi="宋体" w:cs="宋体"/>
                <w:color w:val="auto"/>
                <w:sz w:val="24"/>
                <w:highlight w:val="none"/>
              </w:rPr>
            </w:pPr>
            <w:r>
              <w:rPr>
                <w:rFonts w:hint="eastAsia" w:ascii="宋体" w:hAnsi="宋体" w:cs="宋体"/>
                <w:color w:val="auto"/>
                <w:sz w:val="24"/>
                <w:highlight w:val="none"/>
              </w:rPr>
              <w:t>信用信息查询记录和证据留存具体方式：查询结果网页打印页作为查询记录和证据，与其他采购文件一并保存；</w:t>
            </w:r>
          </w:p>
          <w:p w14:paraId="539511DA">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tc>
        <w:tc>
          <w:tcPr>
            <w:tcW w:w="1660" w:type="dxa"/>
            <w:noWrap w:val="0"/>
            <w:vAlign w:val="center"/>
          </w:tcPr>
          <w:p w14:paraId="61976C2A">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无须供应商提供，由采购人或采购代理机构查询。</w:t>
            </w:r>
          </w:p>
        </w:tc>
      </w:tr>
      <w:tr w14:paraId="17B2C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59C650A">
            <w:pPr>
              <w:tabs>
                <w:tab w:val="left" w:pos="1080"/>
              </w:tabs>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728" w:type="dxa"/>
            <w:noWrap w:val="0"/>
            <w:vAlign w:val="center"/>
          </w:tcPr>
          <w:p w14:paraId="4E02373C">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落实政府采购政策需满足的资格要求</w:t>
            </w:r>
          </w:p>
        </w:tc>
        <w:tc>
          <w:tcPr>
            <w:tcW w:w="4494" w:type="dxa"/>
            <w:noWrap w:val="0"/>
            <w:vAlign w:val="center"/>
          </w:tcPr>
          <w:p w14:paraId="5CAE6088">
            <w:pPr>
              <w:tabs>
                <w:tab w:val="left" w:pos="1080"/>
              </w:tabs>
              <w:rPr>
                <w:rFonts w:hint="eastAsia" w:ascii="宋体" w:hAnsi="宋体" w:cs="宋体"/>
                <w:color w:val="auto"/>
                <w:sz w:val="24"/>
                <w:highlight w:val="none"/>
              </w:rPr>
            </w:pPr>
            <w:r>
              <w:rPr>
                <w:rFonts w:hint="eastAsia" w:ascii="宋体" w:hAnsi="宋体" w:cs="宋体"/>
                <w:color w:val="auto"/>
                <w:sz w:val="24"/>
                <w:highlight w:val="none"/>
              </w:rPr>
              <w:t>具体要求见第一章《采购邀请》</w:t>
            </w:r>
          </w:p>
        </w:tc>
        <w:tc>
          <w:tcPr>
            <w:tcW w:w="1660" w:type="dxa"/>
            <w:noWrap w:val="0"/>
            <w:vAlign w:val="center"/>
          </w:tcPr>
          <w:p w14:paraId="3B9F72D0">
            <w:pPr>
              <w:tabs>
                <w:tab w:val="left" w:pos="1080"/>
              </w:tabs>
              <w:rPr>
                <w:rFonts w:hint="eastAsia" w:ascii="宋体" w:hAnsi="宋体" w:cs="宋体"/>
                <w:color w:val="auto"/>
                <w:sz w:val="24"/>
                <w:highlight w:val="none"/>
              </w:rPr>
            </w:pPr>
          </w:p>
        </w:tc>
      </w:tr>
      <w:tr w14:paraId="0D627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57E7E41E">
            <w:pPr>
              <w:tabs>
                <w:tab w:val="left" w:pos="1080"/>
              </w:tabs>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2-1</w:t>
            </w:r>
          </w:p>
        </w:tc>
        <w:tc>
          <w:tcPr>
            <w:tcW w:w="1728" w:type="dxa"/>
            <w:noWrap w:val="0"/>
            <w:vAlign w:val="center"/>
          </w:tcPr>
          <w:p w14:paraId="3089AF93">
            <w:pPr>
              <w:tabs>
                <w:tab w:val="left" w:pos="1080"/>
              </w:tabs>
              <w:rPr>
                <w:color w:val="auto"/>
                <w:sz w:val="24"/>
                <w:highlight w:val="none"/>
              </w:rPr>
            </w:pPr>
            <w:r>
              <w:rPr>
                <w:rFonts w:hint="eastAsia"/>
                <w:color w:val="auto"/>
                <w:sz w:val="24"/>
                <w:highlight w:val="none"/>
              </w:rPr>
              <w:t>中小企业声明函</w:t>
            </w:r>
          </w:p>
        </w:tc>
        <w:tc>
          <w:tcPr>
            <w:tcW w:w="4494" w:type="dxa"/>
            <w:noWrap w:val="0"/>
            <w:vAlign w:val="center"/>
          </w:tcPr>
          <w:p w14:paraId="4DB28CA9">
            <w:pPr>
              <w:tabs>
                <w:tab w:val="left" w:pos="1080"/>
              </w:tabs>
              <w:rPr>
                <w:rFonts w:hint="default"/>
                <w:color w:val="auto"/>
                <w:sz w:val="24"/>
                <w:highlight w:val="none"/>
                <w:lang w:val="en-US" w:eastAsia="zh-CN"/>
              </w:rPr>
            </w:pPr>
            <w:r>
              <w:rPr>
                <w:rFonts w:hint="eastAsia"/>
                <w:color w:val="auto"/>
                <w:sz w:val="24"/>
                <w:highlight w:val="none"/>
                <w:lang w:val="en-US" w:eastAsia="zh-CN"/>
              </w:rPr>
              <w:t>本项目专门面向中小企业采购，必须提供</w:t>
            </w:r>
          </w:p>
          <w:p w14:paraId="597DF999">
            <w:pPr>
              <w:tabs>
                <w:tab w:val="left" w:pos="1080"/>
              </w:tabs>
              <w:rPr>
                <w:color w:val="auto"/>
                <w:sz w:val="24"/>
                <w:highlight w:val="none"/>
              </w:rPr>
            </w:pPr>
            <w:r>
              <w:rPr>
                <w:rFonts w:hint="eastAsia"/>
                <w:color w:val="auto"/>
                <w:sz w:val="24"/>
                <w:highlight w:val="none"/>
              </w:rPr>
              <w:t>1、供应商单独参与磋商的，应提供中小企业声明函；如为监狱企业或残疾人福利性单位，不必提供中小企业声明函，但须按注1或注2要求提供证明材料。</w:t>
            </w:r>
          </w:p>
          <w:p w14:paraId="0C6A96DC">
            <w:pPr>
              <w:tabs>
                <w:tab w:val="left" w:pos="1080"/>
              </w:tabs>
              <w:rPr>
                <w:color w:val="auto"/>
                <w:sz w:val="24"/>
                <w:highlight w:val="none"/>
              </w:rPr>
            </w:pPr>
            <w:r>
              <w:rPr>
                <w:rFonts w:hint="eastAsia"/>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07AD6E3A">
            <w:pPr>
              <w:tabs>
                <w:tab w:val="left" w:pos="1080"/>
              </w:tabs>
              <w:rPr>
                <w:color w:val="auto"/>
                <w:sz w:val="24"/>
                <w:highlight w:val="none"/>
              </w:rPr>
            </w:pPr>
            <w:r>
              <w:rPr>
                <w:rFonts w:hint="eastAsia"/>
                <w:color w:val="auto"/>
                <w:sz w:val="24"/>
                <w:highlight w:val="none"/>
              </w:rPr>
              <w:t>注1：监狱企业须提供由省级以上监狱管理局（常州市含教育矫治局）、戒毒管理局（含新疆生产建设兵团）出具的属于监狱企业的证明文件。</w:t>
            </w:r>
          </w:p>
          <w:p w14:paraId="6D03703C">
            <w:pPr>
              <w:tabs>
                <w:tab w:val="left" w:pos="1080"/>
              </w:tabs>
              <w:rPr>
                <w:color w:val="auto"/>
                <w:sz w:val="24"/>
                <w:highlight w:val="none"/>
              </w:rPr>
            </w:pPr>
            <w:r>
              <w:rPr>
                <w:rFonts w:hint="eastAsia"/>
                <w:color w:val="auto"/>
                <w:sz w:val="24"/>
                <w:highlight w:val="none"/>
              </w:rPr>
              <w:t>注2：残疾人福利性单位须按磋商文件要求提供《残疾人福利性单位声明函》。</w:t>
            </w:r>
          </w:p>
        </w:tc>
        <w:tc>
          <w:tcPr>
            <w:tcW w:w="1660" w:type="dxa"/>
            <w:noWrap w:val="0"/>
            <w:vAlign w:val="center"/>
          </w:tcPr>
          <w:p w14:paraId="27A865CA">
            <w:pPr>
              <w:tabs>
                <w:tab w:val="left" w:pos="1080"/>
              </w:tabs>
              <w:rPr>
                <w:color w:val="auto"/>
                <w:sz w:val="24"/>
                <w:highlight w:val="none"/>
              </w:rPr>
            </w:pPr>
            <w:r>
              <w:rPr>
                <w:rFonts w:hint="eastAsia"/>
                <w:color w:val="auto"/>
                <w:sz w:val="24"/>
                <w:highlight w:val="none"/>
              </w:rPr>
              <w:t>格式见《响应文件格式》</w:t>
            </w:r>
          </w:p>
        </w:tc>
      </w:tr>
      <w:tr w14:paraId="63D52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28AD8443">
            <w:pPr>
              <w:tabs>
                <w:tab w:val="left" w:pos="1080"/>
              </w:tabs>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p>
        </w:tc>
        <w:tc>
          <w:tcPr>
            <w:tcW w:w="1728" w:type="dxa"/>
            <w:noWrap w:val="0"/>
            <w:vAlign w:val="center"/>
          </w:tcPr>
          <w:p w14:paraId="7957EF89">
            <w:pPr>
              <w:tabs>
                <w:tab w:val="left" w:pos="1080"/>
              </w:tabs>
              <w:rPr>
                <w:rFonts w:hint="eastAsia" w:ascii="Times New Roman" w:hAnsi="Times New Roman" w:eastAsia="宋体" w:cs="Times New Roman"/>
                <w:color w:val="auto"/>
                <w:sz w:val="24"/>
                <w:szCs w:val="24"/>
                <w:highlight w:val="none"/>
                <w:lang w:val="en-US" w:eastAsia="zh-CN" w:bidi="ar-SA"/>
              </w:rPr>
            </w:pPr>
            <w:r>
              <w:rPr>
                <w:color w:val="auto"/>
                <w:sz w:val="24"/>
                <w:highlight w:val="none"/>
              </w:rPr>
              <w:t>其它落实政府采购政策的资格要求</w:t>
            </w:r>
          </w:p>
        </w:tc>
        <w:tc>
          <w:tcPr>
            <w:tcW w:w="4494" w:type="dxa"/>
            <w:noWrap w:val="0"/>
            <w:vAlign w:val="center"/>
          </w:tcPr>
          <w:p w14:paraId="59744600">
            <w:pPr>
              <w:tabs>
                <w:tab w:val="left" w:pos="1080"/>
              </w:tabs>
              <w:rPr>
                <w:rFonts w:hint="eastAsia" w:ascii="Times New Roman" w:hAnsi="Times New Roman" w:eastAsia="宋体" w:cs="Times New Roman"/>
                <w:color w:val="auto"/>
                <w:sz w:val="24"/>
                <w:szCs w:val="24"/>
                <w:highlight w:val="none"/>
                <w:lang w:val="en-US" w:eastAsia="zh-CN" w:bidi="ar-SA"/>
              </w:rPr>
            </w:pPr>
            <w:r>
              <w:rPr>
                <w:color w:val="auto"/>
                <w:sz w:val="24"/>
                <w:highlight w:val="none"/>
              </w:rPr>
              <w:t>如有，见第一章《采购邀请》</w:t>
            </w:r>
          </w:p>
        </w:tc>
        <w:tc>
          <w:tcPr>
            <w:tcW w:w="1660" w:type="dxa"/>
            <w:noWrap w:val="0"/>
            <w:vAlign w:val="center"/>
          </w:tcPr>
          <w:p w14:paraId="583BEDB7">
            <w:pPr>
              <w:tabs>
                <w:tab w:val="left" w:pos="1080"/>
              </w:tabs>
              <w:rPr>
                <w:rFonts w:hint="eastAsia" w:ascii="Times New Roman" w:hAnsi="Times New Roman" w:eastAsia="宋体" w:cs="Times New Roman"/>
                <w:color w:val="auto"/>
                <w:sz w:val="24"/>
                <w:szCs w:val="24"/>
                <w:highlight w:val="none"/>
                <w:lang w:val="en-US" w:eastAsia="zh-CN" w:bidi="ar-SA"/>
              </w:rPr>
            </w:pPr>
            <w:r>
              <w:rPr>
                <w:color w:val="auto"/>
                <w:sz w:val="24"/>
                <w:highlight w:val="none"/>
              </w:rPr>
              <w:t>提供证明文件的电子件或电子证照</w:t>
            </w:r>
          </w:p>
        </w:tc>
      </w:tr>
      <w:tr w14:paraId="22D39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4276266">
            <w:pPr>
              <w:tabs>
                <w:tab w:val="left" w:pos="1080"/>
              </w:tabs>
              <w:jc w:val="center"/>
              <w:rPr>
                <w:rFonts w:hint="eastAsia" w:ascii="宋体" w:hAnsi="宋体" w:cs="宋体"/>
                <w:color w:val="auto"/>
                <w:sz w:val="24"/>
                <w:highlight w:val="none"/>
                <w:lang w:val="en-US" w:eastAsia="zh-CN"/>
              </w:rPr>
            </w:pPr>
            <w:r>
              <w:rPr>
                <w:rFonts w:hint="eastAsia" w:ascii="宋体" w:hAnsi="宋体" w:cs="宋体"/>
                <w:color w:val="auto"/>
                <w:sz w:val="24"/>
                <w:highlight w:val="none"/>
              </w:rPr>
              <w:t>3</w:t>
            </w:r>
          </w:p>
        </w:tc>
        <w:tc>
          <w:tcPr>
            <w:tcW w:w="1728" w:type="dxa"/>
            <w:noWrap w:val="0"/>
            <w:vAlign w:val="center"/>
          </w:tcPr>
          <w:p w14:paraId="5DA51082">
            <w:pPr>
              <w:tabs>
                <w:tab w:val="left" w:pos="1080"/>
              </w:tabs>
              <w:rPr>
                <w:rFonts w:ascii="Times New Roman" w:hAnsi="Times New Roman" w:eastAsia="宋体" w:cs="Times New Roman"/>
                <w:color w:val="auto"/>
                <w:sz w:val="24"/>
                <w:szCs w:val="24"/>
                <w:highlight w:val="none"/>
                <w:lang w:val="en-US" w:eastAsia="zh-CN" w:bidi="ar-SA"/>
              </w:rPr>
            </w:pPr>
            <w:r>
              <w:rPr>
                <w:color w:val="auto"/>
                <w:sz w:val="24"/>
                <w:highlight w:val="none"/>
              </w:rPr>
              <w:t>本项目的特定资格要求</w:t>
            </w:r>
          </w:p>
        </w:tc>
        <w:tc>
          <w:tcPr>
            <w:tcW w:w="4494" w:type="dxa"/>
            <w:noWrap w:val="0"/>
            <w:vAlign w:val="center"/>
          </w:tcPr>
          <w:p w14:paraId="279994DC">
            <w:pPr>
              <w:tabs>
                <w:tab w:val="left" w:pos="1080"/>
              </w:tabs>
              <w:rPr>
                <w:rFonts w:ascii="Times New Roman" w:hAnsi="Times New Roman" w:eastAsia="宋体" w:cs="Times New Roman"/>
                <w:color w:val="auto"/>
                <w:sz w:val="24"/>
                <w:szCs w:val="24"/>
                <w:highlight w:val="none"/>
                <w:lang w:val="en-US" w:eastAsia="zh-CN" w:bidi="ar-SA"/>
              </w:rPr>
            </w:pPr>
            <w:r>
              <w:rPr>
                <w:color w:val="auto"/>
                <w:sz w:val="24"/>
                <w:highlight w:val="none"/>
              </w:rPr>
              <w:t>如有，见第一章《采购邀请》</w:t>
            </w:r>
          </w:p>
        </w:tc>
        <w:tc>
          <w:tcPr>
            <w:tcW w:w="1660" w:type="dxa"/>
            <w:noWrap w:val="0"/>
            <w:vAlign w:val="center"/>
          </w:tcPr>
          <w:p w14:paraId="12EAFDF1">
            <w:pPr>
              <w:tabs>
                <w:tab w:val="left" w:pos="1080"/>
              </w:tabs>
              <w:rPr>
                <w:rFonts w:ascii="Times New Roman" w:hAnsi="Times New Roman" w:eastAsia="宋体" w:cs="Times New Roman"/>
                <w:color w:val="auto"/>
                <w:sz w:val="24"/>
                <w:szCs w:val="24"/>
                <w:highlight w:val="none"/>
                <w:lang w:val="en-US" w:eastAsia="zh-CN" w:bidi="ar-SA"/>
              </w:rPr>
            </w:pPr>
          </w:p>
        </w:tc>
      </w:tr>
      <w:tr w14:paraId="2709C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7FE24449">
            <w:pPr>
              <w:tabs>
                <w:tab w:val="left" w:pos="1080"/>
              </w:tabs>
              <w:jc w:val="center"/>
              <w:rPr>
                <w:rFonts w:hint="eastAsia" w:ascii="宋体" w:hAnsi="宋体" w:cs="宋体"/>
                <w:color w:val="auto"/>
                <w:sz w:val="24"/>
                <w:highlight w:val="none"/>
                <w:lang w:val="en-US" w:eastAsia="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1</w:t>
            </w:r>
          </w:p>
        </w:tc>
        <w:tc>
          <w:tcPr>
            <w:tcW w:w="1728" w:type="dxa"/>
            <w:noWrap w:val="0"/>
            <w:vAlign w:val="center"/>
          </w:tcPr>
          <w:p w14:paraId="2981B01D">
            <w:pPr>
              <w:tabs>
                <w:tab w:val="left" w:pos="1080"/>
              </w:tabs>
              <w:rPr>
                <w:rFonts w:ascii="Times New Roman" w:hAnsi="Times New Roman" w:eastAsia="宋体" w:cs="Times New Roman"/>
                <w:color w:val="auto"/>
                <w:sz w:val="24"/>
                <w:szCs w:val="24"/>
                <w:highlight w:val="none"/>
                <w:lang w:val="en-US" w:eastAsia="zh-CN" w:bidi="ar-SA"/>
              </w:rPr>
            </w:pPr>
            <w:r>
              <w:rPr>
                <w:color w:val="auto"/>
                <w:sz w:val="24"/>
                <w:highlight w:val="none"/>
              </w:rPr>
              <w:t>其他特定资格要求</w:t>
            </w:r>
          </w:p>
        </w:tc>
        <w:tc>
          <w:tcPr>
            <w:tcW w:w="4494" w:type="dxa"/>
            <w:noWrap w:val="0"/>
            <w:vAlign w:val="center"/>
          </w:tcPr>
          <w:p w14:paraId="601AFD29">
            <w:pPr>
              <w:tabs>
                <w:tab w:val="left" w:pos="1080"/>
              </w:tabs>
              <w:rPr>
                <w:rFonts w:ascii="Times New Roman" w:hAnsi="Times New Roman" w:eastAsia="宋体" w:cs="Times New Roman"/>
                <w:color w:val="auto"/>
                <w:sz w:val="24"/>
                <w:szCs w:val="24"/>
                <w:highlight w:val="none"/>
                <w:lang w:val="en-US" w:eastAsia="zh-CN" w:bidi="ar-SA"/>
              </w:rPr>
            </w:pPr>
            <w:r>
              <w:rPr>
                <w:color w:val="auto"/>
                <w:sz w:val="24"/>
                <w:highlight w:val="none"/>
              </w:rPr>
              <w:t>如有，见</w:t>
            </w:r>
            <w:r>
              <w:rPr>
                <w:color w:val="auto"/>
                <w:sz w:val="24"/>
                <w:highlight w:val="none"/>
              </w:rPr>
              <w:t>第一章《采购邀请》</w:t>
            </w:r>
          </w:p>
        </w:tc>
        <w:tc>
          <w:tcPr>
            <w:tcW w:w="1660" w:type="dxa"/>
            <w:noWrap w:val="0"/>
            <w:vAlign w:val="center"/>
          </w:tcPr>
          <w:p w14:paraId="2668A998">
            <w:pPr>
              <w:tabs>
                <w:tab w:val="left" w:pos="1080"/>
              </w:tabs>
              <w:rPr>
                <w:rFonts w:hint="eastAsia" w:ascii="Times New Roman" w:hAnsi="Times New Roman" w:eastAsia="宋体" w:cs="Times New Roman"/>
                <w:color w:val="auto"/>
                <w:sz w:val="24"/>
                <w:szCs w:val="24"/>
                <w:highlight w:val="none"/>
                <w:lang w:val="en-US" w:eastAsia="zh-CN" w:bidi="ar-SA"/>
              </w:rPr>
            </w:pPr>
            <w:r>
              <w:rPr>
                <w:b/>
                <w:bCs/>
                <w:color w:val="auto"/>
                <w:sz w:val="24"/>
                <w:highlight w:val="none"/>
              </w:rPr>
              <w:t>提供证明文件的电子件或电子证照</w:t>
            </w:r>
            <w:r>
              <w:rPr>
                <w:rFonts w:hint="eastAsia"/>
                <w:b/>
                <w:bCs/>
                <w:color w:val="auto"/>
                <w:sz w:val="24"/>
                <w:highlight w:val="none"/>
                <w:lang w:eastAsia="zh-CN"/>
              </w:rPr>
              <w:t>，及无在建承诺及缴纳凭证</w:t>
            </w:r>
          </w:p>
        </w:tc>
      </w:tr>
    </w:tbl>
    <w:p w14:paraId="12B0EC32">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《符合性审查要求》见下表：</w:t>
      </w:r>
    </w:p>
    <w:p w14:paraId="10804DA8">
      <w:pPr>
        <w:tabs>
          <w:tab w:val="left" w:pos="900"/>
          <w:tab w:val="left" w:pos="1080"/>
          <w:tab w:val="left" w:pos="1447"/>
        </w:tabs>
        <w:spacing w:line="360" w:lineRule="auto"/>
        <w:jc w:val="center"/>
        <w:rPr>
          <w:b/>
          <w:color w:val="auto"/>
          <w:sz w:val="24"/>
          <w:highlight w:val="none"/>
        </w:rPr>
      </w:pPr>
      <w:r>
        <w:rPr>
          <w:b/>
          <w:color w:val="auto"/>
          <w:sz w:val="24"/>
          <w:highlight w:val="none"/>
        </w:rPr>
        <w:t>符合性审查要求</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64"/>
        <w:gridCol w:w="6170"/>
      </w:tblGrid>
      <w:tr w14:paraId="0CF2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8" w:type="dxa"/>
            <w:noWrap w:val="0"/>
            <w:vAlign w:val="center"/>
          </w:tcPr>
          <w:p w14:paraId="3DBB16A0">
            <w:pPr>
              <w:widowControl/>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664" w:type="dxa"/>
            <w:noWrap w:val="0"/>
            <w:vAlign w:val="center"/>
          </w:tcPr>
          <w:p w14:paraId="0072A0A2">
            <w:pPr>
              <w:widowControl/>
              <w:jc w:val="center"/>
              <w:rPr>
                <w:rFonts w:hint="eastAsia" w:ascii="宋体" w:hAnsi="宋体" w:cs="宋体"/>
                <w:b/>
                <w:color w:val="auto"/>
                <w:sz w:val="24"/>
                <w:highlight w:val="none"/>
              </w:rPr>
            </w:pPr>
            <w:r>
              <w:rPr>
                <w:rFonts w:hint="eastAsia" w:ascii="宋体" w:hAnsi="宋体" w:cs="宋体"/>
                <w:b/>
                <w:color w:val="auto"/>
                <w:sz w:val="24"/>
                <w:highlight w:val="none"/>
              </w:rPr>
              <w:t>审查因素</w:t>
            </w:r>
          </w:p>
        </w:tc>
        <w:tc>
          <w:tcPr>
            <w:tcW w:w="6170" w:type="dxa"/>
            <w:noWrap w:val="0"/>
            <w:vAlign w:val="center"/>
          </w:tcPr>
          <w:p w14:paraId="215ED4B8">
            <w:pPr>
              <w:widowControl/>
              <w:jc w:val="center"/>
              <w:rPr>
                <w:rFonts w:hint="eastAsia" w:ascii="宋体" w:hAnsi="宋体" w:cs="宋体"/>
                <w:b/>
                <w:color w:val="auto"/>
                <w:sz w:val="24"/>
                <w:highlight w:val="none"/>
              </w:rPr>
            </w:pPr>
            <w:r>
              <w:rPr>
                <w:rFonts w:hint="eastAsia" w:ascii="宋体" w:hAnsi="宋体" w:cs="宋体"/>
                <w:b/>
                <w:color w:val="auto"/>
                <w:sz w:val="24"/>
                <w:highlight w:val="none"/>
              </w:rPr>
              <w:t>审查内容</w:t>
            </w:r>
          </w:p>
        </w:tc>
      </w:tr>
      <w:tr w14:paraId="07E8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C27CFBF">
            <w:pPr>
              <w:widowControl/>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664" w:type="dxa"/>
            <w:noWrap w:val="0"/>
            <w:vAlign w:val="center"/>
          </w:tcPr>
          <w:p w14:paraId="07D0F0A9">
            <w:pPr>
              <w:widowControl/>
              <w:jc w:val="left"/>
              <w:rPr>
                <w:rFonts w:hint="eastAsia" w:ascii="宋体" w:hAnsi="宋体" w:cs="宋体"/>
                <w:color w:val="auto"/>
                <w:sz w:val="24"/>
                <w:highlight w:val="none"/>
              </w:rPr>
            </w:pPr>
            <w:r>
              <w:rPr>
                <w:rFonts w:hint="eastAsia" w:ascii="宋体" w:hAnsi="宋体" w:cs="宋体"/>
                <w:color w:val="auto"/>
                <w:sz w:val="24"/>
                <w:highlight w:val="none"/>
              </w:rPr>
              <w:t>响应函、法定代表人资格证明书和政府采购供应商信用承诺书</w:t>
            </w:r>
          </w:p>
        </w:tc>
        <w:tc>
          <w:tcPr>
            <w:tcW w:w="6170" w:type="dxa"/>
            <w:noWrap w:val="0"/>
            <w:vAlign w:val="center"/>
          </w:tcPr>
          <w:p w14:paraId="2D777ED6">
            <w:pPr>
              <w:widowControl/>
              <w:jc w:val="left"/>
              <w:rPr>
                <w:rFonts w:hint="eastAsia" w:ascii="宋体" w:hAnsi="宋体" w:cs="宋体"/>
                <w:color w:val="auto"/>
                <w:sz w:val="24"/>
                <w:highlight w:val="none"/>
              </w:rPr>
            </w:pPr>
            <w:r>
              <w:rPr>
                <w:rFonts w:hint="eastAsia" w:ascii="宋体" w:hAnsi="宋体" w:cs="宋体"/>
                <w:color w:val="auto"/>
                <w:sz w:val="24"/>
                <w:highlight w:val="none"/>
              </w:rPr>
              <w:t>按磋商文件要求提供响应函、法定代表人资格证明书和政府采购供应商信用承诺书；</w:t>
            </w:r>
          </w:p>
        </w:tc>
      </w:tr>
      <w:tr w14:paraId="6CA2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1E2B36F">
            <w:pPr>
              <w:widowControl/>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664" w:type="dxa"/>
            <w:noWrap w:val="0"/>
            <w:vAlign w:val="center"/>
          </w:tcPr>
          <w:p w14:paraId="06BBDBC4">
            <w:pPr>
              <w:widowControl/>
              <w:jc w:val="left"/>
              <w:rPr>
                <w:rFonts w:hint="eastAsia" w:ascii="宋体" w:hAnsi="宋体" w:cs="宋体"/>
                <w:color w:val="auto"/>
                <w:sz w:val="24"/>
                <w:highlight w:val="none"/>
              </w:rPr>
            </w:pPr>
            <w:r>
              <w:rPr>
                <w:rFonts w:hint="eastAsia" w:ascii="宋体" w:hAnsi="宋体" w:cs="宋体"/>
                <w:color w:val="auto"/>
                <w:sz w:val="24"/>
                <w:highlight w:val="none"/>
              </w:rPr>
              <w:t>响应完整性</w:t>
            </w:r>
          </w:p>
        </w:tc>
        <w:tc>
          <w:tcPr>
            <w:tcW w:w="6170" w:type="dxa"/>
            <w:noWrap w:val="0"/>
            <w:vAlign w:val="center"/>
          </w:tcPr>
          <w:p w14:paraId="1C9861E3">
            <w:pPr>
              <w:widowControl/>
              <w:jc w:val="left"/>
              <w:rPr>
                <w:rFonts w:hint="eastAsia" w:ascii="宋体" w:hAnsi="宋体" w:cs="宋体"/>
                <w:color w:val="auto"/>
                <w:sz w:val="24"/>
                <w:highlight w:val="none"/>
              </w:rPr>
            </w:pPr>
            <w:r>
              <w:rPr>
                <w:rFonts w:hint="eastAsia" w:ascii="宋体" w:hAnsi="宋体" w:cs="宋体"/>
                <w:color w:val="auto"/>
                <w:sz w:val="24"/>
                <w:highlight w:val="none"/>
              </w:rPr>
              <w:t>未将一个项目/采购包中的内容拆开响应；</w:t>
            </w:r>
          </w:p>
        </w:tc>
      </w:tr>
      <w:tr w14:paraId="3619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1501E206">
            <w:pPr>
              <w:widowControl/>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664" w:type="dxa"/>
            <w:noWrap w:val="0"/>
            <w:vAlign w:val="center"/>
          </w:tcPr>
          <w:p w14:paraId="07EBABA9">
            <w:pPr>
              <w:widowControl/>
              <w:jc w:val="left"/>
              <w:rPr>
                <w:rFonts w:hint="eastAsia" w:ascii="宋体" w:hAnsi="宋体" w:cs="宋体"/>
                <w:color w:val="auto"/>
                <w:sz w:val="24"/>
                <w:highlight w:val="none"/>
              </w:rPr>
            </w:pPr>
            <w:r>
              <w:rPr>
                <w:rFonts w:hint="eastAsia" w:ascii="宋体" w:hAnsi="宋体" w:cs="宋体"/>
                <w:color w:val="auto"/>
                <w:sz w:val="24"/>
                <w:highlight w:val="none"/>
              </w:rPr>
              <w:t>响应报价</w:t>
            </w:r>
          </w:p>
        </w:tc>
        <w:tc>
          <w:tcPr>
            <w:tcW w:w="6170" w:type="dxa"/>
            <w:noWrap w:val="0"/>
            <w:vAlign w:val="center"/>
          </w:tcPr>
          <w:p w14:paraId="101A0B25">
            <w:pPr>
              <w:widowControl/>
              <w:jc w:val="left"/>
              <w:rPr>
                <w:rFonts w:hint="eastAsia" w:ascii="宋体" w:hAnsi="宋体" w:cs="宋体"/>
                <w:color w:val="auto"/>
                <w:sz w:val="24"/>
                <w:highlight w:val="none"/>
              </w:rPr>
            </w:pPr>
            <w:r>
              <w:rPr>
                <w:rFonts w:hint="eastAsia" w:ascii="宋体" w:hAnsi="宋体" w:cs="宋体"/>
                <w:color w:val="auto"/>
                <w:sz w:val="24"/>
                <w:highlight w:val="none"/>
              </w:rPr>
              <w:t>响应报价未超过磋商文件中规定的项目/采购包预算金额或者项目/采购包最高限价；</w:t>
            </w:r>
          </w:p>
        </w:tc>
      </w:tr>
      <w:tr w14:paraId="0D05B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8F27897">
            <w:pPr>
              <w:widowControl/>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664" w:type="dxa"/>
            <w:noWrap w:val="0"/>
            <w:vAlign w:val="center"/>
          </w:tcPr>
          <w:p w14:paraId="24481E95">
            <w:pPr>
              <w:widowControl/>
              <w:jc w:val="left"/>
              <w:rPr>
                <w:rFonts w:hint="eastAsia" w:ascii="宋体" w:hAnsi="宋体" w:cs="宋体"/>
                <w:color w:val="auto"/>
                <w:sz w:val="24"/>
                <w:highlight w:val="none"/>
              </w:rPr>
            </w:pPr>
            <w:r>
              <w:rPr>
                <w:rFonts w:hint="eastAsia" w:ascii="宋体" w:hAnsi="宋体" w:cs="宋体"/>
                <w:color w:val="auto"/>
                <w:sz w:val="24"/>
                <w:highlight w:val="none"/>
              </w:rPr>
              <w:t>报价唯一性</w:t>
            </w:r>
          </w:p>
        </w:tc>
        <w:tc>
          <w:tcPr>
            <w:tcW w:w="6170" w:type="dxa"/>
            <w:noWrap w:val="0"/>
            <w:vAlign w:val="center"/>
          </w:tcPr>
          <w:p w14:paraId="3CEB1755">
            <w:pPr>
              <w:widowControl/>
              <w:jc w:val="left"/>
              <w:rPr>
                <w:rFonts w:hint="eastAsia" w:ascii="宋体" w:hAnsi="宋体" w:cs="宋体"/>
                <w:color w:val="auto"/>
                <w:sz w:val="24"/>
                <w:highlight w:val="none"/>
              </w:rPr>
            </w:pPr>
            <w:r>
              <w:rPr>
                <w:rFonts w:hint="eastAsia" w:ascii="宋体" w:hAnsi="宋体" w:cs="宋体"/>
                <w:color w:val="auto"/>
                <w:sz w:val="24"/>
                <w:highlight w:val="none"/>
              </w:rPr>
              <w:t>响应文件未出现可选择性或可调整的报价（磋商文件另有规定的除外）；提供</w:t>
            </w:r>
            <w:r>
              <w:rPr>
                <w:rFonts w:hint="eastAsia" w:ascii="宋体" w:hAnsi="宋体" w:cs="宋体"/>
                <w:b/>
                <w:bCs/>
                <w:color w:val="auto"/>
                <w:sz w:val="24"/>
                <w:highlight w:val="none"/>
              </w:rPr>
              <w:t>《分项报价表》</w:t>
            </w:r>
            <w:r>
              <w:rPr>
                <w:rFonts w:hint="eastAsia" w:ascii="宋体" w:hAnsi="宋体" w:cs="宋体"/>
                <w:color w:val="auto"/>
                <w:sz w:val="24"/>
                <w:highlight w:val="none"/>
              </w:rPr>
              <w:t>。（格式见《投标（响应）文件格式》）</w:t>
            </w:r>
          </w:p>
        </w:tc>
      </w:tr>
      <w:tr w14:paraId="12A1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3185D59">
            <w:pPr>
              <w:widowControl/>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664" w:type="dxa"/>
            <w:noWrap w:val="0"/>
            <w:vAlign w:val="center"/>
          </w:tcPr>
          <w:p w14:paraId="46FA29DC">
            <w:pPr>
              <w:widowControl/>
              <w:jc w:val="left"/>
              <w:rPr>
                <w:rFonts w:hint="eastAsia" w:ascii="宋体" w:hAnsi="宋体" w:cs="宋体"/>
                <w:color w:val="auto"/>
                <w:sz w:val="24"/>
                <w:highlight w:val="none"/>
              </w:rPr>
            </w:pPr>
            <w:r>
              <w:rPr>
                <w:rFonts w:hint="eastAsia" w:ascii="宋体" w:hAnsi="宋体" w:cs="宋体"/>
                <w:color w:val="auto"/>
                <w:sz w:val="24"/>
                <w:highlight w:val="none"/>
              </w:rPr>
              <w:t>响应有效期</w:t>
            </w:r>
          </w:p>
        </w:tc>
        <w:tc>
          <w:tcPr>
            <w:tcW w:w="6170" w:type="dxa"/>
            <w:noWrap w:val="0"/>
            <w:vAlign w:val="center"/>
          </w:tcPr>
          <w:p w14:paraId="72D1A515">
            <w:pPr>
              <w:widowControl/>
              <w:jc w:val="left"/>
              <w:rPr>
                <w:rFonts w:hint="eastAsia" w:ascii="宋体" w:hAnsi="宋体" w:cs="宋体"/>
                <w:color w:val="auto"/>
                <w:sz w:val="24"/>
                <w:highlight w:val="none"/>
              </w:rPr>
            </w:pPr>
            <w:r>
              <w:rPr>
                <w:rFonts w:hint="eastAsia" w:ascii="宋体" w:hAnsi="宋体" w:cs="宋体"/>
                <w:color w:val="auto"/>
                <w:sz w:val="24"/>
                <w:highlight w:val="none"/>
              </w:rPr>
              <w:t>响应文件中承诺的响应有效期满足磋商文件中载明的响应有效期的；</w:t>
            </w:r>
          </w:p>
        </w:tc>
      </w:tr>
      <w:tr w14:paraId="560C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2A11C6D">
            <w:pPr>
              <w:widowControl/>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664" w:type="dxa"/>
            <w:noWrap w:val="0"/>
            <w:vAlign w:val="center"/>
          </w:tcPr>
          <w:p w14:paraId="592999DD">
            <w:pPr>
              <w:widowControl/>
              <w:jc w:val="left"/>
              <w:rPr>
                <w:rFonts w:hint="eastAsia" w:ascii="宋体" w:hAnsi="宋体" w:cs="宋体"/>
                <w:color w:val="auto"/>
                <w:sz w:val="24"/>
                <w:highlight w:val="none"/>
              </w:rPr>
            </w:pPr>
            <w:r>
              <w:rPr>
                <w:rFonts w:hint="eastAsia" w:ascii="宋体" w:hAnsi="宋体" w:cs="宋体"/>
                <w:color w:val="auto"/>
                <w:sz w:val="24"/>
                <w:highlight w:val="none"/>
              </w:rPr>
              <w:t>签署、加盖公章</w:t>
            </w:r>
          </w:p>
        </w:tc>
        <w:tc>
          <w:tcPr>
            <w:tcW w:w="6170" w:type="dxa"/>
            <w:noWrap w:val="0"/>
            <w:vAlign w:val="center"/>
          </w:tcPr>
          <w:p w14:paraId="36C08E1B">
            <w:pPr>
              <w:widowControl/>
              <w:jc w:val="left"/>
              <w:rPr>
                <w:rFonts w:hint="eastAsia" w:ascii="宋体" w:hAnsi="宋体" w:cs="宋体"/>
                <w:color w:val="auto"/>
                <w:sz w:val="24"/>
                <w:highlight w:val="none"/>
              </w:rPr>
            </w:pPr>
            <w:r>
              <w:rPr>
                <w:rFonts w:hint="eastAsia" w:ascii="宋体" w:hAnsi="宋体" w:cs="宋体"/>
                <w:color w:val="auto"/>
                <w:sz w:val="24"/>
                <w:highlight w:val="none"/>
              </w:rPr>
              <w:t>按照磋商文件要求签署、加盖公章的；</w:t>
            </w:r>
          </w:p>
        </w:tc>
      </w:tr>
      <w:tr w14:paraId="7131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00E8CF0A">
            <w:pPr>
              <w:widowControl/>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664" w:type="dxa"/>
            <w:noWrap w:val="0"/>
            <w:vAlign w:val="center"/>
          </w:tcPr>
          <w:p w14:paraId="1A50A81A">
            <w:pPr>
              <w:widowControl/>
              <w:jc w:val="left"/>
              <w:rPr>
                <w:rFonts w:hint="eastAsia" w:ascii="宋体" w:hAnsi="宋体" w:cs="宋体"/>
                <w:color w:val="auto"/>
                <w:sz w:val="24"/>
                <w:highlight w:val="none"/>
              </w:rPr>
            </w:pPr>
            <w:r>
              <w:rPr>
                <w:rFonts w:hint="eastAsia" w:ascii="宋体" w:hAnsi="宋体" w:cs="宋体"/>
                <w:color w:val="auto"/>
                <w:sz w:val="24"/>
                <w:highlight w:val="none"/>
              </w:rPr>
              <w:t>实质性格式</w:t>
            </w:r>
          </w:p>
        </w:tc>
        <w:tc>
          <w:tcPr>
            <w:tcW w:w="6170" w:type="dxa"/>
            <w:noWrap w:val="0"/>
            <w:vAlign w:val="center"/>
          </w:tcPr>
          <w:p w14:paraId="08AF6D67">
            <w:pPr>
              <w:widowControl/>
              <w:jc w:val="left"/>
              <w:rPr>
                <w:rFonts w:hint="eastAsia" w:ascii="宋体" w:hAnsi="宋体" w:cs="宋体"/>
                <w:color w:val="auto"/>
                <w:sz w:val="24"/>
                <w:highlight w:val="none"/>
              </w:rPr>
            </w:pPr>
            <w:r>
              <w:rPr>
                <w:rFonts w:hint="eastAsia" w:ascii="宋体" w:hAnsi="宋体" w:cs="宋体"/>
                <w:color w:val="auto"/>
                <w:sz w:val="24"/>
                <w:highlight w:val="none"/>
              </w:rPr>
              <w:t>标记为“实质性格式”的文件均按磋商文件要求提供；</w:t>
            </w:r>
          </w:p>
        </w:tc>
      </w:tr>
      <w:tr w14:paraId="1BBD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554751A7">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8</w:t>
            </w:r>
          </w:p>
        </w:tc>
        <w:tc>
          <w:tcPr>
            <w:tcW w:w="1664" w:type="dxa"/>
            <w:shd w:val="clear" w:color="auto" w:fill="auto"/>
            <w:noWrap w:val="0"/>
            <w:vAlign w:val="center"/>
          </w:tcPr>
          <w:p w14:paraId="541516D7">
            <w:pPr>
              <w:widowControl/>
              <w:spacing w:line="36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★号条款响应</w:t>
            </w:r>
          </w:p>
        </w:tc>
        <w:tc>
          <w:tcPr>
            <w:tcW w:w="6170" w:type="dxa"/>
            <w:shd w:val="clear" w:color="auto" w:fill="auto"/>
            <w:noWrap w:val="0"/>
            <w:vAlign w:val="center"/>
          </w:tcPr>
          <w:p w14:paraId="24BE2123">
            <w:pPr>
              <w:widowControl/>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响应文件满足磋商文件第四章《采购需求》中★号条款要求的；</w:t>
            </w:r>
          </w:p>
        </w:tc>
      </w:tr>
      <w:tr w14:paraId="18183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2CC4E7FD">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9</w:t>
            </w:r>
          </w:p>
        </w:tc>
        <w:tc>
          <w:tcPr>
            <w:tcW w:w="1664" w:type="dxa"/>
            <w:noWrap w:val="0"/>
            <w:vAlign w:val="center"/>
          </w:tcPr>
          <w:p w14:paraId="08F6AE63">
            <w:pPr>
              <w:widowControl/>
              <w:jc w:val="left"/>
              <w:rPr>
                <w:rFonts w:hint="eastAsia" w:ascii="宋体" w:hAnsi="宋体" w:cs="宋体"/>
                <w:color w:val="auto"/>
                <w:sz w:val="24"/>
                <w:highlight w:val="none"/>
              </w:rPr>
            </w:pPr>
            <w:r>
              <w:rPr>
                <w:rFonts w:hint="eastAsia" w:ascii="宋体" w:hAnsi="宋体" w:cs="宋体"/>
                <w:color w:val="auto"/>
                <w:sz w:val="24"/>
                <w:highlight w:val="none"/>
              </w:rPr>
              <w:t>报价的修正（如有）</w:t>
            </w:r>
          </w:p>
        </w:tc>
        <w:tc>
          <w:tcPr>
            <w:tcW w:w="6170" w:type="dxa"/>
            <w:noWrap w:val="0"/>
            <w:vAlign w:val="center"/>
          </w:tcPr>
          <w:p w14:paraId="1EDCCFE4">
            <w:pPr>
              <w:widowControl/>
              <w:jc w:val="left"/>
              <w:rPr>
                <w:rFonts w:hint="eastAsia" w:ascii="宋体" w:hAnsi="宋体" w:cs="宋体"/>
                <w:color w:val="auto"/>
                <w:sz w:val="24"/>
                <w:highlight w:val="none"/>
              </w:rPr>
            </w:pPr>
            <w:r>
              <w:rPr>
                <w:rFonts w:hint="eastAsia" w:ascii="宋体" w:hAnsi="宋体" w:cs="宋体"/>
                <w:color w:val="auto"/>
                <w:sz w:val="24"/>
                <w:highlight w:val="none"/>
              </w:rPr>
              <w:t>不涉及报价修正，或响应文件报价出现前后不一致时，供应商对修正后的报价予以确认；（如有）</w:t>
            </w:r>
          </w:p>
        </w:tc>
      </w:tr>
      <w:tr w14:paraId="425A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6089B8F4">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10</w:t>
            </w:r>
          </w:p>
        </w:tc>
        <w:tc>
          <w:tcPr>
            <w:tcW w:w="1664" w:type="dxa"/>
            <w:shd w:val="clear" w:color="auto" w:fill="auto"/>
            <w:noWrap w:val="0"/>
            <w:vAlign w:val="center"/>
          </w:tcPr>
          <w:p w14:paraId="00E99F28">
            <w:pPr>
              <w:widowControl/>
              <w:spacing w:line="36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报价合理性</w:t>
            </w:r>
          </w:p>
        </w:tc>
        <w:tc>
          <w:tcPr>
            <w:tcW w:w="6170" w:type="dxa"/>
            <w:shd w:val="clear" w:color="auto" w:fill="auto"/>
            <w:noWrap w:val="0"/>
            <w:vAlign w:val="center"/>
          </w:tcPr>
          <w:p w14:paraId="65323B47">
            <w:pPr>
              <w:widowControl/>
              <w:jc w:val="left"/>
              <w:rPr>
                <w:rFonts w:ascii="宋体" w:hAnsi="宋体" w:cs="宋体"/>
                <w:color w:val="auto"/>
                <w:sz w:val="24"/>
                <w:highlight w:val="none"/>
              </w:rPr>
            </w:pPr>
            <w:r>
              <w:rPr>
                <w:rFonts w:hint="eastAsia" w:ascii="宋体" w:hAnsi="宋体" w:cs="宋体"/>
                <w:color w:val="auto"/>
                <w:sz w:val="24"/>
                <w:highlight w:val="none"/>
              </w:rPr>
              <w:t>报价合理，或供应商的报价明显低于其他通过符合性审查供应商的报价，有可能影响服务质量或者不能诚信履约的，能够应磋商小组要求在规定时间内证明其报价合理性的；</w:t>
            </w:r>
          </w:p>
          <w:p w14:paraId="2930BEFE">
            <w:pPr>
              <w:widowControl/>
              <w:jc w:val="left"/>
              <w:rPr>
                <w:rFonts w:ascii="宋体" w:hAnsi="宋体" w:cs="宋体"/>
                <w:color w:val="auto"/>
                <w:sz w:val="24"/>
                <w:highlight w:val="none"/>
              </w:rPr>
            </w:pPr>
            <w:r>
              <w:rPr>
                <w:rFonts w:hint="eastAsia" w:ascii="宋体" w:hAnsi="宋体" w:cs="宋体"/>
                <w:color w:val="auto"/>
                <w:sz w:val="24"/>
                <w:highlight w:val="none"/>
              </w:rPr>
              <w:t>按照财库〔2026〕2号《关于推动解决政府采购异常低价问题的通知》要求：</w:t>
            </w:r>
          </w:p>
          <w:p w14:paraId="59A21497">
            <w:pPr>
              <w:widowControl/>
              <w:jc w:val="left"/>
              <w:rPr>
                <w:rFonts w:ascii="宋体" w:hAnsi="宋体" w:cs="宋体"/>
                <w:color w:val="auto"/>
                <w:sz w:val="24"/>
                <w:highlight w:val="none"/>
              </w:rPr>
            </w:pPr>
            <w:r>
              <w:rPr>
                <w:rFonts w:hint="eastAsia" w:ascii="宋体" w:hAnsi="宋体" w:cs="宋体"/>
                <w:color w:val="auto"/>
                <w:sz w:val="24"/>
                <w:highlight w:val="none"/>
              </w:rPr>
              <w:t>（一）政府采购评审中出现下列情形之一的，评审委员会应当启动异常低价响应审查程序：</w:t>
            </w:r>
          </w:p>
          <w:p w14:paraId="156C6A17">
            <w:pPr>
              <w:widowControl/>
              <w:jc w:val="left"/>
              <w:rPr>
                <w:rFonts w:ascii="宋体" w:hAnsi="宋体" w:cs="宋体"/>
                <w:color w:val="auto"/>
                <w:sz w:val="24"/>
                <w:highlight w:val="none"/>
              </w:rPr>
            </w:pPr>
            <w:r>
              <w:rPr>
                <w:rFonts w:hint="eastAsia" w:ascii="宋体" w:hAnsi="宋体" w:cs="宋体"/>
                <w:color w:val="auto"/>
                <w:sz w:val="24"/>
                <w:highlight w:val="none"/>
              </w:rPr>
              <w:t>1.响应报价低于全部通过符合性审查供应商响应报价平均值50%的，即响应报价&lt;全部通过符合性审查供应商响应报价平均值×50%；</w:t>
            </w:r>
          </w:p>
          <w:p w14:paraId="6585E437">
            <w:pPr>
              <w:widowControl/>
              <w:jc w:val="left"/>
              <w:rPr>
                <w:rFonts w:ascii="宋体" w:hAnsi="宋体" w:cs="宋体"/>
                <w:color w:val="auto"/>
                <w:sz w:val="24"/>
                <w:highlight w:val="none"/>
              </w:rPr>
            </w:pPr>
            <w:r>
              <w:rPr>
                <w:rFonts w:hint="eastAsia" w:ascii="宋体" w:hAnsi="宋体" w:cs="宋体"/>
                <w:color w:val="auto"/>
                <w:sz w:val="24"/>
                <w:highlight w:val="none"/>
              </w:rPr>
              <w:t>2.响应报价低于通过符合性审查的次低报价供应商响应报价50%的，即响应报价&lt;通过符合性审查的次低报价供应商响应报价×50%；</w:t>
            </w:r>
          </w:p>
          <w:p w14:paraId="03443078">
            <w:pPr>
              <w:widowControl/>
              <w:jc w:val="left"/>
              <w:rPr>
                <w:rFonts w:ascii="宋体" w:hAnsi="宋体" w:cs="宋体"/>
                <w:color w:val="auto"/>
                <w:sz w:val="24"/>
                <w:highlight w:val="none"/>
              </w:rPr>
            </w:pPr>
            <w:r>
              <w:rPr>
                <w:rFonts w:hint="eastAsia" w:ascii="宋体" w:hAnsi="宋体" w:cs="宋体"/>
                <w:color w:val="auto"/>
                <w:sz w:val="24"/>
                <w:highlight w:val="none"/>
              </w:rPr>
              <w:t>3.响应报价低于采购项目最高限价45%的，即响应报价&lt;采购项目最高限价×45%；</w:t>
            </w:r>
          </w:p>
          <w:p w14:paraId="4CC3B640">
            <w:pPr>
              <w:widowControl/>
              <w:jc w:val="left"/>
              <w:rPr>
                <w:rFonts w:ascii="宋体" w:hAnsi="宋体" w:cs="宋体"/>
                <w:color w:val="auto"/>
                <w:sz w:val="24"/>
                <w:highlight w:val="none"/>
              </w:rPr>
            </w:pPr>
            <w:r>
              <w:rPr>
                <w:rFonts w:hint="eastAsia" w:ascii="宋体" w:hAnsi="宋体" w:cs="宋体"/>
                <w:color w:val="auto"/>
                <w:sz w:val="24"/>
                <w:highlight w:val="none"/>
              </w:rPr>
              <w:t>4.评审委员会基于专业判断，认为供应商报价过低，有可能影响产品质量或者不能诚信履约的其他情形。</w:t>
            </w:r>
          </w:p>
          <w:p w14:paraId="0442CB29">
            <w:pPr>
              <w:widowControl/>
              <w:jc w:val="left"/>
              <w:rPr>
                <w:rFonts w:ascii="宋体" w:hAnsi="宋体" w:cs="宋体"/>
                <w:color w:val="auto"/>
                <w:sz w:val="24"/>
                <w:highlight w:val="none"/>
              </w:rPr>
            </w:pPr>
            <w:r>
              <w:rPr>
                <w:rFonts w:hint="eastAsia" w:ascii="宋体" w:hAnsi="宋体" w:cs="宋体"/>
                <w:color w:val="auto"/>
                <w:sz w:val="24"/>
                <w:highlight w:val="none"/>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F4FC81B">
            <w:pPr>
              <w:widowControl/>
              <w:jc w:val="left"/>
              <w:rPr>
                <w:rFonts w:ascii="宋体" w:hAnsi="宋体" w:cs="宋体"/>
                <w:color w:val="auto"/>
                <w:sz w:val="24"/>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F58464E">
            <w:pPr>
              <w:widowControl/>
              <w:jc w:val="left"/>
              <w:rPr>
                <w:rFonts w:ascii="宋体" w:hAnsi="宋体" w:cs="宋体"/>
                <w:color w:val="auto"/>
                <w:sz w:val="24"/>
                <w:highlight w:val="none"/>
              </w:rPr>
            </w:pPr>
            <w:r>
              <w:rPr>
                <w:rFonts w:hint="eastAsia" w:ascii="宋体" w:hAnsi="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782BEC1">
            <w:pPr>
              <w:widowControl/>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异常低价响应审查的启动原因、审查意见和审查结果应当在评审报告中记录，并随供应商提供的相关书面说明及证明材料，以及评审委员会有关互联网浏览、查询历史一并归档。</w:t>
            </w:r>
          </w:p>
        </w:tc>
      </w:tr>
      <w:tr w14:paraId="455C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5BB85EA0">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11</w:t>
            </w:r>
          </w:p>
        </w:tc>
        <w:tc>
          <w:tcPr>
            <w:tcW w:w="1664" w:type="dxa"/>
            <w:noWrap w:val="0"/>
            <w:vAlign w:val="center"/>
          </w:tcPr>
          <w:p w14:paraId="763AC1C8">
            <w:pPr>
              <w:widowControl/>
              <w:jc w:val="left"/>
              <w:rPr>
                <w:rFonts w:hint="eastAsia" w:ascii="宋体" w:hAnsi="宋体" w:cs="宋体"/>
                <w:color w:val="auto"/>
                <w:sz w:val="24"/>
                <w:highlight w:val="none"/>
              </w:rPr>
            </w:pPr>
            <w:r>
              <w:rPr>
                <w:rFonts w:hint="eastAsia" w:ascii="宋体" w:hAnsi="宋体" w:cs="宋体"/>
                <w:color w:val="auto"/>
                <w:sz w:val="24"/>
                <w:highlight w:val="none"/>
              </w:rPr>
              <w:t>公平竞争</w:t>
            </w:r>
          </w:p>
        </w:tc>
        <w:tc>
          <w:tcPr>
            <w:tcW w:w="6170" w:type="dxa"/>
            <w:noWrap w:val="0"/>
            <w:vAlign w:val="center"/>
          </w:tcPr>
          <w:p w14:paraId="3EE1B118">
            <w:pPr>
              <w:widowControl/>
              <w:jc w:val="left"/>
              <w:rPr>
                <w:rFonts w:hint="eastAsia" w:ascii="宋体" w:hAnsi="宋体" w:cs="宋体"/>
                <w:color w:val="auto"/>
                <w:sz w:val="24"/>
                <w:highlight w:val="none"/>
              </w:rPr>
            </w:pP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0885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8" w:type="dxa"/>
            <w:shd w:val="clear" w:color="auto" w:fill="auto"/>
            <w:noWrap w:val="0"/>
            <w:vAlign w:val="center"/>
          </w:tcPr>
          <w:p w14:paraId="1F5883C2">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12</w:t>
            </w:r>
          </w:p>
        </w:tc>
        <w:tc>
          <w:tcPr>
            <w:tcW w:w="1664" w:type="dxa"/>
            <w:noWrap w:val="0"/>
            <w:vAlign w:val="center"/>
          </w:tcPr>
          <w:p w14:paraId="51DDDE8A">
            <w:pPr>
              <w:widowControl/>
              <w:jc w:val="left"/>
              <w:rPr>
                <w:rFonts w:hint="eastAsia" w:ascii="宋体" w:hAnsi="宋体" w:cs="宋体"/>
                <w:color w:val="auto"/>
                <w:sz w:val="24"/>
                <w:highlight w:val="none"/>
              </w:rPr>
            </w:pPr>
            <w:r>
              <w:rPr>
                <w:rFonts w:hint="eastAsia" w:ascii="宋体" w:hAnsi="宋体" w:cs="宋体"/>
                <w:color w:val="auto"/>
                <w:sz w:val="24"/>
                <w:highlight w:val="none"/>
              </w:rPr>
              <w:t>串通响应</w:t>
            </w:r>
          </w:p>
        </w:tc>
        <w:tc>
          <w:tcPr>
            <w:tcW w:w="6170" w:type="dxa"/>
            <w:noWrap w:val="0"/>
            <w:vAlign w:val="center"/>
          </w:tcPr>
          <w:p w14:paraId="4081DA88">
            <w:pPr>
              <w:widowControl/>
              <w:jc w:val="left"/>
              <w:rPr>
                <w:rFonts w:hint="eastAsia" w:ascii="宋体" w:hAnsi="宋体" w:cs="宋体"/>
                <w:color w:val="auto"/>
                <w:sz w:val="24"/>
                <w:highlight w:val="none"/>
              </w:rPr>
            </w:pPr>
            <w:r>
              <w:rPr>
                <w:rFonts w:hint="eastAsia" w:ascii="宋体" w:hAnsi="宋体" w:cs="宋体"/>
                <w:color w:val="auto"/>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14:paraId="3821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459E0251">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1664" w:type="dxa"/>
            <w:noWrap w:val="0"/>
            <w:vAlign w:val="center"/>
          </w:tcPr>
          <w:p w14:paraId="0999677F">
            <w:pPr>
              <w:widowControl/>
              <w:jc w:val="left"/>
              <w:rPr>
                <w:rFonts w:hint="eastAsia" w:ascii="宋体" w:hAnsi="宋体" w:cs="宋体"/>
                <w:color w:val="auto"/>
                <w:sz w:val="24"/>
                <w:highlight w:val="none"/>
              </w:rPr>
            </w:pPr>
            <w:r>
              <w:rPr>
                <w:rFonts w:hint="eastAsia" w:ascii="宋体" w:hAnsi="宋体" w:cs="宋体"/>
                <w:color w:val="auto"/>
                <w:sz w:val="24"/>
                <w:highlight w:val="none"/>
              </w:rPr>
              <w:t>附加条件</w:t>
            </w:r>
          </w:p>
        </w:tc>
        <w:tc>
          <w:tcPr>
            <w:tcW w:w="6170" w:type="dxa"/>
            <w:noWrap w:val="0"/>
            <w:vAlign w:val="center"/>
          </w:tcPr>
          <w:p w14:paraId="71DE160F">
            <w:pPr>
              <w:widowControl/>
              <w:jc w:val="left"/>
              <w:rPr>
                <w:rFonts w:hint="eastAsia" w:ascii="宋体" w:hAnsi="宋体" w:cs="宋体"/>
                <w:color w:val="auto"/>
                <w:sz w:val="24"/>
                <w:highlight w:val="none"/>
              </w:rPr>
            </w:pPr>
            <w:r>
              <w:rPr>
                <w:rFonts w:hint="eastAsia" w:ascii="宋体" w:hAnsi="宋体" w:cs="宋体"/>
                <w:color w:val="auto"/>
                <w:sz w:val="24"/>
                <w:highlight w:val="none"/>
              </w:rPr>
              <w:t>响应文件未含有采购人不能接受的附加条件的；</w:t>
            </w:r>
          </w:p>
        </w:tc>
      </w:tr>
      <w:tr w14:paraId="4242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15DFD0E9">
            <w:pPr>
              <w:widowControl/>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p>
        </w:tc>
        <w:tc>
          <w:tcPr>
            <w:tcW w:w="1664" w:type="dxa"/>
            <w:noWrap w:val="0"/>
            <w:vAlign w:val="center"/>
          </w:tcPr>
          <w:p w14:paraId="72D828D0">
            <w:pPr>
              <w:widowControl/>
              <w:jc w:val="left"/>
              <w:rPr>
                <w:rFonts w:hint="eastAsia" w:ascii="宋体" w:hAnsi="宋体" w:cs="宋体"/>
                <w:color w:val="auto"/>
                <w:sz w:val="24"/>
                <w:highlight w:val="none"/>
              </w:rPr>
            </w:pPr>
            <w:r>
              <w:rPr>
                <w:rFonts w:hint="eastAsia" w:ascii="宋体" w:hAnsi="宋体" w:cs="宋体"/>
                <w:color w:val="auto"/>
                <w:sz w:val="24"/>
                <w:highlight w:val="none"/>
              </w:rPr>
              <w:t>其他无效情形</w:t>
            </w:r>
          </w:p>
        </w:tc>
        <w:tc>
          <w:tcPr>
            <w:tcW w:w="6170" w:type="dxa"/>
            <w:noWrap w:val="0"/>
            <w:vAlign w:val="center"/>
          </w:tcPr>
          <w:p w14:paraId="1FCB1853">
            <w:pPr>
              <w:widowControl/>
              <w:jc w:val="left"/>
              <w:rPr>
                <w:rFonts w:hint="eastAsia" w:ascii="宋体" w:hAnsi="宋体" w:cs="宋体"/>
                <w:color w:val="auto"/>
                <w:sz w:val="24"/>
                <w:highlight w:val="none"/>
              </w:rPr>
            </w:pPr>
            <w:r>
              <w:rPr>
                <w:rFonts w:hint="eastAsia" w:ascii="宋体" w:hAnsi="宋体" w:cs="宋体"/>
                <w:color w:val="auto"/>
                <w:sz w:val="24"/>
                <w:highlight w:val="none"/>
              </w:rPr>
              <w:t>供应商、响应文件不存在不符合法律、法规和磋商文件规定的其他无效情形。</w:t>
            </w:r>
          </w:p>
        </w:tc>
      </w:tr>
    </w:tbl>
    <w:p w14:paraId="3C8947C9">
      <w:pPr>
        <w:numPr>
          <w:ilvl w:val="0"/>
          <w:numId w:val="5"/>
        </w:numPr>
        <w:tabs>
          <w:tab w:val="left" w:pos="360"/>
        </w:tabs>
        <w:spacing w:line="360" w:lineRule="auto"/>
        <w:outlineLvl w:val="1"/>
        <w:rPr>
          <w:color w:val="auto"/>
          <w:sz w:val="24"/>
          <w:highlight w:val="none"/>
        </w:rPr>
      </w:pPr>
      <w:r>
        <w:rPr>
          <w:color w:val="auto"/>
          <w:sz w:val="24"/>
          <w:highlight w:val="none"/>
        </w:rPr>
        <w:t>磋商、响应文件有关事项的澄清、说明或者更正和最终报价</w:t>
      </w:r>
    </w:p>
    <w:p w14:paraId="43470199">
      <w:pPr>
        <w:numPr>
          <w:ilvl w:val="1"/>
          <w:numId w:val="5"/>
        </w:numPr>
        <w:tabs>
          <w:tab w:val="left" w:pos="1080"/>
        </w:tabs>
        <w:spacing w:line="360" w:lineRule="auto"/>
        <w:ind w:left="1077" w:hanging="720"/>
        <w:rPr>
          <w:color w:val="auto"/>
          <w:sz w:val="24"/>
          <w:highlight w:val="none"/>
        </w:rPr>
      </w:pPr>
      <w:r>
        <w:rPr>
          <w:color w:val="auto"/>
          <w:sz w:val="24"/>
          <w:highlight w:val="none"/>
        </w:rPr>
        <w:t>磋商小组所有成员应当集中与单一供应商分别进行磋商，并给予所有参加磋商的供应商平等的磋商机会。</w:t>
      </w:r>
    </w:p>
    <w:p w14:paraId="1E015E7E">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60AD4949">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对磋商文件作出的实质性变动是磋商文件的有效组成部分，</w:t>
      </w:r>
      <w:r>
        <w:rPr>
          <w:rFonts w:hint="eastAsia"/>
          <w:color w:val="auto"/>
          <w:sz w:val="24"/>
          <w:highlight w:val="none"/>
        </w:rPr>
        <w:t>磋商小组应当及时通过“苏采云”政府采购一体化平台以书面形式同时通知所有参加磋商的供应商</w:t>
      </w:r>
      <w:r>
        <w:rPr>
          <w:color w:val="auto"/>
          <w:sz w:val="24"/>
          <w:highlight w:val="none"/>
        </w:rPr>
        <w:t>。</w:t>
      </w:r>
    </w:p>
    <w:p w14:paraId="044F11B8">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6BB401A">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响应文件的澄清、说明或者更正</w:t>
      </w:r>
      <w:r>
        <w:rPr>
          <w:rFonts w:hint="eastAsia"/>
          <w:color w:val="auto"/>
          <w:sz w:val="24"/>
          <w:highlight w:val="none"/>
        </w:rPr>
        <w:t>：</w:t>
      </w:r>
    </w:p>
    <w:p w14:paraId="27C42B9A">
      <w:pPr>
        <w:tabs>
          <w:tab w:val="left" w:pos="1980"/>
        </w:tabs>
        <w:spacing w:line="360" w:lineRule="auto"/>
        <w:ind w:left="1080"/>
        <w:rPr>
          <w:color w:val="auto"/>
          <w:sz w:val="24"/>
          <w:highlight w:val="none"/>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磋商小组会将通过“苏采云”政府采购一体化平台以书面形式要求供应商对其响应文件中含义不明确</w:t>
      </w:r>
      <w:r>
        <w:rPr>
          <w:color w:val="auto"/>
          <w:sz w:val="24"/>
          <w:highlight w:val="none"/>
        </w:rPr>
        <w:t>、同类问题表述不一致或者有明显文字和计算错误的内容，作出必要的澄清、说明或者补正。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7C413445">
      <w:pPr>
        <w:numPr>
          <w:ilvl w:val="1"/>
          <w:numId w:val="5"/>
        </w:numPr>
        <w:tabs>
          <w:tab w:val="left" w:pos="1080"/>
          <w:tab w:val="left" w:pos="1872"/>
        </w:tabs>
        <w:spacing w:line="360" w:lineRule="auto"/>
        <w:ind w:left="1077" w:hanging="720"/>
        <w:rPr>
          <w:b/>
          <w:color w:val="auto"/>
          <w:sz w:val="24"/>
          <w:highlight w:val="none"/>
        </w:rPr>
      </w:pPr>
      <w:r>
        <w:rPr>
          <w:b/>
          <w:color w:val="auto"/>
          <w:sz w:val="24"/>
          <w:highlight w:val="none"/>
        </w:rPr>
        <w:t>磋商结束后，</w:t>
      </w:r>
      <w:r>
        <w:rPr>
          <w:rFonts w:hint="eastAsia"/>
          <w:b/>
          <w:color w:val="auto"/>
          <w:sz w:val="24"/>
          <w:highlight w:val="none"/>
        </w:rPr>
        <w:t>磋商小组将要求所有实质性响应的供应商在规定时间内通过“苏采云”政府采购交易系统网上开标大厅</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b/>
          <w:color w:val="auto"/>
          <w:sz w:val="24"/>
          <w:highlight w:val="none"/>
          <w:lang w:eastAsia="zh-CN"/>
        </w:rPr>
        <w:t>。</w:t>
      </w:r>
      <w:r>
        <w:rPr>
          <w:rFonts w:hint="eastAsia"/>
          <w:b/>
          <w:color w:val="auto"/>
          <w:sz w:val="24"/>
          <w:highlight w:val="none"/>
        </w:rPr>
        <w:t>供应商未在磋商小组规定的时间内在苏采云系统中提交最后报价的视为放弃磋商，其响应文件按无效响应处理</w:t>
      </w:r>
      <w:r>
        <w:rPr>
          <w:rFonts w:hint="eastAsia"/>
          <w:b/>
          <w:color w:val="auto"/>
          <w:sz w:val="24"/>
          <w:highlight w:val="none"/>
          <w:lang w:eastAsia="zh-CN"/>
        </w:rPr>
        <w:t>。</w:t>
      </w:r>
      <w:r>
        <w:rPr>
          <w:rFonts w:hint="eastAsia"/>
          <w:b/>
          <w:color w:val="auto"/>
          <w:sz w:val="24"/>
          <w:highlight w:val="none"/>
          <w:lang w:val="en-US" w:eastAsia="zh-CN"/>
        </w:rPr>
        <w:t>如需提交</w:t>
      </w:r>
      <w:r>
        <w:rPr>
          <w:rFonts w:hint="eastAsia"/>
          <w:b/>
          <w:color w:val="auto"/>
          <w:sz w:val="24"/>
          <w:highlight w:val="none"/>
        </w:rPr>
        <w:t>最后报价格式表须加盖CA电子公章,否则视为未提交最后报价。已提交响应文件的供应商，在提交最后报价之前，可以根据磋商情况退出磋商，并在苏采云系统中提交“退出磋商函”并加盖CA电子公章。</w:t>
      </w:r>
    </w:p>
    <w:p w14:paraId="1399526A">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4F7D168">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最终报价是供应商响应文件的有效组成部分。</w:t>
      </w:r>
    </w:p>
    <w:p w14:paraId="0C40CF27">
      <w:pPr>
        <w:numPr>
          <w:ilvl w:val="1"/>
          <w:numId w:val="5"/>
        </w:numPr>
        <w:tabs>
          <w:tab w:val="left" w:pos="1080"/>
          <w:tab w:val="left" w:pos="1872"/>
        </w:tabs>
        <w:spacing w:line="360" w:lineRule="auto"/>
        <w:ind w:left="1077" w:hanging="720"/>
        <w:rPr>
          <w:color w:val="auto"/>
          <w:sz w:val="24"/>
          <w:highlight w:val="none"/>
        </w:rPr>
      </w:pPr>
      <w:r>
        <w:rPr>
          <w:color w:val="auto"/>
          <w:sz w:val="24"/>
          <w:highlight w:val="none"/>
        </w:rPr>
        <w:t>已提交响应文件的供应商，在提交最终报价之前，可以根据磋商情况退出磋商。</w:t>
      </w:r>
    </w:p>
    <w:p w14:paraId="2B540E82">
      <w:pPr>
        <w:numPr>
          <w:ilvl w:val="0"/>
          <w:numId w:val="5"/>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最终报价的算术修正及政策调整</w:t>
      </w:r>
    </w:p>
    <w:p w14:paraId="23472F3D">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58C13A26">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最终报价出现前后不一致的，按照下列规定修正：</w:t>
      </w:r>
    </w:p>
    <w:p w14:paraId="58472E84">
      <w:pPr>
        <w:numPr>
          <w:ilvl w:val="2"/>
          <w:numId w:val="5"/>
        </w:num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竞争性磋商文件对于报价修正是否另有规定：</w:t>
      </w:r>
    </w:p>
    <w:p w14:paraId="65CF1E7E">
      <w:pPr>
        <w:tabs>
          <w:tab w:val="left" w:pos="1080"/>
          <w:tab w:val="left" w:pos="1589"/>
          <w:tab w:val="left" w:pos="2035"/>
          <w:tab w:val="left" w:pos="2114"/>
        </w:tabs>
        <w:spacing w:line="360" w:lineRule="auto"/>
        <w:ind w:left="2035"/>
        <w:rPr>
          <w:rFonts w:hint="eastAsia"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6EEC10E">
      <w:p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■无，按下述3.2.2-3.2.5项规定修正。</w:t>
      </w:r>
    </w:p>
    <w:p w14:paraId="13A81BD4">
      <w:pPr>
        <w:numPr>
          <w:ilvl w:val="2"/>
          <w:numId w:val="5"/>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A504026">
      <w:pPr>
        <w:numPr>
          <w:ilvl w:val="2"/>
          <w:numId w:val="5"/>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单价金额小数点或者百分比有明显错位的，以最终报价一览表的总价为准，并修改单价；</w:t>
      </w:r>
    </w:p>
    <w:p w14:paraId="539E6E72">
      <w:pPr>
        <w:numPr>
          <w:ilvl w:val="2"/>
          <w:numId w:val="5"/>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3F103C12">
      <w:pPr>
        <w:numPr>
          <w:ilvl w:val="2"/>
          <w:numId w:val="5"/>
        </w:num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cs="宋体"/>
          <w:b/>
          <w:color w:val="auto"/>
          <w:sz w:val="24"/>
          <w:highlight w:val="none"/>
        </w:rPr>
        <w:t>其响应无效</w:t>
      </w:r>
      <w:r>
        <w:rPr>
          <w:rFonts w:hint="eastAsia" w:ascii="宋体" w:hAnsi="宋体" w:cs="宋体"/>
          <w:color w:val="auto"/>
          <w:sz w:val="24"/>
          <w:highlight w:val="none"/>
        </w:rPr>
        <w:t>。</w:t>
      </w:r>
    </w:p>
    <w:p w14:paraId="379EE45E">
      <w:pPr>
        <w:numPr>
          <w:ilvl w:val="1"/>
          <w:numId w:val="5"/>
        </w:numPr>
        <w:tabs>
          <w:tab w:val="left" w:pos="1080"/>
          <w:tab w:val="left" w:pos="1872"/>
        </w:tabs>
        <w:spacing w:line="360" w:lineRule="auto"/>
        <w:ind w:left="1077" w:hanging="720"/>
        <w:rPr>
          <w:color w:val="auto"/>
          <w:sz w:val="24"/>
          <w:highlight w:val="none"/>
        </w:rPr>
      </w:pPr>
      <w:r>
        <w:rPr>
          <w:rFonts w:hint="eastAsia" w:ascii="宋体" w:hAnsi="宋体" w:cs="宋体"/>
          <w:color w:val="auto"/>
          <w:sz w:val="24"/>
          <w:highlight w:val="none"/>
        </w:rPr>
        <w:t>落实政府采购政策的价格调整：</w:t>
      </w:r>
      <w:r>
        <w:rPr>
          <w:color w:val="auto"/>
          <w:sz w:val="24"/>
          <w:highlight w:val="none"/>
        </w:rPr>
        <w:t>只有符合第二章《供应商须知》4.2条规定情形的，可以享受中小企业扶持政策，用扣除后的价格参加评审；否则，评审时价格不予扣除。</w:t>
      </w:r>
    </w:p>
    <w:p w14:paraId="6C424157">
      <w:pPr>
        <w:numPr>
          <w:ilvl w:val="2"/>
          <w:numId w:val="5"/>
        </w:numPr>
        <w:spacing w:line="360" w:lineRule="auto"/>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报价给予</w:t>
      </w:r>
      <w:r>
        <w:rPr>
          <w:rFonts w:hint="eastAsia"/>
          <w:color w:val="auto"/>
          <w:sz w:val="24"/>
          <w:highlight w:val="none"/>
        </w:rPr>
        <w:t>20</w:t>
      </w:r>
      <w:r>
        <w:rPr>
          <w:color w:val="auto"/>
          <w:sz w:val="24"/>
          <w:highlight w:val="none"/>
        </w:rPr>
        <w:t>%的扣除，用扣除后的价格参加评审。</w:t>
      </w:r>
    </w:p>
    <w:p w14:paraId="45450D0C">
      <w:pPr>
        <w:numPr>
          <w:ilvl w:val="2"/>
          <w:numId w:val="5"/>
        </w:numPr>
        <w:spacing w:line="360" w:lineRule="auto"/>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 30%以上的联合体或者大中型企业的报价给予</w:t>
      </w:r>
      <w:r>
        <w:rPr>
          <w:rFonts w:hint="eastAsia"/>
          <w:color w:val="auto"/>
          <w:sz w:val="24"/>
          <w:highlight w:val="none"/>
        </w:rPr>
        <w:t>3</w:t>
      </w:r>
      <w:r>
        <w:rPr>
          <w:color w:val="auto"/>
          <w:sz w:val="24"/>
          <w:highlight w:val="none"/>
        </w:rPr>
        <w:t>%的扣除，用扣除后的价格参加评审。</w:t>
      </w:r>
    </w:p>
    <w:p w14:paraId="469ABB58">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6CC5EAD1">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价格扣除比例对小型企业和微型企业同等对待，不作区分。</w:t>
      </w:r>
    </w:p>
    <w:p w14:paraId="4069080B">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中小企业参加政府采购活动，应当按照竞争性磋商文件给定的格式出具《中小企业声明函》，否则不得享受相关中小企业扶持政策。</w:t>
      </w:r>
    </w:p>
    <w:p w14:paraId="5657A02D">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29CB4ABB">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残疾人福利性单位按竞争性磋商文件要求提供了《残疾人福利性单位声明函》（见附件）的，视同小微企业。</w:t>
      </w:r>
    </w:p>
    <w:p w14:paraId="2CD24D5A">
      <w:pPr>
        <w:numPr>
          <w:ilvl w:val="2"/>
          <w:numId w:val="5"/>
        </w:numPr>
        <w:tabs>
          <w:tab w:val="left" w:pos="1080"/>
          <w:tab w:val="left" w:pos="1589"/>
          <w:tab w:val="left" w:pos="2014"/>
        </w:tabs>
        <w:spacing w:line="360" w:lineRule="auto"/>
        <w:ind w:left="2035"/>
        <w:rPr>
          <w:rFonts w:hint="eastAsia" w:ascii="宋体" w:hAnsi="宋体" w:cs="宋体"/>
          <w:color w:val="auto"/>
          <w:sz w:val="24"/>
          <w:highlight w:val="none"/>
        </w:rPr>
      </w:pPr>
      <w:r>
        <w:rPr>
          <w:color w:val="auto"/>
          <w:sz w:val="24"/>
          <w:highlight w:val="none"/>
        </w:rPr>
        <w:t>若供应商同时属于小型或微型企业、监狱企业、残疾人福利性单位中的两种及以上，将不重复享受小微企业价格扣减的优惠政策。</w:t>
      </w:r>
    </w:p>
    <w:p w14:paraId="353222A0">
      <w:pPr>
        <w:numPr>
          <w:ilvl w:val="1"/>
          <w:numId w:val="5"/>
        </w:numPr>
        <w:tabs>
          <w:tab w:val="left" w:pos="1080"/>
        </w:tabs>
        <w:spacing w:line="360" w:lineRule="auto"/>
        <w:ind w:left="1077" w:hanging="720"/>
        <w:rPr>
          <w:rFonts w:hint="eastAsia" w:ascii="Times New Roman" w:hAnsi="Times New Roman" w:eastAsia="宋体" w:cs="Times New Roman"/>
          <w:b/>
          <w:bCs/>
          <w:color w:val="auto"/>
          <w:sz w:val="24"/>
          <w:highlight w:val="none"/>
          <w:lang w:val="en-US" w:eastAsia="zh-CN"/>
        </w:rPr>
      </w:pPr>
      <w:r>
        <w:rPr>
          <w:color w:val="auto"/>
          <w:sz w:val="24"/>
          <w:highlight w:val="none"/>
        </w:rPr>
        <w:t>其他为落实政府采购政策实施的优先采购：______。</w:t>
      </w:r>
    </w:p>
    <w:p w14:paraId="366C9471">
      <w:pPr>
        <w:numPr>
          <w:ilvl w:val="1"/>
          <w:numId w:val="5"/>
        </w:numPr>
        <w:tabs>
          <w:tab w:val="left" w:pos="1080"/>
        </w:tabs>
        <w:spacing w:line="360" w:lineRule="auto"/>
        <w:ind w:left="1077" w:hanging="720"/>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采购本国产品的支持政策</w:t>
      </w:r>
      <w:r>
        <w:rPr>
          <w:rFonts w:hint="eastAsia" w:ascii="Times New Roman" w:hAnsi="Times New Roman" w:eastAsia="宋体" w:cs="Times New Roman"/>
          <w:b w:val="0"/>
          <w:bCs w:val="0"/>
          <w:color w:val="auto"/>
          <w:sz w:val="24"/>
          <w:highlight w:val="none"/>
          <w:lang w:val="en-US" w:eastAsia="zh-CN"/>
        </w:rPr>
        <w:t>（本项目不适用）</w:t>
      </w:r>
    </w:p>
    <w:p w14:paraId="5A6B5AA2">
      <w:pPr>
        <w:numPr>
          <w:ilvl w:val="2"/>
          <w:numId w:val="5"/>
        </w:numPr>
        <w:tabs>
          <w:tab w:val="left" w:pos="1080"/>
          <w:tab w:val="left" w:pos="1589"/>
          <w:tab w:val="left" w:pos="2035"/>
          <w:tab w:val="left" w:pos="2114"/>
        </w:tabs>
        <w:spacing w:line="360" w:lineRule="auto"/>
        <w:ind w:left="2035"/>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本项目政府采购活动中既有本国产品又有非本国产品参与竞争的，依法对本国产品给予价格评审优惠，对本国产品的报价给予20%的价格扣除，用扣除后的价格参与评审。</w:t>
      </w:r>
    </w:p>
    <w:p w14:paraId="61959DAE">
      <w:pPr>
        <w:numPr>
          <w:ilvl w:val="2"/>
          <w:numId w:val="5"/>
        </w:numPr>
        <w:tabs>
          <w:tab w:val="left" w:pos="1080"/>
          <w:tab w:val="left" w:pos="1589"/>
          <w:tab w:val="left" w:pos="2035"/>
          <w:tab w:val="left" w:pos="2114"/>
        </w:tabs>
        <w:spacing w:line="360" w:lineRule="auto"/>
        <w:ind w:left="2035"/>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810ED80">
      <w:pPr>
        <w:numPr>
          <w:ilvl w:val="2"/>
          <w:numId w:val="5"/>
        </w:numPr>
        <w:tabs>
          <w:tab w:val="left" w:pos="1080"/>
          <w:tab w:val="left" w:pos="1589"/>
          <w:tab w:val="left" w:pos="2035"/>
          <w:tab w:val="left" w:pos="2114"/>
        </w:tabs>
        <w:spacing w:line="360" w:lineRule="auto"/>
        <w:ind w:left="2035"/>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投标人需按照招标文件的要求提供《关于符合本国产品标准的声明函》（以下简称《声明函》），如不提供将不享受本国产品价格评审优惠。</w:t>
      </w:r>
    </w:p>
    <w:p w14:paraId="3E38D1E1">
      <w:pPr>
        <w:numPr>
          <w:ilvl w:val="2"/>
          <w:numId w:val="5"/>
        </w:numPr>
        <w:tabs>
          <w:tab w:val="left" w:pos="1080"/>
          <w:tab w:val="left" w:pos="1589"/>
          <w:tab w:val="left" w:pos="2035"/>
          <w:tab w:val="left" w:pos="2114"/>
        </w:tabs>
        <w:spacing w:line="360" w:lineRule="auto"/>
        <w:ind w:left="2035"/>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投标人需在《声明函》中逐一、准确填写产品名称、厂名、生产厂址三项信息（《声明函》中用删除线划除的地方无需填写），三项信息中任意一项未填写的视为该项产品不符合本国产品标准，不享受本国产品价格评审优惠。</w:t>
      </w:r>
    </w:p>
    <w:p w14:paraId="512CD738">
      <w:pPr>
        <w:numPr>
          <w:ilvl w:val="2"/>
          <w:numId w:val="5"/>
        </w:numPr>
        <w:tabs>
          <w:tab w:val="left" w:pos="1080"/>
          <w:tab w:val="left" w:pos="1589"/>
          <w:tab w:val="left" w:pos="2035"/>
          <w:tab w:val="left" w:pos="2114"/>
        </w:tabs>
        <w:spacing w:line="360" w:lineRule="auto"/>
        <w:ind w:left="2035"/>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D86D536">
      <w:pPr>
        <w:numPr>
          <w:ilvl w:val="2"/>
          <w:numId w:val="5"/>
        </w:numPr>
        <w:tabs>
          <w:tab w:val="left" w:pos="1080"/>
          <w:tab w:val="left" w:pos="1589"/>
          <w:tab w:val="left" w:pos="2035"/>
          <w:tab w:val="left" w:pos="2114"/>
        </w:tabs>
        <w:spacing w:line="360" w:lineRule="auto"/>
        <w:ind w:left="2035"/>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1944CC">
      <w:pPr>
        <w:numPr>
          <w:ilvl w:val="2"/>
          <w:numId w:val="5"/>
        </w:num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Times New Roman" w:hAnsi="Times New Roman" w:eastAsia="宋体" w:cs="Times New Roman"/>
          <w:color w:val="auto"/>
          <w:sz w:val="24"/>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AA9F53">
      <w:pPr>
        <w:numPr>
          <w:ilvl w:val="0"/>
          <w:numId w:val="5"/>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磋商环节及提交最终报价后如出现以下情况的，供应商的</w:t>
      </w:r>
      <w:r>
        <w:rPr>
          <w:rFonts w:hint="eastAsia" w:ascii="宋体" w:hAnsi="宋体" w:cs="宋体"/>
          <w:b/>
          <w:color w:val="auto"/>
          <w:sz w:val="24"/>
          <w:highlight w:val="none"/>
        </w:rPr>
        <w:t>响应文件无效</w:t>
      </w:r>
      <w:r>
        <w:rPr>
          <w:rFonts w:hint="eastAsia" w:ascii="宋体" w:hAnsi="宋体" w:cs="宋体"/>
          <w:color w:val="auto"/>
          <w:sz w:val="24"/>
          <w:highlight w:val="none"/>
        </w:rPr>
        <w:t>：</w:t>
      </w:r>
    </w:p>
    <w:p w14:paraId="1793DF24">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供应商对实质性变动不予确认的；</w:t>
      </w:r>
    </w:p>
    <w:p w14:paraId="750B3293">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不满足磋商文件★号条款或磋商文件技术指标超出磋商文件《采购需求》中主要技术参数允许偏差的最大范围的（如有）；</w:t>
      </w:r>
    </w:p>
    <w:p w14:paraId="78C9D098">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未按照磋商小组规定的时间、逾期提交最终报价的；</w:t>
      </w:r>
    </w:p>
    <w:p w14:paraId="576A30F0">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如供应商的最终报价超过竞争性磋商文件中规定的项目/采购包预算金额或者项目/采购包最高限价的；</w:t>
      </w:r>
    </w:p>
    <w:p w14:paraId="57BAAE7C">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响应文件中出现可选择性或可调整的报价的（竞争性磋商文件另有规定的除外）；</w:t>
      </w:r>
    </w:p>
    <w:p w14:paraId="68492059">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最终报价出现前后不一致，供应商对修正后的报价不予确认的；</w:t>
      </w:r>
    </w:p>
    <w:p w14:paraId="61E3591B">
      <w:pPr>
        <w:numPr>
          <w:ilvl w:val="1"/>
          <w:numId w:val="5"/>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560"/>
      <w:bookmarkEnd w:id="561"/>
    </w:p>
    <w:p w14:paraId="693E3299">
      <w:pPr>
        <w:numPr>
          <w:ilvl w:val="0"/>
          <w:numId w:val="5"/>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评审方法和评审标准</w:t>
      </w:r>
    </w:p>
    <w:p w14:paraId="025AB826">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40E46F0">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竞争性磋商文件中没有规定的评审标准不得作为评审依据。</w:t>
      </w:r>
    </w:p>
    <w:p w14:paraId="6D2C0937">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6828CB3">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99613E8">
      <w:pPr>
        <w:numPr>
          <w:ilvl w:val="0"/>
          <w:numId w:val="5"/>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确定</w:t>
      </w:r>
      <w:bookmarkStart w:id="577" w:name="_Toc127151747"/>
      <w:bookmarkStart w:id="578" w:name="_Toc520356170"/>
      <w:bookmarkStart w:id="579" w:name="_Toc226965736"/>
      <w:bookmarkStart w:id="580" w:name="_Toc226337242"/>
      <w:bookmarkStart w:id="581" w:name="_Toc151193788"/>
      <w:bookmarkStart w:id="582" w:name="_Toc151193860"/>
      <w:bookmarkStart w:id="583" w:name="_Toc127161460"/>
      <w:bookmarkStart w:id="584" w:name="_Toc164351640"/>
      <w:bookmarkStart w:id="585" w:name="_Toc150509297"/>
      <w:bookmarkStart w:id="586" w:name="_Toc151193716"/>
      <w:bookmarkStart w:id="587" w:name="_Toc150774751"/>
      <w:bookmarkStart w:id="588" w:name="_Ref467307010"/>
      <w:bookmarkStart w:id="589" w:name="_Toc151193644"/>
      <w:bookmarkStart w:id="590" w:name="_Toc195842911"/>
      <w:bookmarkStart w:id="591" w:name="_Toc164229387"/>
      <w:bookmarkStart w:id="592" w:name="_Toc164229241"/>
      <w:bookmarkStart w:id="593" w:name="_Toc265228384"/>
      <w:bookmarkStart w:id="594" w:name="_Toc226309790"/>
      <w:bookmarkStart w:id="595" w:name="_Toc264969236"/>
      <w:bookmarkStart w:id="596" w:name="_Toc149720839"/>
      <w:bookmarkStart w:id="597" w:name="_Toc151190173"/>
      <w:bookmarkStart w:id="598" w:name="_Toc150480784"/>
      <w:bookmarkStart w:id="599" w:name="_Toc150774646"/>
      <w:bookmarkStart w:id="600" w:name="_Toc305158814"/>
      <w:bookmarkStart w:id="601" w:name="_Toc226965819"/>
      <w:bookmarkStart w:id="602" w:name="_Toc164608815"/>
      <w:bookmarkStart w:id="603" w:name="_Toc151193934"/>
      <w:bookmarkStart w:id="604" w:name="_Toc127151546"/>
      <w:bookmarkStart w:id="605" w:name="_Toc305158888"/>
      <w:bookmarkStart w:id="606" w:name="_Toc142311048"/>
      <w:bookmarkStart w:id="607" w:name="_Toc164608660"/>
      <w:r>
        <w:rPr>
          <w:rFonts w:hint="eastAsia" w:ascii="宋体" w:hAnsi="宋体" w:cs="宋体"/>
          <w:color w:val="auto"/>
          <w:sz w:val="24"/>
          <w:highlight w:val="none"/>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38BFF262">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2348E01">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szCs w:val="20"/>
          <w:highlight w:val="none"/>
        </w:rPr>
        <w:t>磋商小组根据上述供应商排序，依次推荐排序前</w:t>
      </w:r>
      <w:r>
        <w:rPr>
          <w:rFonts w:hint="eastAsia" w:ascii="宋体" w:hAnsi="宋体" w:cs="宋体"/>
          <w:color w:val="auto"/>
          <w:sz w:val="24"/>
          <w:highlight w:val="none"/>
        </w:rPr>
        <w:t>3名</w:t>
      </w:r>
      <w:r>
        <w:rPr>
          <w:rFonts w:hint="eastAsia" w:ascii="宋体" w:hAnsi="宋体" w:cs="宋体"/>
          <w:color w:val="auto"/>
          <w:sz w:val="24"/>
          <w:szCs w:val="20"/>
          <w:highlight w:val="none"/>
        </w:rPr>
        <w:t>的供应商为</w:t>
      </w:r>
      <w:r>
        <w:rPr>
          <w:rFonts w:hint="eastAsia" w:ascii="宋体" w:hAnsi="宋体" w:cs="宋体"/>
          <w:color w:val="auto"/>
          <w:sz w:val="24"/>
          <w:szCs w:val="21"/>
          <w:highlight w:val="none"/>
        </w:rPr>
        <w:t>成交候选供应商</w:t>
      </w:r>
      <w:r>
        <w:rPr>
          <w:rFonts w:hint="eastAsia" w:ascii="宋体" w:hAnsi="宋体" w:cs="宋体"/>
          <w:color w:val="auto"/>
          <w:sz w:val="24"/>
          <w:szCs w:val="20"/>
          <w:highlight w:val="none"/>
        </w:rPr>
        <w:t>（若在磋商文件允许的情形下提交最终报价的供应商为二家，则依次推荐二名供应商为成交候选供应商），并编写评审报告。</w:t>
      </w:r>
    </w:p>
    <w:p w14:paraId="55AD9D61">
      <w:pPr>
        <w:numPr>
          <w:ilvl w:val="1"/>
          <w:numId w:val="5"/>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磋商小组要对评分汇总情况进行复核，特别是对排名第一的、报价最低的、响应文件被认定为无效的情形进行重点复核。</w:t>
      </w:r>
    </w:p>
    <w:p w14:paraId="471B308F">
      <w:pPr>
        <w:numPr>
          <w:ilvl w:val="0"/>
          <w:numId w:val="5"/>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报告违法行为</w:t>
      </w:r>
    </w:p>
    <w:p w14:paraId="226940F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 xml:space="preserve">          磋商小组在评审过程中发现供应商有行贿、提供虚假材料或者串通等违法行为时，有向采购人、采购代理机构或者有关部门报告的职责。</w:t>
      </w:r>
    </w:p>
    <w:p w14:paraId="532A9D06">
      <w:pPr>
        <w:spacing w:line="360" w:lineRule="auto"/>
        <w:jc w:val="center"/>
        <w:rPr>
          <w:rFonts w:hint="eastAsia" w:ascii="宋体" w:hAnsi="宋体" w:cs="宋体"/>
          <w:bCs/>
          <w:color w:val="auto"/>
          <w:sz w:val="24"/>
          <w:highlight w:val="none"/>
        </w:rPr>
      </w:pPr>
      <w:r>
        <w:rPr>
          <w:rFonts w:hint="eastAsia" w:ascii="宋体" w:hAnsi="宋体" w:cs="宋体"/>
          <w:color w:val="auto"/>
          <w:sz w:val="24"/>
          <w:highlight w:val="none"/>
        </w:rPr>
        <w:br w:type="page" w:clear="all"/>
      </w:r>
      <w:r>
        <w:rPr>
          <w:rFonts w:hint="eastAsia" w:ascii="宋体" w:hAnsi="宋体"/>
          <w:b/>
          <w:bCs/>
          <w:color w:val="auto"/>
          <w:sz w:val="28"/>
          <w:szCs w:val="28"/>
          <w:highlight w:val="none"/>
        </w:rPr>
        <w:t>二、评审标准</w:t>
      </w:r>
    </w:p>
    <w:tbl>
      <w:tblPr>
        <w:tblStyle w:val="4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60"/>
        <w:gridCol w:w="795"/>
        <w:gridCol w:w="5036"/>
        <w:gridCol w:w="1900"/>
      </w:tblGrid>
      <w:tr w14:paraId="631B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 w:type="dxa"/>
            <w:noWrap w:val="0"/>
            <w:vAlign w:val="center"/>
          </w:tcPr>
          <w:p w14:paraId="6E20D6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60" w:type="dxa"/>
            <w:noWrap w:val="0"/>
            <w:vAlign w:val="center"/>
          </w:tcPr>
          <w:p w14:paraId="1DE009E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795" w:type="dxa"/>
            <w:noWrap w:val="0"/>
            <w:vAlign w:val="center"/>
          </w:tcPr>
          <w:p w14:paraId="3FDDFAD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5036" w:type="dxa"/>
            <w:noWrap w:val="0"/>
            <w:vAlign w:val="center"/>
          </w:tcPr>
          <w:p w14:paraId="688697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1900" w:type="dxa"/>
            <w:noWrap w:val="0"/>
            <w:vAlign w:val="center"/>
          </w:tcPr>
          <w:p w14:paraId="33C4DC8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说明</w:t>
            </w:r>
          </w:p>
        </w:tc>
      </w:tr>
      <w:tr w14:paraId="04191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846" w:type="dxa"/>
            <w:noWrap w:val="0"/>
            <w:vAlign w:val="center"/>
          </w:tcPr>
          <w:p w14:paraId="20DA46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p>
        </w:tc>
        <w:tc>
          <w:tcPr>
            <w:tcW w:w="1260" w:type="dxa"/>
            <w:noWrap w:val="0"/>
            <w:vAlign w:val="center"/>
          </w:tcPr>
          <w:p w14:paraId="3C697C5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tc>
        <w:tc>
          <w:tcPr>
            <w:tcW w:w="795" w:type="dxa"/>
            <w:noWrap w:val="0"/>
            <w:vAlign w:val="center"/>
          </w:tcPr>
          <w:p w14:paraId="53D9898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30</w:t>
            </w:r>
          </w:p>
        </w:tc>
        <w:tc>
          <w:tcPr>
            <w:tcW w:w="5036" w:type="dxa"/>
            <w:noWrap w:val="0"/>
            <w:vAlign w:val="center"/>
          </w:tcPr>
          <w:p w14:paraId="2065E30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满足磋商文件要求且磋商报价最低的磋商报价为磋商基准价，其价格为满分。其他供应商的价格分按照下列公式计算：磋商报价得分＝（磋商基准价/磋商报价）×分值</w:t>
            </w:r>
          </w:p>
        </w:tc>
        <w:tc>
          <w:tcPr>
            <w:tcW w:w="1900" w:type="dxa"/>
            <w:noWrap w:val="0"/>
            <w:vAlign w:val="center"/>
          </w:tcPr>
          <w:p w14:paraId="6968C9E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此处最终报价指经过报价修正，及因落实政府采购政策进行价格调整后的最终报价，详见第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章《评标方法和评标标准》3。</w:t>
            </w:r>
          </w:p>
        </w:tc>
      </w:tr>
      <w:tr w14:paraId="35A3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46" w:type="dxa"/>
            <w:noWrap w:val="0"/>
            <w:vAlign w:val="center"/>
          </w:tcPr>
          <w:p w14:paraId="02C5F7B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p>
        </w:tc>
        <w:tc>
          <w:tcPr>
            <w:tcW w:w="1260" w:type="dxa"/>
            <w:noWrap w:val="0"/>
            <w:vAlign w:val="center"/>
          </w:tcPr>
          <w:p w14:paraId="3B6D9CF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客观分</w:t>
            </w:r>
          </w:p>
        </w:tc>
        <w:tc>
          <w:tcPr>
            <w:tcW w:w="795" w:type="dxa"/>
            <w:noWrap w:val="0"/>
            <w:vAlign w:val="center"/>
          </w:tcPr>
          <w:p w14:paraId="759A66D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20</w:t>
            </w:r>
          </w:p>
        </w:tc>
        <w:tc>
          <w:tcPr>
            <w:tcW w:w="5036" w:type="dxa"/>
            <w:noWrap w:val="0"/>
            <w:vAlign w:val="center"/>
          </w:tcPr>
          <w:p w14:paraId="5B4DC89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900" w:type="dxa"/>
            <w:noWrap w:val="0"/>
            <w:vAlign w:val="center"/>
          </w:tcPr>
          <w:p w14:paraId="0F4F06A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5B79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noWrap w:val="0"/>
            <w:vAlign w:val="center"/>
          </w:tcPr>
          <w:p w14:paraId="5035DBA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w:t>
            </w:r>
          </w:p>
        </w:tc>
        <w:tc>
          <w:tcPr>
            <w:tcW w:w="1260" w:type="dxa"/>
            <w:noWrap w:val="0"/>
            <w:vAlign w:val="center"/>
          </w:tcPr>
          <w:p w14:paraId="4D330B81">
            <w:pPr>
              <w:keepNext w:val="0"/>
              <w:keepLines w:val="0"/>
              <w:pageBreakBefore w:val="0"/>
              <w:widowControl/>
              <w:tabs>
                <w:tab w:val="left" w:pos="1200"/>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企业业绩</w:t>
            </w:r>
          </w:p>
        </w:tc>
        <w:tc>
          <w:tcPr>
            <w:tcW w:w="795" w:type="dxa"/>
            <w:noWrap w:val="0"/>
            <w:vAlign w:val="center"/>
          </w:tcPr>
          <w:p w14:paraId="7678978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5036" w:type="dxa"/>
            <w:noWrap w:val="0"/>
            <w:vAlign w:val="center"/>
          </w:tcPr>
          <w:p w14:paraId="10043C07">
            <w:pPr>
              <w:keepNext w:val="0"/>
              <w:keepLines w:val="0"/>
              <w:pageBreakBefore w:val="0"/>
              <w:tabs>
                <w:tab w:val="left" w:pos="42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lang w:val="en-US" w:eastAsia="zh-CN"/>
              </w:rPr>
              <w:t>2023年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月1日</w:t>
            </w:r>
            <w:r>
              <w:rPr>
                <w:rFonts w:hint="eastAsia" w:ascii="宋体" w:hAnsi="宋体" w:eastAsia="宋体" w:cs="宋体"/>
                <w:color w:val="auto"/>
                <w:sz w:val="24"/>
                <w:szCs w:val="24"/>
                <w:highlight w:val="none"/>
                <w:lang w:val="en-US" w:eastAsia="zh-CN"/>
              </w:rPr>
              <w:t>以来承担过与本项目类似的工程业绩，每有一个得2分，本项最高</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14E5F3E">
            <w:pPr>
              <w:pStyle w:val="19"/>
              <w:keepNext w:val="0"/>
              <w:keepLines w:val="0"/>
              <w:pageBreakBefore w:val="0"/>
              <w:kinsoku/>
              <w:wordWrap/>
              <w:overflowPunct/>
              <w:topLinePunct w:val="0"/>
              <w:autoSpaceDE/>
              <w:autoSpaceDN/>
              <w:bidi w:val="0"/>
              <w:adjustRightInd/>
              <w:snapToGrid/>
              <w:spacing w:before="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color w:val="auto"/>
                <w:sz w:val="24"/>
                <w:szCs w:val="24"/>
                <w:highlight w:val="none"/>
              </w:rPr>
              <w:t>时间以合同签订时间为准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响应文件内提供合同扫描件</w:t>
            </w:r>
            <w:r>
              <w:rPr>
                <w:rFonts w:hint="eastAsia" w:ascii="宋体" w:hAnsi="宋体" w:eastAsia="宋体" w:cs="宋体"/>
                <w:b/>
                <w:color w:val="auto"/>
                <w:sz w:val="24"/>
                <w:szCs w:val="24"/>
                <w:highlight w:val="none"/>
                <w:lang w:val="zh-CN" w:eastAsia="zh-CN"/>
              </w:rPr>
              <w:t>并加盖供应商公章</w:t>
            </w:r>
            <w:r>
              <w:rPr>
                <w:rFonts w:hint="eastAsia" w:ascii="宋体" w:hAnsi="宋体" w:eastAsia="宋体" w:cs="宋体"/>
                <w:b/>
                <w:color w:val="auto"/>
                <w:sz w:val="24"/>
                <w:szCs w:val="24"/>
                <w:highlight w:val="none"/>
              </w:rPr>
              <w:t>。</w:t>
            </w:r>
          </w:p>
        </w:tc>
        <w:tc>
          <w:tcPr>
            <w:tcW w:w="1900" w:type="dxa"/>
            <w:noWrap w:val="0"/>
            <w:vAlign w:val="center"/>
          </w:tcPr>
          <w:p w14:paraId="1BB387D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67E5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jc w:val="center"/>
        </w:trPr>
        <w:tc>
          <w:tcPr>
            <w:tcW w:w="846" w:type="dxa"/>
            <w:noWrap w:val="0"/>
            <w:vAlign w:val="center"/>
          </w:tcPr>
          <w:p w14:paraId="30A48FF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w:t>
            </w:r>
          </w:p>
        </w:tc>
        <w:tc>
          <w:tcPr>
            <w:tcW w:w="1260" w:type="dxa"/>
            <w:noWrap w:val="0"/>
            <w:vAlign w:val="center"/>
          </w:tcPr>
          <w:p w14:paraId="16BD98F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rPr>
              <w:t>企业实力</w:t>
            </w:r>
          </w:p>
        </w:tc>
        <w:tc>
          <w:tcPr>
            <w:tcW w:w="795" w:type="dxa"/>
            <w:noWrap w:val="0"/>
            <w:vAlign w:val="center"/>
          </w:tcPr>
          <w:p w14:paraId="7D0A712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5036" w:type="dxa"/>
            <w:noWrap w:val="0"/>
            <w:vAlign w:val="center"/>
          </w:tcPr>
          <w:p w14:paraId="660AC89D">
            <w:pPr>
              <w:keepNext w:val="0"/>
              <w:keepLines w:val="0"/>
              <w:pageBreakBefore w:val="0"/>
              <w:tabs>
                <w:tab w:val="left" w:pos="42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供应商具有有效的质量管理体系认证证书、环境管理体系认证证书、职业健康安全管理体系认证证书的，</w:t>
            </w:r>
            <w:r>
              <w:rPr>
                <w:rFonts w:hint="eastAsia" w:ascii="宋体" w:hAnsi="宋体" w:eastAsia="宋体" w:cs="宋体"/>
                <w:color w:val="auto"/>
                <w:sz w:val="24"/>
                <w:szCs w:val="24"/>
                <w:highlight w:val="none"/>
                <w:lang w:val="en-US" w:eastAsia="zh-CN"/>
              </w:rPr>
              <w:t>有1个得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本项</w:t>
            </w:r>
            <w:r>
              <w:rPr>
                <w:rFonts w:hint="eastAsia" w:ascii="宋体" w:hAnsi="宋体" w:eastAsia="宋体" w:cs="宋体"/>
                <w:color w:val="auto"/>
                <w:sz w:val="24"/>
                <w:szCs w:val="24"/>
                <w:highlight w:val="none"/>
                <w:lang w:val="en-US" w:eastAsia="zh-CN"/>
              </w:rPr>
              <w:t>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214C4C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响应文件内提供证书</w:t>
            </w:r>
            <w:r>
              <w:rPr>
                <w:rFonts w:hint="eastAsia" w:ascii="宋体" w:hAnsi="宋体" w:cs="宋体"/>
                <w:b/>
                <w:bCs/>
                <w:color w:val="auto"/>
                <w:sz w:val="24"/>
                <w:szCs w:val="24"/>
                <w:highlight w:val="none"/>
                <w:lang w:val="en-US" w:eastAsia="zh-CN"/>
              </w:rPr>
              <w:t>复印件</w:t>
            </w:r>
            <w:r>
              <w:rPr>
                <w:rFonts w:hint="eastAsia" w:ascii="宋体" w:hAnsi="宋体" w:eastAsia="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u w:val="none"/>
                <w:lang w:val="en-US" w:eastAsia="zh-CN" w:bidi="ar-SA"/>
              </w:rPr>
              <w:t>全国认证认可信息公共服务平台查询状态需为“有效”网页截图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zh-CN" w:eastAsia="zh-CN"/>
              </w:rPr>
              <w:t>并加盖供应商公章</w:t>
            </w:r>
            <w:r>
              <w:rPr>
                <w:rFonts w:hint="eastAsia" w:ascii="宋体" w:hAnsi="宋体" w:eastAsia="宋体" w:cs="宋体"/>
                <w:b/>
                <w:bCs/>
                <w:color w:val="auto"/>
                <w:sz w:val="24"/>
                <w:szCs w:val="24"/>
                <w:highlight w:val="none"/>
              </w:rPr>
              <w:t>。</w:t>
            </w:r>
          </w:p>
          <w:p w14:paraId="553BB72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none"/>
                <w:lang w:val="en-US" w:eastAsia="zh-CN" w:bidi="ar-SA"/>
              </w:rPr>
              <w:t>未提供或查询状态无效不得分。</w:t>
            </w:r>
          </w:p>
        </w:tc>
        <w:tc>
          <w:tcPr>
            <w:tcW w:w="1900" w:type="dxa"/>
            <w:noWrap w:val="0"/>
            <w:vAlign w:val="center"/>
          </w:tcPr>
          <w:p w14:paraId="7A2042D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6697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noWrap w:val="0"/>
            <w:vAlign w:val="center"/>
          </w:tcPr>
          <w:p w14:paraId="5384B60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w:t>
            </w:r>
          </w:p>
        </w:tc>
        <w:tc>
          <w:tcPr>
            <w:tcW w:w="1260" w:type="dxa"/>
            <w:noWrap w:val="0"/>
            <w:vAlign w:val="center"/>
          </w:tcPr>
          <w:p w14:paraId="4CE7E0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rPr>
              <w:t>项目负责人</w:t>
            </w:r>
          </w:p>
        </w:tc>
        <w:tc>
          <w:tcPr>
            <w:tcW w:w="795" w:type="dxa"/>
            <w:noWrap w:val="0"/>
            <w:vAlign w:val="center"/>
          </w:tcPr>
          <w:p w14:paraId="57EAA0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p>
        </w:tc>
        <w:tc>
          <w:tcPr>
            <w:tcW w:w="5036" w:type="dxa"/>
            <w:noWrap w:val="0"/>
            <w:vAlign w:val="center"/>
          </w:tcPr>
          <w:p w14:paraId="3F90A5B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项目负责人具有建设工程类中级职称的得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分，具有建设工程类高级职称的得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zh-CN" w:eastAsia="zh-CN"/>
              </w:rPr>
              <w:t>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zh-CN" w:eastAsia="zh-CN"/>
              </w:rPr>
              <w:t>；</w:t>
            </w:r>
          </w:p>
          <w:p w14:paraId="1EAE1CD3">
            <w:pPr>
              <w:pStyle w:val="19"/>
              <w:keepNext w:val="0"/>
              <w:keepLines w:val="0"/>
              <w:pageBreakBefore w:val="0"/>
              <w:kinsoku/>
              <w:wordWrap/>
              <w:overflowPunct/>
              <w:topLinePunct w:val="0"/>
              <w:autoSpaceDE/>
              <w:autoSpaceDN/>
              <w:bidi w:val="0"/>
              <w:adjustRightInd/>
              <w:snapToGrid/>
              <w:spacing w:before="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ru-RU"/>
              </w:rPr>
              <w:t>响应文件内需提供</w:t>
            </w:r>
            <w:r>
              <w:rPr>
                <w:rFonts w:hint="eastAsia" w:ascii="宋体" w:hAnsi="宋体" w:eastAsia="宋体" w:cs="宋体"/>
                <w:b/>
                <w:bCs/>
                <w:color w:val="auto"/>
                <w:sz w:val="24"/>
                <w:szCs w:val="24"/>
                <w:highlight w:val="none"/>
              </w:rPr>
              <w:t>人员证书</w:t>
            </w:r>
            <w:r>
              <w:rPr>
                <w:rFonts w:hint="eastAsia" w:ascii="宋体" w:hAnsi="宋体" w:cs="宋体"/>
                <w:b/>
                <w:bCs/>
                <w:color w:val="auto"/>
                <w:sz w:val="24"/>
                <w:szCs w:val="24"/>
                <w:highlight w:val="none"/>
                <w:lang w:val="en-US" w:eastAsia="zh-CN"/>
              </w:rPr>
              <w:t>复印件</w:t>
            </w:r>
            <w:r>
              <w:rPr>
                <w:rFonts w:hint="eastAsia" w:ascii="宋体" w:hAnsi="宋体" w:eastAsia="宋体" w:cs="宋体"/>
                <w:b/>
                <w:bCs/>
                <w:color w:val="auto"/>
                <w:sz w:val="24"/>
                <w:szCs w:val="24"/>
                <w:highlight w:val="none"/>
                <w:lang w:val="en-US" w:eastAsia="zh-CN"/>
              </w:rPr>
              <w:t>及供应商</w:t>
            </w:r>
            <w:r>
              <w:rPr>
                <w:rFonts w:hint="eastAsia" w:ascii="宋体" w:hAnsi="宋体" w:eastAsia="宋体" w:cs="宋体"/>
                <w:b/>
                <w:bCs/>
                <w:color w:val="auto"/>
                <w:sz w:val="24"/>
                <w:szCs w:val="24"/>
                <w:highlight w:val="none"/>
              </w:rPr>
              <w:t>为本项目人员缴纳的近三个月内任意一个月（自开标之日起往前推算）社保证明材料并加盖</w:t>
            </w:r>
            <w:r>
              <w:rPr>
                <w:rFonts w:hint="eastAsia" w:ascii="宋体" w:hAnsi="宋体" w:eastAsia="宋体" w:cs="宋体"/>
                <w:b/>
                <w:bCs/>
                <w:color w:val="auto"/>
                <w:sz w:val="24"/>
                <w:szCs w:val="24"/>
                <w:highlight w:val="none"/>
                <w:lang w:val="zh-CN" w:eastAsia="zh-CN"/>
              </w:rPr>
              <w:t>供应商</w:t>
            </w:r>
            <w:r>
              <w:rPr>
                <w:rFonts w:hint="eastAsia" w:ascii="宋体" w:hAnsi="宋体" w:eastAsia="宋体" w:cs="宋体"/>
                <w:b/>
                <w:bCs/>
                <w:color w:val="auto"/>
                <w:sz w:val="24"/>
                <w:szCs w:val="24"/>
                <w:highlight w:val="none"/>
              </w:rPr>
              <w:t>公章。未提供或提供不全均不得分。</w:t>
            </w:r>
          </w:p>
        </w:tc>
        <w:tc>
          <w:tcPr>
            <w:tcW w:w="1900" w:type="dxa"/>
            <w:noWrap w:val="0"/>
            <w:vAlign w:val="center"/>
          </w:tcPr>
          <w:p w14:paraId="71B31A5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32B4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8" w:hRule="atLeast"/>
          <w:jc w:val="center"/>
        </w:trPr>
        <w:tc>
          <w:tcPr>
            <w:tcW w:w="846" w:type="dxa"/>
            <w:noWrap w:val="0"/>
            <w:vAlign w:val="center"/>
          </w:tcPr>
          <w:p w14:paraId="40CA1B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w:t>
            </w:r>
          </w:p>
        </w:tc>
        <w:tc>
          <w:tcPr>
            <w:tcW w:w="1260" w:type="dxa"/>
            <w:shd w:val="clear" w:color="auto" w:fill="auto"/>
            <w:noWrap w:val="0"/>
            <w:vAlign w:val="center"/>
          </w:tcPr>
          <w:p w14:paraId="614F63C0">
            <w:pPr>
              <w:keepNext w:val="0"/>
              <w:keepLines w:val="0"/>
              <w:pageBreakBefore w:val="0"/>
              <w:tabs>
                <w:tab w:val="left" w:pos="426"/>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拟投入项目人员</w:t>
            </w:r>
          </w:p>
        </w:tc>
        <w:tc>
          <w:tcPr>
            <w:tcW w:w="795" w:type="dxa"/>
            <w:shd w:val="clear" w:color="auto" w:fill="auto"/>
            <w:noWrap w:val="0"/>
            <w:vAlign w:val="center"/>
          </w:tcPr>
          <w:p w14:paraId="2779F9B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5036" w:type="dxa"/>
            <w:shd w:val="clear" w:color="auto" w:fill="auto"/>
            <w:noWrap w:val="0"/>
            <w:vAlign w:val="center"/>
          </w:tcPr>
          <w:p w14:paraId="233404A6">
            <w:pPr>
              <w:keepNext w:val="0"/>
              <w:keepLines w:val="0"/>
              <w:pageBreakBefore w:val="0"/>
              <w:tabs>
                <w:tab w:val="left" w:pos="426"/>
              </w:tabs>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拟投入本项目人员（不含项目负责人）</w:t>
            </w:r>
            <w:r>
              <w:rPr>
                <w:rFonts w:hint="eastAsia" w:ascii="宋体" w:hAnsi="宋体" w:eastAsia="宋体" w:cs="宋体"/>
                <w:b w:val="0"/>
                <w:bCs w:val="0"/>
                <w:color w:val="auto"/>
                <w:sz w:val="24"/>
                <w:szCs w:val="24"/>
                <w:highlight w:val="none"/>
                <w:lang w:bidi="ar"/>
              </w:rPr>
              <w:t>具有</w:t>
            </w:r>
            <w:r>
              <w:rPr>
                <w:rFonts w:hint="eastAsia" w:ascii="宋体" w:hAnsi="宋体" w:cs="宋体"/>
                <w:b w:val="0"/>
                <w:bCs w:val="0"/>
                <w:color w:val="auto"/>
                <w:sz w:val="24"/>
                <w:szCs w:val="24"/>
                <w:highlight w:val="none"/>
                <w:lang w:val="en-US" w:eastAsia="zh-CN" w:bidi="ar"/>
              </w:rPr>
              <w:t>市政公用</w:t>
            </w:r>
            <w:r>
              <w:rPr>
                <w:rFonts w:hint="eastAsia" w:ascii="宋体" w:hAnsi="宋体" w:eastAsia="宋体" w:cs="宋体"/>
                <w:b w:val="0"/>
                <w:bCs w:val="0"/>
                <w:color w:val="auto"/>
                <w:sz w:val="24"/>
                <w:szCs w:val="24"/>
                <w:highlight w:val="none"/>
                <w:lang w:bidi="ar"/>
              </w:rPr>
              <w:t>工程专业</w:t>
            </w:r>
            <w:r>
              <w:rPr>
                <w:rFonts w:hint="eastAsia" w:ascii="宋体" w:hAnsi="宋体" w:eastAsia="宋体" w:cs="宋体"/>
                <w:b w:val="0"/>
                <w:bCs w:val="0"/>
                <w:color w:val="auto"/>
                <w:sz w:val="24"/>
                <w:szCs w:val="24"/>
                <w:highlight w:val="none"/>
                <w:lang w:val="en-US" w:eastAsia="zh-CN" w:bidi="ar"/>
              </w:rPr>
              <w:t>二</w:t>
            </w:r>
            <w:r>
              <w:rPr>
                <w:rFonts w:hint="eastAsia" w:ascii="宋体" w:hAnsi="宋体" w:eastAsia="宋体" w:cs="宋体"/>
                <w:b w:val="0"/>
                <w:bCs w:val="0"/>
                <w:color w:val="auto"/>
                <w:sz w:val="24"/>
                <w:szCs w:val="24"/>
                <w:highlight w:val="none"/>
                <w:lang w:bidi="ar"/>
              </w:rPr>
              <w:t>级注册建造师执业资格证书且证书在有效期内的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42BBD055">
            <w:pPr>
              <w:keepNext w:val="0"/>
              <w:keepLines w:val="0"/>
              <w:pageBreakBefore w:val="0"/>
              <w:tabs>
                <w:tab w:val="left" w:pos="42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4E8BDFD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2.拟投入本项目人员（不含项目负责人）：（1）具有安全员岗位证书的，得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7FB7096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（2）具有建设工程相关专业中级及以上工程师专业技术职称证书的，得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7010DB7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393F6374">
            <w:pPr>
              <w:keepNext w:val="0"/>
              <w:keepLines w:val="0"/>
              <w:pageBreakBefore w:val="0"/>
              <w:tabs>
                <w:tab w:val="left" w:pos="42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注：1、2为同一人员的不重复得分。</w:t>
            </w:r>
            <w:r>
              <w:rPr>
                <w:rFonts w:hint="eastAsia" w:ascii="宋体" w:hAnsi="宋体" w:eastAsia="宋体" w:cs="宋体"/>
                <w:b/>
                <w:bCs/>
                <w:color w:val="auto"/>
                <w:sz w:val="24"/>
                <w:szCs w:val="24"/>
                <w:highlight w:val="none"/>
                <w:lang w:val="ru-RU" w:eastAsia="zh-CN"/>
              </w:rPr>
              <w:t>响应文件内需提供</w:t>
            </w:r>
            <w:r>
              <w:rPr>
                <w:rFonts w:hint="eastAsia" w:ascii="宋体" w:hAnsi="宋体" w:eastAsia="宋体" w:cs="宋体"/>
                <w:b/>
                <w:bCs/>
                <w:color w:val="auto"/>
                <w:sz w:val="24"/>
                <w:szCs w:val="24"/>
                <w:highlight w:val="none"/>
                <w:lang w:val="en-US" w:eastAsia="zh-CN"/>
              </w:rPr>
              <w:t>人员证书</w:t>
            </w:r>
            <w:r>
              <w:rPr>
                <w:rFonts w:hint="eastAsia" w:ascii="宋体" w:hAnsi="宋体" w:cs="宋体"/>
                <w:b/>
                <w:bCs/>
                <w:color w:val="auto"/>
                <w:sz w:val="24"/>
                <w:szCs w:val="24"/>
                <w:highlight w:val="none"/>
                <w:lang w:val="en-US" w:eastAsia="zh-CN"/>
              </w:rPr>
              <w:t>复印件</w:t>
            </w:r>
            <w:r>
              <w:rPr>
                <w:rFonts w:hint="eastAsia" w:ascii="宋体" w:hAnsi="宋体" w:eastAsia="宋体" w:cs="宋体"/>
                <w:b/>
                <w:bCs/>
                <w:color w:val="auto"/>
                <w:sz w:val="24"/>
                <w:szCs w:val="24"/>
                <w:highlight w:val="none"/>
                <w:lang w:val="en-US" w:eastAsia="zh-CN"/>
              </w:rPr>
              <w:t>及供应商为本项目人员缴纳的近三个月内任意一个月（自开标之日起往前推算）社保证明材料并加盖</w:t>
            </w:r>
            <w:r>
              <w:rPr>
                <w:rFonts w:hint="eastAsia" w:ascii="宋体" w:hAnsi="宋体" w:eastAsia="宋体" w:cs="宋体"/>
                <w:b/>
                <w:bCs/>
                <w:color w:val="auto"/>
                <w:sz w:val="24"/>
                <w:szCs w:val="24"/>
                <w:highlight w:val="none"/>
                <w:lang w:val="zh-CN" w:eastAsia="zh-CN"/>
              </w:rPr>
              <w:t>供应商</w:t>
            </w:r>
            <w:r>
              <w:rPr>
                <w:rFonts w:hint="eastAsia" w:ascii="宋体" w:hAnsi="宋体" w:eastAsia="宋体" w:cs="宋体"/>
                <w:b/>
                <w:bCs/>
                <w:color w:val="auto"/>
                <w:sz w:val="24"/>
                <w:szCs w:val="24"/>
                <w:highlight w:val="none"/>
                <w:lang w:val="en-US" w:eastAsia="zh-CN"/>
              </w:rPr>
              <w:t>公章。未提供或提供不全均不得分。</w:t>
            </w:r>
          </w:p>
        </w:tc>
        <w:tc>
          <w:tcPr>
            <w:tcW w:w="1900" w:type="dxa"/>
            <w:noWrap w:val="0"/>
            <w:vAlign w:val="center"/>
          </w:tcPr>
          <w:p w14:paraId="00515AA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623D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46" w:type="dxa"/>
            <w:shd w:val="clear" w:color="auto" w:fill="auto"/>
            <w:noWrap w:val="0"/>
            <w:vAlign w:val="center"/>
          </w:tcPr>
          <w:p w14:paraId="45A184D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3</w:t>
            </w:r>
          </w:p>
        </w:tc>
        <w:tc>
          <w:tcPr>
            <w:tcW w:w="1260" w:type="dxa"/>
            <w:shd w:val="clear" w:color="auto" w:fill="auto"/>
            <w:noWrap w:val="0"/>
            <w:vAlign w:val="center"/>
          </w:tcPr>
          <w:p w14:paraId="2E6DED1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主</w:t>
            </w:r>
            <w:r>
              <w:rPr>
                <w:rFonts w:hint="eastAsia" w:ascii="宋体" w:hAnsi="宋体" w:eastAsia="宋体" w:cs="宋体"/>
                <w:b/>
                <w:bCs/>
                <w:color w:val="auto"/>
                <w:sz w:val="24"/>
                <w:szCs w:val="24"/>
                <w:highlight w:val="none"/>
              </w:rPr>
              <w:t>观分</w:t>
            </w:r>
          </w:p>
        </w:tc>
        <w:tc>
          <w:tcPr>
            <w:tcW w:w="795" w:type="dxa"/>
            <w:shd w:val="clear" w:color="auto" w:fill="auto"/>
            <w:noWrap w:val="0"/>
            <w:vAlign w:val="center"/>
          </w:tcPr>
          <w:p w14:paraId="245C2A5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50</w:t>
            </w:r>
          </w:p>
        </w:tc>
        <w:tc>
          <w:tcPr>
            <w:tcW w:w="5036" w:type="dxa"/>
            <w:noWrap w:val="0"/>
            <w:vAlign w:val="center"/>
          </w:tcPr>
          <w:p w14:paraId="009725D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p>
        </w:tc>
        <w:tc>
          <w:tcPr>
            <w:tcW w:w="1900" w:type="dxa"/>
            <w:noWrap w:val="0"/>
            <w:vAlign w:val="center"/>
          </w:tcPr>
          <w:p w14:paraId="16A72E1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089F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46" w:type="dxa"/>
            <w:shd w:val="clear" w:color="auto" w:fill="auto"/>
            <w:noWrap w:val="0"/>
            <w:vAlign w:val="center"/>
          </w:tcPr>
          <w:p w14:paraId="71DCBF6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w:t>
            </w:r>
          </w:p>
        </w:tc>
        <w:tc>
          <w:tcPr>
            <w:tcW w:w="1260" w:type="dxa"/>
            <w:shd w:val="clear" w:color="auto" w:fill="auto"/>
            <w:noWrap w:val="0"/>
            <w:vAlign w:val="center"/>
          </w:tcPr>
          <w:p w14:paraId="46B857D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bCs/>
                <w:color w:val="auto"/>
                <w:sz w:val="24"/>
                <w:szCs w:val="24"/>
                <w:highlight w:val="none"/>
              </w:rPr>
              <w:t>总体概述</w:t>
            </w:r>
          </w:p>
        </w:tc>
        <w:tc>
          <w:tcPr>
            <w:tcW w:w="795" w:type="dxa"/>
            <w:shd w:val="clear" w:color="auto" w:fill="auto"/>
            <w:noWrap w:val="0"/>
            <w:vAlign w:val="center"/>
          </w:tcPr>
          <w:p w14:paraId="3AF50D6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5036" w:type="dxa"/>
            <w:shd w:val="clear" w:color="auto" w:fill="auto"/>
            <w:noWrap w:val="0"/>
            <w:vAlign w:val="center"/>
          </w:tcPr>
          <w:p w14:paraId="65BF84B0">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包括但不限于工程概况、施工组织总体设想、方案的针对性及施工段的划分</w:t>
            </w:r>
            <w:r>
              <w:rPr>
                <w:rFonts w:hint="eastAsia" w:ascii="宋体" w:hAnsi="宋体" w:eastAsia="宋体" w:cs="宋体"/>
                <w:color w:val="auto"/>
                <w:sz w:val="24"/>
                <w:szCs w:val="24"/>
                <w:highlight w:val="none"/>
                <w:lang w:eastAsia="zh-CN"/>
              </w:rPr>
              <w:t>。</w:t>
            </w:r>
          </w:p>
          <w:p w14:paraId="44B04A7E">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总体内容完整、合理可行，</w:t>
            </w:r>
            <w:r>
              <w:rPr>
                <w:rFonts w:hint="eastAsia" w:ascii="宋体" w:hAnsi="宋体" w:eastAsia="宋体" w:cs="宋体"/>
                <w:color w:val="auto"/>
                <w:sz w:val="24"/>
                <w:szCs w:val="24"/>
                <w:highlight w:val="none"/>
                <w:lang w:val="en-US" w:eastAsia="zh-CN"/>
              </w:rPr>
              <w:t>能够</w:t>
            </w:r>
            <w:r>
              <w:rPr>
                <w:rFonts w:hint="eastAsia" w:ascii="宋体" w:hAnsi="宋体" w:eastAsia="宋体" w:cs="宋体"/>
                <w:color w:val="auto"/>
                <w:sz w:val="24"/>
                <w:szCs w:val="24"/>
                <w:highlight w:val="none"/>
              </w:rPr>
              <w:t>完全满足项目实施要求的得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01946EE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总体内容比较完整、可行，基本满足项目实施要求的得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1AF38EE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总体内容简单、具有一定可行性的，得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分；总体内容一般，可行性一般的得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3F82C4B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未提供不得分。</w:t>
            </w:r>
          </w:p>
        </w:tc>
        <w:tc>
          <w:tcPr>
            <w:tcW w:w="1900" w:type="dxa"/>
            <w:shd w:val="clear" w:color="auto" w:fill="auto"/>
            <w:noWrap w:val="0"/>
            <w:vAlign w:val="center"/>
          </w:tcPr>
          <w:p w14:paraId="52A52EA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p w14:paraId="51329B4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765C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46" w:type="dxa"/>
            <w:shd w:val="clear" w:color="auto" w:fill="auto"/>
            <w:noWrap w:val="0"/>
            <w:vAlign w:val="center"/>
          </w:tcPr>
          <w:p w14:paraId="15DA6E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2</w:t>
            </w:r>
          </w:p>
        </w:tc>
        <w:tc>
          <w:tcPr>
            <w:tcW w:w="1260" w:type="dxa"/>
            <w:shd w:val="clear" w:color="auto" w:fill="auto"/>
            <w:noWrap w:val="0"/>
            <w:vAlign w:val="center"/>
          </w:tcPr>
          <w:p w14:paraId="2E834B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rPr>
              <w:t>扬尘、渣土处置专项方案</w:t>
            </w:r>
          </w:p>
        </w:tc>
        <w:tc>
          <w:tcPr>
            <w:tcW w:w="795" w:type="dxa"/>
            <w:shd w:val="clear" w:color="auto" w:fill="auto"/>
            <w:noWrap w:val="0"/>
            <w:vAlign w:val="center"/>
          </w:tcPr>
          <w:p w14:paraId="7D6475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5</w:t>
            </w:r>
          </w:p>
        </w:tc>
        <w:tc>
          <w:tcPr>
            <w:tcW w:w="5036" w:type="dxa"/>
            <w:shd w:val="clear" w:color="auto" w:fill="auto"/>
            <w:noWrap w:val="0"/>
            <w:vAlign w:val="center"/>
          </w:tcPr>
          <w:p w14:paraId="3DEC9B0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color w:val="auto"/>
                <w:sz w:val="24"/>
                <w:szCs w:val="24"/>
                <w:highlight w:val="none"/>
                <w:lang w:eastAsia="zh-CN"/>
              </w:rPr>
            </w:pPr>
            <w:r>
              <w:rPr>
                <w:rFonts w:ascii="宋体" w:hAnsi="宋体" w:eastAsia="宋体" w:cs="宋体"/>
                <w:color w:val="auto"/>
                <w:sz w:val="24"/>
                <w:szCs w:val="24"/>
                <w:highlight w:val="none"/>
              </w:rPr>
              <w:t>针对本土方回填工程特点编制渣土运输处置、施工现场扬尘管控专项方案</w:t>
            </w:r>
            <w:r>
              <w:rPr>
                <w:rFonts w:hint="eastAsia" w:ascii="宋体" w:hAnsi="宋体" w:cs="宋体"/>
                <w:color w:val="auto"/>
                <w:sz w:val="24"/>
                <w:szCs w:val="24"/>
                <w:highlight w:val="none"/>
                <w:lang w:eastAsia="zh-CN"/>
              </w:rPr>
              <w:t>；</w:t>
            </w:r>
          </w:p>
          <w:p w14:paraId="10497AB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方案完整、措施针对性强，渣土处置、抑尘降尘、排水防冲刷措施齐全可行得5分；</w:t>
            </w:r>
          </w:p>
          <w:p w14:paraId="64FA0E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方案较完整，主要措施基本到位得3分；</w:t>
            </w:r>
          </w:p>
          <w:p w14:paraId="2467C62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方案内容简单，仅有一般性描述得1分；</w:t>
            </w:r>
          </w:p>
          <w:p w14:paraId="041FF00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bidi="ar-SA"/>
              </w:rPr>
            </w:pPr>
            <w:r>
              <w:rPr>
                <w:rFonts w:ascii="宋体" w:hAnsi="宋体" w:eastAsia="宋体" w:cs="宋体"/>
                <w:color w:val="auto"/>
                <w:sz w:val="24"/>
                <w:szCs w:val="24"/>
                <w:highlight w:val="none"/>
              </w:rPr>
              <w:t>未提供不得分。</w:t>
            </w:r>
          </w:p>
        </w:tc>
        <w:tc>
          <w:tcPr>
            <w:tcW w:w="1900" w:type="dxa"/>
            <w:shd w:val="clear" w:color="auto" w:fill="auto"/>
            <w:noWrap w:val="0"/>
            <w:vAlign w:val="center"/>
          </w:tcPr>
          <w:p w14:paraId="0C16789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30DF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9" w:hRule="atLeast"/>
          <w:jc w:val="center"/>
        </w:trPr>
        <w:tc>
          <w:tcPr>
            <w:tcW w:w="846" w:type="dxa"/>
            <w:shd w:val="clear" w:color="auto" w:fill="auto"/>
            <w:noWrap w:val="0"/>
            <w:vAlign w:val="center"/>
          </w:tcPr>
          <w:p w14:paraId="7C8F43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3</w:t>
            </w:r>
          </w:p>
        </w:tc>
        <w:tc>
          <w:tcPr>
            <w:tcW w:w="1260" w:type="dxa"/>
            <w:shd w:val="clear" w:color="auto" w:fill="auto"/>
            <w:noWrap w:val="0"/>
            <w:vAlign w:val="center"/>
          </w:tcPr>
          <w:p w14:paraId="019186E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bidi="ar-SA"/>
              </w:rPr>
            </w:pPr>
            <w:r>
              <w:rPr>
                <w:color w:val="auto"/>
                <w:highlight w:val="none"/>
              </w:rPr>
              <w:t>施工进度计划安排</w:t>
            </w:r>
          </w:p>
        </w:tc>
        <w:tc>
          <w:tcPr>
            <w:tcW w:w="795" w:type="dxa"/>
            <w:shd w:val="clear" w:color="auto" w:fill="auto"/>
            <w:noWrap w:val="0"/>
            <w:vAlign w:val="center"/>
          </w:tcPr>
          <w:p w14:paraId="5BBD697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5036" w:type="dxa"/>
            <w:shd w:val="clear" w:color="auto" w:fill="auto"/>
            <w:noWrap w:val="0"/>
            <w:vAlign w:val="center"/>
          </w:tcPr>
          <w:p w14:paraId="03B48BD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本项目工期为30日历天，项目时间紧</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请结合</w:t>
            </w:r>
            <w:r>
              <w:rPr>
                <w:rFonts w:hint="default" w:ascii="宋体" w:hAnsi="宋体" w:eastAsia="宋体" w:cs="宋体"/>
                <w:color w:val="auto"/>
                <w:kern w:val="0"/>
                <w:sz w:val="24"/>
                <w:szCs w:val="24"/>
                <w:highlight w:val="none"/>
                <w:lang w:val="en-US" w:eastAsia="zh-CN" w:bidi="ar"/>
              </w:rPr>
              <w:t>总工期</w:t>
            </w:r>
            <w:r>
              <w:rPr>
                <w:rFonts w:hint="eastAsia" w:ascii="宋体" w:hAnsi="宋体" w:eastAsia="宋体" w:cs="宋体"/>
                <w:color w:val="auto"/>
                <w:kern w:val="0"/>
                <w:sz w:val="24"/>
                <w:szCs w:val="24"/>
                <w:highlight w:val="none"/>
                <w:lang w:val="en-US" w:eastAsia="zh-CN" w:bidi="ar"/>
              </w:rPr>
              <w:t>进行</w:t>
            </w:r>
            <w:r>
              <w:rPr>
                <w:rFonts w:hint="default" w:ascii="宋体" w:hAnsi="宋体" w:eastAsia="宋体" w:cs="宋体"/>
                <w:color w:val="auto"/>
                <w:kern w:val="0"/>
                <w:sz w:val="24"/>
                <w:szCs w:val="24"/>
                <w:highlight w:val="none"/>
                <w:lang w:val="en-US" w:eastAsia="zh-CN" w:bidi="ar"/>
              </w:rPr>
              <w:t>计划排布、分段，各阶段工期衔接、</w:t>
            </w:r>
            <w:r>
              <w:rPr>
                <w:rFonts w:hint="eastAsia" w:ascii="宋体" w:hAnsi="宋体" w:eastAsia="宋体" w:cs="宋体"/>
                <w:color w:val="auto"/>
                <w:kern w:val="0"/>
                <w:sz w:val="24"/>
                <w:szCs w:val="24"/>
                <w:highlight w:val="none"/>
                <w:lang w:val="en-US" w:eastAsia="zh-CN" w:bidi="ar"/>
              </w:rPr>
              <w:t>是否</w:t>
            </w:r>
            <w:r>
              <w:rPr>
                <w:rFonts w:hint="default" w:ascii="宋体" w:hAnsi="宋体" w:eastAsia="宋体" w:cs="宋体"/>
                <w:color w:val="auto"/>
                <w:kern w:val="0"/>
                <w:sz w:val="24"/>
                <w:szCs w:val="24"/>
                <w:highlight w:val="none"/>
                <w:lang w:val="en-US" w:eastAsia="zh-CN" w:bidi="ar"/>
              </w:rPr>
              <w:t>贴合紧张工期要求，</w:t>
            </w:r>
            <w:r>
              <w:rPr>
                <w:rFonts w:hint="eastAsia" w:ascii="宋体" w:hAnsi="宋体" w:eastAsia="宋体" w:cs="宋体"/>
                <w:color w:val="auto"/>
                <w:kern w:val="0"/>
                <w:sz w:val="24"/>
                <w:szCs w:val="24"/>
                <w:highlight w:val="none"/>
                <w:lang w:val="en-US" w:eastAsia="zh-CN" w:bidi="ar"/>
              </w:rPr>
              <w:t>是否可</w:t>
            </w:r>
            <w:r>
              <w:rPr>
                <w:rFonts w:hint="default" w:ascii="宋体" w:hAnsi="宋体" w:eastAsia="宋体" w:cs="宋体"/>
                <w:color w:val="auto"/>
                <w:kern w:val="0"/>
                <w:sz w:val="24"/>
                <w:szCs w:val="24"/>
                <w:highlight w:val="none"/>
                <w:lang w:val="en-US" w:eastAsia="zh-CN" w:bidi="ar"/>
              </w:rPr>
              <w:t>确保按期完工，满足</w:t>
            </w:r>
            <w:r>
              <w:rPr>
                <w:rFonts w:hint="eastAsia" w:ascii="宋体" w:hAnsi="宋体" w:eastAsia="宋体" w:cs="宋体"/>
                <w:color w:val="auto"/>
                <w:kern w:val="0"/>
                <w:sz w:val="24"/>
                <w:szCs w:val="24"/>
                <w:highlight w:val="none"/>
                <w:lang w:val="en-US" w:eastAsia="zh-CN" w:bidi="ar"/>
              </w:rPr>
              <w:t>采购人</w:t>
            </w:r>
            <w:r>
              <w:rPr>
                <w:rFonts w:hint="default" w:ascii="宋体" w:hAnsi="宋体" w:eastAsia="宋体" w:cs="宋体"/>
                <w:color w:val="auto"/>
                <w:kern w:val="0"/>
                <w:sz w:val="24"/>
                <w:szCs w:val="24"/>
                <w:highlight w:val="none"/>
                <w:lang w:val="en-US" w:eastAsia="zh-CN" w:bidi="ar"/>
              </w:rPr>
              <w:t>解约管控要求</w:t>
            </w:r>
            <w:r>
              <w:rPr>
                <w:rFonts w:hint="eastAsia" w:ascii="宋体" w:hAnsi="宋体" w:eastAsia="宋体" w:cs="宋体"/>
                <w:color w:val="auto"/>
                <w:sz w:val="24"/>
                <w:szCs w:val="24"/>
                <w:highlight w:val="none"/>
                <w:lang w:val="en-US" w:eastAsia="zh-CN"/>
              </w:rPr>
              <w:t>等。</w:t>
            </w:r>
          </w:p>
          <w:p w14:paraId="6B88DB8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施工进度计划安排合理，各阶段</w:t>
            </w:r>
            <w:r>
              <w:rPr>
                <w:rFonts w:hint="default" w:ascii="宋体" w:hAnsi="宋体" w:eastAsia="宋体" w:cs="宋体"/>
                <w:color w:val="auto"/>
                <w:kern w:val="0"/>
                <w:sz w:val="24"/>
                <w:szCs w:val="24"/>
                <w:highlight w:val="none"/>
                <w:lang w:val="en-US" w:eastAsia="zh-CN" w:bidi="ar"/>
              </w:rPr>
              <w:t>工期衔接</w:t>
            </w:r>
            <w:r>
              <w:rPr>
                <w:rFonts w:hint="eastAsia" w:ascii="宋体" w:hAnsi="宋体" w:eastAsia="宋体" w:cs="宋体"/>
                <w:color w:val="auto"/>
                <w:sz w:val="24"/>
                <w:szCs w:val="24"/>
                <w:highlight w:val="none"/>
              </w:rPr>
              <w:t>切实可行的得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6148B15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进度计划安排较合理，各阶段</w:t>
            </w:r>
            <w:r>
              <w:rPr>
                <w:rFonts w:hint="default" w:ascii="宋体" w:hAnsi="宋体" w:eastAsia="宋体" w:cs="宋体"/>
                <w:color w:val="auto"/>
                <w:kern w:val="0"/>
                <w:sz w:val="24"/>
                <w:szCs w:val="24"/>
                <w:highlight w:val="none"/>
                <w:lang w:val="en-US" w:eastAsia="zh-CN" w:bidi="ar"/>
              </w:rPr>
              <w:t>工期衔接</w:t>
            </w:r>
            <w:r>
              <w:rPr>
                <w:rFonts w:hint="eastAsia" w:ascii="宋体" w:hAnsi="宋体" w:eastAsia="宋体" w:cs="宋体"/>
                <w:color w:val="auto"/>
                <w:sz w:val="24"/>
                <w:szCs w:val="24"/>
                <w:highlight w:val="none"/>
              </w:rPr>
              <w:t>较可行的得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35F2404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进度计划基本合理，各阶段</w:t>
            </w:r>
            <w:r>
              <w:rPr>
                <w:rFonts w:hint="default" w:ascii="宋体" w:hAnsi="宋体" w:eastAsia="宋体" w:cs="宋体"/>
                <w:color w:val="auto"/>
                <w:kern w:val="0"/>
                <w:sz w:val="24"/>
                <w:szCs w:val="24"/>
                <w:highlight w:val="none"/>
                <w:lang w:val="en-US" w:eastAsia="zh-CN" w:bidi="ar"/>
              </w:rPr>
              <w:t>工期衔接</w:t>
            </w:r>
            <w:r>
              <w:rPr>
                <w:rFonts w:hint="eastAsia" w:ascii="宋体" w:hAnsi="宋体" w:eastAsia="宋体" w:cs="宋体"/>
                <w:color w:val="auto"/>
                <w:sz w:val="24"/>
                <w:szCs w:val="24"/>
                <w:highlight w:val="none"/>
              </w:rPr>
              <w:t>具有一定可行性的得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761F5F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施工进度计划安排及各阶段</w:t>
            </w:r>
            <w:r>
              <w:rPr>
                <w:rFonts w:hint="default" w:ascii="宋体" w:hAnsi="宋体" w:eastAsia="宋体" w:cs="宋体"/>
                <w:color w:val="auto"/>
                <w:kern w:val="0"/>
                <w:sz w:val="24"/>
                <w:szCs w:val="24"/>
                <w:highlight w:val="none"/>
                <w:lang w:val="en-US" w:eastAsia="zh-CN" w:bidi="ar"/>
              </w:rPr>
              <w:t>工期衔接</w:t>
            </w:r>
            <w:r>
              <w:rPr>
                <w:rFonts w:hint="eastAsia" w:ascii="宋体" w:hAnsi="宋体" w:eastAsia="宋体" w:cs="宋体"/>
                <w:color w:val="auto"/>
                <w:sz w:val="24"/>
                <w:szCs w:val="24"/>
                <w:highlight w:val="none"/>
              </w:rPr>
              <w:t>一般的得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CA67244">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未提供不得分。</w:t>
            </w:r>
          </w:p>
        </w:tc>
        <w:tc>
          <w:tcPr>
            <w:tcW w:w="1900" w:type="dxa"/>
            <w:shd w:val="clear" w:color="auto" w:fill="auto"/>
            <w:noWrap w:val="0"/>
            <w:vAlign w:val="center"/>
          </w:tcPr>
          <w:p w14:paraId="703B206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1B56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46" w:type="dxa"/>
            <w:shd w:val="clear" w:color="auto" w:fill="auto"/>
            <w:noWrap w:val="0"/>
            <w:vAlign w:val="center"/>
          </w:tcPr>
          <w:p w14:paraId="398221D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4</w:t>
            </w:r>
          </w:p>
        </w:tc>
        <w:tc>
          <w:tcPr>
            <w:tcW w:w="1260" w:type="dxa"/>
            <w:shd w:val="clear" w:color="auto" w:fill="auto"/>
            <w:noWrap w:val="0"/>
            <w:vAlign w:val="center"/>
          </w:tcPr>
          <w:p w14:paraId="7E66DCF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rPr>
            </w:pPr>
            <w:r>
              <w:rPr>
                <w:color w:val="auto"/>
                <w:highlight w:val="none"/>
              </w:rPr>
              <w:t>各阶段进度保证措施</w:t>
            </w:r>
          </w:p>
        </w:tc>
        <w:tc>
          <w:tcPr>
            <w:tcW w:w="795" w:type="dxa"/>
            <w:shd w:val="clear" w:color="auto" w:fill="auto"/>
            <w:noWrap w:val="0"/>
            <w:vAlign w:val="center"/>
          </w:tcPr>
          <w:p w14:paraId="6945728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5036" w:type="dxa"/>
            <w:shd w:val="clear" w:color="auto" w:fill="auto"/>
            <w:noWrap w:val="0"/>
            <w:vAlign w:val="center"/>
          </w:tcPr>
          <w:p w14:paraId="3C38B50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0"/>
                <w:sz w:val="24"/>
                <w:szCs w:val="24"/>
                <w:highlight w:val="none"/>
                <w:lang w:val="en-US" w:eastAsia="zh-CN" w:bidi="ar"/>
              </w:rPr>
              <w:t>配套组织、技术、物资、人员、工期管控、等全维度措施，贴合各施工阶段特点，</w:t>
            </w:r>
            <w:r>
              <w:rPr>
                <w:rFonts w:hint="eastAsia" w:ascii="宋体" w:hAnsi="宋体" w:eastAsia="宋体" w:cs="宋体"/>
                <w:color w:val="auto"/>
                <w:kern w:val="0"/>
                <w:sz w:val="24"/>
                <w:szCs w:val="24"/>
                <w:highlight w:val="none"/>
                <w:lang w:val="en-US" w:eastAsia="zh-CN" w:bidi="ar"/>
              </w:rPr>
              <w:t>如何</w:t>
            </w:r>
            <w:r>
              <w:rPr>
                <w:rFonts w:hint="default" w:ascii="宋体" w:hAnsi="宋体" w:eastAsia="宋体" w:cs="宋体"/>
                <w:color w:val="auto"/>
                <w:kern w:val="0"/>
                <w:sz w:val="24"/>
                <w:szCs w:val="24"/>
                <w:highlight w:val="none"/>
                <w:lang w:val="en-US" w:eastAsia="zh-CN" w:bidi="ar"/>
              </w:rPr>
              <w:t>保障30天紧张工期落地，有效规避延误解约风险</w:t>
            </w:r>
            <w:r>
              <w:rPr>
                <w:rFonts w:hint="eastAsia" w:ascii="宋体" w:hAnsi="宋体" w:eastAsia="宋体" w:cs="宋体"/>
                <w:color w:val="auto"/>
                <w:sz w:val="24"/>
                <w:szCs w:val="24"/>
                <w:highlight w:val="none"/>
                <w:lang w:val="en-US" w:eastAsia="zh-CN"/>
              </w:rPr>
              <w:t>等。</w:t>
            </w:r>
          </w:p>
          <w:p w14:paraId="278C81B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各阶段保障措施切实可行的得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65A837E">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各阶段保障措施较可行的得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D87C38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各阶段保障措施一般的得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A517AB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900" w:type="dxa"/>
            <w:shd w:val="clear" w:color="auto" w:fill="auto"/>
            <w:noWrap w:val="0"/>
            <w:vAlign w:val="center"/>
          </w:tcPr>
          <w:p w14:paraId="406D515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1580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846" w:type="dxa"/>
            <w:shd w:val="clear" w:color="auto" w:fill="auto"/>
            <w:noWrap w:val="0"/>
            <w:vAlign w:val="center"/>
          </w:tcPr>
          <w:p w14:paraId="4749D34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5</w:t>
            </w:r>
          </w:p>
        </w:tc>
        <w:tc>
          <w:tcPr>
            <w:tcW w:w="1260" w:type="dxa"/>
            <w:shd w:val="clear" w:color="auto" w:fill="auto"/>
            <w:noWrap w:val="0"/>
            <w:vAlign w:val="center"/>
          </w:tcPr>
          <w:p w14:paraId="5003EC6A">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施工质量保证措施</w:t>
            </w:r>
          </w:p>
        </w:tc>
        <w:tc>
          <w:tcPr>
            <w:tcW w:w="795" w:type="dxa"/>
            <w:shd w:val="clear" w:color="auto" w:fill="auto"/>
            <w:noWrap w:val="0"/>
            <w:vAlign w:val="center"/>
          </w:tcPr>
          <w:p w14:paraId="298C84B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5036" w:type="dxa"/>
            <w:shd w:val="clear" w:color="auto" w:fill="auto"/>
            <w:noWrap w:val="0"/>
            <w:vAlign w:val="center"/>
          </w:tcPr>
          <w:p w14:paraId="0B3838B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包括但不限于质量管理制度、质量通病的针对性措施、施工前中后全过程质量控制措施等</w:t>
            </w:r>
            <w:r>
              <w:rPr>
                <w:rFonts w:hint="eastAsia" w:ascii="宋体" w:hAnsi="宋体" w:eastAsia="宋体" w:cs="宋体"/>
                <w:bCs/>
                <w:color w:val="auto"/>
                <w:sz w:val="24"/>
                <w:szCs w:val="24"/>
                <w:highlight w:val="none"/>
                <w:lang w:eastAsia="zh-CN"/>
              </w:rPr>
              <w:t>。</w:t>
            </w:r>
          </w:p>
          <w:p w14:paraId="7A0C07D0">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质量保障措施齐全、科学合理、切实可行的得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E613E9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质量保障措施齐全、比较科学合理、基本可行的得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9162ECA">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质量保障措施基本齐全、比较合理、具有一定可行性的得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5BD295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质量保障措施一般的得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3989EA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未提供不得分。</w:t>
            </w:r>
          </w:p>
        </w:tc>
        <w:tc>
          <w:tcPr>
            <w:tcW w:w="1900" w:type="dxa"/>
            <w:shd w:val="clear" w:color="auto" w:fill="auto"/>
            <w:noWrap w:val="0"/>
            <w:vAlign w:val="center"/>
          </w:tcPr>
          <w:p w14:paraId="1C2158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0BA2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108B0E9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6</w:t>
            </w:r>
          </w:p>
        </w:tc>
        <w:tc>
          <w:tcPr>
            <w:tcW w:w="1260" w:type="dxa"/>
            <w:shd w:val="clear" w:color="auto" w:fill="auto"/>
            <w:noWrap w:val="0"/>
            <w:vAlign w:val="center"/>
          </w:tcPr>
          <w:p w14:paraId="4CB5133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安全施工及文明环保措施</w:t>
            </w:r>
          </w:p>
        </w:tc>
        <w:tc>
          <w:tcPr>
            <w:tcW w:w="795" w:type="dxa"/>
            <w:shd w:val="clear" w:color="auto" w:fill="auto"/>
            <w:noWrap w:val="0"/>
            <w:vAlign w:val="center"/>
          </w:tcPr>
          <w:p w14:paraId="26A0699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rPr>
              <w:t>5</w:t>
            </w:r>
          </w:p>
        </w:tc>
        <w:tc>
          <w:tcPr>
            <w:tcW w:w="5036" w:type="dxa"/>
            <w:shd w:val="clear" w:color="auto" w:fill="auto"/>
            <w:noWrap w:val="0"/>
            <w:vAlign w:val="center"/>
          </w:tcPr>
          <w:p w14:paraId="2B2CD20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w:t>
            </w:r>
            <w:r>
              <w:rPr>
                <w:rFonts w:hint="eastAsia" w:ascii="宋体" w:hAnsi="宋体" w:eastAsia="宋体" w:cs="宋体"/>
                <w:color w:val="auto"/>
                <w:sz w:val="24"/>
                <w:szCs w:val="24"/>
                <w:highlight w:val="none"/>
              </w:rPr>
              <w:t>有保证安全生产、文明施工，减少环境污染和降低噪音的应对措施。</w:t>
            </w:r>
          </w:p>
          <w:p w14:paraId="18865D0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措施先进、科学合理、切实可行的得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11EAC5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措施较合理，具有可操作性的得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B7687E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措施较合理，具有一定针对性的得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B6D0AC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措施</w:t>
            </w:r>
            <w:r>
              <w:rPr>
                <w:rFonts w:hint="eastAsia" w:ascii="宋体" w:hAnsi="宋体" w:eastAsia="宋体" w:cs="宋体"/>
                <w:color w:val="auto"/>
                <w:sz w:val="24"/>
                <w:szCs w:val="24"/>
                <w:highlight w:val="none"/>
              </w:rPr>
              <w:t>一般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可行性一般</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93ADE1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未提供不得分。</w:t>
            </w:r>
          </w:p>
        </w:tc>
        <w:tc>
          <w:tcPr>
            <w:tcW w:w="1900" w:type="dxa"/>
            <w:shd w:val="clear" w:color="auto" w:fill="auto"/>
            <w:noWrap w:val="0"/>
            <w:vAlign w:val="center"/>
          </w:tcPr>
          <w:p w14:paraId="645EE1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2F9E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5ACD929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7</w:t>
            </w:r>
          </w:p>
        </w:tc>
        <w:tc>
          <w:tcPr>
            <w:tcW w:w="1260" w:type="dxa"/>
            <w:shd w:val="clear" w:color="auto" w:fill="auto"/>
            <w:noWrap w:val="0"/>
            <w:vAlign w:val="center"/>
          </w:tcPr>
          <w:p w14:paraId="258A090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劳动力、机械设备和材料投入计划</w:t>
            </w:r>
          </w:p>
        </w:tc>
        <w:tc>
          <w:tcPr>
            <w:tcW w:w="795" w:type="dxa"/>
            <w:shd w:val="clear" w:color="auto" w:fill="auto"/>
            <w:noWrap w:val="0"/>
            <w:vAlign w:val="center"/>
          </w:tcPr>
          <w:p w14:paraId="386DF0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5036" w:type="dxa"/>
            <w:shd w:val="clear" w:color="auto" w:fill="auto"/>
            <w:noWrap w:val="0"/>
            <w:vAlign w:val="center"/>
          </w:tcPr>
          <w:p w14:paraId="5989352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lang w:val="zh-CN" w:eastAsia="en-US"/>
              </w:rPr>
              <w:t>针对本项目的人员安排、机械设备和材料等投入计划安排。</w:t>
            </w:r>
          </w:p>
          <w:p w14:paraId="0EE191E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人员安排合理，机械设备投入充足、材料进场时间安排合理，</w:t>
            </w:r>
            <w:r>
              <w:rPr>
                <w:rFonts w:hint="eastAsia" w:ascii="宋体" w:hAnsi="宋体" w:eastAsia="宋体" w:cs="宋体"/>
                <w:color w:val="auto"/>
                <w:sz w:val="24"/>
                <w:szCs w:val="24"/>
                <w:highlight w:val="none"/>
                <w:lang w:val="zh-CN" w:eastAsia="en-US"/>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分；</w:t>
            </w:r>
          </w:p>
          <w:p w14:paraId="1D85ECF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人员安排较合理，机械设备投入较充足、材料进场时间安排较合理的，得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en-US"/>
              </w:rPr>
              <w:t>分；</w:t>
            </w:r>
          </w:p>
          <w:p w14:paraId="781A7E1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人员安排基本合理，机械设备投入、材料进场时间安排基本合理的，得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en-US"/>
              </w:rPr>
              <w:t>分；</w:t>
            </w:r>
          </w:p>
          <w:p w14:paraId="7AC9380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en-US"/>
              </w:rPr>
              <w:t>人员安排</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val="zh-CN" w:eastAsia="en-US"/>
              </w:rPr>
              <w:t>，机械设备投入、材料进场时间安排</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lang w:val="zh-CN" w:eastAsia="en-US"/>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2分</w:t>
            </w:r>
            <w:r>
              <w:rPr>
                <w:rFonts w:hint="eastAsia" w:ascii="宋体" w:hAnsi="宋体" w:eastAsia="宋体" w:cs="宋体"/>
                <w:color w:val="auto"/>
                <w:sz w:val="24"/>
                <w:szCs w:val="24"/>
                <w:highlight w:val="none"/>
                <w:lang w:val="en-US" w:eastAsia="zh-CN"/>
              </w:rPr>
              <w:t>；</w:t>
            </w:r>
          </w:p>
          <w:p w14:paraId="521F5FE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未提供不得分。</w:t>
            </w:r>
          </w:p>
        </w:tc>
        <w:tc>
          <w:tcPr>
            <w:tcW w:w="1900" w:type="dxa"/>
            <w:shd w:val="clear" w:color="auto" w:fill="auto"/>
            <w:noWrap w:val="0"/>
            <w:vAlign w:val="center"/>
          </w:tcPr>
          <w:p w14:paraId="6EEF91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3326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5C0F88F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8</w:t>
            </w:r>
          </w:p>
        </w:tc>
        <w:tc>
          <w:tcPr>
            <w:tcW w:w="1260" w:type="dxa"/>
            <w:shd w:val="clear" w:color="auto" w:fill="auto"/>
            <w:noWrap w:val="0"/>
            <w:vAlign w:val="center"/>
          </w:tcPr>
          <w:p w14:paraId="71E6B27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关键施工技术、工艺及工程项目实施的重点、难点和解决方案</w:t>
            </w:r>
          </w:p>
        </w:tc>
        <w:tc>
          <w:tcPr>
            <w:tcW w:w="795" w:type="dxa"/>
            <w:shd w:val="clear" w:color="auto" w:fill="auto"/>
            <w:noWrap w:val="0"/>
            <w:vAlign w:val="center"/>
          </w:tcPr>
          <w:p w14:paraId="38CDF4F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rPr>
              <w:t>5</w:t>
            </w:r>
          </w:p>
        </w:tc>
        <w:tc>
          <w:tcPr>
            <w:tcW w:w="5036" w:type="dxa"/>
            <w:shd w:val="clear" w:color="auto" w:fill="auto"/>
            <w:noWrap w:val="0"/>
            <w:vAlign w:val="center"/>
          </w:tcPr>
          <w:p w14:paraId="6F963EB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en-US"/>
              </w:rPr>
              <w:t>包括但不限于</w:t>
            </w:r>
            <w:r>
              <w:rPr>
                <w:rFonts w:hint="eastAsia" w:ascii="宋体" w:hAnsi="宋体" w:eastAsia="宋体" w:cs="宋体"/>
                <w:color w:val="auto"/>
                <w:sz w:val="24"/>
                <w:szCs w:val="24"/>
                <w:highlight w:val="none"/>
                <w:lang w:val="en-US" w:eastAsia="zh-CN"/>
              </w:rPr>
              <w:t>关键</w:t>
            </w:r>
            <w:r>
              <w:rPr>
                <w:rFonts w:hint="eastAsia" w:ascii="宋体" w:hAnsi="宋体" w:eastAsia="宋体" w:cs="宋体"/>
                <w:color w:val="auto"/>
                <w:sz w:val="24"/>
                <w:szCs w:val="24"/>
                <w:highlight w:val="none"/>
                <w:lang w:val="zh-CN" w:eastAsia="en-US"/>
              </w:rPr>
              <w:t>部位工程质量保证措施和施工技术措施、关键施工技术、工艺及工程项目实施的重点、难点分析和解决方案本工程施工等</w:t>
            </w:r>
            <w:r>
              <w:rPr>
                <w:rFonts w:hint="eastAsia" w:ascii="宋体" w:hAnsi="宋体" w:eastAsia="宋体" w:cs="宋体"/>
                <w:color w:val="auto"/>
                <w:sz w:val="24"/>
                <w:szCs w:val="24"/>
                <w:highlight w:val="none"/>
                <w:lang w:val="zh-CN" w:eastAsia="zh-CN"/>
              </w:rPr>
              <w:t>。</w:t>
            </w:r>
          </w:p>
          <w:p w14:paraId="126A46F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方案完整、合理可行，能完全满足项目实施要求的得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分；</w:t>
            </w:r>
          </w:p>
          <w:p w14:paraId="607D553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方案完整、可行，能基本满足项目实施要求的得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en-US"/>
              </w:rPr>
              <w:t>分；</w:t>
            </w:r>
          </w:p>
          <w:p w14:paraId="0E3C51C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方案基本完整，具有一定可行性的得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en-US"/>
              </w:rPr>
              <w:t>分；</w:t>
            </w:r>
          </w:p>
          <w:p w14:paraId="4C49510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方案一般得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en-US"/>
              </w:rPr>
              <w:t>分；</w:t>
            </w:r>
          </w:p>
          <w:p w14:paraId="5761FD5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en-US"/>
              </w:rPr>
              <w:t>未提供不得分。</w:t>
            </w:r>
          </w:p>
        </w:tc>
        <w:tc>
          <w:tcPr>
            <w:tcW w:w="1900" w:type="dxa"/>
            <w:shd w:val="clear" w:color="auto" w:fill="auto"/>
            <w:noWrap w:val="0"/>
            <w:vAlign w:val="center"/>
          </w:tcPr>
          <w:p w14:paraId="6766353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617D5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6350E3E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9</w:t>
            </w:r>
          </w:p>
        </w:tc>
        <w:tc>
          <w:tcPr>
            <w:tcW w:w="1260" w:type="dxa"/>
            <w:shd w:val="clear" w:color="auto" w:fill="auto"/>
            <w:noWrap w:val="0"/>
            <w:vAlign w:val="center"/>
          </w:tcPr>
          <w:p w14:paraId="4314C43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应急预案</w:t>
            </w:r>
          </w:p>
        </w:tc>
        <w:tc>
          <w:tcPr>
            <w:tcW w:w="795" w:type="dxa"/>
            <w:shd w:val="clear" w:color="auto" w:fill="auto"/>
            <w:noWrap w:val="0"/>
            <w:vAlign w:val="center"/>
          </w:tcPr>
          <w:p w14:paraId="596899E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rPr>
              <w:t>5</w:t>
            </w:r>
          </w:p>
        </w:tc>
        <w:tc>
          <w:tcPr>
            <w:tcW w:w="5036" w:type="dxa"/>
            <w:shd w:val="clear" w:color="auto" w:fill="auto"/>
            <w:noWrap w:val="0"/>
            <w:vAlign w:val="center"/>
          </w:tcPr>
          <w:p w14:paraId="18EF4BA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包括但不限于面对突发事件如自然灾害、重特大事故、环境公害及人为破坏的应急管理、指挥、救援计划等；</w:t>
            </w:r>
          </w:p>
          <w:p w14:paraId="3123D59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方案完整、合理可行，能完全满足项目实施要求的得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分；</w:t>
            </w:r>
          </w:p>
          <w:p w14:paraId="5688051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方案完整、可行，能基本满足项目实施要求的得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en-US"/>
              </w:rPr>
              <w:t>分；</w:t>
            </w:r>
          </w:p>
          <w:p w14:paraId="2AD7E5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方案基本完整，具有一定可行性的得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en-US"/>
              </w:rPr>
              <w:t>分；</w:t>
            </w:r>
          </w:p>
          <w:p w14:paraId="61936BE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zh-CN" w:eastAsia="en-US"/>
              </w:rPr>
            </w:pPr>
            <w:r>
              <w:rPr>
                <w:rFonts w:hint="eastAsia" w:ascii="宋体"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en-US"/>
              </w:rPr>
              <w:t>一般得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en-US"/>
              </w:rPr>
              <w:t>分；</w:t>
            </w:r>
          </w:p>
          <w:p w14:paraId="473F4B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en-US"/>
              </w:rPr>
              <w:t>未提供不得分。</w:t>
            </w:r>
          </w:p>
        </w:tc>
        <w:tc>
          <w:tcPr>
            <w:tcW w:w="1900" w:type="dxa"/>
            <w:shd w:val="clear" w:color="auto" w:fill="auto"/>
            <w:noWrap w:val="0"/>
            <w:vAlign w:val="center"/>
          </w:tcPr>
          <w:p w14:paraId="380024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p>
        </w:tc>
      </w:tr>
      <w:tr w14:paraId="7171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106" w:type="dxa"/>
            <w:gridSpan w:val="2"/>
            <w:noWrap w:val="0"/>
            <w:vAlign w:val="center"/>
          </w:tcPr>
          <w:p w14:paraId="60B295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合计</w:t>
            </w:r>
          </w:p>
        </w:tc>
        <w:tc>
          <w:tcPr>
            <w:tcW w:w="795" w:type="dxa"/>
            <w:noWrap w:val="0"/>
            <w:vAlign w:val="center"/>
          </w:tcPr>
          <w:p w14:paraId="2A296C9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100</w:t>
            </w:r>
          </w:p>
        </w:tc>
        <w:tc>
          <w:tcPr>
            <w:tcW w:w="6936" w:type="dxa"/>
            <w:gridSpan w:val="2"/>
            <w:noWrap w:val="0"/>
            <w:vAlign w:val="center"/>
          </w:tcPr>
          <w:p w14:paraId="6B14109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tc>
      </w:tr>
    </w:tbl>
    <w:p w14:paraId="35E35900">
      <w:pPr>
        <w:keepNext w:val="0"/>
        <w:keepLines w:val="0"/>
        <w:pageBreakBefore w:val="0"/>
        <w:widowControl w:val="0"/>
        <w:spacing w:line="360" w:lineRule="auto"/>
        <w:ind w:firstLine="488"/>
        <w:rPr>
          <w:rFonts w:hint="eastAsia" w:ascii="宋体" w:hAnsi="宋体" w:cs="宋体"/>
          <w:color w:val="auto"/>
          <w:spacing w:val="2"/>
          <w:sz w:val="24"/>
          <w:highlight w:val="none"/>
          <w:lang w:eastAsia="zh-CN"/>
        </w:rPr>
      </w:pPr>
    </w:p>
    <w:p w14:paraId="3C10DEAB">
      <w:pPr>
        <w:keepNext w:val="0"/>
        <w:keepLines w:val="0"/>
        <w:pageBreakBefore w:val="0"/>
        <w:widowControl w:val="0"/>
        <w:spacing w:line="360" w:lineRule="auto"/>
        <w:ind w:firstLine="488"/>
        <w:rPr>
          <w:rFonts w:hint="eastAsia" w:ascii="宋体" w:hAnsi="宋体" w:cs="宋体"/>
          <w:color w:val="auto"/>
          <w:spacing w:val="2"/>
          <w:sz w:val="24"/>
          <w:highlight w:val="none"/>
          <w:lang w:eastAsia="zh-CN"/>
        </w:rPr>
      </w:pPr>
      <w:r>
        <w:rPr>
          <w:rFonts w:hint="eastAsia" w:ascii="宋体" w:hAnsi="宋体" w:cs="宋体"/>
          <w:color w:val="auto"/>
          <w:spacing w:val="2"/>
          <w:sz w:val="24"/>
          <w:highlight w:val="none"/>
          <w:lang w:eastAsia="zh-CN"/>
        </w:rPr>
        <w:t>注：1.评分细则中要求提供的证明文件及资料等在磋商响应文件中提供并加盖公章，否则不得分。</w:t>
      </w:r>
    </w:p>
    <w:p w14:paraId="5C8EE8A1">
      <w:pPr>
        <w:keepNext w:val="0"/>
        <w:keepLines w:val="0"/>
        <w:pageBreakBefore w:val="0"/>
        <w:widowControl w:val="0"/>
        <w:numPr>
          <w:ilvl w:val="0"/>
          <w:numId w:val="6"/>
        </w:numPr>
        <w:spacing w:line="360" w:lineRule="auto"/>
        <w:ind w:firstLine="488"/>
        <w:rPr>
          <w:rFonts w:hint="eastAsia" w:ascii="宋体" w:hAnsi="宋体" w:cs="宋体"/>
          <w:color w:val="auto"/>
          <w:spacing w:val="2"/>
          <w:sz w:val="24"/>
          <w:highlight w:val="none"/>
          <w:lang w:eastAsia="zh-CN"/>
        </w:rPr>
      </w:pPr>
      <w:r>
        <w:rPr>
          <w:rFonts w:hint="eastAsia" w:ascii="宋体" w:hAnsi="宋体" w:cs="宋体"/>
          <w:color w:val="auto"/>
          <w:spacing w:val="2"/>
          <w:sz w:val="24"/>
          <w:highlight w:val="none"/>
          <w:lang w:eastAsia="zh-CN"/>
        </w:rPr>
        <w:t>评审时，未能按以上要求提供相应证明的，不作为评审依据，不得分。</w:t>
      </w:r>
    </w:p>
    <w:p w14:paraId="0B46E7F6">
      <w:pPr>
        <w:keepNext w:val="0"/>
        <w:keepLines w:val="0"/>
        <w:pageBreakBefore w:val="0"/>
        <w:widowControl w:val="0"/>
        <w:numPr>
          <w:ilvl w:val="0"/>
          <w:numId w:val="6"/>
        </w:numPr>
        <w:spacing w:line="360" w:lineRule="auto"/>
        <w:ind w:firstLine="488"/>
        <w:rPr>
          <w:rFonts w:hint="default" w:ascii="宋体" w:hAnsi="宋体" w:cs="宋体"/>
          <w:color w:val="auto"/>
          <w:spacing w:val="2"/>
          <w:sz w:val="24"/>
          <w:highlight w:val="none"/>
          <w:lang w:val="en-US" w:eastAsia="zh-CN"/>
        </w:rPr>
      </w:pPr>
      <w:r>
        <w:rPr>
          <w:rFonts w:hint="eastAsia" w:ascii="宋体" w:hAnsi="宋体" w:cs="宋体"/>
          <w:color w:val="auto"/>
          <w:spacing w:val="2"/>
          <w:sz w:val="24"/>
          <w:highlight w:val="none"/>
          <w:lang w:val="en-US" w:eastAsia="zh-CN"/>
        </w:rPr>
        <w:t>以上所需资料均应真实、有效，如发现投标供应商涉嫌资料造假等，采购人将有权取消其成交资格，并保留进一步追究其法律责任的权利。</w:t>
      </w:r>
    </w:p>
    <w:p w14:paraId="613E5777">
      <w:pPr>
        <w:spacing w:line="360" w:lineRule="auto"/>
        <w:ind w:firstLine="480"/>
        <w:contextualSpacing/>
        <w:rPr>
          <w:rFonts w:hint="eastAsia" w:ascii="宋体" w:hAnsi="宋体" w:cs="宋体"/>
          <w:bCs/>
          <w:color w:val="auto"/>
          <w:sz w:val="24"/>
          <w:highlight w:val="none"/>
        </w:rPr>
        <w:sectPr>
          <w:pgSz w:w="11906" w:h="16838" w:orient="landscape"/>
          <w:pgMar w:top="1440" w:right="1800" w:bottom="1440" w:left="1800" w:header="851" w:footer="992" w:gutter="0"/>
          <w:cols w:space="720" w:num="1"/>
        </w:sectPr>
      </w:pPr>
    </w:p>
    <w:p w14:paraId="1736FA43">
      <w:pPr>
        <w:spacing w:line="360" w:lineRule="auto"/>
        <w:contextualSpacing/>
        <w:jc w:val="center"/>
        <w:outlineLvl w:val="0"/>
        <w:rPr>
          <w:b/>
          <w:color w:val="auto"/>
          <w:sz w:val="36"/>
          <w:szCs w:val="36"/>
          <w:highlight w:val="none"/>
        </w:rPr>
      </w:pPr>
      <w:bookmarkStart w:id="608" w:name="_Toc8874"/>
      <w:bookmarkStart w:id="609" w:name="_Toc104818928"/>
      <w:r>
        <w:rPr>
          <w:b/>
          <w:color w:val="auto"/>
          <w:sz w:val="36"/>
          <w:szCs w:val="36"/>
          <w:highlight w:val="none"/>
        </w:rPr>
        <w:t>第四章   采购需求</w:t>
      </w:r>
      <w:bookmarkEnd w:id="608"/>
      <w:bookmarkEnd w:id="609"/>
    </w:p>
    <w:p w14:paraId="621A3BCF">
      <w:pPr>
        <w:pageBreakBefore w:val="0"/>
        <w:widowControl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一、</w:t>
      </w:r>
      <w:r>
        <w:rPr>
          <w:rFonts w:hint="eastAsia" w:ascii="宋体" w:hAnsi="宋体" w:cs="宋体"/>
          <w:b/>
          <w:color w:val="auto"/>
          <w:sz w:val="24"/>
          <w:highlight w:val="none"/>
          <w:lang w:val="en-US" w:eastAsia="zh-CN"/>
        </w:rPr>
        <w:t>项目内容</w:t>
      </w:r>
    </w:p>
    <w:p w14:paraId="46C175D9">
      <w:pPr>
        <w:keepNext w:val="0"/>
        <w:keepLines w:val="0"/>
        <w:pageBreakBefore w:val="0"/>
        <w:widowControl w:val="0"/>
        <w:spacing w:line="312"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本项目是</w:t>
      </w:r>
      <w:r>
        <w:rPr>
          <w:rFonts w:hint="eastAsia" w:ascii="宋体" w:hAnsi="宋体" w:cs="宋体"/>
          <w:bCs/>
          <w:color w:val="auto"/>
          <w:sz w:val="24"/>
          <w:highlight w:val="none"/>
          <w:lang w:eastAsia="zh-CN"/>
        </w:rPr>
        <w:t>XG080319地块土方回填工程</w:t>
      </w:r>
      <w:r>
        <w:rPr>
          <w:rFonts w:hint="eastAsia" w:ascii="宋体" w:hAnsi="宋体" w:cs="宋体"/>
          <w:bCs/>
          <w:color w:val="auto"/>
          <w:sz w:val="24"/>
          <w:highlight w:val="none"/>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2BAB2966">
      <w:pPr>
        <w:keepNext w:val="0"/>
        <w:keepLines w:val="0"/>
        <w:pageBreakBefore w:val="0"/>
        <w:widowControl w:val="0"/>
        <w:spacing w:line="312"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1.项目预算金额：</w:t>
      </w:r>
      <w:r>
        <w:rPr>
          <w:rFonts w:hint="eastAsia" w:ascii="宋体" w:hAnsi="宋体" w:cs="宋体"/>
          <w:bCs/>
          <w:color w:val="auto"/>
          <w:sz w:val="24"/>
          <w:highlight w:val="none"/>
          <w:lang w:val="en-US" w:eastAsia="zh-CN"/>
        </w:rPr>
        <w:t>300万</w:t>
      </w:r>
      <w:r>
        <w:rPr>
          <w:rFonts w:hint="eastAsia" w:ascii="宋体" w:hAnsi="宋体" w:cs="宋体"/>
          <w:bCs/>
          <w:color w:val="auto"/>
          <w:sz w:val="24"/>
          <w:highlight w:val="none"/>
        </w:rPr>
        <w:t>元</w:t>
      </w:r>
    </w:p>
    <w:p w14:paraId="562F218B">
      <w:pPr>
        <w:keepNext w:val="0"/>
        <w:keepLines w:val="0"/>
        <w:pageBreakBefore w:val="0"/>
        <w:widowControl w:val="0"/>
        <w:spacing w:line="312"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2.项目最高限价：</w:t>
      </w:r>
      <w:r>
        <w:rPr>
          <w:rFonts w:hint="eastAsia" w:ascii="宋体" w:hAnsi="宋体" w:cs="宋体"/>
          <w:bCs/>
          <w:color w:val="auto"/>
          <w:sz w:val="24"/>
          <w:highlight w:val="none"/>
          <w:lang w:val="en-US" w:eastAsia="zh-CN"/>
        </w:rPr>
        <w:t>297.257221万</w:t>
      </w:r>
      <w:r>
        <w:rPr>
          <w:rFonts w:hint="eastAsia" w:ascii="宋体" w:hAnsi="宋体" w:cs="宋体"/>
          <w:bCs/>
          <w:color w:val="auto"/>
          <w:sz w:val="24"/>
          <w:highlight w:val="none"/>
        </w:rPr>
        <w:t>元</w:t>
      </w:r>
    </w:p>
    <w:p w14:paraId="6B9CB03A">
      <w:pPr>
        <w:keepNext w:val="0"/>
        <w:keepLines w:val="0"/>
        <w:pageBreakBefore w:val="0"/>
        <w:widowControl w:val="0"/>
        <w:spacing w:line="312"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3.工程地点：</w:t>
      </w:r>
      <w:r>
        <w:rPr>
          <w:rFonts w:hint="eastAsia" w:ascii="宋体" w:hAnsi="宋体" w:cs="宋体"/>
          <w:bCs/>
          <w:color w:val="auto"/>
          <w:sz w:val="24"/>
          <w:highlight w:val="none"/>
          <w:lang w:val="en-US" w:eastAsia="zh-CN"/>
        </w:rPr>
        <w:t>滨开区</w:t>
      </w:r>
      <w:r>
        <w:rPr>
          <w:rFonts w:hint="eastAsia" w:ascii="宋体" w:hAnsi="宋体" w:cs="宋体"/>
          <w:bCs/>
          <w:color w:val="auto"/>
          <w:sz w:val="24"/>
          <w:highlight w:val="none"/>
        </w:rPr>
        <w:t>。</w:t>
      </w:r>
    </w:p>
    <w:p w14:paraId="0A1771C6">
      <w:pPr>
        <w:keepNext w:val="0"/>
        <w:keepLines w:val="0"/>
        <w:pageBreakBefore w:val="0"/>
        <w:widowControl w:val="0"/>
        <w:spacing w:line="312"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4.质量等级要求：合格。</w:t>
      </w:r>
    </w:p>
    <w:p w14:paraId="15487906">
      <w:pPr>
        <w:keepNext w:val="0"/>
        <w:keepLines w:val="0"/>
        <w:pageBreakBefore w:val="0"/>
        <w:widowControl w:val="0"/>
        <w:spacing w:line="312" w:lineRule="auto"/>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5.本次采购范围：工程量清单范围</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含编制说明</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的全部工程</w:t>
      </w:r>
    </w:p>
    <w:p w14:paraId="3684F2B9">
      <w:pPr>
        <w:keepNext w:val="0"/>
        <w:keepLines w:val="0"/>
        <w:pageBreakBefore w:val="0"/>
        <w:widowControl w:val="0"/>
        <w:spacing w:line="312" w:lineRule="auto"/>
        <w:rPr>
          <w:rFonts w:ascii="宋体" w:hAnsi="宋体"/>
          <w:b/>
          <w:bCs/>
          <w:color w:val="auto"/>
          <w:sz w:val="24"/>
          <w:highlight w:val="none"/>
        </w:rPr>
      </w:pPr>
      <w:r>
        <w:rPr>
          <w:rFonts w:hint="eastAsia" w:ascii="宋体" w:hAnsi="宋体"/>
          <w:b/>
          <w:bCs/>
          <w:color w:val="auto"/>
          <w:sz w:val="24"/>
          <w:highlight w:val="none"/>
        </w:rPr>
        <w:t>二、商务要求</w:t>
      </w:r>
    </w:p>
    <w:p w14:paraId="1CAFDD78">
      <w:pPr>
        <w:keepNext w:val="0"/>
        <w:keepLines w:val="0"/>
        <w:pageBreakBefore w:val="0"/>
        <w:widowControl w:val="0"/>
        <w:spacing w:line="312" w:lineRule="auto"/>
        <w:ind w:firstLine="482"/>
        <w:contextualSpacing/>
        <w:rPr>
          <w:rFonts w:ascii="宋体" w:hAnsi="宋体" w:cs="宋体"/>
          <w:b/>
          <w:color w:val="auto"/>
          <w:sz w:val="24"/>
          <w:highlight w:val="none"/>
        </w:rPr>
      </w:pPr>
      <w:r>
        <w:rPr>
          <w:rFonts w:hint="eastAsia" w:ascii="宋体" w:hAnsi="宋体" w:cs="宋体"/>
          <w:b/>
          <w:color w:val="auto"/>
          <w:sz w:val="24"/>
          <w:highlight w:val="none"/>
        </w:rPr>
        <w:t>1.工期</w:t>
      </w:r>
    </w:p>
    <w:p w14:paraId="36244BC2">
      <w:pPr>
        <w:keepNext w:val="0"/>
        <w:keepLines w:val="0"/>
        <w:pageBreakBefore w:val="0"/>
        <w:widowControl w:val="0"/>
        <w:spacing w:line="312" w:lineRule="auto"/>
        <w:ind w:firstLine="480"/>
        <w:contextualSpacing/>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（1）30日历天，逾期未完成的，采购人有权解除合同。</w:t>
      </w:r>
    </w:p>
    <w:p w14:paraId="1B5A21DD">
      <w:pPr>
        <w:keepNext w:val="0"/>
        <w:keepLines w:val="0"/>
        <w:pageBreakBefore w:val="0"/>
        <w:widowControl w:val="0"/>
        <w:spacing w:line="312" w:lineRule="auto"/>
        <w:ind w:firstLine="480"/>
        <w:contextualSpacing/>
        <w:rPr>
          <w:rFonts w:hint="eastAsia" w:ascii="宋体" w:hAnsi="宋体" w:cs="宋体"/>
          <w:color w:val="auto"/>
          <w:sz w:val="24"/>
          <w:highlight w:val="none"/>
          <w:lang w:val="en-US"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（2）成交供应商逾期履行的，每逾期一日，应按合同总价的 0.5‰向采购人支付违约金。</w:t>
      </w:r>
    </w:p>
    <w:p w14:paraId="5189FFDB">
      <w:pPr>
        <w:keepNext w:val="0"/>
        <w:keepLines w:val="0"/>
        <w:pageBreakBefore w:val="0"/>
        <w:widowControl w:val="0"/>
        <w:spacing w:line="312" w:lineRule="auto"/>
        <w:ind w:firstLine="480"/>
        <w:contextualSpacing/>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（3）累计违约金以合同总价的5%为上限。</w:t>
      </w:r>
    </w:p>
    <w:p w14:paraId="75E09E94">
      <w:pPr>
        <w:keepNext w:val="0"/>
        <w:keepLines w:val="0"/>
        <w:pageBreakBefore w:val="0"/>
        <w:widowControl w:val="0"/>
        <w:spacing w:line="312" w:lineRule="auto"/>
        <w:ind w:firstLine="482"/>
        <w:contextualSpacing/>
        <w:rPr>
          <w:rFonts w:ascii="宋体" w:hAnsi="宋体" w:cs="宋体"/>
          <w:b/>
          <w:color w:val="auto"/>
          <w:sz w:val="24"/>
          <w:highlight w:val="none"/>
        </w:rPr>
      </w:pPr>
      <w:r>
        <w:rPr>
          <w:rFonts w:hint="eastAsia" w:ascii="宋体" w:hAnsi="宋体" w:cs="宋体"/>
          <w:b/>
          <w:color w:val="auto"/>
          <w:sz w:val="24"/>
          <w:highlight w:val="none"/>
        </w:rPr>
        <w:t>2.付款条件</w:t>
      </w:r>
    </w:p>
    <w:p w14:paraId="5A8793DB">
      <w:pPr>
        <w:keepNext w:val="0"/>
        <w:keepLines w:val="0"/>
        <w:pageBreakBefore w:val="0"/>
        <w:widowControl w:val="0"/>
        <w:spacing w:line="312"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双方约定的工程款（进度款）支付的方式和时间：</w:t>
      </w:r>
    </w:p>
    <w:p w14:paraId="753FA402">
      <w:pPr>
        <w:keepNext w:val="0"/>
        <w:keepLines w:val="0"/>
        <w:pageBreakBefore w:val="0"/>
        <w:widowControl w:val="0"/>
        <w:spacing w:line="312" w:lineRule="auto"/>
        <w:ind w:firstLine="480"/>
        <w:contextualSpacing/>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工程竣工验收合格后付合同价的40%，审计后满一年付至审定价的70%，审计后满二年付至审定价的90%，审计后满三年付清余款。</w:t>
      </w:r>
    </w:p>
    <w:p w14:paraId="1576002B">
      <w:pPr>
        <w:keepNext w:val="0"/>
        <w:keepLines w:val="0"/>
        <w:pageBreakBefore w:val="0"/>
        <w:widowControl w:val="0"/>
        <w:spacing w:line="312" w:lineRule="auto"/>
        <w:ind w:firstLine="480"/>
        <w:contextualSpacing/>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注：</w:t>
      </w:r>
      <w:r>
        <w:rPr>
          <w:rFonts w:hint="eastAsia" w:ascii="宋体" w:hAnsi="宋体" w:eastAsia="宋体" w:cs="宋体"/>
          <w:bCs/>
          <w:color w:val="auto"/>
          <w:sz w:val="24"/>
          <w:highlight w:val="none"/>
          <w:lang w:eastAsia="zh-CN"/>
        </w:rPr>
        <w:t>每次付款前，</w:t>
      </w:r>
      <w:r>
        <w:rPr>
          <w:rFonts w:hint="eastAsia" w:ascii="宋体" w:hAnsi="宋体" w:cs="宋体"/>
          <w:bCs/>
          <w:color w:val="auto"/>
          <w:sz w:val="24"/>
          <w:highlight w:val="none"/>
        </w:rPr>
        <w:t>成交供应商</w:t>
      </w:r>
      <w:r>
        <w:rPr>
          <w:rFonts w:hint="eastAsia" w:ascii="宋体" w:hAnsi="宋体" w:eastAsia="宋体" w:cs="宋体"/>
          <w:bCs/>
          <w:color w:val="auto"/>
          <w:sz w:val="24"/>
          <w:highlight w:val="none"/>
          <w:lang w:eastAsia="zh-CN"/>
        </w:rPr>
        <w:t>必须提交符合国家财税规定的正规发票。</w:t>
      </w:r>
    </w:p>
    <w:p w14:paraId="23D092A7">
      <w:pPr>
        <w:keepNext w:val="0"/>
        <w:keepLines w:val="0"/>
        <w:pageBreakBefore w:val="0"/>
        <w:widowControl w:val="0"/>
        <w:spacing w:line="312" w:lineRule="auto"/>
        <w:ind w:firstLine="480"/>
        <w:contextualSpacing/>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工程采取全过程跟踪审计模式的，审计核减额在5%（含）以内（送审价-审定价）/送审价x100%≦5%的审计费由审计委托方承担，审计核减额在5%以上（送审价-审定价）/送审价x100%＞5%的审计费即〔（1-5%）x送审价-审定价〕x3%费用由</w:t>
      </w:r>
      <w:r>
        <w:rPr>
          <w:rFonts w:hint="eastAsia" w:ascii="宋体" w:hAnsi="宋体" w:cs="宋体"/>
          <w:bCs/>
          <w:color w:val="auto"/>
          <w:sz w:val="24"/>
          <w:highlight w:val="none"/>
        </w:rPr>
        <w:t>成交供应商</w:t>
      </w:r>
      <w:r>
        <w:rPr>
          <w:rFonts w:hint="eastAsia" w:ascii="宋体" w:hAnsi="宋体" w:cs="宋体"/>
          <w:bCs/>
          <w:color w:val="auto"/>
          <w:sz w:val="24"/>
          <w:highlight w:val="none"/>
          <w:lang w:eastAsia="zh-CN"/>
        </w:rPr>
        <w:t>承担。</w:t>
      </w:r>
    </w:p>
    <w:p w14:paraId="4585C6F4">
      <w:pPr>
        <w:keepNext w:val="0"/>
        <w:keepLines w:val="0"/>
        <w:pageBreakBefore w:val="0"/>
        <w:widowControl w:val="0"/>
        <w:spacing w:line="312" w:lineRule="auto"/>
        <w:ind w:firstLine="480"/>
        <w:contextualSpacing/>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工程采取竣工结算审计模式的，审计核减额在6%（含）以内（送审价-审定价）/送审价x100%≦6%的审计费由审计委托方承担，审计核减额在6%以上（送审价-审定价）/送审价x100%＞6%的审计费即〔（1-6%）x送审价-审定价〕x3.5%费用由</w:t>
      </w:r>
      <w:r>
        <w:rPr>
          <w:rFonts w:hint="eastAsia" w:ascii="宋体" w:hAnsi="宋体" w:cs="宋体"/>
          <w:bCs/>
          <w:color w:val="auto"/>
          <w:sz w:val="24"/>
          <w:highlight w:val="none"/>
        </w:rPr>
        <w:t>成交供应商</w:t>
      </w:r>
      <w:r>
        <w:rPr>
          <w:rFonts w:hint="eastAsia" w:ascii="宋体" w:hAnsi="宋体" w:cs="宋体"/>
          <w:bCs/>
          <w:color w:val="auto"/>
          <w:sz w:val="24"/>
          <w:highlight w:val="none"/>
          <w:lang w:eastAsia="zh-CN"/>
        </w:rPr>
        <w:t>承担。</w:t>
      </w:r>
    </w:p>
    <w:p w14:paraId="41D69085">
      <w:pPr>
        <w:keepNext w:val="0"/>
        <w:keepLines w:val="0"/>
        <w:pageBreakBefore w:val="0"/>
        <w:widowControl w:val="0"/>
        <w:spacing w:line="312" w:lineRule="auto"/>
        <w:ind w:firstLine="480"/>
        <w:contextualSpacing/>
        <w:rPr>
          <w:rFonts w:hint="eastAsia" w:ascii="宋体" w:hAnsi="宋体" w:cs="宋体"/>
          <w:b/>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）工程审计由建设方委托，审计模式由委托方确定。</w:t>
      </w:r>
    </w:p>
    <w:p w14:paraId="177DF614">
      <w:pPr>
        <w:keepNext w:val="0"/>
        <w:keepLines w:val="0"/>
        <w:pageBreakBefore w:val="0"/>
        <w:widowControl w:val="0"/>
        <w:spacing w:line="312" w:lineRule="auto"/>
        <w:ind w:firstLine="482"/>
        <w:contextualSpacing/>
        <w:rPr>
          <w:rFonts w:ascii="宋体" w:hAnsi="宋体" w:cs="宋体"/>
          <w:b/>
          <w:color w:val="auto"/>
          <w:sz w:val="24"/>
          <w:highlight w:val="none"/>
        </w:rPr>
      </w:pPr>
      <w:r>
        <w:rPr>
          <w:rFonts w:hint="eastAsia" w:ascii="宋体" w:hAnsi="宋体" w:cs="宋体"/>
          <w:b/>
          <w:color w:val="auto"/>
          <w:sz w:val="24"/>
          <w:highlight w:val="none"/>
        </w:rPr>
        <w:t>3.质保期</w:t>
      </w:r>
    </w:p>
    <w:p w14:paraId="52CF9960">
      <w:pPr>
        <w:keepNext w:val="0"/>
        <w:keepLines w:val="0"/>
        <w:pageBreakBefore w:val="0"/>
        <w:widowControl w:val="0"/>
        <w:spacing w:line="312"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质保期2年（自验收合格之日起，开始进入质保期）。成交供应商对质保期内所发生的一切费用负责。</w:t>
      </w:r>
    </w:p>
    <w:p w14:paraId="3B9B4BDA">
      <w:pPr>
        <w:keepNext w:val="0"/>
        <w:keepLines w:val="0"/>
        <w:pageBreakBefore w:val="0"/>
        <w:widowControl w:val="0"/>
        <w:spacing w:line="312" w:lineRule="auto"/>
        <w:contextualSpacing/>
        <w:rPr>
          <w:rFonts w:ascii="宋体" w:hAnsi="宋体" w:cs="宋体"/>
          <w:b/>
          <w:color w:val="auto"/>
          <w:sz w:val="24"/>
          <w:highlight w:val="none"/>
        </w:rPr>
      </w:pPr>
      <w:r>
        <w:rPr>
          <w:rFonts w:hint="eastAsia" w:ascii="宋体" w:hAnsi="宋体" w:cs="宋体"/>
          <w:b/>
          <w:color w:val="auto"/>
          <w:sz w:val="24"/>
          <w:highlight w:val="none"/>
        </w:rPr>
        <w:t>三、技术要求</w:t>
      </w:r>
    </w:p>
    <w:p w14:paraId="654D7EF2">
      <w:pPr>
        <w:keepNext w:val="0"/>
        <w:keepLines w:val="0"/>
        <w:pageBreakBefore w:val="0"/>
        <w:widowControl w:val="0"/>
        <w:spacing w:line="312" w:lineRule="auto"/>
        <w:ind w:firstLine="482"/>
        <w:contextualSpacing/>
        <w:rPr>
          <w:rFonts w:hint="eastAsia" w:ascii="宋体" w:hAnsi="宋体" w:cs="宋体"/>
          <w:b/>
          <w:color w:val="auto"/>
          <w:sz w:val="24"/>
          <w:highlight w:val="none"/>
          <w:lang w:val="en-US" w:eastAsia="zh-CN"/>
        </w:rPr>
      </w:pPr>
      <w:r>
        <w:rPr>
          <w:rFonts w:hint="eastAsia" w:ascii="宋体" w:hAnsi="宋体" w:cs="宋体"/>
          <w:b/>
          <w:color w:val="auto"/>
          <w:sz w:val="24"/>
          <w:highlight w:val="none"/>
        </w:rPr>
        <w:t>1.工程量清单、</w:t>
      </w:r>
      <w:r>
        <w:rPr>
          <w:rFonts w:hint="eastAsia" w:ascii="宋体" w:hAnsi="宋体" w:cs="宋体"/>
          <w:b/>
          <w:color w:val="auto"/>
          <w:sz w:val="24"/>
          <w:highlight w:val="none"/>
          <w:lang w:val="en-US" w:eastAsia="zh-CN"/>
        </w:rPr>
        <w:t>最高限价、</w:t>
      </w:r>
      <w:r>
        <w:rPr>
          <w:rFonts w:hint="eastAsia" w:ascii="宋体" w:hAnsi="宋体" w:cs="宋体"/>
          <w:b/>
          <w:color w:val="auto"/>
          <w:sz w:val="24"/>
          <w:highlight w:val="none"/>
        </w:rPr>
        <w:t>编制说明</w:t>
      </w:r>
      <w:r>
        <w:rPr>
          <w:rFonts w:hint="eastAsia" w:ascii="宋体" w:hAnsi="宋体" w:cs="宋体"/>
          <w:b/>
          <w:color w:val="auto"/>
          <w:sz w:val="24"/>
          <w:highlight w:val="none"/>
          <w:lang w:val="en-US" w:eastAsia="zh-CN"/>
        </w:rPr>
        <w:t xml:space="preserve">及图纸下载链接：https://pan.baidu.com/s/1zGm5KR89rpsn974k8H6b4A?pwd=mwjr </w:t>
      </w:r>
    </w:p>
    <w:p w14:paraId="311B2264">
      <w:pPr>
        <w:keepNext w:val="0"/>
        <w:keepLines w:val="0"/>
        <w:pageBreakBefore w:val="0"/>
        <w:widowControl w:val="0"/>
        <w:spacing w:line="312" w:lineRule="auto"/>
        <w:ind w:firstLine="482"/>
        <w:contextualSpacing/>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提取码: mwjr</w:t>
      </w:r>
    </w:p>
    <w:p w14:paraId="0667F422">
      <w:pPr>
        <w:keepNext w:val="0"/>
        <w:keepLines w:val="0"/>
        <w:pageBreakBefore w:val="0"/>
        <w:widowControl w:val="0"/>
        <w:spacing w:line="312" w:lineRule="auto"/>
        <w:ind w:firstLine="482"/>
        <w:contextualSpacing/>
        <w:rPr>
          <w:rFonts w:ascii="宋体" w:hAnsi="宋体" w:cs="宋体"/>
          <w:b/>
          <w:color w:val="auto"/>
          <w:sz w:val="24"/>
          <w:highlight w:val="none"/>
        </w:rPr>
      </w:pPr>
      <w:r>
        <w:rPr>
          <w:rFonts w:hint="eastAsia" w:ascii="宋体" w:hAnsi="宋体" w:cs="宋体"/>
          <w:b/>
          <w:color w:val="auto"/>
          <w:sz w:val="24"/>
          <w:highlight w:val="none"/>
        </w:rPr>
        <w:t>2.其他要求</w:t>
      </w:r>
    </w:p>
    <w:p w14:paraId="2682048B">
      <w:pPr>
        <w:pStyle w:val="196"/>
        <w:keepNext w:val="0"/>
        <w:keepLines w:val="0"/>
        <w:pageBreakBefore w:val="0"/>
        <w:widowControl w:val="0"/>
        <w:spacing w:line="312" w:lineRule="auto"/>
        <w:ind w:firstLine="480"/>
        <w:contextualSpacing/>
        <w:jc w:val="left"/>
        <w:rPr>
          <w:rFonts w:ascii="宋体" w:hAnsi="宋体" w:cs="宋体"/>
          <w:color w:val="auto"/>
          <w:sz w:val="24"/>
          <w:szCs w:val="24"/>
          <w:highlight w:val="none"/>
        </w:rPr>
      </w:pPr>
      <w:r>
        <w:rPr>
          <w:rFonts w:hint="eastAsia" w:ascii="宋体" w:hAnsi="宋体" w:cs="宋体"/>
          <w:bCs/>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w:t>
      </w:r>
    </w:p>
    <w:p w14:paraId="778415C7">
      <w:pPr>
        <w:keepNext w:val="0"/>
        <w:keepLines w:val="0"/>
        <w:pageBreakBefore w:val="0"/>
        <w:widowControl w:val="0"/>
        <w:spacing w:line="312" w:lineRule="auto"/>
        <w:rPr>
          <w:rFonts w:ascii="宋体" w:hAnsi="宋体" w:cs="宋体"/>
          <w:b/>
          <w:bCs/>
          <w:color w:val="auto"/>
          <w:sz w:val="24"/>
          <w:highlight w:val="none"/>
        </w:rPr>
      </w:pPr>
      <w:r>
        <w:rPr>
          <w:rFonts w:hint="eastAsia" w:ascii="宋体" w:hAnsi="宋体" w:cs="宋体"/>
          <w:b/>
          <w:bCs/>
          <w:color w:val="auto"/>
          <w:sz w:val="24"/>
          <w:highlight w:val="none"/>
        </w:rPr>
        <w:t>四、磋商报价</w:t>
      </w:r>
    </w:p>
    <w:p w14:paraId="541A5B4E">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1.本工程磋商报价采用工程量清单报价。</w:t>
      </w:r>
    </w:p>
    <w:p w14:paraId="0E69152C">
      <w:pPr>
        <w:spacing w:line="360" w:lineRule="auto"/>
        <w:ind w:firstLine="480"/>
        <w:contextualSpacing/>
        <w:rPr>
          <w:rFonts w:hint="eastAsia" w:ascii="宋体" w:hAnsi="宋体" w:cs="宋体"/>
          <w:bCs/>
          <w:color w:val="auto"/>
          <w:sz w:val="24"/>
          <w:highlight w:val="none"/>
        </w:rPr>
      </w:pPr>
      <w:r>
        <w:rPr>
          <w:rFonts w:ascii="宋体" w:hAnsi="宋体" w:cs="Segoe UI Symbol"/>
          <w:color w:val="auto"/>
          <w:sz w:val="24"/>
          <w:highlight w:val="none"/>
        </w:rPr>
        <w:t>★</w:t>
      </w:r>
      <w:r>
        <w:rPr>
          <w:rFonts w:hint="eastAsia" w:ascii="宋体" w:hAnsi="宋体" w:eastAsia="宋体" w:cs="宋体"/>
          <w:b/>
          <w:color w:val="auto"/>
          <w:sz w:val="24"/>
          <w:highlight w:val="none"/>
        </w:rPr>
        <w:t>供应商应按要求提供已标价工程量清单</w:t>
      </w:r>
      <w:r>
        <w:rPr>
          <w:rFonts w:hint="eastAsia" w:ascii="宋体" w:hAnsi="宋体" w:eastAsia="宋体" w:cs="宋体"/>
          <w:b/>
          <w:color w:val="auto"/>
          <w:sz w:val="24"/>
          <w:highlight w:val="none"/>
          <w:lang w:eastAsia="zh-CN"/>
        </w:rPr>
        <w:t>，</w:t>
      </w:r>
      <w:r>
        <w:rPr>
          <w:rFonts w:hint="eastAsia" w:ascii="宋体" w:hAnsi="宋体" w:cs="宋体"/>
          <w:b/>
          <w:color w:val="auto"/>
          <w:sz w:val="24"/>
          <w:highlight w:val="none"/>
        </w:rPr>
        <w:t>根据工程量清单计价规范提供以下相关内容表格</w:t>
      </w:r>
      <w:r>
        <w:rPr>
          <w:rFonts w:hint="eastAsia" w:ascii="宋体" w:hAnsi="宋体" w:cs="宋体"/>
          <w:bCs/>
          <w:color w:val="auto"/>
          <w:sz w:val="24"/>
          <w:highlight w:val="none"/>
        </w:rPr>
        <w:t>:单位工程费汇总表、分部分项工程和单价措施项目清单计价表、总价措施项目清单与计价表、其他项目清单与计价汇总表、暂列金额明细表、材料暂估价格表、专业工程暂估价表、规费、税金项目清单计价表、承包人提供主要材料及设备价格表。</w:t>
      </w:r>
    </w:p>
    <w:p w14:paraId="5289E57B">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2.本项目磋商报价为</w:t>
      </w:r>
      <w:r>
        <w:rPr>
          <w:rFonts w:hint="eastAsia" w:ascii="宋体" w:hAnsi="宋体" w:cs="宋体"/>
          <w:b/>
          <w:color w:val="auto"/>
          <w:sz w:val="24"/>
          <w:highlight w:val="none"/>
        </w:rPr>
        <w:t>固定综合单价</w:t>
      </w:r>
      <w:r>
        <w:rPr>
          <w:rFonts w:hint="eastAsia" w:ascii="宋体" w:hAnsi="宋体" w:cs="宋体"/>
          <w:bCs/>
          <w:color w:val="auto"/>
          <w:sz w:val="24"/>
          <w:highlight w:val="none"/>
        </w:rPr>
        <w:t>，磋商报价为供应商在磋商响应文件中提出的各项支付金额的总和。</w:t>
      </w:r>
    </w:p>
    <w:p w14:paraId="40330921">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3.供应商所填报的各项基价中的各种材料单价在合同实施期间按合同条款约定调整，供应商在报综合单价时应考虑各种风险因素和自己的承受能力。</w:t>
      </w:r>
    </w:p>
    <w:p w14:paraId="2AB3FD97">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4.因设计变更引起工程项目、工程量变化的，变更合同价款详见合同条款。</w:t>
      </w:r>
    </w:p>
    <w:p w14:paraId="2D84CF47">
      <w:pPr>
        <w:widowControl/>
        <w:spacing w:line="360" w:lineRule="auto"/>
        <w:ind w:firstLine="480"/>
        <w:jc w:val="left"/>
        <w:rPr>
          <w:rFonts w:hint="eastAsia"/>
          <w:color w:val="auto"/>
          <w:highlight w:val="none"/>
        </w:rPr>
      </w:pPr>
      <w:r>
        <w:rPr>
          <w:rFonts w:hint="eastAsia" w:ascii="宋体" w:hAnsi="宋体" w:cs="宋体"/>
          <w:color w:val="auto"/>
          <w:sz w:val="24"/>
          <w:highlight w:val="none"/>
        </w:rPr>
        <w:t>5.禁止盲目压低报价。</w:t>
      </w:r>
    </w:p>
    <w:p w14:paraId="6303D389">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6.磋商报价的编制要求：</w:t>
      </w:r>
    </w:p>
    <w:p w14:paraId="0E5CF7E2">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13C853BE">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p>
    <w:p w14:paraId="63168CAA">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（3）其他项目清单中的材料暂估价、暂列金额、专业工程暂估价、预留金均不能优惠，虽在开标时计入供应商的报价中，但不应视为供应商所有。</w:t>
      </w:r>
    </w:p>
    <w:p w14:paraId="2DA789EE">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（4）工程量清单是按建设方提供相关的图纸、规范、标准图集和技术资料、《建设工程工程量清单计价规范》GB50500-2013、</w:t>
      </w:r>
      <w:r>
        <w:rPr>
          <w:rFonts w:ascii="宋体" w:hAnsi="宋体" w:cs="宋体"/>
          <w:bCs/>
          <w:color w:val="auto"/>
          <w:sz w:val="24"/>
          <w:highlight w:val="none"/>
        </w:rPr>
        <w:t>《房屋建筑与装饰工程工程量计算规范》(GB50854-2013)、《通用安装工程工程量计算规范》（GB50856-2013）、《市政工程工程量计算规范》(GB50857-2013)</w:t>
      </w:r>
      <w:r>
        <w:rPr>
          <w:rFonts w:hint="eastAsia" w:ascii="宋体" w:hAnsi="宋体" w:cs="宋体"/>
          <w:bCs/>
          <w:color w:val="auto"/>
          <w:sz w:val="24"/>
          <w:highlight w:val="none"/>
        </w:rPr>
        <w:t>、</w:t>
      </w:r>
      <w:r>
        <w:rPr>
          <w:rFonts w:ascii="宋体" w:hAnsi="宋体" w:cs="宋体"/>
          <w:bCs/>
          <w:color w:val="auto"/>
          <w:sz w:val="24"/>
          <w:highlight w:val="none"/>
        </w:rPr>
        <w:t>《江苏省市政工程计价定额》（2014版）、《江苏省仿古及园林工程计价定额》(2007版)</w:t>
      </w:r>
      <w:r>
        <w:rPr>
          <w:rFonts w:hint="eastAsia" w:ascii="宋体" w:hAnsi="宋体" w:cs="宋体"/>
          <w:bCs/>
          <w:color w:val="auto"/>
          <w:sz w:val="24"/>
          <w:highlight w:val="none"/>
        </w:rPr>
        <w:t>、《江苏省建筑与装饰工程计价定额》（2014年）、《江苏省安装工程计价定额》（2014年）、《江苏省建设工程费用定额》（2014年）（营改增后）、苏建价〔2014〕448号文、苏建价〔2016〕154号文、〔2019〕19号、常建〔2014〕279号文、常建〔2016〕94号文、常建〔2017〕103号文、常建〔2019〕1号文、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包方双方在合同约定的应予计量、且实际完成的工程量确定。</w:t>
      </w:r>
    </w:p>
    <w:p w14:paraId="306E6E20">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p>
    <w:p w14:paraId="11C64B55">
      <w:pPr>
        <w:spacing w:line="360" w:lineRule="auto"/>
        <w:ind w:firstLine="482"/>
        <w:contextualSpacing/>
        <w:rPr>
          <w:rFonts w:hint="eastAsia" w:ascii="宋体" w:hAnsi="宋体" w:cs="宋体"/>
          <w:bCs/>
          <w:color w:val="auto"/>
          <w:sz w:val="24"/>
          <w:highlight w:val="none"/>
        </w:rPr>
      </w:pPr>
      <w:r>
        <w:rPr>
          <w:rFonts w:hint="eastAsia" w:ascii="宋体" w:hAnsi="宋体" w:cs="宋体"/>
          <w:b/>
          <w:color w:val="auto"/>
          <w:sz w:val="24"/>
          <w:highlight w:val="none"/>
        </w:rPr>
        <w:t>★</w:t>
      </w:r>
      <w:r>
        <w:rPr>
          <w:rFonts w:hint="eastAsia" w:ascii="宋体" w:hAnsi="宋体" w:cs="宋体"/>
          <w:bCs/>
          <w:color w:val="auto"/>
          <w:sz w:val="24"/>
          <w:highlight w:val="none"/>
        </w:rPr>
        <w:t>（6）供应商应按采购人提供的工程量清单填报价格，填写的项目编码、项目名称、项目特征、计量单位、工程量必须与采购人提供的一致。</w:t>
      </w:r>
    </w:p>
    <w:p w14:paraId="20A7EEB5">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（7）供应商</w:t>
      </w:r>
      <w:r>
        <w:rPr>
          <w:rFonts w:ascii="宋体" w:hAnsi="宋体" w:cs="宋体"/>
          <w:bCs/>
          <w:color w:val="auto"/>
          <w:sz w:val="24"/>
          <w:highlight w:val="none"/>
        </w:rPr>
        <w:t>应及时复核工程量清单</w:t>
      </w:r>
      <w:r>
        <w:rPr>
          <w:rFonts w:hint="eastAsia" w:ascii="宋体" w:hAnsi="宋体" w:cs="宋体"/>
          <w:bCs/>
          <w:color w:val="auto"/>
          <w:sz w:val="24"/>
          <w:highlight w:val="none"/>
        </w:rPr>
        <w:t>（包</w:t>
      </w:r>
      <w:r>
        <w:rPr>
          <w:rFonts w:ascii="宋体" w:hAnsi="宋体" w:cs="宋体"/>
          <w:bCs/>
          <w:color w:val="auto"/>
          <w:sz w:val="24"/>
          <w:highlight w:val="none"/>
        </w:rPr>
        <w:t>括但不限于清单漏项、清单描述不全、清单描述前后矛盾、清单描述和设计图纸及规范不一致等)，如</w:t>
      </w:r>
      <w:r>
        <w:rPr>
          <w:rFonts w:hint="eastAsia" w:ascii="宋体" w:hAnsi="宋体" w:cs="宋体"/>
          <w:bCs/>
          <w:color w:val="auto"/>
          <w:sz w:val="24"/>
          <w:highlight w:val="none"/>
        </w:rPr>
        <w:t>供应商</w:t>
      </w:r>
      <w:r>
        <w:rPr>
          <w:rFonts w:ascii="宋体" w:hAnsi="宋体" w:cs="宋体"/>
          <w:bCs/>
          <w:color w:val="auto"/>
          <w:sz w:val="24"/>
          <w:highlight w:val="none"/>
        </w:rPr>
        <w:t>未在规定时间内提出疑问，产生的相关后果及产生的一切费用由</w:t>
      </w:r>
      <w:r>
        <w:rPr>
          <w:rFonts w:hint="eastAsia" w:ascii="宋体" w:hAnsi="宋体" w:cs="宋体"/>
          <w:bCs/>
          <w:color w:val="auto"/>
          <w:sz w:val="24"/>
          <w:highlight w:val="none"/>
        </w:rPr>
        <w:t>供应商</w:t>
      </w:r>
      <w:r>
        <w:rPr>
          <w:rFonts w:ascii="宋体" w:hAnsi="宋体" w:cs="宋体"/>
          <w:bCs/>
          <w:color w:val="auto"/>
          <w:sz w:val="24"/>
          <w:highlight w:val="none"/>
        </w:rPr>
        <w:t>自行承担，中标后不得以任何理由向</w:t>
      </w:r>
      <w:r>
        <w:rPr>
          <w:rFonts w:hint="eastAsia" w:ascii="宋体" w:hAnsi="宋体" w:cs="宋体"/>
          <w:bCs/>
          <w:color w:val="auto"/>
          <w:sz w:val="24"/>
          <w:highlight w:val="none"/>
        </w:rPr>
        <w:t>采购人</w:t>
      </w:r>
      <w:r>
        <w:rPr>
          <w:rFonts w:ascii="宋体" w:hAnsi="宋体" w:cs="宋体"/>
          <w:bCs/>
          <w:color w:val="auto"/>
          <w:sz w:val="24"/>
          <w:highlight w:val="none"/>
        </w:rPr>
        <w:t>提出索赔</w:t>
      </w:r>
      <w:r>
        <w:rPr>
          <w:rFonts w:hint="eastAsia" w:ascii="宋体" w:hAnsi="宋体" w:cs="宋体"/>
          <w:bCs/>
          <w:color w:val="auto"/>
          <w:sz w:val="24"/>
          <w:highlight w:val="none"/>
        </w:rPr>
        <w:t>。综合单价中应考虑磋商响应文件中要求供应商承担的风险费用。暂估单价的材料，按暂估的单价计入综合单价。</w:t>
      </w:r>
    </w:p>
    <w:p w14:paraId="4FF622C9">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78A9AA0B">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9）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4976DC7A">
      <w:pPr>
        <w:spacing w:line="360" w:lineRule="auto"/>
        <w:ind w:firstLine="480"/>
        <w:contextualSpacing/>
        <w:rPr>
          <w:rFonts w:ascii="宋体" w:hAnsi="宋体" w:cs="宋体"/>
          <w:bCs/>
          <w:color w:val="auto"/>
          <w:sz w:val="24"/>
          <w:highlight w:val="none"/>
        </w:rPr>
      </w:pPr>
      <w:r>
        <w:rPr>
          <w:rFonts w:hint="eastAsia" w:ascii="宋体" w:hAnsi="宋体" w:cs="宋体"/>
          <w:bCs/>
          <w:color w:val="auto"/>
          <w:sz w:val="24"/>
          <w:highlight w:val="none"/>
        </w:rPr>
        <w:t>（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267C81AC">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11）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73739C68">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13）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p>
    <w:p w14:paraId="0230871B">
      <w:pPr>
        <w:spacing w:line="360" w:lineRule="auto"/>
        <w:ind w:firstLine="482"/>
        <w:contextualSpacing/>
        <w:rPr>
          <w:rFonts w:ascii="宋体" w:hAnsi="宋体" w:cs="宋体"/>
          <w:b/>
          <w:color w:val="auto"/>
          <w:sz w:val="24"/>
          <w:highlight w:val="none"/>
        </w:rPr>
      </w:pPr>
      <w:r>
        <w:rPr>
          <w:rFonts w:hint="eastAsia" w:ascii="宋体" w:hAnsi="宋体" w:cs="宋体"/>
          <w:b/>
          <w:color w:val="auto"/>
          <w:sz w:val="24"/>
          <w:highlight w:val="none"/>
        </w:rPr>
        <w:t>7.供应商的最后报价作为评分依据，如最后报价与第一次报价不一致，则签订合同时单价根据最终报价与首次报价之比同比例下浮。</w:t>
      </w:r>
    </w:p>
    <w:p w14:paraId="17E226FA">
      <w:pPr>
        <w:pageBreakBefore w:val="0"/>
        <w:widowControl w:val="0"/>
        <w:spacing w:line="360" w:lineRule="auto"/>
        <w:ind w:firstLine="482"/>
        <w:rPr>
          <w:rFonts w:hint="eastAsia" w:ascii="宋体" w:hAnsi="宋体" w:cs="宋体"/>
          <w:color w:val="auto"/>
          <w:sz w:val="24"/>
          <w:highlight w:val="none"/>
        </w:rPr>
      </w:pPr>
      <w:r>
        <w:rPr>
          <w:rFonts w:ascii="宋体" w:hAnsi="宋体" w:cs="宋体"/>
          <w:b/>
          <w:color w:val="auto"/>
          <w:sz w:val="24"/>
          <w:highlight w:val="none"/>
        </w:rPr>
        <w:t>下浮率=[磋商响应文件中的首次报价(扣除专业工程暂估价、暂列金额)-成交金额(扣除专业工程暂估价、暂列金额)】/[磋商响应文件中的首次报价(扣除专业工程暂估价、暂列金额)】</w:t>
      </w:r>
    </w:p>
    <w:p w14:paraId="2E137870">
      <w:pPr>
        <w:rPr>
          <w:b/>
          <w:color w:val="auto"/>
          <w:sz w:val="36"/>
          <w:szCs w:val="36"/>
          <w:highlight w:val="none"/>
        </w:rPr>
      </w:pPr>
      <w:bookmarkStart w:id="610" w:name="_Toc104818929"/>
      <w:bookmarkStart w:id="611" w:name="_Toc104"/>
      <w:r>
        <w:rPr>
          <w:b/>
          <w:color w:val="auto"/>
          <w:sz w:val="36"/>
          <w:szCs w:val="36"/>
          <w:highlight w:val="none"/>
        </w:rPr>
        <w:br w:type="page" w:clear="all"/>
      </w:r>
    </w:p>
    <w:p w14:paraId="1974912A">
      <w:pPr>
        <w:spacing w:line="360" w:lineRule="auto"/>
        <w:jc w:val="center"/>
        <w:outlineLvl w:val="0"/>
        <w:rPr>
          <w:b/>
          <w:color w:val="auto"/>
          <w:sz w:val="36"/>
          <w:szCs w:val="36"/>
          <w:highlight w:val="none"/>
        </w:rPr>
      </w:pPr>
      <w:r>
        <w:rPr>
          <w:b/>
          <w:color w:val="auto"/>
          <w:sz w:val="36"/>
          <w:szCs w:val="36"/>
          <w:highlight w:val="none"/>
        </w:rPr>
        <w:t>第五章   合同草案条款</w:t>
      </w:r>
      <w:bookmarkEnd w:id="610"/>
      <w:bookmarkEnd w:id="611"/>
    </w:p>
    <w:p w14:paraId="26C6D552">
      <w:pPr>
        <w:tabs>
          <w:tab w:val="left" w:pos="0"/>
          <w:tab w:val="left" w:pos="993"/>
          <w:tab w:val="left" w:pos="1134"/>
        </w:tabs>
        <w:spacing w:line="500" w:lineRule="exact"/>
        <w:jc w:val="center"/>
        <w:rPr>
          <w:rFonts w:hint="eastAsia" w:ascii="宋体" w:hAnsi="宋体" w:eastAsia="宋体" w:cs="宋体"/>
          <w:b/>
          <w:color w:val="auto"/>
          <w:sz w:val="24"/>
          <w:highlight w:val="none"/>
        </w:rPr>
      </w:pPr>
      <w:bookmarkStart w:id="612" w:name="_Toc104818930"/>
      <w:r>
        <w:rPr>
          <w:rFonts w:hint="eastAsia" w:ascii="宋体" w:hAnsi="宋体" w:eastAsia="宋体" w:cs="宋体"/>
          <w:b/>
          <w:color w:val="auto"/>
          <w:sz w:val="24"/>
          <w:highlight w:val="none"/>
        </w:rPr>
        <w:t>（以</w:t>
      </w:r>
      <w:r>
        <w:rPr>
          <w:rFonts w:hint="eastAsia" w:ascii="宋体" w:hAnsi="宋体" w:eastAsia="宋体" w:cs="宋体"/>
          <w:b/>
          <w:color w:val="auto"/>
          <w:sz w:val="24"/>
          <w:highlight w:val="none"/>
          <w:lang w:val="en-US" w:eastAsia="zh-CN"/>
        </w:rPr>
        <w:t>采购</w:t>
      </w:r>
      <w:r>
        <w:rPr>
          <w:rFonts w:hint="eastAsia" w:ascii="宋体" w:hAnsi="宋体" w:eastAsia="宋体" w:cs="宋体"/>
          <w:b/>
          <w:color w:val="auto"/>
          <w:sz w:val="24"/>
          <w:highlight w:val="none"/>
        </w:rPr>
        <w:t>人提供的合同为准）</w:t>
      </w:r>
    </w:p>
    <w:p w14:paraId="551B0103">
      <w:pPr>
        <w:keepNext w:val="0"/>
        <w:keepLines w:val="0"/>
        <w:pageBreakBefore w:val="0"/>
        <w:widowControl w:val="0"/>
        <w:spacing w:line="360" w:lineRule="auto"/>
        <w:rPr>
          <w:rFonts w:hint="eastAsia" w:ascii="宋体" w:hAnsi="宋体" w:eastAsia="宋体" w:cs="宋体"/>
          <w:color w:val="auto"/>
          <w:sz w:val="24"/>
          <w:szCs w:val="24"/>
          <w:highlight w:val="none"/>
        </w:rPr>
      </w:pPr>
    </w:p>
    <w:p w14:paraId="069DAA90">
      <w:pPr>
        <w:pStyle w:val="203"/>
        <w:spacing w:before="0" w:after="0" w:line="240" w:lineRule="auto"/>
        <w:jc w:val="center"/>
        <w:outlineLvl w:val="0"/>
        <w:rPr>
          <w:rFonts w:hint="eastAsia" w:ascii="宋体" w:hAnsi="宋体" w:eastAsia="宋体" w:cs="宋体"/>
          <w:b w:val="0"/>
          <w:color w:val="auto"/>
          <w:sz w:val="32"/>
          <w:szCs w:val="32"/>
          <w:highlight w:val="none"/>
        </w:rPr>
      </w:pPr>
      <w:bookmarkStart w:id="613" w:name="_Toc296890982"/>
      <w:bookmarkStart w:id="614" w:name="_Toc296503025"/>
      <w:bookmarkStart w:id="615" w:name="_Toc351203480"/>
      <w:r>
        <w:rPr>
          <w:rFonts w:hint="eastAsia" w:ascii="宋体" w:hAnsi="宋体" w:eastAsia="宋体" w:cs="宋体"/>
          <w:color w:val="auto"/>
          <w:sz w:val="32"/>
          <w:szCs w:val="32"/>
          <w:highlight w:val="none"/>
        </w:rPr>
        <w:t>第一部分 合同协议书</w:t>
      </w:r>
      <w:bookmarkEnd w:id="613"/>
      <w:bookmarkEnd w:id="614"/>
      <w:bookmarkEnd w:id="615"/>
    </w:p>
    <w:p w14:paraId="1456271B">
      <w:pPr>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rPr>
        <w:t>发包人（全称）：</w:t>
      </w:r>
      <w:r>
        <w:rPr>
          <w:rFonts w:hint="eastAsia" w:ascii="宋体" w:hAnsi="宋体" w:eastAsia="宋体" w:cs="宋体"/>
          <w:b/>
          <w:color w:val="auto"/>
          <w:sz w:val="24"/>
          <w:highlight w:val="none"/>
          <w:u w:val="single"/>
          <w:lang w:eastAsia="zh-CN"/>
        </w:rPr>
        <w:t>江苏常州滨江经济开发区管理委员会</w:t>
      </w:r>
    </w:p>
    <w:p w14:paraId="22D34BAF">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承包人（全称）：</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single"/>
        </w:rPr>
        <w:t xml:space="preserve">      </w:t>
      </w:r>
    </w:p>
    <w:p w14:paraId="2647397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4"/>
          <w:highlight w:val="none"/>
          <w:u w:val="single"/>
          <w:lang w:eastAsia="zh-CN"/>
        </w:rPr>
        <w:t>XG080319地块土方回填工程</w:t>
      </w:r>
      <w:r>
        <w:rPr>
          <w:rFonts w:hint="eastAsia" w:ascii="宋体" w:hAnsi="宋体" w:eastAsia="宋体" w:cs="宋体"/>
          <w:color w:val="auto"/>
          <w:sz w:val="24"/>
          <w:highlight w:val="none"/>
        </w:rPr>
        <w:t>施工及有关事项协商一致，共同达成如下协议：</w:t>
      </w:r>
    </w:p>
    <w:p w14:paraId="304C58A0">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val="0"/>
          <w:color w:val="auto"/>
          <w:sz w:val="24"/>
          <w:highlight w:val="none"/>
        </w:rPr>
        <w:t xml:space="preserve"> </w:t>
      </w:r>
      <w:bookmarkStart w:id="616" w:name="_Toc351203481"/>
      <w:r>
        <w:rPr>
          <w:rFonts w:hint="eastAsia" w:ascii="宋体" w:hAnsi="宋体" w:eastAsia="宋体" w:cs="宋体"/>
          <w:b w:val="0"/>
          <w:color w:val="auto"/>
          <w:sz w:val="24"/>
          <w:highlight w:val="none"/>
        </w:rPr>
        <w:t>一、工程概况</w:t>
      </w:r>
      <w:bookmarkEnd w:id="616"/>
    </w:p>
    <w:p w14:paraId="79C0E730">
      <w:pPr>
        <w:spacing w:line="360" w:lineRule="auto"/>
        <w:ind w:firstLine="470"/>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1.工程名称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eastAsia="zh-CN"/>
        </w:rPr>
        <w:t>XG080319地块土方回填工程</w:t>
      </w:r>
      <w:r>
        <w:rPr>
          <w:rFonts w:hint="eastAsia" w:ascii="宋体" w:hAnsi="宋体" w:eastAsia="宋体" w:cs="宋体"/>
          <w:color w:val="auto"/>
          <w:sz w:val="24"/>
          <w:highlight w:val="none"/>
        </w:rPr>
        <w:t>。</w:t>
      </w:r>
    </w:p>
    <w:p w14:paraId="18283573">
      <w:pPr>
        <w:spacing w:line="360" w:lineRule="auto"/>
        <w:ind w:firstLine="47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2.工程地点：</w:t>
      </w:r>
      <w:r>
        <w:rPr>
          <w:rFonts w:hint="eastAsia" w:ascii="宋体" w:hAnsi="宋体" w:eastAsia="宋体" w:cs="宋体"/>
          <w:color w:val="auto"/>
          <w:sz w:val="24"/>
          <w:highlight w:val="none"/>
          <w:u w:val="single"/>
          <w:lang w:val="en-US" w:eastAsia="zh-CN"/>
        </w:rPr>
        <w:t>常州市新北区</w:t>
      </w:r>
      <w:r>
        <w:rPr>
          <w:rFonts w:hint="eastAsia" w:ascii="宋体" w:hAnsi="宋体" w:eastAsia="宋体" w:cs="宋体"/>
          <w:color w:val="auto"/>
          <w:sz w:val="24"/>
          <w:highlight w:val="none"/>
        </w:rPr>
        <w:t>。</w:t>
      </w:r>
    </w:p>
    <w:p w14:paraId="64FD555C">
      <w:pPr>
        <w:spacing w:line="360" w:lineRule="auto"/>
        <w:ind w:firstLine="47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3.工程立项批准文号：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7951546D">
      <w:pPr>
        <w:spacing w:line="360" w:lineRule="auto"/>
        <w:ind w:firstLine="47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4.资金来源：</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3B975832">
      <w:pPr>
        <w:spacing w:line="360" w:lineRule="auto"/>
        <w:ind w:firstLine="47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5.工程内容：</w:t>
      </w:r>
      <w:r>
        <w:rPr>
          <w:rFonts w:hint="eastAsia" w:ascii="宋体" w:hAnsi="宋体" w:eastAsia="宋体" w:cs="宋体"/>
          <w:color w:val="auto"/>
          <w:sz w:val="24"/>
          <w:highlight w:val="none"/>
          <w:u w:val="single"/>
        </w:rPr>
        <w:t>详见工程量清单</w:t>
      </w:r>
      <w:r>
        <w:rPr>
          <w:rFonts w:hint="eastAsia" w:ascii="宋体" w:hAnsi="宋体" w:eastAsia="宋体" w:cs="宋体"/>
          <w:bCs/>
          <w:color w:val="auto"/>
          <w:sz w:val="24"/>
          <w:highlight w:val="none"/>
        </w:rPr>
        <w:t>。</w:t>
      </w:r>
    </w:p>
    <w:p w14:paraId="1B101940">
      <w:pPr>
        <w:spacing w:line="360" w:lineRule="auto"/>
        <w:ind w:firstLine="470"/>
        <w:rPr>
          <w:rFonts w:hint="eastAsia" w:ascii="宋体" w:hAnsi="宋体" w:eastAsia="宋体" w:cs="宋体"/>
          <w:bCs/>
          <w:color w:val="auto"/>
          <w:sz w:val="24"/>
          <w:highlight w:val="none"/>
        </w:rPr>
      </w:pPr>
      <w:r>
        <w:rPr>
          <w:rFonts w:hint="eastAsia" w:ascii="宋体" w:hAnsi="宋体" w:eastAsia="宋体" w:cs="宋体"/>
          <w:color w:val="auto"/>
          <w:sz w:val="24"/>
          <w:highlight w:val="none"/>
        </w:rPr>
        <w:t>群体工程应附《承包人承揽工程项目一览表》（附件1）。</w:t>
      </w:r>
    </w:p>
    <w:p w14:paraId="4729E402">
      <w:pPr>
        <w:spacing w:line="360" w:lineRule="auto"/>
        <w:ind w:firstLine="47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6.工程承包范围：</w:t>
      </w:r>
    </w:p>
    <w:p w14:paraId="56AF0BC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施工图及工程量清单范围内所有工程</w:t>
      </w:r>
      <w:r>
        <w:rPr>
          <w:rFonts w:hint="eastAsia" w:ascii="宋体" w:hAnsi="宋体" w:eastAsia="宋体" w:cs="宋体"/>
          <w:color w:val="auto"/>
          <w:sz w:val="24"/>
          <w:highlight w:val="none"/>
        </w:rPr>
        <w:t>。</w:t>
      </w:r>
    </w:p>
    <w:p w14:paraId="05D1F0A7">
      <w:pPr>
        <w:pStyle w:val="5"/>
        <w:spacing w:before="120" w:after="12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   </w:t>
      </w:r>
      <w:bookmarkStart w:id="617" w:name="_Toc351203482"/>
      <w:r>
        <w:rPr>
          <w:rFonts w:hint="eastAsia" w:ascii="宋体" w:hAnsi="宋体" w:eastAsia="宋体" w:cs="宋体"/>
          <w:b w:val="0"/>
          <w:color w:val="auto"/>
          <w:sz w:val="24"/>
          <w:highlight w:val="none"/>
        </w:rPr>
        <w:t>二、合同工期</w:t>
      </w:r>
      <w:bookmarkEnd w:id="617"/>
    </w:p>
    <w:p w14:paraId="44C44C83">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计划开工日期：</w:t>
      </w:r>
      <w:r>
        <w:rPr>
          <w:rFonts w:hint="eastAsia" w:ascii="宋体" w:hAnsi="宋体" w:eastAsia="宋体" w:cs="宋体"/>
          <w:color w:val="auto"/>
          <w:sz w:val="24"/>
          <w:highlight w:val="none"/>
          <w:u w:val="single"/>
          <w:lang w:eastAsia="zh-CN"/>
        </w:rPr>
        <w:t>2026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D79F232">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计划竣工日期：</w:t>
      </w:r>
      <w:r>
        <w:rPr>
          <w:rFonts w:hint="eastAsia" w:ascii="宋体" w:hAnsi="宋体" w:eastAsia="宋体" w:cs="宋体"/>
          <w:color w:val="auto"/>
          <w:sz w:val="24"/>
          <w:highlight w:val="none"/>
          <w:u w:val="single"/>
          <w:lang w:eastAsia="zh-CN"/>
        </w:rPr>
        <w:t>2026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25B03A3A">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工期总日历天数：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天。工期总日历天数与根据前述计划开竣工日期计算的工期天数不一致的，以工期总日历天数为准。</w:t>
      </w:r>
    </w:p>
    <w:p w14:paraId="7521100C">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618" w:name="_Toc351203483"/>
      <w:r>
        <w:rPr>
          <w:rFonts w:hint="eastAsia" w:ascii="宋体" w:hAnsi="宋体" w:eastAsia="宋体" w:cs="宋体"/>
          <w:b w:val="0"/>
          <w:color w:val="auto"/>
          <w:sz w:val="24"/>
          <w:highlight w:val="none"/>
        </w:rPr>
        <w:t>三、质量标准</w:t>
      </w:r>
      <w:bookmarkEnd w:id="618"/>
    </w:p>
    <w:p w14:paraId="4083571D">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工程质量符合</w:t>
      </w:r>
      <w:r>
        <w:rPr>
          <w:rFonts w:hint="eastAsia" w:ascii="宋体" w:hAnsi="宋体" w:eastAsia="宋体" w:cs="宋体"/>
          <w:color w:val="auto"/>
          <w:sz w:val="24"/>
          <w:highlight w:val="none"/>
          <w:u w:val="single"/>
        </w:rPr>
        <w:t>合格</w:t>
      </w:r>
      <w:r>
        <w:rPr>
          <w:rFonts w:hint="eastAsia" w:ascii="宋体" w:hAnsi="宋体" w:eastAsia="宋体" w:cs="宋体"/>
          <w:color w:val="auto"/>
          <w:sz w:val="24"/>
          <w:highlight w:val="none"/>
        </w:rPr>
        <w:t>标准。</w:t>
      </w:r>
    </w:p>
    <w:p w14:paraId="6AA67F6B">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val="0"/>
          <w:color w:val="auto"/>
          <w:sz w:val="24"/>
          <w:highlight w:val="none"/>
        </w:rPr>
        <w:t xml:space="preserve"> </w:t>
      </w:r>
      <w:bookmarkStart w:id="619" w:name="_Toc351203484"/>
      <w:r>
        <w:rPr>
          <w:rFonts w:hint="eastAsia" w:ascii="宋体" w:hAnsi="宋体" w:eastAsia="宋体" w:cs="宋体"/>
          <w:b w:val="0"/>
          <w:color w:val="auto"/>
          <w:sz w:val="24"/>
          <w:highlight w:val="none"/>
        </w:rPr>
        <w:t>四、签约合同价与合同价格形式</w:t>
      </w:r>
      <w:bookmarkEnd w:id="619"/>
      <w:r>
        <w:rPr>
          <w:rFonts w:hint="eastAsia" w:ascii="宋体" w:hAnsi="宋体" w:eastAsia="宋体" w:cs="宋体"/>
          <w:b w:val="0"/>
          <w:color w:val="auto"/>
          <w:sz w:val="24"/>
          <w:highlight w:val="none"/>
        </w:rPr>
        <w:tab/>
      </w:r>
    </w:p>
    <w:p w14:paraId="2319533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1.签约合同价为：</w:t>
      </w:r>
    </w:p>
    <w:p w14:paraId="556DBD4F">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0DD0940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2.合同价格形式：</w:t>
      </w:r>
      <w:r>
        <w:rPr>
          <w:rFonts w:hint="eastAsia" w:ascii="宋体" w:hAnsi="宋体" w:eastAsia="宋体" w:cs="宋体"/>
          <w:color w:val="auto"/>
          <w:sz w:val="24"/>
          <w:highlight w:val="none"/>
          <w:u w:val="single"/>
        </w:rPr>
        <w:t>固定（综合）单价</w:t>
      </w:r>
      <w:r>
        <w:rPr>
          <w:rFonts w:hint="eastAsia" w:ascii="宋体" w:hAnsi="宋体" w:eastAsia="宋体" w:cs="宋体"/>
          <w:color w:val="auto"/>
          <w:sz w:val="24"/>
          <w:highlight w:val="none"/>
        </w:rPr>
        <w:t>。</w:t>
      </w:r>
    </w:p>
    <w:p w14:paraId="79030DF2">
      <w:pPr>
        <w:pStyle w:val="5"/>
        <w:spacing w:before="120" w:after="120" w:line="360" w:lineRule="auto"/>
        <w:rPr>
          <w:rFonts w:hint="eastAsia" w:ascii="宋体" w:hAnsi="宋体" w:eastAsia="宋体" w:cs="宋体"/>
          <w:b w:val="0"/>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val="0"/>
          <w:color w:val="auto"/>
          <w:sz w:val="24"/>
          <w:highlight w:val="none"/>
        </w:rPr>
        <w:t xml:space="preserve"> </w:t>
      </w:r>
      <w:bookmarkStart w:id="620" w:name="_Toc351203485"/>
      <w:r>
        <w:rPr>
          <w:rFonts w:hint="eastAsia" w:ascii="宋体" w:hAnsi="宋体" w:eastAsia="宋体" w:cs="宋体"/>
          <w:b w:val="0"/>
          <w:color w:val="auto"/>
          <w:sz w:val="24"/>
          <w:highlight w:val="none"/>
        </w:rPr>
        <w:t>五、</w:t>
      </w:r>
      <w:bookmarkEnd w:id="620"/>
      <w:r>
        <w:rPr>
          <w:rFonts w:hint="eastAsia" w:ascii="宋体" w:hAnsi="宋体" w:eastAsia="宋体" w:cs="宋体"/>
          <w:b w:val="0"/>
          <w:color w:val="auto"/>
          <w:sz w:val="24"/>
          <w:highlight w:val="none"/>
        </w:rPr>
        <w:t>项目经理</w:t>
      </w:r>
    </w:p>
    <w:p w14:paraId="02FC7E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承包人项目经理：</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AA5AD62">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val="0"/>
          <w:color w:val="auto"/>
          <w:sz w:val="24"/>
          <w:highlight w:val="none"/>
        </w:rPr>
        <w:t xml:space="preserve"> </w:t>
      </w:r>
      <w:bookmarkStart w:id="621" w:name="_Toc351203486"/>
      <w:r>
        <w:rPr>
          <w:rFonts w:hint="eastAsia" w:ascii="宋体" w:hAnsi="宋体" w:eastAsia="宋体" w:cs="宋体"/>
          <w:b w:val="0"/>
          <w:color w:val="auto"/>
          <w:sz w:val="24"/>
          <w:highlight w:val="none"/>
        </w:rPr>
        <w:t>六、合同文件构成</w:t>
      </w:r>
      <w:bookmarkEnd w:id="621"/>
    </w:p>
    <w:p w14:paraId="54607AD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本协议书与下列文件一起构成合同文件：</w:t>
      </w:r>
    </w:p>
    <w:p w14:paraId="018BD68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（1）中标通知书（如果有）；</w:t>
      </w:r>
    </w:p>
    <w:p w14:paraId="41CF2D7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（2）投标函及其附录（如果有）； </w:t>
      </w:r>
    </w:p>
    <w:p w14:paraId="39C8309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（3）专用合同条款及其附件；</w:t>
      </w:r>
    </w:p>
    <w:p w14:paraId="7D995FE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747C8D7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43D79AB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13DABE1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（7）已标价工程量清单或预算书；</w:t>
      </w:r>
    </w:p>
    <w:p w14:paraId="549AC83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2395E22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在合同订立及履行过程中形成的与合同有关的文件均构成合同文件组成部分。</w:t>
      </w:r>
    </w:p>
    <w:p w14:paraId="1154047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51A60DC0">
      <w:pPr>
        <w:pStyle w:val="5"/>
        <w:spacing w:before="120" w:after="12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rPr>
          <w:rFonts w:hint="eastAsia" w:ascii="宋体" w:hAnsi="宋体" w:eastAsia="宋体" w:cs="宋体"/>
          <w:b w:val="0"/>
          <w:color w:val="auto"/>
          <w:sz w:val="24"/>
          <w:highlight w:val="none"/>
        </w:rPr>
        <w:t xml:space="preserve"> </w:t>
      </w:r>
      <w:bookmarkStart w:id="622" w:name="_Toc351203487"/>
      <w:r>
        <w:rPr>
          <w:rFonts w:hint="eastAsia" w:ascii="宋体" w:hAnsi="宋体" w:eastAsia="宋体" w:cs="宋体"/>
          <w:b w:val="0"/>
          <w:color w:val="auto"/>
          <w:sz w:val="24"/>
          <w:highlight w:val="none"/>
        </w:rPr>
        <w:t>七、承诺</w:t>
      </w:r>
      <w:bookmarkEnd w:id="622"/>
    </w:p>
    <w:p w14:paraId="5573109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1.发包人承诺按照法律规定履行项目审批手续、筹集工程建设资金并按照合同约定的期限和方式支付合同价款。</w:t>
      </w:r>
    </w:p>
    <w:p w14:paraId="0275FE7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4C22D5D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3.发包人和承包人通过招投标形式签订合同的，双方理解并承诺不再就同一工程另行签订与合同实质性内容相背离的协议。</w:t>
      </w:r>
    </w:p>
    <w:p w14:paraId="4BABFD56">
      <w:pPr>
        <w:spacing w:line="360" w:lineRule="auto"/>
        <w:rPr>
          <w:rFonts w:hint="eastAsia" w:ascii="宋体" w:hAnsi="宋体" w:eastAsia="宋体" w:cs="宋体"/>
          <w:bCs/>
          <w:color w:val="auto"/>
          <w:sz w:val="24"/>
          <w:highlight w:val="none"/>
        </w:rPr>
      </w:pPr>
      <w:bookmarkStart w:id="623" w:name="_Toc351203488"/>
      <w:r>
        <w:rPr>
          <w:rFonts w:hint="eastAsia" w:ascii="宋体" w:hAnsi="宋体" w:eastAsia="宋体" w:cs="宋体"/>
          <w:b/>
          <w:color w:val="auto"/>
          <w:sz w:val="24"/>
          <w:highlight w:val="none"/>
        </w:rPr>
        <w:t xml:space="preserve">    八、词语含义</w:t>
      </w:r>
      <w:bookmarkEnd w:id="623"/>
    </w:p>
    <w:p w14:paraId="59A912D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本协议书中词语含义与第二部分通用合同条款中赋予的含义相同。</w:t>
      </w:r>
    </w:p>
    <w:p w14:paraId="0AC836CC">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val="0"/>
          <w:color w:val="auto"/>
          <w:sz w:val="24"/>
          <w:highlight w:val="none"/>
        </w:rPr>
        <w:t xml:space="preserve">  </w:t>
      </w:r>
      <w:bookmarkStart w:id="624" w:name="_Toc351203489"/>
      <w:r>
        <w:rPr>
          <w:rFonts w:hint="eastAsia" w:ascii="宋体" w:hAnsi="宋体" w:eastAsia="宋体" w:cs="宋体"/>
          <w:b w:val="0"/>
          <w:color w:val="auto"/>
          <w:sz w:val="24"/>
          <w:highlight w:val="none"/>
        </w:rPr>
        <w:t>九、签订时间</w:t>
      </w:r>
      <w:bookmarkEnd w:id="624"/>
    </w:p>
    <w:p w14:paraId="474445C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本合同于</w:t>
      </w:r>
      <w:r>
        <w:rPr>
          <w:rFonts w:hint="eastAsia" w:ascii="宋体" w:hAnsi="宋体" w:eastAsia="宋体" w:cs="宋体"/>
          <w:bCs/>
          <w:color w:val="auto"/>
          <w:sz w:val="24"/>
          <w:highlight w:val="none"/>
          <w:u w:val="single"/>
          <w:lang w:eastAsia="zh-CN"/>
        </w:rPr>
        <w:t>2026</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日签订。</w:t>
      </w:r>
    </w:p>
    <w:p w14:paraId="31AB2DB6">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625" w:name="_Toc351203490"/>
      <w:r>
        <w:rPr>
          <w:rFonts w:hint="eastAsia" w:ascii="宋体" w:hAnsi="宋体" w:eastAsia="宋体" w:cs="宋体"/>
          <w:b w:val="0"/>
          <w:color w:val="auto"/>
          <w:sz w:val="24"/>
          <w:highlight w:val="none"/>
        </w:rPr>
        <w:t>十、签订地点</w:t>
      </w:r>
      <w:bookmarkEnd w:id="625"/>
    </w:p>
    <w:p w14:paraId="2E4FB50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本合同在</w:t>
      </w:r>
      <w:r>
        <w:rPr>
          <w:rFonts w:hint="eastAsia" w:ascii="宋体" w:hAnsi="宋体" w:eastAsia="宋体" w:cs="宋体"/>
          <w:bCs/>
          <w:color w:val="auto"/>
          <w:sz w:val="24"/>
          <w:highlight w:val="none"/>
          <w:u w:val="single"/>
          <w:lang w:eastAsia="zh-CN"/>
        </w:rPr>
        <w:t>江苏常州滨江经济开发区管理委员会</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签订。</w:t>
      </w:r>
    </w:p>
    <w:p w14:paraId="5C2ECF0A">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626" w:name="_Toc351203491"/>
      <w:r>
        <w:rPr>
          <w:rFonts w:hint="eastAsia" w:ascii="宋体" w:hAnsi="宋体" w:eastAsia="宋体" w:cs="宋体"/>
          <w:b w:val="0"/>
          <w:color w:val="auto"/>
          <w:sz w:val="24"/>
          <w:highlight w:val="none"/>
        </w:rPr>
        <w:t>十一、补充协议</w:t>
      </w:r>
      <w:bookmarkEnd w:id="626"/>
    </w:p>
    <w:p w14:paraId="1600E867">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合同未尽事宜，合同当事人另行签订补充协议，补充协议是合同的组成部分。</w:t>
      </w:r>
    </w:p>
    <w:p w14:paraId="14E14B91">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627" w:name="_Toc351203492"/>
      <w:r>
        <w:rPr>
          <w:rFonts w:hint="eastAsia" w:ascii="宋体" w:hAnsi="宋体" w:eastAsia="宋体" w:cs="宋体"/>
          <w:b w:val="0"/>
          <w:color w:val="auto"/>
          <w:sz w:val="24"/>
          <w:highlight w:val="none"/>
        </w:rPr>
        <w:t>十二、合同生效</w:t>
      </w:r>
      <w:bookmarkEnd w:id="627"/>
    </w:p>
    <w:p w14:paraId="68F45E5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本合同自</w:t>
      </w:r>
      <w:r>
        <w:rPr>
          <w:rFonts w:hint="eastAsia" w:ascii="宋体" w:hAnsi="宋体" w:eastAsia="宋体" w:cs="宋体"/>
          <w:bCs/>
          <w:color w:val="auto"/>
          <w:sz w:val="24"/>
          <w:highlight w:val="none"/>
          <w:u w:val="single"/>
        </w:rPr>
        <w:t xml:space="preserve">  签字、盖章   </w:t>
      </w:r>
      <w:r>
        <w:rPr>
          <w:rFonts w:hint="eastAsia" w:ascii="宋体" w:hAnsi="宋体" w:eastAsia="宋体" w:cs="宋体"/>
          <w:bCs/>
          <w:color w:val="auto"/>
          <w:sz w:val="24"/>
          <w:highlight w:val="none"/>
        </w:rPr>
        <w:t>生效。</w:t>
      </w:r>
    </w:p>
    <w:p w14:paraId="5CBFBD1A">
      <w:pPr>
        <w:pStyle w:val="5"/>
        <w:spacing w:before="120" w:after="12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628" w:name="_Toc351203493"/>
      <w:r>
        <w:rPr>
          <w:rFonts w:hint="eastAsia" w:ascii="宋体" w:hAnsi="宋体" w:eastAsia="宋体" w:cs="宋体"/>
          <w:b w:val="0"/>
          <w:color w:val="auto"/>
          <w:sz w:val="24"/>
          <w:highlight w:val="none"/>
        </w:rPr>
        <w:t>十三、合同份数</w:t>
      </w:r>
      <w:bookmarkEnd w:id="628"/>
    </w:p>
    <w:p w14:paraId="29D7868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本合同一式</w:t>
      </w:r>
      <w:r>
        <w:rPr>
          <w:rFonts w:hint="eastAsia" w:ascii="宋体" w:hAnsi="宋体" w:eastAsia="宋体" w:cs="宋体"/>
          <w:bCs/>
          <w:color w:val="auto"/>
          <w:sz w:val="24"/>
          <w:highlight w:val="none"/>
          <w:u w:val="single"/>
        </w:rPr>
        <w:t xml:space="preserve">  8 </w:t>
      </w:r>
      <w:r>
        <w:rPr>
          <w:rFonts w:hint="eastAsia" w:ascii="宋体" w:hAnsi="宋体" w:eastAsia="宋体" w:cs="宋体"/>
          <w:bCs/>
          <w:color w:val="auto"/>
          <w:sz w:val="24"/>
          <w:highlight w:val="none"/>
        </w:rPr>
        <w:t>份，均具有同等法律效力，发包人执</w:t>
      </w:r>
      <w:r>
        <w:rPr>
          <w:rFonts w:hint="eastAsia" w:ascii="宋体" w:hAnsi="宋体" w:eastAsia="宋体" w:cs="宋体"/>
          <w:bCs/>
          <w:color w:val="auto"/>
          <w:sz w:val="24"/>
          <w:highlight w:val="none"/>
          <w:u w:val="single"/>
        </w:rPr>
        <w:t xml:space="preserve">  4  </w:t>
      </w:r>
      <w:r>
        <w:rPr>
          <w:rFonts w:hint="eastAsia" w:ascii="宋体" w:hAnsi="宋体" w:eastAsia="宋体" w:cs="宋体"/>
          <w:bCs/>
          <w:color w:val="auto"/>
          <w:sz w:val="24"/>
          <w:highlight w:val="none"/>
        </w:rPr>
        <w:t>份，承包人执</w:t>
      </w:r>
      <w:r>
        <w:rPr>
          <w:rFonts w:hint="eastAsia" w:ascii="宋体" w:hAnsi="宋体" w:eastAsia="宋体" w:cs="宋体"/>
          <w:bCs/>
          <w:color w:val="auto"/>
          <w:sz w:val="24"/>
          <w:highlight w:val="none"/>
          <w:u w:val="single"/>
        </w:rPr>
        <w:t xml:space="preserve"> 4 </w:t>
      </w:r>
      <w:r>
        <w:rPr>
          <w:rFonts w:hint="eastAsia" w:ascii="宋体" w:hAnsi="宋体" w:eastAsia="宋体" w:cs="宋体"/>
          <w:bCs/>
          <w:color w:val="auto"/>
          <w:sz w:val="24"/>
          <w:highlight w:val="none"/>
        </w:rPr>
        <w:t>份。</w:t>
      </w:r>
    </w:p>
    <w:p w14:paraId="2B4BEDC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  (公章)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承包人：  (公章)                            </w:t>
      </w:r>
    </w:p>
    <w:p w14:paraId="0D3A979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            法定代表人或其委托代理人：</w:t>
      </w:r>
    </w:p>
    <w:p w14:paraId="207ADBF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（签字）                               （签字）</w:t>
      </w:r>
    </w:p>
    <w:p w14:paraId="65B6C903">
      <w:pPr>
        <w:tabs>
          <w:tab w:val="left" w:pos="441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组织机构代码：</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组织机构代码：</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439B39F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       </w:t>
      </w:r>
    </w:p>
    <w:p w14:paraId="7ED6723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p>
    <w:p w14:paraId="1ED6940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       </w:t>
      </w:r>
    </w:p>
    <w:p w14:paraId="5556CD9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u w:val="single"/>
        </w:rPr>
        <w:t xml:space="preserve">             </w:t>
      </w:r>
    </w:p>
    <w:p w14:paraId="0215392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3FB8E75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   </w:t>
      </w:r>
    </w:p>
    <w:p w14:paraId="2C356AC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p>
    <w:p w14:paraId="5947BE9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p>
    <w:p w14:paraId="730C80C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14:paraId="201C160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bookmarkStart w:id="629" w:name="_Toc351203494"/>
      <w:r>
        <w:rPr>
          <w:rFonts w:hint="eastAsia" w:ascii="宋体" w:hAnsi="宋体" w:eastAsia="宋体" w:cs="宋体"/>
          <w:color w:val="auto"/>
          <w:highlight w:val="none"/>
        </w:rPr>
        <w:t>第二部分 通用合同条款</w:t>
      </w:r>
      <w:bookmarkEnd w:id="629"/>
    </w:p>
    <w:p w14:paraId="13D11D4A">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此部分采用《建设工程施工合同》范本</w:t>
      </w:r>
      <w:bookmarkStart w:id="630" w:name="_Toc351203632"/>
      <w:r>
        <w:rPr>
          <w:rFonts w:hint="eastAsia" w:ascii="宋体" w:hAnsi="宋体" w:eastAsia="宋体" w:cs="宋体"/>
          <w:color w:val="auto"/>
          <w:sz w:val="24"/>
          <w:highlight w:val="none"/>
        </w:rPr>
        <w:t>（GF—2017—0201）中《第二部分 通用合同条款》内容。</w:t>
      </w:r>
    </w:p>
    <w:p w14:paraId="109CCF78">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第三部分 专用合同条款</w:t>
      </w:r>
      <w:bookmarkEnd w:id="630"/>
    </w:p>
    <w:p w14:paraId="3AA449CF">
      <w:pPr>
        <w:pStyle w:val="5"/>
        <w:spacing w:before="120" w:after="120" w:line="360" w:lineRule="auto"/>
        <w:rPr>
          <w:rFonts w:hint="eastAsia" w:ascii="宋体" w:hAnsi="宋体" w:eastAsia="宋体" w:cs="宋体"/>
          <w:b w:val="0"/>
          <w:color w:val="auto"/>
          <w:sz w:val="24"/>
          <w:highlight w:val="none"/>
        </w:rPr>
      </w:pPr>
      <w:bookmarkStart w:id="631" w:name="_Toc351203633"/>
      <w:r>
        <w:rPr>
          <w:rFonts w:hint="eastAsia" w:ascii="宋体" w:hAnsi="宋体" w:eastAsia="宋体" w:cs="宋体"/>
          <w:b w:val="0"/>
          <w:color w:val="auto"/>
          <w:sz w:val="24"/>
          <w:highlight w:val="none"/>
        </w:rPr>
        <w:t>1</w:t>
      </w:r>
      <w:bookmarkStart w:id="632" w:name="_Toc296346657"/>
      <w:bookmarkStart w:id="633" w:name="_Toc297120456"/>
      <w:bookmarkStart w:id="634" w:name="_Toc296503156"/>
      <w:bookmarkStart w:id="635" w:name="_Toc292559361"/>
      <w:bookmarkStart w:id="636" w:name="_Toc296347155"/>
      <w:bookmarkStart w:id="637" w:name="_Toc296891196"/>
      <w:bookmarkStart w:id="638" w:name="_Toc296944495"/>
      <w:bookmarkStart w:id="639" w:name="_Toc297048342"/>
      <w:bookmarkStart w:id="640" w:name="_Toc296890984"/>
      <w:bookmarkStart w:id="641" w:name="_Toc292559866"/>
      <w:r>
        <w:rPr>
          <w:rFonts w:hint="eastAsia" w:ascii="宋体" w:hAnsi="宋体" w:eastAsia="宋体" w:cs="宋体"/>
          <w:b w:val="0"/>
          <w:color w:val="auto"/>
          <w:sz w:val="24"/>
          <w:highlight w:val="none"/>
        </w:rPr>
        <w:t>. 一般约定</w:t>
      </w:r>
      <w:bookmarkEnd w:id="631"/>
      <w:bookmarkEnd w:id="632"/>
      <w:bookmarkEnd w:id="633"/>
      <w:bookmarkEnd w:id="634"/>
      <w:bookmarkEnd w:id="635"/>
      <w:bookmarkEnd w:id="636"/>
      <w:bookmarkEnd w:id="637"/>
      <w:bookmarkEnd w:id="638"/>
      <w:bookmarkEnd w:id="639"/>
      <w:bookmarkEnd w:id="640"/>
      <w:bookmarkEnd w:id="641"/>
    </w:p>
    <w:p w14:paraId="3693CCE2">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1.1 词语定义</w:t>
      </w:r>
    </w:p>
    <w:p w14:paraId="23F0FF5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1.1.1合同</w:t>
      </w:r>
    </w:p>
    <w:p w14:paraId="4D3DA70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1.1.1.10其他合同文件包括：</w:t>
      </w:r>
      <w:bookmarkStart w:id="642" w:name="EBa59562710c1342639fea6e701a6a4cbe"/>
      <w:r>
        <w:rPr>
          <w:rFonts w:hint="eastAsia" w:ascii="宋体" w:hAnsi="宋体" w:eastAsia="宋体" w:cs="宋体"/>
          <w:color w:val="auto"/>
          <w:szCs w:val="21"/>
          <w:highlight w:val="none"/>
          <w:u w:val="single"/>
        </w:rPr>
        <w:t>招标文件、答疑纪要、工程量清单及编制说明、投标文件及双方其他书面约定作为本合同附件，等同合同的法律效力</w:t>
      </w:r>
      <w:bookmarkEnd w:id="642"/>
      <w:r>
        <w:rPr>
          <w:rFonts w:hint="eastAsia" w:ascii="宋体" w:hAnsi="宋体" w:eastAsia="宋体" w:cs="宋体"/>
          <w:color w:val="auto"/>
          <w:sz w:val="24"/>
          <w:highlight w:val="none"/>
        </w:rPr>
        <w:t>。</w:t>
      </w:r>
    </w:p>
    <w:p w14:paraId="20A33F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 合同当事人及其他相关方</w:t>
      </w:r>
    </w:p>
    <w:p w14:paraId="2F9418A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1.1.2.4监理人：</w:t>
      </w:r>
    </w:p>
    <w:p w14:paraId="6C34E3F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2693314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   </w:t>
      </w:r>
      <w:r>
        <w:rPr>
          <w:rFonts w:hint="eastAsia" w:ascii="宋体" w:hAnsi="宋体" w:eastAsia="宋体" w:cs="宋体"/>
          <w:color w:val="auto"/>
          <w:sz w:val="24"/>
          <w:highlight w:val="none"/>
        </w:rPr>
        <w:t>；</w:t>
      </w:r>
    </w:p>
    <w:p w14:paraId="2AA5C8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437ACA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1.1.2.5 设计人：</w:t>
      </w:r>
    </w:p>
    <w:p w14:paraId="39358F2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587B19A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   </w:t>
      </w:r>
      <w:r>
        <w:rPr>
          <w:rFonts w:hint="eastAsia" w:ascii="宋体" w:hAnsi="宋体" w:eastAsia="宋体" w:cs="宋体"/>
          <w:color w:val="auto"/>
          <w:sz w:val="24"/>
          <w:highlight w:val="none"/>
        </w:rPr>
        <w:t>；</w:t>
      </w:r>
    </w:p>
    <w:p w14:paraId="472234B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FFEDCE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 工程和设备</w:t>
      </w:r>
    </w:p>
    <w:p w14:paraId="1A58FAD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1.1.3.7 作为施工现场组成部分的其他场所包括：</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2A5E9B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1.1.3.9 永久占地包括：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474679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1.1.3.10 临时占地包括：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ECBF7FE">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p>
    <w:p w14:paraId="0591C5C7">
      <w:pPr>
        <w:spacing w:line="360" w:lineRule="auto"/>
        <w:ind w:left="5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适用于合同的其他规范性文件：</w:t>
      </w:r>
      <w:r>
        <w:rPr>
          <w:rFonts w:hint="eastAsia" w:ascii="宋体" w:hAnsi="宋体" w:eastAsia="宋体" w:cs="宋体"/>
          <w:color w:val="auto"/>
          <w:szCs w:val="21"/>
          <w:highlight w:val="none"/>
          <w:u w:val="single"/>
        </w:rPr>
        <w:t>招标文件、答疑纪要、工程量清单及编制说明、投标文件及双方其他书面约定作为本合同附件，等同合同的法律效力</w:t>
      </w:r>
      <w:r>
        <w:rPr>
          <w:rFonts w:hint="eastAsia" w:ascii="宋体" w:hAnsi="宋体" w:eastAsia="宋体" w:cs="宋体"/>
          <w:color w:val="auto"/>
          <w:sz w:val="24"/>
          <w:highlight w:val="none"/>
        </w:rPr>
        <w:t>。</w:t>
      </w:r>
    </w:p>
    <w:p w14:paraId="033B0E05">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 标准和规范</w:t>
      </w:r>
    </w:p>
    <w:p w14:paraId="051AFB5D">
      <w:pPr>
        <w:spacing w:line="360" w:lineRule="auto"/>
        <w:ind w:left="596"/>
        <w:rPr>
          <w:rFonts w:hint="eastAsia" w:ascii="宋体" w:hAnsi="宋体" w:eastAsia="宋体" w:cs="宋体"/>
          <w:color w:val="auto"/>
          <w:sz w:val="24"/>
          <w:highlight w:val="none"/>
        </w:rPr>
      </w:pPr>
      <w:r>
        <w:rPr>
          <w:rFonts w:hint="eastAsia" w:ascii="宋体" w:hAnsi="宋体" w:eastAsia="宋体" w:cs="宋体"/>
          <w:color w:val="auto"/>
          <w:sz w:val="24"/>
          <w:highlight w:val="none"/>
        </w:rPr>
        <w:t>1.4.1适用于工程的标准规范包括：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ACE2AD5">
      <w:pPr>
        <w:spacing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1.4.2 发包人提供国外标准、规范的名称：</w:t>
      </w:r>
      <w:r>
        <w:rPr>
          <w:rFonts w:hint="eastAsia" w:ascii="宋体" w:hAnsi="宋体" w:eastAsia="宋体" w:cs="宋体"/>
          <w:color w:val="auto"/>
          <w:highlight w:val="none"/>
          <w:u w:val="single"/>
        </w:rPr>
        <w:t>无</w:t>
      </w:r>
      <w:r>
        <w:rPr>
          <w:rFonts w:hint="eastAsia" w:ascii="宋体" w:hAnsi="宋体" w:eastAsia="宋体" w:cs="宋体"/>
          <w:color w:val="auto"/>
          <w:sz w:val="24"/>
          <w:highlight w:val="none"/>
        </w:rPr>
        <w:t>。</w:t>
      </w:r>
    </w:p>
    <w:p w14:paraId="09301CE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发包人提供国外标准、规范的份数：</w:t>
      </w:r>
      <w:r>
        <w:rPr>
          <w:rFonts w:hint="eastAsia" w:ascii="宋体" w:hAnsi="宋体" w:eastAsia="宋体" w:cs="宋体"/>
          <w:color w:val="auto"/>
          <w:highlight w:val="none"/>
          <w:u w:val="single"/>
        </w:rPr>
        <w:t>无</w:t>
      </w:r>
      <w:r>
        <w:rPr>
          <w:rFonts w:hint="eastAsia" w:ascii="宋体" w:hAnsi="宋体" w:eastAsia="宋体" w:cs="宋体"/>
          <w:color w:val="auto"/>
          <w:sz w:val="24"/>
          <w:highlight w:val="none"/>
        </w:rPr>
        <w:t>。</w:t>
      </w:r>
    </w:p>
    <w:p w14:paraId="7B6EE58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发包人提供国外标准、规范的名称：</w:t>
      </w:r>
      <w:r>
        <w:rPr>
          <w:rFonts w:hint="eastAsia" w:ascii="宋体" w:hAnsi="宋体" w:eastAsia="宋体" w:cs="宋体"/>
          <w:color w:val="auto"/>
          <w:highlight w:val="none"/>
          <w:u w:val="single"/>
        </w:rPr>
        <w:t>无</w:t>
      </w:r>
      <w:r>
        <w:rPr>
          <w:rFonts w:hint="eastAsia" w:ascii="宋体" w:hAnsi="宋体" w:eastAsia="宋体" w:cs="宋体"/>
          <w:color w:val="auto"/>
          <w:sz w:val="24"/>
          <w:highlight w:val="none"/>
        </w:rPr>
        <w:t>。</w:t>
      </w:r>
    </w:p>
    <w:p w14:paraId="4B09A1DA">
      <w:pPr>
        <w:spacing w:line="360" w:lineRule="auto"/>
        <w:ind w:left="596"/>
        <w:rPr>
          <w:rFonts w:hint="eastAsia" w:ascii="宋体" w:hAnsi="宋体" w:eastAsia="宋体" w:cs="宋体"/>
          <w:color w:val="auto"/>
          <w:sz w:val="24"/>
          <w:highlight w:val="none"/>
        </w:rPr>
      </w:pPr>
      <w:r>
        <w:rPr>
          <w:rFonts w:hint="eastAsia" w:ascii="宋体" w:hAnsi="宋体" w:eastAsia="宋体" w:cs="宋体"/>
          <w:color w:val="auto"/>
          <w:sz w:val="24"/>
          <w:highlight w:val="none"/>
        </w:rPr>
        <w:t>1.4.3发包人对工程的技术标准和功能要求的特殊要求：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49E73B2">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1.5 合同文件的优先顺序</w:t>
      </w:r>
    </w:p>
    <w:p w14:paraId="7B6206C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合同文件组成及优先顺序为：</w:t>
      </w:r>
      <w:r>
        <w:rPr>
          <w:rFonts w:hint="eastAsia" w:ascii="宋体" w:hAnsi="宋体" w:eastAsia="宋体" w:cs="宋体"/>
          <w:color w:val="auto"/>
          <w:highlight w:val="none"/>
          <w:u w:val="single"/>
        </w:rPr>
        <w:t>（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color w:val="auto"/>
          <w:sz w:val="24"/>
          <w:highlight w:val="none"/>
        </w:rPr>
        <w:t>。</w:t>
      </w:r>
    </w:p>
    <w:p w14:paraId="59F79F75">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1.6 图纸和承包人文件</w:t>
      </w:r>
      <w:r>
        <w:rPr>
          <w:rFonts w:hint="eastAsia" w:ascii="宋体" w:hAnsi="宋体" w:eastAsia="宋体" w:cs="宋体"/>
          <w:color w:val="auto"/>
          <w:sz w:val="24"/>
          <w:highlight w:val="none"/>
        </w:rPr>
        <w:tab/>
      </w:r>
    </w:p>
    <w:p w14:paraId="059BF87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1.6.1 图纸的提供</w:t>
      </w:r>
    </w:p>
    <w:p w14:paraId="7CCCFA6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发包人向承包人提供图纸的期限：</w:t>
      </w:r>
      <w:bookmarkStart w:id="643" w:name="EBfdeb007842ea42c8a8d8244144429946"/>
      <w:r>
        <w:rPr>
          <w:rFonts w:hint="eastAsia" w:ascii="宋体" w:hAnsi="宋体" w:eastAsia="宋体" w:cs="宋体"/>
          <w:color w:val="auto"/>
          <w:highlight w:val="none"/>
          <w:u w:val="single"/>
        </w:rPr>
        <w:t>开工前7天</w:t>
      </w:r>
      <w:bookmarkEnd w:id="643"/>
      <w:r>
        <w:rPr>
          <w:rFonts w:hint="eastAsia" w:ascii="宋体" w:hAnsi="宋体" w:eastAsia="宋体" w:cs="宋体"/>
          <w:color w:val="auto"/>
          <w:sz w:val="24"/>
          <w:highlight w:val="none"/>
        </w:rPr>
        <w:t>。</w:t>
      </w:r>
    </w:p>
    <w:p w14:paraId="552A614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发包人向承包人提供图纸的数量：</w:t>
      </w:r>
      <w:bookmarkStart w:id="644" w:name="EBd0ac771692dc4c5b852a3948876889b6"/>
      <w:r>
        <w:rPr>
          <w:rFonts w:hint="eastAsia" w:ascii="宋体" w:hAnsi="宋体" w:eastAsia="宋体" w:cs="宋体"/>
          <w:color w:val="auto"/>
          <w:szCs w:val="21"/>
          <w:highlight w:val="none"/>
          <w:u w:val="single"/>
        </w:rPr>
        <w:t>肆套（含竣工后提供的二套竣工图）</w:t>
      </w:r>
      <w:bookmarkEnd w:id="644"/>
      <w:r>
        <w:rPr>
          <w:rFonts w:hint="eastAsia" w:ascii="宋体" w:hAnsi="宋体" w:eastAsia="宋体" w:cs="宋体"/>
          <w:color w:val="auto"/>
          <w:sz w:val="24"/>
          <w:highlight w:val="none"/>
        </w:rPr>
        <w:t>；</w:t>
      </w:r>
    </w:p>
    <w:p w14:paraId="672AE23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发包人向承包人提供图纸的内容：</w:t>
      </w:r>
      <w:r>
        <w:rPr>
          <w:rFonts w:hint="eastAsia" w:ascii="宋体" w:hAnsi="宋体" w:eastAsia="宋体" w:cs="宋体"/>
          <w:color w:val="auto"/>
          <w:highlight w:val="none"/>
          <w:u w:val="single"/>
        </w:rPr>
        <w:t>提供经审图合格的全部施工图纸</w:t>
      </w:r>
      <w:r>
        <w:rPr>
          <w:rFonts w:hint="eastAsia" w:ascii="宋体" w:hAnsi="宋体" w:eastAsia="宋体" w:cs="宋体"/>
          <w:color w:val="auto"/>
          <w:sz w:val="24"/>
          <w:highlight w:val="none"/>
        </w:rPr>
        <w:t>。</w:t>
      </w:r>
    </w:p>
    <w:p w14:paraId="61FD8C4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1.6.4 承包人文件</w:t>
      </w:r>
    </w:p>
    <w:p w14:paraId="6F94FA1E">
      <w:pPr>
        <w:spacing w:line="360" w:lineRule="auto"/>
        <w:ind w:left="5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需要由承包人提供的文件，包括：</w:t>
      </w:r>
      <w:r>
        <w:rPr>
          <w:rFonts w:hint="eastAsia" w:ascii="宋体" w:hAnsi="宋体" w:eastAsia="宋体" w:cs="宋体"/>
          <w:color w:val="auto"/>
          <w:highlight w:val="none"/>
          <w:u w:val="single"/>
        </w:rPr>
        <w:t>包含但不限于发包人和监理人要求的各类报表、验收资料及竣工资料等</w:t>
      </w:r>
      <w:r>
        <w:rPr>
          <w:rFonts w:hint="eastAsia" w:ascii="宋体" w:hAnsi="宋体" w:eastAsia="宋体" w:cs="宋体"/>
          <w:color w:val="auto"/>
          <w:sz w:val="24"/>
          <w:highlight w:val="none"/>
        </w:rPr>
        <w:t>。</w:t>
      </w:r>
    </w:p>
    <w:p w14:paraId="797540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承包人提供的文件的期限为：</w:t>
      </w:r>
      <w:r>
        <w:rPr>
          <w:rFonts w:hint="eastAsia" w:ascii="宋体" w:hAnsi="宋体" w:eastAsia="宋体" w:cs="宋体"/>
          <w:color w:val="auto"/>
          <w:szCs w:val="21"/>
          <w:highlight w:val="none"/>
          <w:u w:val="single"/>
        </w:rPr>
        <w:t>竣工验收前</w:t>
      </w:r>
      <w:r>
        <w:rPr>
          <w:rFonts w:hint="eastAsia" w:ascii="宋体" w:hAnsi="宋体" w:eastAsia="宋体" w:cs="宋体"/>
          <w:color w:val="auto"/>
          <w:sz w:val="24"/>
          <w:highlight w:val="none"/>
        </w:rPr>
        <w:t>。</w:t>
      </w:r>
    </w:p>
    <w:p w14:paraId="749EE9C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承包人提供的文件的数量为：</w:t>
      </w:r>
      <w:r>
        <w:rPr>
          <w:rFonts w:hint="eastAsia" w:ascii="宋体" w:hAnsi="宋体" w:eastAsia="宋体" w:cs="宋体"/>
          <w:color w:val="auto"/>
          <w:szCs w:val="21"/>
          <w:highlight w:val="none"/>
          <w:u w:val="single"/>
        </w:rPr>
        <w:t>一式肆份</w:t>
      </w:r>
      <w:r>
        <w:rPr>
          <w:rFonts w:hint="eastAsia" w:ascii="宋体" w:hAnsi="宋体" w:eastAsia="宋体" w:cs="宋体"/>
          <w:color w:val="auto"/>
          <w:sz w:val="24"/>
          <w:highlight w:val="none"/>
        </w:rPr>
        <w:t>。</w:t>
      </w:r>
    </w:p>
    <w:p w14:paraId="2C3705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承包人提供的文件的形式为：</w:t>
      </w:r>
      <w:r>
        <w:rPr>
          <w:rFonts w:hint="eastAsia" w:ascii="宋体" w:hAnsi="宋体" w:eastAsia="宋体" w:cs="宋体"/>
          <w:color w:val="auto"/>
          <w:highlight w:val="none"/>
          <w:u w:val="single"/>
        </w:rPr>
        <w:t>纸质和电子文件</w:t>
      </w:r>
      <w:r>
        <w:rPr>
          <w:rFonts w:hint="eastAsia" w:ascii="宋体" w:hAnsi="宋体" w:eastAsia="宋体" w:cs="宋体"/>
          <w:color w:val="auto"/>
          <w:sz w:val="24"/>
          <w:highlight w:val="none"/>
        </w:rPr>
        <w:t>。</w:t>
      </w:r>
    </w:p>
    <w:p w14:paraId="1BD2777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发包人审批承包人文件的期限：</w:t>
      </w:r>
      <w:bookmarkStart w:id="645" w:name="EB5534a68665764e60a671cd5b215eafef"/>
      <w:r>
        <w:rPr>
          <w:rFonts w:hint="eastAsia" w:ascii="宋体" w:hAnsi="宋体" w:eastAsia="宋体" w:cs="宋体"/>
          <w:color w:val="auto"/>
          <w:highlight w:val="none"/>
          <w:u w:val="single"/>
        </w:rPr>
        <w:t>承包人提供相应文件后7天内</w:t>
      </w:r>
      <w:bookmarkEnd w:id="645"/>
      <w:r>
        <w:rPr>
          <w:rFonts w:hint="eastAsia" w:ascii="宋体" w:hAnsi="宋体" w:eastAsia="宋体" w:cs="宋体"/>
          <w:color w:val="auto"/>
          <w:sz w:val="24"/>
          <w:highlight w:val="none"/>
        </w:rPr>
        <w:t>。</w:t>
      </w:r>
    </w:p>
    <w:p w14:paraId="34539D36">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1.7 联络</w:t>
      </w:r>
    </w:p>
    <w:p w14:paraId="751DD8D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1.7.1发包人和承包人应当在</w:t>
      </w:r>
      <w:r>
        <w:rPr>
          <w:rFonts w:hint="eastAsia" w:ascii="宋体" w:hAnsi="宋体" w:eastAsia="宋体" w:cs="宋体"/>
          <w:color w:val="auto"/>
          <w:highlight w:val="none"/>
          <w:u w:val="single"/>
        </w:rPr>
        <w:t xml:space="preserve">1 </w:t>
      </w:r>
      <w:r>
        <w:rPr>
          <w:rFonts w:hint="eastAsia" w:ascii="宋体" w:hAnsi="宋体" w:eastAsia="宋体" w:cs="宋体"/>
          <w:color w:val="auto"/>
          <w:sz w:val="24"/>
          <w:highlight w:val="none"/>
        </w:rPr>
        <w:t>天内将与合同有关的通知、批准、证明、证书、指示、指令、要求、请求、同意、意见、确定和决定等书面函件送达对方当事人。</w:t>
      </w:r>
    </w:p>
    <w:p w14:paraId="484D20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1.7.2 发包人接收文件的地点：</w:t>
      </w:r>
      <w:r>
        <w:rPr>
          <w:rFonts w:hint="eastAsia" w:ascii="宋体" w:hAnsi="宋体" w:eastAsia="宋体" w:cs="宋体"/>
          <w:color w:val="auto"/>
          <w:highlight w:val="none"/>
          <w:u w:val="single"/>
        </w:rPr>
        <w:t>现场办公室</w:t>
      </w:r>
      <w:r>
        <w:rPr>
          <w:rFonts w:hint="eastAsia" w:ascii="宋体" w:hAnsi="宋体" w:eastAsia="宋体" w:cs="宋体"/>
          <w:color w:val="auto"/>
          <w:sz w:val="24"/>
          <w:highlight w:val="none"/>
        </w:rPr>
        <w:t>。</w:t>
      </w:r>
    </w:p>
    <w:p w14:paraId="367FEE4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发包人指定的接收人为：</w:t>
      </w:r>
      <w:r>
        <w:rPr>
          <w:rFonts w:hint="eastAsia" w:ascii="宋体" w:hAnsi="宋体" w:eastAsia="宋体" w:cs="宋体"/>
          <w:color w:val="auto"/>
          <w:highlight w:val="none"/>
          <w:u w:val="single"/>
        </w:rPr>
        <w:t>发包人代表或其授权代表</w:t>
      </w:r>
      <w:r>
        <w:rPr>
          <w:rFonts w:hint="eastAsia" w:ascii="宋体" w:hAnsi="宋体" w:eastAsia="宋体" w:cs="宋体"/>
          <w:color w:val="auto"/>
          <w:sz w:val="24"/>
          <w:highlight w:val="none"/>
        </w:rPr>
        <w:t>。</w:t>
      </w:r>
    </w:p>
    <w:p w14:paraId="165141D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承包人接收文件的地点：</w:t>
      </w:r>
      <w:r>
        <w:rPr>
          <w:rFonts w:hint="eastAsia" w:ascii="宋体" w:hAnsi="宋体" w:eastAsia="宋体" w:cs="宋体"/>
          <w:color w:val="auto"/>
          <w:highlight w:val="none"/>
          <w:u w:val="single"/>
        </w:rPr>
        <w:t>现场办公室</w:t>
      </w:r>
      <w:r>
        <w:rPr>
          <w:rFonts w:hint="eastAsia" w:ascii="宋体" w:hAnsi="宋体" w:eastAsia="宋体" w:cs="宋体"/>
          <w:color w:val="auto"/>
          <w:sz w:val="24"/>
          <w:highlight w:val="none"/>
        </w:rPr>
        <w:t>。</w:t>
      </w:r>
    </w:p>
    <w:p w14:paraId="3A7779E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承包人指定的接收人为：</w:t>
      </w:r>
      <w:r>
        <w:rPr>
          <w:rFonts w:hint="eastAsia" w:ascii="宋体" w:hAnsi="宋体" w:eastAsia="宋体" w:cs="宋体"/>
          <w:color w:val="auto"/>
          <w:highlight w:val="none"/>
          <w:u w:val="single"/>
        </w:rPr>
        <w:t>项目经理或其授权代表</w:t>
      </w:r>
      <w:r>
        <w:rPr>
          <w:rFonts w:hint="eastAsia" w:ascii="宋体" w:hAnsi="宋体" w:eastAsia="宋体" w:cs="宋体"/>
          <w:color w:val="auto"/>
          <w:sz w:val="24"/>
          <w:highlight w:val="none"/>
        </w:rPr>
        <w:t>。</w:t>
      </w:r>
    </w:p>
    <w:p w14:paraId="19FE393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监理人接收文件的地点：</w:t>
      </w:r>
      <w:r>
        <w:rPr>
          <w:rFonts w:hint="eastAsia" w:ascii="宋体" w:hAnsi="宋体" w:eastAsia="宋体" w:cs="宋体"/>
          <w:color w:val="auto"/>
          <w:highlight w:val="none"/>
          <w:u w:val="single"/>
        </w:rPr>
        <w:t>现场办公室</w:t>
      </w:r>
      <w:r>
        <w:rPr>
          <w:rFonts w:hint="eastAsia" w:ascii="宋体" w:hAnsi="宋体" w:eastAsia="宋体" w:cs="宋体"/>
          <w:color w:val="auto"/>
          <w:sz w:val="24"/>
          <w:highlight w:val="none"/>
        </w:rPr>
        <w:t>。</w:t>
      </w:r>
    </w:p>
    <w:p w14:paraId="53E1586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监理人指定的接收人为：</w:t>
      </w:r>
      <w:r>
        <w:rPr>
          <w:rFonts w:hint="eastAsia" w:ascii="宋体" w:hAnsi="宋体" w:eastAsia="宋体" w:cs="宋体"/>
          <w:color w:val="auto"/>
          <w:highlight w:val="none"/>
          <w:u w:val="single"/>
        </w:rPr>
        <w:t>总监理工程师或其授权代表</w:t>
      </w:r>
      <w:r>
        <w:rPr>
          <w:rFonts w:hint="eastAsia" w:ascii="宋体" w:hAnsi="宋体" w:eastAsia="宋体" w:cs="宋体"/>
          <w:color w:val="auto"/>
          <w:sz w:val="24"/>
          <w:highlight w:val="none"/>
        </w:rPr>
        <w:t>。</w:t>
      </w:r>
    </w:p>
    <w:p w14:paraId="49D297B3">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1.10 交通运输</w:t>
      </w:r>
    </w:p>
    <w:p w14:paraId="3F8701F5">
      <w:pPr>
        <w:spacing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646" w:name="_Toc318581155"/>
      <w:bookmarkStart w:id="647" w:name="_Toc300934943"/>
      <w:bookmarkStart w:id="648" w:name="_Toc304295521"/>
      <w:bookmarkStart w:id="649" w:name="_Toc312677986"/>
      <w:bookmarkStart w:id="650" w:name="_Toc303539100"/>
      <w:r>
        <w:rPr>
          <w:rFonts w:hint="eastAsia" w:ascii="宋体" w:hAnsi="宋体" w:eastAsia="宋体" w:cs="宋体"/>
          <w:color w:val="auto"/>
          <w:sz w:val="24"/>
          <w:highlight w:val="none"/>
        </w:rPr>
        <w:t>.10.1 出入现场的权利</w:t>
      </w:r>
    </w:p>
    <w:p w14:paraId="282E2ABD">
      <w:pPr>
        <w:spacing w:line="360" w:lineRule="auto"/>
        <w:ind w:left="596"/>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关于出入现场的权利的约定：</w:t>
      </w:r>
      <w:r>
        <w:rPr>
          <w:rFonts w:hint="eastAsia" w:ascii="宋体" w:hAnsi="宋体" w:eastAsia="宋体" w:cs="宋体"/>
          <w:color w:val="auto"/>
          <w:szCs w:val="21"/>
          <w:highlight w:val="none"/>
          <w:u w:val="single"/>
        </w:rPr>
        <w:t>发包人应根据合同工程的施工需要，负责办理取得出入施工场地的专用和临时道路的通行权，以及取得为工程建设所需修建场外设施的权利，并承担有关费用。承包人应协助发包人办理上述手续</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bookmarkEnd w:id="646"/>
      <w:bookmarkEnd w:id="647"/>
      <w:bookmarkEnd w:id="648"/>
      <w:bookmarkEnd w:id="649"/>
      <w:bookmarkEnd w:id="650"/>
    </w:p>
    <w:p w14:paraId="5C0CEFEC">
      <w:pPr>
        <w:spacing w:line="360" w:lineRule="auto"/>
        <w:ind w:firstLine="48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651" w:name="_Toc312677987"/>
      <w:bookmarkStart w:id="652" w:name="_Toc300934944"/>
      <w:bookmarkStart w:id="653" w:name="_Toc303539101"/>
      <w:bookmarkStart w:id="654" w:name="_Toc318581156"/>
      <w:bookmarkStart w:id="655" w:name="_Toc304295522"/>
      <w:r>
        <w:rPr>
          <w:rFonts w:hint="eastAsia" w:ascii="宋体" w:hAnsi="宋体" w:eastAsia="宋体" w:cs="宋体"/>
          <w:color w:val="auto"/>
          <w:sz w:val="24"/>
          <w:highlight w:val="none"/>
        </w:rPr>
        <w:t>.10.3 场内交通</w:t>
      </w:r>
    </w:p>
    <w:p w14:paraId="0DDD516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关于场外交通和场内交通的边界的约定：</w:t>
      </w:r>
      <w:r>
        <w:rPr>
          <w:rFonts w:hint="eastAsia" w:ascii="宋体" w:hAnsi="宋体" w:eastAsia="宋体" w:cs="宋体"/>
          <w:color w:val="auto"/>
          <w:szCs w:val="21"/>
          <w:highlight w:val="none"/>
          <w:u w:val="single"/>
        </w:rPr>
        <w:t>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500B0B4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关于发包人向承包人免费提供满足工程施工需要的场内道路和交通设施的约定：</w:t>
      </w:r>
      <w:bookmarkEnd w:id="651"/>
      <w:bookmarkEnd w:id="652"/>
      <w:bookmarkEnd w:id="653"/>
      <w:bookmarkEnd w:id="654"/>
      <w:bookmarkEnd w:id="655"/>
      <w:r>
        <w:rPr>
          <w:rFonts w:hint="eastAsia" w:ascii="宋体" w:hAnsi="宋体" w:eastAsia="宋体" w:cs="宋体"/>
          <w:color w:val="auto"/>
          <w:szCs w:val="21"/>
          <w:highlight w:val="none"/>
          <w:u w:val="single"/>
        </w:rPr>
        <w:t>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 xml:space="preserve">  </w:t>
      </w:r>
      <w:bookmarkStart w:id="656" w:name="_Toc318581157"/>
    </w:p>
    <w:p w14:paraId="39A975C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1.10.4超大件和超重件的运输</w:t>
      </w:r>
    </w:p>
    <w:p w14:paraId="66F330D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运输超大件或超重件所需的道路和桥梁临时加固改造费用和其他有关费用由</w:t>
      </w:r>
      <w:r>
        <w:rPr>
          <w:rFonts w:hint="eastAsia" w:ascii="宋体" w:hAnsi="宋体" w:eastAsia="宋体" w:cs="宋体"/>
          <w:color w:val="auto"/>
          <w:highlight w:val="none"/>
          <w:u w:val="single"/>
        </w:rPr>
        <w:t>承包人</w:t>
      </w:r>
      <w:r>
        <w:rPr>
          <w:rFonts w:hint="eastAsia" w:ascii="宋体" w:hAnsi="宋体" w:eastAsia="宋体" w:cs="宋体"/>
          <w:color w:val="auto"/>
          <w:sz w:val="24"/>
          <w:highlight w:val="none"/>
        </w:rPr>
        <w:t>承担。</w:t>
      </w:r>
      <w:bookmarkEnd w:id="656"/>
    </w:p>
    <w:p w14:paraId="0F6BAA81">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1.11 知识产权</w:t>
      </w:r>
    </w:p>
    <w:p w14:paraId="47DB6B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DD88FE4">
      <w:pPr>
        <w:spacing w:line="360" w:lineRule="auto"/>
        <w:ind w:left="596"/>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关于发包人提供的上述文件的使用限制的要求：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DC2D7E9">
      <w:pPr>
        <w:spacing w:line="360" w:lineRule="auto"/>
        <w:ind w:left="596"/>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1.11.2 关于承包人为实施工程所编制文件的著作权的归属：</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F4DCE7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关于承包人提供的上述文件的使用限制的要求：</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1A826D40">
      <w:pPr>
        <w:spacing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1.11.4 承包人在施工过程中所采用的专利、专有技术、技术秘密的使用费的承担方式：</w:t>
      </w:r>
      <w:r>
        <w:rPr>
          <w:rFonts w:hint="eastAsia" w:ascii="宋体" w:hAnsi="宋体" w:eastAsia="宋体" w:cs="宋体"/>
          <w:color w:val="auto"/>
          <w:highlight w:val="none"/>
          <w:u w:val="single"/>
        </w:rPr>
        <w:t>执行通用条款</w:t>
      </w:r>
      <w:r>
        <w:rPr>
          <w:rFonts w:hint="eastAsia" w:ascii="宋体" w:hAnsi="宋体" w:eastAsia="宋体" w:cs="宋体"/>
          <w:color w:val="auto"/>
          <w:sz w:val="24"/>
          <w:highlight w:val="none"/>
        </w:rPr>
        <w:t>。</w:t>
      </w:r>
    </w:p>
    <w:p w14:paraId="2AAE3C19">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1.13工程量清单错误的修正</w:t>
      </w:r>
    </w:p>
    <w:p w14:paraId="659D021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出现工程量清单错误时，是否调整合同价格：</w:t>
      </w:r>
      <w:r>
        <w:rPr>
          <w:rFonts w:hint="eastAsia" w:ascii="宋体" w:hAnsi="宋体" w:eastAsia="宋体" w:cs="宋体"/>
          <w:color w:val="auto"/>
          <w:szCs w:val="21"/>
          <w:highlight w:val="none"/>
          <w:u w:val="single"/>
        </w:rPr>
        <w:t>按发包人要求执行</w:t>
      </w:r>
      <w:r>
        <w:rPr>
          <w:rFonts w:hint="eastAsia" w:ascii="宋体" w:hAnsi="宋体" w:eastAsia="宋体" w:cs="宋体"/>
          <w:color w:val="auto"/>
          <w:sz w:val="24"/>
          <w:highlight w:val="none"/>
        </w:rPr>
        <w:t>。</w:t>
      </w:r>
    </w:p>
    <w:p w14:paraId="466EED7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允许调整合同价格的工程量偏差范围：</w:t>
      </w:r>
      <w:r>
        <w:rPr>
          <w:rFonts w:hint="eastAsia" w:ascii="宋体" w:hAnsi="宋体" w:eastAsia="宋体" w:cs="宋体"/>
          <w:color w:val="auto"/>
          <w:szCs w:val="21"/>
          <w:highlight w:val="none"/>
          <w:u w:val="single"/>
        </w:rPr>
        <w:t>按发包人要求执行</w:t>
      </w:r>
      <w:r>
        <w:rPr>
          <w:rFonts w:hint="eastAsia" w:ascii="宋体" w:hAnsi="宋体" w:eastAsia="宋体" w:cs="宋体"/>
          <w:color w:val="auto"/>
          <w:sz w:val="24"/>
          <w:highlight w:val="none"/>
        </w:rPr>
        <w:t>。</w:t>
      </w:r>
    </w:p>
    <w:p w14:paraId="4255C3C0">
      <w:pPr>
        <w:pStyle w:val="5"/>
        <w:spacing w:before="120" w:after="120" w:line="360" w:lineRule="auto"/>
        <w:rPr>
          <w:rFonts w:hint="eastAsia" w:ascii="宋体" w:hAnsi="宋体" w:eastAsia="宋体" w:cs="宋体"/>
          <w:b w:val="0"/>
          <w:color w:val="auto"/>
          <w:sz w:val="24"/>
          <w:highlight w:val="none"/>
        </w:rPr>
      </w:pPr>
      <w:bookmarkStart w:id="657" w:name="_Toc351203634"/>
      <w:r>
        <w:rPr>
          <w:rFonts w:hint="eastAsia" w:ascii="宋体" w:hAnsi="宋体" w:eastAsia="宋体" w:cs="宋体"/>
          <w:b w:val="0"/>
          <w:color w:val="auto"/>
          <w:sz w:val="24"/>
          <w:highlight w:val="none"/>
        </w:rPr>
        <w:t>2</w:t>
      </w:r>
      <w:bookmarkStart w:id="658" w:name="_Toc297048343"/>
      <w:bookmarkStart w:id="659" w:name="_Toc292559362"/>
      <w:bookmarkStart w:id="660" w:name="_Toc292559867"/>
      <w:bookmarkStart w:id="661" w:name="_Toc296944496"/>
      <w:bookmarkStart w:id="662" w:name="_Toc296346658"/>
      <w:bookmarkStart w:id="663" w:name="_Toc296347156"/>
      <w:bookmarkStart w:id="664" w:name="_Toc296890985"/>
      <w:bookmarkStart w:id="665" w:name="_Toc296891197"/>
      <w:bookmarkStart w:id="666" w:name="_Toc296503157"/>
      <w:bookmarkStart w:id="667" w:name="_Toc297120457"/>
      <w:r>
        <w:rPr>
          <w:rFonts w:hint="eastAsia" w:ascii="宋体" w:hAnsi="宋体" w:eastAsia="宋体" w:cs="宋体"/>
          <w:b w:val="0"/>
          <w:color w:val="auto"/>
          <w:sz w:val="24"/>
          <w:highlight w:val="none"/>
        </w:rPr>
        <w:t>. 发包人</w:t>
      </w:r>
      <w:bookmarkEnd w:id="657"/>
      <w:bookmarkEnd w:id="658"/>
      <w:bookmarkEnd w:id="659"/>
      <w:bookmarkEnd w:id="660"/>
      <w:bookmarkEnd w:id="661"/>
      <w:bookmarkEnd w:id="662"/>
      <w:bookmarkEnd w:id="663"/>
      <w:bookmarkEnd w:id="664"/>
      <w:bookmarkEnd w:id="665"/>
      <w:bookmarkEnd w:id="666"/>
      <w:bookmarkEnd w:id="667"/>
    </w:p>
    <w:p w14:paraId="0E305A6D">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2.2 发包人代表</w:t>
      </w:r>
    </w:p>
    <w:p w14:paraId="035BAD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发包人代表：</w:t>
      </w:r>
    </w:p>
    <w:p w14:paraId="46D3C3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    </w:t>
      </w:r>
      <w:r>
        <w:rPr>
          <w:rFonts w:hint="eastAsia" w:ascii="宋体" w:hAnsi="宋体" w:eastAsia="宋体" w:cs="宋体"/>
          <w:color w:val="auto"/>
          <w:sz w:val="24"/>
          <w:highlight w:val="none"/>
        </w:rPr>
        <w:t>；</w:t>
      </w:r>
    </w:p>
    <w:p w14:paraId="6197400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   </w:t>
      </w:r>
      <w:r>
        <w:rPr>
          <w:rFonts w:hint="eastAsia" w:ascii="宋体" w:hAnsi="宋体" w:eastAsia="宋体" w:cs="宋体"/>
          <w:color w:val="auto"/>
          <w:sz w:val="24"/>
          <w:highlight w:val="none"/>
        </w:rPr>
        <w:t>；</w:t>
      </w:r>
    </w:p>
    <w:p w14:paraId="39398081">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发包人对发包人代表的授权范围如下：</w:t>
      </w:r>
      <w:r>
        <w:rPr>
          <w:rFonts w:hint="eastAsia" w:ascii="宋体" w:hAnsi="宋体" w:eastAsia="宋体" w:cs="宋体"/>
          <w:color w:val="auto"/>
          <w:highlight w:val="none"/>
          <w:u w:val="single"/>
        </w:rPr>
        <w:t xml:space="preserve">按发包人要求执行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9680318">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2.4 施工现场、施工条件和基础资料的提供</w:t>
      </w:r>
    </w:p>
    <w:p w14:paraId="6880B62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 提供施工现场</w:t>
      </w:r>
    </w:p>
    <w:p w14:paraId="0A02856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关于发包人移交施工现场的期限要求：</w:t>
      </w:r>
      <w:r>
        <w:rPr>
          <w:rFonts w:hint="eastAsia" w:ascii="宋体" w:hAnsi="宋体" w:eastAsia="宋体" w:cs="宋体"/>
          <w:color w:val="auto"/>
          <w:highlight w:val="none"/>
          <w:u w:val="single"/>
        </w:rPr>
        <w:t>开工前提供，施工现场具备开工条件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7393D0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 提供施工条件</w:t>
      </w:r>
    </w:p>
    <w:p w14:paraId="7F0D4E73">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关于发包人应负责提供施工所需要的条件，包括：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6B9B6F9">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2.5 资金来源证明及支付担保</w:t>
      </w:r>
    </w:p>
    <w:p w14:paraId="38A2402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发包人提供资金来源证明的期限要求：</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13345B1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发包人是否提供支付担保：</w:t>
      </w:r>
      <w:r>
        <w:rPr>
          <w:rFonts w:hint="eastAsia" w:ascii="宋体" w:hAnsi="宋体" w:eastAsia="宋体" w:cs="宋体"/>
          <w:color w:val="auto"/>
          <w:highlight w:val="none"/>
          <w:u w:val="single"/>
        </w:rPr>
        <w:t>否</w:t>
      </w:r>
      <w:r>
        <w:rPr>
          <w:rFonts w:hint="eastAsia" w:ascii="宋体" w:hAnsi="宋体" w:eastAsia="宋体" w:cs="宋体"/>
          <w:color w:val="auto"/>
          <w:sz w:val="24"/>
          <w:highlight w:val="none"/>
        </w:rPr>
        <w:t>。</w:t>
      </w:r>
    </w:p>
    <w:p w14:paraId="63623BAC">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发包人提供支付担保的形式：</w:t>
      </w:r>
      <w:r>
        <w:rPr>
          <w:rFonts w:hint="eastAsia" w:ascii="宋体" w:hAnsi="宋体" w:eastAsia="宋体" w:cs="宋体"/>
          <w:color w:val="auto"/>
          <w:highlight w:val="none"/>
          <w:u w:val="single"/>
        </w:rPr>
        <w:t>无</w:t>
      </w:r>
      <w:r>
        <w:rPr>
          <w:rFonts w:hint="eastAsia" w:ascii="宋体" w:hAnsi="宋体" w:eastAsia="宋体" w:cs="宋体"/>
          <w:color w:val="auto"/>
          <w:sz w:val="24"/>
          <w:highlight w:val="none"/>
        </w:rPr>
        <w:t>。</w:t>
      </w:r>
    </w:p>
    <w:p w14:paraId="18D51596">
      <w:pPr>
        <w:pStyle w:val="5"/>
        <w:spacing w:before="120" w:after="120" w:line="360" w:lineRule="auto"/>
        <w:rPr>
          <w:rFonts w:hint="eastAsia" w:ascii="宋体" w:hAnsi="宋体" w:eastAsia="宋体" w:cs="宋体"/>
          <w:b w:val="0"/>
          <w:color w:val="auto"/>
          <w:sz w:val="24"/>
          <w:highlight w:val="none"/>
        </w:rPr>
      </w:pPr>
      <w:bookmarkStart w:id="668" w:name="_Toc351203635"/>
      <w:r>
        <w:rPr>
          <w:rFonts w:hint="eastAsia" w:ascii="宋体" w:hAnsi="宋体" w:eastAsia="宋体" w:cs="宋体"/>
          <w:b w:val="0"/>
          <w:color w:val="auto"/>
          <w:sz w:val="24"/>
          <w:highlight w:val="none"/>
        </w:rPr>
        <w:t>3</w:t>
      </w:r>
      <w:bookmarkStart w:id="669" w:name="_Toc296503158"/>
      <w:bookmarkStart w:id="670" w:name="_Toc292559868"/>
      <w:bookmarkStart w:id="671" w:name="_Toc296890986"/>
      <w:bookmarkStart w:id="672" w:name="_Toc296891198"/>
      <w:bookmarkStart w:id="673" w:name="_Toc296347157"/>
      <w:bookmarkStart w:id="674" w:name="_Toc292559363"/>
      <w:bookmarkStart w:id="675" w:name="_Toc296346659"/>
      <w:bookmarkStart w:id="676" w:name="_Toc297120458"/>
      <w:bookmarkStart w:id="677" w:name="_Toc297048344"/>
      <w:bookmarkStart w:id="678" w:name="_Toc296944497"/>
      <w:r>
        <w:rPr>
          <w:rFonts w:hint="eastAsia" w:ascii="宋体" w:hAnsi="宋体" w:eastAsia="宋体" w:cs="宋体"/>
          <w:b w:val="0"/>
          <w:color w:val="auto"/>
          <w:sz w:val="24"/>
          <w:highlight w:val="none"/>
        </w:rPr>
        <w:t>. 承包人</w:t>
      </w:r>
      <w:bookmarkEnd w:id="668"/>
      <w:bookmarkEnd w:id="669"/>
      <w:bookmarkEnd w:id="670"/>
      <w:bookmarkEnd w:id="671"/>
      <w:bookmarkEnd w:id="672"/>
      <w:bookmarkEnd w:id="673"/>
      <w:bookmarkEnd w:id="674"/>
      <w:bookmarkEnd w:id="675"/>
      <w:bookmarkEnd w:id="676"/>
      <w:bookmarkEnd w:id="677"/>
      <w:bookmarkEnd w:id="678"/>
    </w:p>
    <w:p w14:paraId="0A22F92E">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 承包人的一般义务</w:t>
      </w:r>
    </w:p>
    <w:p w14:paraId="2E51FCB4">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（9）承包人提交的竣工资料的内容：</w:t>
      </w:r>
      <w:r>
        <w:rPr>
          <w:rFonts w:hint="eastAsia" w:ascii="宋体" w:hAnsi="宋体" w:eastAsia="宋体" w:cs="宋体"/>
          <w:color w:val="auto"/>
          <w:sz w:val="24"/>
          <w:highlight w:val="none"/>
          <w:u w:val="single"/>
        </w:rPr>
        <w:t xml:space="preserve">  </w:t>
      </w:r>
      <w:bookmarkStart w:id="679" w:name="EB24f010a9250545559a40b307368337ca"/>
      <w:r>
        <w:rPr>
          <w:rFonts w:hint="eastAsia" w:ascii="宋体" w:hAnsi="宋体" w:eastAsia="宋体" w:cs="宋体"/>
          <w:color w:val="auto"/>
          <w:highlight w:val="none"/>
          <w:u w:val="single"/>
        </w:rPr>
        <w:t>所有书面和电子竣工资料</w:t>
      </w:r>
      <w:bookmarkEnd w:id="679"/>
      <w:r>
        <w:rPr>
          <w:rFonts w:hint="eastAsia" w:ascii="宋体" w:hAnsi="宋体" w:eastAsia="宋体" w:cs="宋体"/>
          <w:color w:val="auto"/>
          <w:sz w:val="24"/>
          <w:highlight w:val="none"/>
        </w:rPr>
        <w:t>。</w:t>
      </w:r>
    </w:p>
    <w:p w14:paraId="41EE509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承包人需要提交的竣工资料套数：</w:t>
      </w:r>
      <w:bookmarkStart w:id="680" w:name="EBd003d1b505a84249bb0a5b3aa148e89c"/>
      <w:r>
        <w:rPr>
          <w:rFonts w:hint="eastAsia" w:ascii="宋体" w:hAnsi="宋体" w:eastAsia="宋体" w:cs="宋体"/>
          <w:color w:val="auto"/>
          <w:highlight w:val="none"/>
          <w:u w:val="single"/>
        </w:rPr>
        <w:t>满足发包人档案编制要求</w:t>
      </w:r>
      <w:bookmarkEnd w:id="680"/>
      <w:r>
        <w:rPr>
          <w:rFonts w:hint="eastAsia" w:ascii="宋体" w:hAnsi="宋体" w:eastAsia="宋体" w:cs="宋体"/>
          <w:color w:val="auto"/>
          <w:sz w:val="24"/>
          <w:highlight w:val="none"/>
        </w:rPr>
        <w:t>。</w:t>
      </w:r>
    </w:p>
    <w:p w14:paraId="430F0ADD">
      <w:pPr>
        <w:spacing w:line="360" w:lineRule="auto"/>
        <w:ind w:left="63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承包人提交的竣工资料的费用承担：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由承包人自行承担</w:t>
      </w:r>
      <w:r>
        <w:rPr>
          <w:rFonts w:hint="eastAsia" w:ascii="宋体" w:hAnsi="宋体" w:eastAsia="宋体" w:cs="宋体"/>
          <w:color w:val="auto"/>
          <w:sz w:val="24"/>
          <w:highlight w:val="none"/>
        </w:rPr>
        <w:t>。</w:t>
      </w:r>
    </w:p>
    <w:p w14:paraId="575B194D">
      <w:pPr>
        <w:spacing w:line="360" w:lineRule="auto"/>
        <w:ind w:left="63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承包人提交的竣工资料移交时间：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竣工验收前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83AC6A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承包人提交的竣工资料形式要求：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纸质和电子文件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7E4383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（10）承包人应履行的其他义务：</w:t>
      </w: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4"/>
          <w:highlight w:val="none"/>
        </w:rPr>
        <w:t>。</w:t>
      </w:r>
    </w:p>
    <w:p w14:paraId="544927A4">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 项目经理</w:t>
      </w:r>
    </w:p>
    <w:p w14:paraId="76F064E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3.2.1 项目经理：</w:t>
      </w:r>
    </w:p>
    <w:p w14:paraId="09D095C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rPr>
        <w:t>；</w:t>
      </w:r>
    </w:p>
    <w:p w14:paraId="57F070F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B327E6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项目负责人执业资格等级：</w:t>
      </w: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7D87CC8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项目负责人注册证书号：</w:t>
      </w: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3B9A7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项目负责人执业印章号：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5F4B5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安全生产考核合格证书号：</w:t>
      </w: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2A3AC2B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       </w:t>
      </w:r>
      <w:r>
        <w:rPr>
          <w:rFonts w:hint="eastAsia" w:ascii="宋体" w:hAnsi="宋体" w:eastAsia="宋体" w:cs="宋体"/>
          <w:color w:val="auto"/>
          <w:sz w:val="24"/>
          <w:highlight w:val="none"/>
        </w:rPr>
        <w:t>；</w:t>
      </w:r>
    </w:p>
    <w:p w14:paraId="3B8CBD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76B76C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44B62B1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承包人对项目经理的授权范围如下：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代表承包人行使合同约定的权利和义务，履行合同约定的各项职责。</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A425D8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关于项目经理每月在施工现场的时间要求：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w:t>
      </w:r>
      <w:r>
        <w:rPr>
          <w:rFonts w:hint="eastAsia" w:ascii="宋体" w:hAnsi="宋体" w:eastAsia="宋体" w:cs="宋体"/>
          <w:color w:val="auto"/>
          <w:sz w:val="24"/>
          <w:highlight w:val="none"/>
          <w:u w:val="single"/>
        </w:rPr>
        <w:t></w:t>
      </w:r>
    </w:p>
    <w:p w14:paraId="1C6232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承包人未提交劳动合同，以及没有为项目经理缴纳社会保险证明的违约责任：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由承包人承担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CEF893A">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项目经理未经批准，擅自离开施工现场的违约责任：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5000元/次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FBBE00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3.2.3 承包人擅自更换项目经理的违约责任：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不得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09CDC57">
      <w:pPr>
        <w:spacing w:line="360" w:lineRule="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3.2.4 承包人无正当理由拒绝更换项目经理的违约责任：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不得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0CF3DD6">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 承包人人员</w:t>
      </w:r>
    </w:p>
    <w:p w14:paraId="10751A0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3.3.1 承包人提交项目管理机构及施工现场管理人员安排报告的期限：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开工前7天</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3F65F5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3.3.3 承包人无正当理由拒绝撤换主要施工管理人员的违约责任：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不得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A7AE0DB">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3.3.4 承包人主要施工管理人员离开施工现场的批准要求：   </w:t>
      </w:r>
      <w:r>
        <w:rPr>
          <w:rFonts w:hint="eastAsia" w:ascii="宋体" w:hAnsi="宋体" w:eastAsia="宋体" w:cs="宋体"/>
          <w:color w:val="auto"/>
          <w:highlight w:val="none"/>
          <w:u w:val="single"/>
        </w:rPr>
        <w:t>须征得发包人书面同意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98BE73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3.3.5承包人擅自更换主要施工管理人员的违约责任：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不得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6865F7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承包人主要施工管理人员擅自离开施工现场的违约责任：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不得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B7F0BD4">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bookmarkStart w:id="681" w:name="_Toc312677988"/>
      <w:bookmarkStart w:id="682" w:name="_Toc296890987"/>
      <w:bookmarkStart w:id="683" w:name="_Toc297120459"/>
      <w:bookmarkStart w:id="684" w:name="_Toc300934945"/>
      <w:bookmarkStart w:id="685" w:name="_Toc297048345"/>
      <w:bookmarkStart w:id="686" w:name="_Toc297216151"/>
      <w:bookmarkStart w:id="687" w:name="_Toc296346660"/>
      <w:bookmarkStart w:id="688" w:name="_Toc292559364"/>
      <w:bookmarkStart w:id="689" w:name="_Toc297123492"/>
      <w:bookmarkStart w:id="690" w:name="_Toc296503159"/>
      <w:bookmarkStart w:id="691" w:name="_Toc304295523"/>
      <w:bookmarkStart w:id="692" w:name="_Toc292559869"/>
      <w:bookmarkStart w:id="693" w:name="_Toc296944498"/>
      <w:bookmarkStart w:id="694" w:name="_Toc296891199"/>
      <w:bookmarkStart w:id="695" w:name="_Toc296347158"/>
      <w:bookmarkStart w:id="696" w:name="_Toc303539102"/>
      <w:r>
        <w:rPr>
          <w:rFonts w:hint="eastAsia" w:ascii="宋体" w:hAnsi="宋体" w:eastAsia="宋体" w:cs="宋体"/>
          <w:color w:val="auto"/>
          <w:sz w:val="24"/>
          <w:highlight w:val="none"/>
        </w:rPr>
        <w:t>.5 分包</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 w14:paraId="24E7C4E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bookmarkStart w:id="697" w:name="_Toc303539103"/>
      <w:bookmarkStart w:id="698" w:name="_Toc296503160"/>
      <w:bookmarkStart w:id="699" w:name="_Toc296346661"/>
      <w:bookmarkStart w:id="700" w:name="_Toc296944499"/>
      <w:bookmarkStart w:id="701" w:name="_Toc297216152"/>
      <w:bookmarkStart w:id="702" w:name="_Toc300934946"/>
      <w:bookmarkStart w:id="703" w:name="_Toc297123493"/>
      <w:bookmarkStart w:id="704" w:name="_Toc297120460"/>
      <w:bookmarkStart w:id="705" w:name="_Toc297048346"/>
      <w:bookmarkStart w:id="706" w:name="_Toc304295524"/>
      <w:bookmarkStart w:id="707" w:name="_Toc292559870"/>
      <w:bookmarkStart w:id="708" w:name="_Toc296890988"/>
      <w:bookmarkStart w:id="709" w:name="_Toc296347159"/>
      <w:bookmarkStart w:id="710" w:name="_Toc296891200"/>
      <w:bookmarkStart w:id="711" w:name="_Toc292559365"/>
      <w:bookmarkStart w:id="712" w:name="_Toc312677989"/>
      <w:bookmarkStart w:id="713" w:name="_Toc318581158"/>
      <w:r>
        <w:rPr>
          <w:rFonts w:hint="eastAsia" w:ascii="宋体" w:hAnsi="宋体" w:eastAsia="宋体" w:cs="宋体"/>
          <w:color w:val="auto"/>
          <w:sz w:val="24"/>
          <w:highlight w:val="none"/>
        </w:rPr>
        <w:t>.5.1 分包的一般约定</w:t>
      </w:r>
    </w:p>
    <w:p w14:paraId="18B4475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禁止分包的工程包括：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112334F">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主体结构、关键性工作的范围：</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Start w:id="714" w:name="_Toc296891201"/>
      <w:bookmarkStart w:id="715" w:name="_Toc297216153"/>
      <w:bookmarkStart w:id="716" w:name="_Toc297120461"/>
      <w:bookmarkStart w:id="717" w:name="_Toc296346662"/>
      <w:bookmarkStart w:id="718" w:name="_Toc304295525"/>
      <w:bookmarkStart w:id="719" w:name="_Toc296503161"/>
      <w:bookmarkStart w:id="720" w:name="_Toc297048347"/>
      <w:bookmarkStart w:id="721" w:name="_Toc303539104"/>
      <w:bookmarkStart w:id="722" w:name="_Toc296944500"/>
      <w:bookmarkStart w:id="723" w:name="_Toc297123494"/>
      <w:bookmarkStart w:id="724" w:name="_Toc296347160"/>
      <w:bookmarkStart w:id="725" w:name="_Toc296890989"/>
      <w:bookmarkStart w:id="726" w:name="_Toc300934947"/>
      <w:r>
        <w:rPr>
          <w:rFonts w:hint="eastAsia" w:ascii="宋体" w:hAnsi="宋体" w:eastAsia="宋体" w:cs="宋体"/>
          <w:color w:val="auto"/>
          <w:highlight w:val="none"/>
          <w:u w:val="single"/>
        </w:rPr>
        <w:t>本工程严禁转包，一经发现，即中止合同，并赔偿由此造成的一切损失。专业工程分包需符合相关规定，并报监理人和发包人批准</w:t>
      </w:r>
      <w:r>
        <w:rPr>
          <w:rFonts w:hint="eastAsia" w:ascii="宋体" w:hAnsi="宋体" w:eastAsia="宋体" w:cs="宋体"/>
          <w:color w:val="auto"/>
          <w:sz w:val="24"/>
          <w:highlight w:val="none"/>
        </w:rPr>
        <w:t>。</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3B62D29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w:t>
      </w:r>
      <w:bookmarkStart w:id="727" w:name="_Toc318581159"/>
      <w:bookmarkStart w:id="728" w:name="_Toc312677990"/>
      <w:r>
        <w:rPr>
          <w:rFonts w:hint="eastAsia" w:ascii="宋体" w:hAnsi="宋体" w:eastAsia="宋体" w:cs="宋体"/>
          <w:color w:val="auto"/>
          <w:sz w:val="24"/>
          <w:highlight w:val="none"/>
        </w:rPr>
        <w:t>.5.2分包的确定</w:t>
      </w:r>
    </w:p>
    <w:p w14:paraId="68BCECBB">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允许分包的专业工程包括：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F9CDA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其他关于分包的约定：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BAF916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3.5.4 分包合同价款</w:t>
      </w:r>
    </w:p>
    <w:p w14:paraId="1E2E424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关于分包合同价款支付的约定：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727"/>
      <w:bookmarkEnd w:id="728"/>
    </w:p>
    <w:p w14:paraId="1DD10836">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3.6 工程照管与成品、半成品保护</w:t>
      </w:r>
    </w:p>
    <w:p w14:paraId="0766BDDD">
      <w:pPr>
        <w:spacing w:before="120" w:after="120"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承包人负责照管工程及工程相关的材料、工程设备的起始时间：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BC460FD">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3.7 履约担保</w:t>
      </w:r>
    </w:p>
    <w:p w14:paraId="66D5FEE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承包人是否提供履约担保：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按招标文件要求提供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D05A24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承包人提供履约担保的形式、金额及期限的：</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40D45725">
      <w:pPr>
        <w:pStyle w:val="5"/>
        <w:spacing w:before="120" w:after="120" w:line="360" w:lineRule="auto"/>
        <w:rPr>
          <w:rFonts w:hint="eastAsia" w:ascii="宋体" w:hAnsi="宋体" w:eastAsia="宋体" w:cs="宋体"/>
          <w:b w:val="0"/>
          <w:color w:val="auto"/>
          <w:sz w:val="24"/>
          <w:highlight w:val="none"/>
        </w:rPr>
      </w:pPr>
      <w:bookmarkStart w:id="729" w:name="_Toc351203636"/>
      <w:r>
        <w:rPr>
          <w:rFonts w:hint="eastAsia" w:ascii="宋体" w:hAnsi="宋体" w:eastAsia="宋体" w:cs="宋体"/>
          <w:b w:val="0"/>
          <w:color w:val="auto"/>
          <w:sz w:val="24"/>
          <w:highlight w:val="none"/>
        </w:rPr>
        <w:t>4</w:t>
      </w:r>
      <w:bookmarkStart w:id="730" w:name="_Toc296890990"/>
      <w:bookmarkStart w:id="731" w:name="_Toc296346663"/>
      <w:bookmarkStart w:id="732" w:name="_Toc296347161"/>
      <w:bookmarkStart w:id="733" w:name="_Toc296944501"/>
      <w:bookmarkStart w:id="734" w:name="_Toc292559871"/>
      <w:bookmarkStart w:id="735" w:name="_Toc267251413"/>
      <w:bookmarkStart w:id="736" w:name="_Toc296891202"/>
      <w:bookmarkStart w:id="737" w:name="_Toc296503162"/>
      <w:bookmarkStart w:id="738" w:name="_Toc292559366"/>
      <w:bookmarkStart w:id="739" w:name="_Toc297120462"/>
      <w:bookmarkStart w:id="740" w:name="_Toc297048348"/>
      <w:r>
        <w:rPr>
          <w:rFonts w:hint="eastAsia" w:ascii="宋体" w:hAnsi="宋体" w:eastAsia="宋体" w:cs="宋体"/>
          <w:b w:val="0"/>
          <w:color w:val="auto"/>
          <w:sz w:val="24"/>
          <w:highlight w:val="none"/>
        </w:rPr>
        <w:t>. 监</w:t>
      </w:r>
      <w:bookmarkEnd w:id="730"/>
      <w:bookmarkEnd w:id="731"/>
      <w:bookmarkEnd w:id="732"/>
      <w:bookmarkEnd w:id="733"/>
      <w:bookmarkEnd w:id="734"/>
      <w:bookmarkEnd w:id="735"/>
      <w:bookmarkEnd w:id="736"/>
      <w:bookmarkEnd w:id="737"/>
      <w:bookmarkEnd w:id="738"/>
      <w:bookmarkEnd w:id="739"/>
      <w:bookmarkEnd w:id="740"/>
      <w:r>
        <w:rPr>
          <w:rFonts w:hint="eastAsia" w:ascii="宋体" w:hAnsi="宋体" w:eastAsia="宋体" w:cs="宋体"/>
          <w:b w:val="0"/>
          <w:color w:val="auto"/>
          <w:sz w:val="24"/>
          <w:highlight w:val="none"/>
        </w:rPr>
        <w:t>理人</w:t>
      </w:r>
      <w:bookmarkEnd w:id="729"/>
    </w:p>
    <w:p w14:paraId="3DDE554B">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4.1监理人的一般规定</w:t>
      </w:r>
    </w:p>
    <w:p w14:paraId="278CEEF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按监理合同执行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4966BA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关于监理人的监理权限：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按监理合同执行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FECF7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关于监理人在施工现场的办公场所、生活场所的提供和费用承担的约定：</w:t>
      </w:r>
      <w:r>
        <w:rPr>
          <w:rFonts w:hint="eastAsia" w:ascii="宋体" w:hAnsi="宋体" w:eastAsia="宋体" w:cs="宋体"/>
          <w:color w:val="auto"/>
          <w:highlight w:val="none"/>
          <w:u w:val="single"/>
        </w:rPr>
        <w:t>按监理合同执行</w:t>
      </w:r>
      <w:r>
        <w:rPr>
          <w:rFonts w:hint="eastAsia" w:ascii="宋体" w:hAnsi="宋体" w:eastAsia="宋体" w:cs="宋体"/>
          <w:color w:val="auto"/>
          <w:sz w:val="24"/>
          <w:highlight w:val="none"/>
        </w:rPr>
        <w:t>。</w:t>
      </w:r>
    </w:p>
    <w:p w14:paraId="66C2F5B2">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 监理人员</w:t>
      </w:r>
    </w:p>
    <w:p w14:paraId="42C7454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总监理工程师：</w:t>
      </w:r>
    </w:p>
    <w:p w14:paraId="66841BE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666CC7B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39E3011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监理工程师执业资格证书号：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DE855C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44431D2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3FB1CBE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200F0DF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关于监理人的其他约定：</w:t>
      </w:r>
      <w:r>
        <w:rPr>
          <w:rFonts w:hint="eastAsia" w:ascii="宋体" w:hAnsi="宋体" w:eastAsia="宋体" w:cs="宋体"/>
          <w:color w:val="auto"/>
          <w:highlight w:val="none"/>
          <w:u w:val="single"/>
        </w:rPr>
        <w:t>按监理合同执行</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7F462999">
      <w:pPr>
        <w:pStyle w:val="5"/>
        <w:spacing w:before="120" w:after="120" w:line="360" w:lineRule="auto"/>
        <w:rPr>
          <w:rFonts w:hint="eastAsia" w:ascii="宋体" w:hAnsi="宋体" w:eastAsia="宋体" w:cs="宋体"/>
          <w:b w:val="0"/>
          <w:color w:val="auto"/>
          <w:sz w:val="24"/>
          <w:highlight w:val="none"/>
        </w:rPr>
      </w:pPr>
      <w:bookmarkStart w:id="741" w:name="_Toc267251418"/>
      <w:bookmarkStart w:id="742" w:name="_Toc351203637"/>
      <w:r>
        <w:rPr>
          <w:rFonts w:hint="eastAsia" w:ascii="宋体" w:hAnsi="宋体" w:eastAsia="宋体" w:cs="宋体"/>
          <w:b w:val="0"/>
          <w:color w:val="auto"/>
          <w:sz w:val="24"/>
          <w:highlight w:val="none"/>
        </w:rPr>
        <w:t>5</w:t>
      </w:r>
      <w:bookmarkEnd w:id="741"/>
      <w:bookmarkStart w:id="743" w:name="_Toc292559872"/>
      <w:bookmarkStart w:id="744" w:name="_Toc296346664"/>
      <w:bookmarkStart w:id="745" w:name="_Toc296347162"/>
      <w:bookmarkStart w:id="746" w:name="_Toc296890991"/>
      <w:bookmarkStart w:id="747" w:name="_Toc296944502"/>
      <w:bookmarkStart w:id="748" w:name="_Toc296891203"/>
      <w:bookmarkStart w:id="749" w:name="_Toc296503163"/>
      <w:bookmarkStart w:id="750" w:name="_Toc297120463"/>
      <w:bookmarkStart w:id="751" w:name="_Toc297048349"/>
      <w:bookmarkStart w:id="752" w:name="_Toc292559367"/>
      <w:r>
        <w:rPr>
          <w:rFonts w:hint="eastAsia" w:ascii="宋体" w:hAnsi="宋体" w:eastAsia="宋体" w:cs="宋体"/>
          <w:b w:val="0"/>
          <w:color w:val="auto"/>
          <w:sz w:val="24"/>
          <w:highlight w:val="none"/>
        </w:rPr>
        <w:t>. 工程质量</w:t>
      </w:r>
      <w:bookmarkEnd w:id="742"/>
    </w:p>
    <w:p w14:paraId="7CF14295">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5.1 质量要求</w:t>
      </w:r>
    </w:p>
    <w:p w14:paraId="7ED2447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bookmarkStart w:id="753" w:name="_Toc303539106"/>
      <w:bookmarkStart w:id="754" w:name="_Toc300934949"/>
      <w:bookmarkStart w:id="755" w:name="_Toc312677997"/>
      <w:bookmarkStart w:id="756" w:name="_Toc304295527"/>
      <w:bookmarkStart w:id="757" w:name="_Toc318581164"/>
      <w:bookmarkStart w:id="758" w:name="_Toc297216155"/>
      <w:bookmarkStart w:id="759" w:name="_Toc297123496"/>
      <w:r>
        <w:rPr>
          <w:rFonts w:hint="eastAsia" w:ascii="宋体" w:hAnsi="宋体" w:eastAsia="宋体" w:cs="宋体"/>
          <w:color w:val="auto"/>
          <w:sz w:val="24"/>
          <w:highlight w:val="none"/>
        </w:rPr>
        <w:t>.1.1 特殊质量标准和要求：</w:t>
      </w:r>
      <w:r>
        <w:rPr>
          <w:rFonts w:hint="eastAsia" w:ascii="宋体" w:hAnsi="宋体" w:eastAsia="宋体" w:cs="宋体"/>
          <w:color w:val="auto"/>
          <w:highlight w:val="none"/>
          <w:u w:val="single"/>
        </w:rPr>
        <w:t>合格</w:t>
      </w:r>
      <w:r>
        <w:rPr>
          <w:rFonts w:hint="eastAsia" w:ascii="宋体" w:hAnsi="宋体" w:eastAsia="宋体" w:cs="宋体"/>
          <w:color w:val="auto"/>
          <w:sz w:val="24"/>
          <w:highlight w:val="none"/>
        </w:rPr>
        <w:t>。</w:t>
      </w:r>
    </w:p>
    <w:p w14:paraId="5DE6782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关于工程奖项的约定：</w:t>
      </w:r>
      <w:r>
        <w:rPr>
          <w:rFonts w:hint="eastAsia" w:ascii="宋体" w:hAnsi="宋体" w:eastAsia="宋体" w:cs="宋体"/>
          <w:color w:val="auto"/>
          <w:highlight w:val="none"/>
          <w:u w:val="single"/>
        </w:rPr>
        <w:t>工程未达到合格，承包人除返工合格外，还需承担（分部分项工程费+单价措施项目费-工程设备费）的1%违约金，由于承包人原因引起的验收不合格而引起的工期延误及其他返工等相应经济损失由承包人承担。</w:t>
      </w:r>
    </w:p>
    <w:p w14:paraId="4829A1F7">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5.3 隐蔽工程检查</w:t>
      </w:r>
    </w:p>
    <w:p w14:paraId="55D9BD8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5.3.2承包人提前通知监理人隐蔽工程检查的期限的约定：</w:t>
      </w:r>
      <w:r>
        <w:rPr>
          <w:rFonts w:hint="eastAsia" w:ascii="宋体" w:hAnsi="宋体" w:eastAsia="宋体" w:cs="宋体"/>
          <w:color w:val="auto"/>
          <w:sz w:val="24"/>
          <w:highlight w:val="none"/>
          <w:u w:val="single"/>
        </w:rPr>
        <w:t>24小时</w:t>
      </w:r>
      <w:r>
        <w:rPr>
          <w:rFonts w:hint="eastAsia" w:ascii="宋体" w:hAnsi="宋体" w:eastAsia="宋体" w:cs="宋体"/>
          <w:color w:val="auto"/>
          <w:sz w:val="24"/>
          <w:highlight w:val="none"/>
        </w:rPr>
        <w:t>。</w:t>
      </w:r>
    </w:p>
    <w:p w14:paraId="0BE480B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监理人不能按时进行检查时，应提前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2975A6A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w:t>
      </w:r>
      <w:r>
        <w:rPr>
          <w:rFonts w:hint="eastAsia" w:ascii="宋体" w:hAnsi="宋体" w:eastAsia="宋体" w:cs="宋体"/>
          <w:color w:val="auto"/>
          <w:sz w:val="24"/>
          <w:highlight w:val="none"/>
        </w:rPr>
        <w:t>小时。</w:t>
      </w:r>
    </w:p>
    <w:p w14:paraId="33E47A7D">
      <w:pPr>
        <w:pStyle w:val="5"/>
        <w:spacing w:before="120" w:after="120" w:line="360" w:lineRule="auto"/>
        <w:rPr>
          <w:rFonts w:hint="eastAsia" w:ascii="宋体" w:hAnsi="宋体" w:eastAsia="宋体" w:cs="宋体"/>
          <w:b w:val="0"/>
          <w:color w:val="auto"/>
          <w:sz w:val="24"/>
          <w:highlight w:val="none"/>
        </w:rPr>
      </w:pPr>
      <w:bookmarkStart w:id="760" w:name="_Toc351203638"/>
      <w:r>
        <w:rPr>
          <w:rFonts w:hint="eastAsia" w:ascii="宋体" w:hAnsi="宋体" w:eastAsia="宋体" w:cs="宋体"/>
          <w:b w:val="0"/>
          <w:color w:val="auto"/>
          <w:sz w:val="24"/>
          <w:highlight w:val="none"/>
        </w:rPr>
        <w:t>6. 安全文明施工与环境保护</w:t>
      </w:r>
      <w:bookmarkEnd w:id="760"/>
    </w:p>
    <w:p w14:paraId="3A44C2FA">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6.1安全文明施工</w:t>
      </w:r>
    </w:p>
    <w:p w14:paraId="7BC0881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6.1.1</w:t>
      </w:r>
      <w:r>
        <w:rPr>
          <w:rFonts w:hint="eastAsia" w:ascii="宋体" w:hAnsi="宋体" w:eastAsia="宋体" w:cs="宋体"/>
          <w:color w:val="auto"/>
          <w:sz w:val="24"/>
          <w:highlight w:val="none"/>
        </w:rPr>
        <w:t xml:space="preserve"> 项目安全生产的达标目标及相应事项的约定：</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671B030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6.1.4 关于治安保卫的特别约定：</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407BC72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关于编制施工场地治安管理计划的约定/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3DD4EE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6.1.5 文明施工</w:t>
      </w:r>
    </w:p>
    <w:p w14:paraId="7361DD6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合同当事人对文明施工的要求：</w:t>
      </w:r>
      <w:r>
        <w:rPr>
          <w:rFonts w:hint="eastAsia" w:ascii="宋体" w:hAnsi="宋体" w:eastAsia="宋体" w:cs="宋体"/>
          <w:color w:val="auto"/>
          <w:highlight w:val="none"/>
          <w:u w:val="single"/>
        </w:rPr>
        <w:t>保证安全生产，文明施工，减少扰民降低环境污染和噪音的措施</w:t>
      </w:r>
      <w:r>
        <w:rPr>
          <w:rFonts w:hint="eastAsia" w:ascii="宋体" w:hAnsi="宋体" w:eastAsia="宋体" w:cs="宋体"/>
          <w:color w:val="auto"/>
          <w:sz w:val="24"/>
          <w:highlight w:val="none"/>
        </w:rPr>
        <w:t>。</w:t>
      </w:r>
    </w:p>
    <w:p w14:paraId="3DA5CB7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6.1.6 关于安全文明施工费支付比例和支付期限的约定：</w:t>
      </w:r>
      <w:r>
        <w:rPr>
          <w:rFonts w:hint="eastAsia" w:ascii="宋体" w:hAnsi="宋体" w:eastAsia="宋体" w:cs="宋体"/>
          <w:color w:val="auto"/>
          <w:highlight w:val="none"/>
          <w:u w:val="single"/>
        </w:rPr>
        <w:t>现场安全文明施工措施费按规定核定后计取</w:t>
      </w:r>
      <w:r>
        <w:rPr>
          <w:rFonts w:hint="eastAsia" w:ascii="宋体" w:hAnsi="宋体" w:eastAsia="宋体" w:cs="宋体"/>
          <w:color w:val="auto"/>
          <w:sz w:val="24"/>
          <w:highlight w:val="none"/>
        </w:rPr>
        <w:t>。</w:t>
      </w:r>
      <w:bookmarkEnd w:id="753"/>
      <w:bookmarkEnd w:id="754"/>
      <w:bookmarkEnd w:id="755"/>
      <w:bookmarkEnd w:id="756"/>
      <w:bookmarkEnd w:id="757"/>
      <w:bookmarkEnd w:id="758"/>
      <w:bookmarkEnd w:id="759"/>
    </w:p>
    <w:p w14:paraId="214DB1E3">
      <w:pPr>
        <w:pStyle w:val="5"/>
        <w:spacing w:before="120" w:after="120" w:line="360" w:lineRule="auto"/>
        <w:rPr>
          <w:rFonts w:hint="eastAsia" w:ascii="宋体" w:hAnsi="宋体" w:eastAsia="宋体" w:cs="宋体"/>
          <w:b w:val="0"/>
          <w:color w:val="auto"/>
          <w:sz w:val="24"/>
          <w:highlight w:val="none"/>
        </w:rPr>
      </w:pPr>
      <w:bookmarkStart w:id="761" w:name="_Toc351203639"/>
      <w:r>
        <w:rPr>
          <w:rFonts w:hint="eastAsia" w:ascii="宋体" w:hAnsi="宋体" w:eastAsia="宋体" w:cs="宋体"/>
          <w:b w:val="0"/>
          <w:color w:val="auto"/>
          <w:sz w:val="24"/>
          <w:highlight w:val="none"/>
        </w:rPr>
        <w:t>7. 工期和进度</w:t>
      </w:r>
      <w:bookmarkEnd w:id="761"/>
    </w:p>
    <w:p w14:paraId="2CB9F099">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 施工组织设计</w:t>
      </w:r>
    </w:p>
    <w:p w14:paraId="2347C0E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w:t>
      </w:r>
      <w:r>
        <w:rPr>
          <w:rFonts w:hint="eastAsia" w:ascii="宋体" w:hAnsi="宋体" w:eastAsia="宋体" w:cs="宋体"/>
          <w:color w:val="auto"/>
          <w:sz w:val="24"/>
          <w:highlight w:val="none"/>
        </w:rPr>
        <w:t>合同当事人约定的施工组织设计应包括的其他内容：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2A0545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7.1.2</w:t>
      </w:r>
      <w:r>
        <w:rPr>
          <w:rFonts w:hint="eastAsia" w:ascii="宋体" w:hAnsi="宋体" w:eastAsia="宋体" w:cs="宋体"/>
          <w:color w:val="auto"/>
          <w:sz w:val="24"/>
          <w:highlight w:val="none"/>
        </w:rPr>
        <w:t xml:space="preserve"> 施工组织设计的提交和修改</w:t>
      </w:r>
    </w:p>
    <w:p w14:paraId="2E0E35A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承包人提交详细施工组织设计的期限的约定：</w:t>
      </w:r>
      <w:r>
        <w:rPr>
          <w:rFonts w:hint="eastAsia" w:ascii="宋体" w:hAnsi="宋体" w:eastAsia="宋体" w:cs="宋体"/>
          <w:color w:val="auto"/>
          <w:highlight w:val="none"/>
          <w:u w:val="single"/>
        </w:rPr>
        <w:t>(1)承包人应当在收到监理人开工通知后7天内，编制详细的施工进度计划和施工方案说明并报送监理人。承包人编制施工进度计划和施工方案说明的内容：</w:t>
      </w:r>
      <w:bookmarkStart w:id="762" w:name="EBaae328afc4494697a729723be59a3e28"/>
      <w:r>
        <w:rPr>
          <w:rFonts w:hint="eastAsia" w:ascii="宋体" w:hAnsi="宋体" w:eastAsia="宋体" w:cs="宋体"/>
          <w:color w:val="auto"/>
          <w:highlight w:val="none"/>
          <w:u w:val="single"/>
        </w:rPr>
        <w:t>网络总进度计划、年度施工进度计划、阶段性施工进度计划</w:t>
      </w:r>
      <w:bookmarkEnd w:id="762"/>
      <w:bookmarkStart w:id="763" w:name="EBe474b5ccca2043c79eed2c688347fe38"/>
      <w:bookmarkEnd w:id="763"/>
      <w:r>
        <w:rPr>
          <w:rFonts w:hint="eastAsia" w:ascii="宋体" w:hAnsi="宋体" w:eastAsia="宋体" w:cs="宋体"/>
          <w:color w:val="auto"/>
          <w:highlight w:val="none"/>
          <w:u w:val="single"/>
        </w:rPr>
        <w:t>，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4" w:name="EBd8a6fb6a94a846f4a8ee01f9b26db30c"/>
      <w:r>
        <w:rPr>
          <w:rFonts w:hint="eastAsia" w:ascii="宋体" w:hAnsi="宋体" w:eastAsia="宋体" w:cs="宋体"/>
          <w:color w:val="auto"/>
          <w:highlight w:val="none"/>
          <w:u w:val="single"/>
        </w:rPr>
        <w:t>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64"/>
      <w:r>
        <w:rPr>
          <w:rFonts w:hint="eastAsia" w:ascii="宋体" w:hAnsi="宋体" w:eastAsia="宋体" w:cs="宋体"/>
          <w:color w:val="auto"/>
          <w:highlight w:val="none"/>
          <w:u w:val="single"/>
        </w:rPr>
        <w:t>。(4)承包人报送分阶段或分项施工进度计划和施工方案说明的期限</w:t>
      </w:r>
      <w:bookmarkStart w:id="765" w:name="EBc5c0552316a74fe8b9bfdc89d95dd02b"/>
      <w:r>
        <w:rPr>
          <w:rFonts w:hint="eastAsia" w:ascii="宋体" w:hAnsi="宋体" w:eastAsia="宋体" w:cs="宋体"/>
          <w:color w:val="auto"/>
          <w:highlight w:val="none"/>
          <w:u w:val="single"/>
        </w:rPr>
        <w:t>:如有需要，另行商定</w:t>
      </w:r>
      <w:bookmarkEnd w:id="765"/>
      <w:r>
        <w:rPr>
          <w:rFonts w:hint="eastAsia" w:ascii="宋体" w:hAnsi="宋体" w:eastAsia="宋体" w:cs="宋体"/>
          <w:color w:val="auto"/>
          <w:highlight w:val="none"/>
          <w:u w:val="single"/>
        </w:rPr>
        <w:t>。</w:t>
      </w:r>
      <w:r>
        <w:rPr>
          <w:rFonts w:hint="eastAsia" w:ascii="宋体" w:hAnsi="宋体" w:eastAsia="宋体" w:cs="宋体"/>
          <w:color w:val="auto"/>
          <w:sz w:val="24"/>
          <w:highlight w:val="none"/>
          <w:u w:val="single"/>
        </w:rPr>
        <w:t xml:space="preserve"> </w:t>
      </w:r>
    </w:p>
    <w:p w14:paraId="4E3B46A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发包人和监理人在收到详细的施工组织设计后确认或提出修改意见的期限：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09141B5">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bookmarkStart w:id="766" w:name="_Toc312678005"/>
      <w:bookmarkStart w:id="767" w:name="_Toc297123514"/>
      <w:bookmarkStart w:id="768" w:name="_Toc300934966"/>
      <w:bookmarkStart w:id="769" w:name="_Toc303539123"/>
      <w:bookmarkStart w:id="770" w:name="_Toc312677479"/>
      <w:bookmarkStart w:id="771" w:name="_Toc297216173"/>
      <w:bookmarkStart w:id="772" w:name="_Toc304295541"/>
      <w:r>
        <w:rPr>
          <w:rFonts w:hint="eastAsia" w:ascii="宋体" w:hAnsi="宋体" w:eastAsia="宋体" w:cs="宋体"/>
          <w:color w:val="auto"/>
          <w:sz w:val="24"/>
          <w:highlight w:val="none"/>
        </w:rPr>
        <w:t>.2 施工进度计划</w:t>
      </w:r>
    </w:p>
    <w:p w14:paraId="2DC5EEC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7.2.2 施工进度计划的修订</w:t>
      </w:r>
    </w:p>
    <w:p w14:paraId="3339691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发包人和监理人在收到修订的施工进度计划后确认或提出修改意见的期限：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843FA51">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7.3 开工</w:t>
      </w:r>
    </w:p>
    <w:p w14:paraId="55D9237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7.3.1 开工准备</w:t>
      </w:r>
    </w:p>
    <w:p w14:paraId="16504A1D">
      <w:pPr>
        <w:spacing w:line="360" w:lineRule="auto"/>
        <w:ind w:firstLine="645"/>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关于承包人提交工程开工报审表的期限：</w:t>
      </w:r>
      <w:r>
        <w:rPr>
          <w:rFonts w:hint="eastAsia" w:ascii="宋体" w:hAnsi="宋体" w:eastAsia="宋体" w:cs="宋体"/>
          <w:color w:val="auto"/>
          <w:highlight w:val="none"/>
          <w:u w:val="single"/>
        </w:rPr>
        <w:t>在工程准备工作完成后，计划开工日期前7天提交开工报审表</w:t>
      </w:r>
      <w:r>
        <w:rPr>
          <w:rFonts w:hint="eastAsia" w:ascii="宋体" w:hAnsi="宋体" w:eastAsia="宋体" w:cs="宋体"/>
          <w:color w:val="auto"/>
          <w:sz w:val="24"/>
          <w:highlight w:val="none"/>
        </w:rPr>
        <w:t>。</w:t>
      </w:r>
    </w:p>
    <w:p w14:paraId="37CF846E">
      <w:pPr>
        <w:spacing w:line="360" w:lineRule="auto"/>
        <w:ind w:firstLine="64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关于发包人应完成的其他开工准备工作及期限：</w:t>
      </w:r>
      <w:r>
        <w:rPr>
          <w:rFonts w:hint="eastAsia" w:ascii="宋体" w:hAnsi="宋体" w:eastAsia="宋体" w:cs="宋体"/>
          <w:color w:val="auto"/>
          <w:highlight w:val="none"/>
          <w:u w:val="single"/>
        </w:rPr>
        <w:t>计划开工日期前7天</w:t>
      </w:r>
      <w:r>
        <w:rPr>
          <w:rFonts w:hint="eastAsia" w:ascii="宋体" w:hAnsi="宋体" w:eastAsia="宋体" w:cs="宋体"/>
          <w:color w:val="auto"/>
          <w:sz w:val="24"/>
          <w:highlight w:val="none"/>
        </w:rPr>
        <w:t>。</w:t>
      </w:r>
    </w:p>
    <w:p w14:paraId="1911EA9E">
      <w:pPr>
        <w:spacing w:line="360" w:lineRule="auto"/>
        <w:ind w:firstLine="64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关于承包人应完成的其他开工准备工作及期限：</w:t>
      </w:r>
      <w:r>
        <w:rPr>
          <w:rFonts w:hint="eastAsia" w:ascii="宋体" w:hAnsi="宋体" w:eastAsia="宋体" w:cs="宋体"/>
          <w:color w:val="auto"/>
          <w:highlight w:val="none"/>
          <w:u w:val="single"/>
        </w:rPr>
        <w:t>计划开工日期前7天</w:t>
      </w:r>
      <w:r>
        <w:rPr>
          <w:rFonts w:hint="eastAsia" w:ascii="宋体" w:hAnsi="宋体" w:eastAsia="宋体" w:cs="宋体"/>
          <w:color w:val="auto"/>
          <w:sz w:val="24"/>
          <w:highlight w:val="none"/>
        </w:rPr>
        <w:t>。</w:t>
      </w:r>
    </w:p>
    <w:p w14:paraId="6F15D68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7.3.2开工通知</w:t>
      </w:r>
    </w:p>
    <w:p w14:paraId="68062AB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因发包人原因造成监理人未能在计划开工日期之日起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天内发出开工通知的，承包人有权提出价格调整要求，或者解除合同。</w:t>
      </w:r>
      <w:bookmarkEnd w:id="766"/>
      <w:bookmarkEnd w:id="767"/>
      <w:bookmarkEnd w:id="768"/>
      <w:bookmarkEnd w:id="769"/>
      <w:bookmarkEnd w:id="770"/>
      <w:bookmarkEnd w:id="771"/>
      <w:bookmarkEnd w:id="772"/>
    </w:p>
    <w:p w14:paraId="343417DB">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7.4 测量放线</w:t>
      </w:r>
    </w:p>
    <w:p w14:paraId="1FF61F4F">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承包人进驻施工现场后7天内</w:t>
      </w:r>
      <w:r>
        <w:rPr>
          <w:rFonts w:hint="eastAsia" w:ascii="宋体" w:hAnsi="宋体" w:eastAsia="宋体" w:cs="宋体"/>
          <w:color w:val="auto"/>
          <w:sz w:val="24"/>
          <w:highlight w:val="none"/>
        </w:rPr>
        <w:t>。</w:t>
      </w:r>
    </w:p>
    <w:p w14:paraId="2F748E56">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bookmarkStart w:id="773" w:name="_Toc304295546"/>
      <w:bookmarkStart w:id="774" w:name="_Toc300934968"/>
      <w:bookmarkStart w:id="775" w:name="_Toc297123516"/>
      <w:bookmarkStart w:id="776" w:name="_Toc303539125"/>
      <w:bookmarkStart w:id="777" w:name="_Toc297216175"/>
      <w:bookmarkStart w:id="778" w:name="_Toc312677484"/>
      <w:bookmarkStart w:id="779" w:name="_Toc312678010"/>
      <w:r>
        <w:rPr>
          <w:rFonts w:hint="eastAsia" w:ascii="宋体" w:hAnsi="宋体" w:eastAsia="宋体" w:cs="宋体"/>
          <w:color w:val="auto"/>
          <w:sz w:val="24"/>
          <w:highlight w:val="none"/>
        </w:rPr>
        <w:t>.5 工期延误</w:t>
      </w:r>
      <w:bookmarkEnd w:id="773"/>
      <w:bookmarkEnd w:id="774"/>
      <w:bookmarkEnd w:id="775"/>
      <w:bookmarkEnd w:id="776"/>
      <w:bookmarkEnd w:id="777"/>
      <w:bookmarkEnd w:id="778"/>
      <w:bookmarkEnd w:id="779"/>
    </w:p>
    <w:p w14:paraId="7C57BBA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7.5.1 因发包人原因导致工期延误</w:t>
      </w:r>
    </w:p>
    <w:p w14:paraId="32C4402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（7）因发包人原因导致工期延误的其他情形：</w:t>
      </w:r>
      <w:bookmarkStart w:id="780" w:name="EBe97a249140f944629a6c9bc13dd70b07"/>
      <w:r>
        <w:rPr>
          <w:rFonts w:hint="eastAsia" w:ascii="宋体" w:hAnsi="宋体" w:eastAsia="宋体" w:cs="宋体"/>
          <w:color w:val="auto"/>
          <w:highlight w:val="none"/>
          <w:u w:val="single"/>
        </w:rPr>
        <w:t>不可抗力因素、造成工期严重影响（延误10天以上）的设计变更、因地质情况引起的地基基础处理</w:t>
      </w:r>
      <w:bookmarkEnd w:id="780"/>
      <w:r>
        <w:rPr>
          <w:rFonts w:hint="eastAsia" w:ascii="宋体" w:hAnsi="宋体" w:eastAsia="宋体" w:cs="宋体"/>
          <w:color w:val="auto"/>
          <w:sz w:val="24"/>
          <w:highlight w:val="none"/>
        </w:rPr>
        <w:t>。</w:t>
      </w:r>
    </w:p>
    <w:p w14:paraId="394A7B7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bookmarkStart w:id="781" w:name="_Toc312678012"/>
      <w:bookmarkStart w:id="782" w:name="_Toc312677486"/>
      <w:bookmarkStart w:id="783" w:name="_Toc318581169"/>
      <w:bookmarkStart w:id="784" w:name="_Toc297123518"/>
      <w:bookmarkStart w:id="785" w:name="_Toc300934970"/>
      <w:bookmarkStart w:id="786" w:name="_Toc297216177"/>
      <w:bookmarkStart w:id="787" w:name="_Toc303539127"/>
      <w:bookmarkStart w:id="788" w:name="_Toc304295548"/>
      <w:r>
        <w:rPr>
          <w:rFonts w:hint="eastAsia" w:ascii="宋体" w:hAnsi="宋体" w:eastAsia="宋体" w:cs="宋体"/>
          <w:color w:val="auto"/>
          <w:sz w:val="24"/>
          <w:highlight w:val="none"/>
        </w:rPr>
        <w:t>.5.2 因承包人原因导致工期延误</w:t>
      </w:r>
      <w:bookmarkEnd w:id="781"/>
      <w:bookmarkEnd w:id="782"/>
      <w:bookmarkEnd w:id="783"/>
    </w:p>
    <w:p w14:paraId="14CAB6EC">
      <w:pPr>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rPr>
        <w:t>因</w:t>
      </w:r>
      <w:bookmarkStart w:id="789" w:name="_Toc312678013"/>
      <w:bookmarkStart w:id="790" w:name="_Toc312677487"/>
      <w:bookmarkStart w:id="791" w:name="_Toc318581170"/>
      <w:r>
        <w:rPr>
          <w:rFonts w:hint="eastAsia" w:ascii="宋体" w:hAnsi="宋体" w:eastAsia="宋体" w:cs="宋体"/>
          <w:color w:val="auto"/>
          <w:sz w:val="24"/>
          <w:highlight w:val="none"/>
        </w:rPr>
        <w:t>承包人原因造成工期延误，</w:t>
      </w:r>
      <w:r>
        <w:rPr>
          <w:rFonts w:ascii="宋体" w:hAnsi="宋体" w:eastAsia="宋体" w:cs="宋体"/>
          <w:sz w:val="24"/>
          <w:szCs w:val="24"/>
          <w:highlight w:val="none"/>
        </w:rPr>
        <w:t>未完成的，</w:t>
      </w:r>
      <w:r>
        <w:rPr>
          <w:rFonts w:hint="eastAsia" w:ascii="宋体" w:hAnsi="宋体" w:eastAsia="宋体" w:cs="宋体"/>
          <w:sz w:val="24"/>
          <w:szCs w:val="24"/>
          <w:highlight w:val="none"/>
          <w:lang w:val="en-US" w:eastAsia="zh-CN"/>
        </w:rPr>
        <w:t>采购人有权</w:t>
      </w:r>
      <w:r>
        <w:rPr>
          <w:rFonts w:ascii="宋体" w:hAnsi="宋体" w:eastAsia="宋体" w:cs="宋体"/>
          <w:sz w:val="24"/>
          <w:szCs w:val="24"/>
          <w:highlight w:val="none"/>
        </w:rPr>
        <w:t>解除</w:t>
      </w:r>
      <w:r>
        <w:rPr>
          <w:rFonts w:hint="eastAsia" w:ascii="宋体" w:hAnsi="宋体" w:eastAsia="宋体" w:cs="宋体"/>
          <w:sz w:val="24"/>
          <w:szCs w:val="24"/>
          <w:highlight w:val="none"/>
          <w:lang w:val="en-US" w:eastAsia="zh-CN"/>
        </w:rPr>
        <w:t>合同。</w:t>
      </w:r>
    </w:p>
    <w:p w14:paraId="4B049861">
      <w:pPr>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rPr>
        <w:t>逾期竣工违约金的计算方法为：</w:t>
      </w:r>
      <w:r>
        <w:rPr>
          <w:rFonts w:hint="eastAsia" w:ascii="宋体" w:hAnsi="宋体" w:eastAsia="宋体" w:cs="宋体"/>
          <w:color w:val="auto"/>
          <w:highlight w:val="none"/>
          <w:u w:val="single"/>
        </w:rPr>
        <w:t>承包人因自身原因未能在承诺工期内完成招标范围内的全部工程内容，则按延误合同工期的天数承担（分部分项工程费+单价措施项目费-工程设备费</w:t>
      </w:r>
      <w:r>
        <w:rPr>
          <w:rFonts w:hint="eastAsia" w:ascii="宋体" w:hAnsi="宋体" w:eastAsia="宋体" w:cs="宋体"/>
          <w:color w:val="auto"/>
          <w:highlight w:val="none"/>
          <w:u w:val="single"/>
        </w:rPr>
        <w:t>）的0.</w:t>
      </w:r>
      <w:r>
        <w:rPr>
          <w:rFonts w:hint="eastAsia" w:ascii="宋体" w:hAnsi="宋体" w:cs="宋体"/>
          <w:color w:val="auto"/>
          <w:highlight w:val="none"/>
          <w:u w:val="single"/>
          <w:lang w:val="en-US" w:eastAsia="zh-CN"/>
        </w:rPr>
        <w:t>5</w:t>
      </w:r>
      <w:r>
        <w:rPr>
          <w:rFonts w:hint="eastAsia" w:ascii="宋体" w:hAnsi="宋体" w:eastAsia="宋体" w:cs="宋体"/>
          <w:color w:val="auto"/>
          <w:highlight w:val="none"/>
          <w:u w:val="single"/>
        </w:rPr>
        <w:t>‰/天的逾期竣工违约金。</w:t>
      </w:r>
    </w:p>
    <w:p w14:paraId="23F6C551">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highlight w:val="none"/>
          <w:u w:val="single"/>
        </w:rPr>
        <w:t>累计违约金以合同总价的5%为上限</w:t>
      </w:r>
      <w:r>
        <w:rPr>
          <w:rFonts w:hint="eastAsia" w:ascii="宋体" w:hAnsi="宋体" w:cs="宋体"/>
          <w:color w:val="auto"/>
          <w:highlight w:val="none"/>
          <w:u w:val="single"/>
          <w:lang w:eastAsia="zh-CN"/>
        </w:rPr>
        <w:t>。</w:t>
      </w:r>
      <w:r>
        <w:rPr>
          <w:rFonts w:hint="eastAsia" w:ascii="宋体" w:hAnsi="宋体" w:eastAsia="宋体" w:cs="宋体"/>
          <w:color w:val="auto"/>
          <w:sz w:val="24"/>
          <w:highlight w:val="none"/>
          <w:u w:val="single"/>
        </w:rPr>
        <w:t xml:space="preserve"> </w:t>
      </w:r>
      <w:bookmarkEnd w:id="784"/>
      <w:bookmarkEnd w:id="785"/>
      <w:bookmarkEnd w:id="786"/>
      <w:bookmarkEnd w:id="787"/>
      <w:bookmarkEnd w:id="788"/>
      <w:bookmarkEnd w:id="789"/>
      <w:bookmarkEnd w:id="790"/>
      <w:r>
        <w:rPr>
          <w:rFonts w:hint="eastAsia" w:ascii="宋体" w:hAnsi="宋体" w:eastAsia="宋体" w:cs="宋体"/>
          <w:color w:val="auto"/>
          <w:sz w:val="24"/>
          <w:highlight w:val="none"/>
        </w:rPr>
        <w:t xml:space="preserve"> </w:t>
      </w:r>
      <w:bookmarkEnd w:id="791"/>
    </w:p>
    <w:p w14:paraId="0E7227A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因承包人原因造成工期延误，逾</w:t>
      </w:r>
      <w:bookmarkStart w:id="792" w:name="_Toc312678014"/>
      <w:bookmarkStart w:id="793" w:name="_Toc318581171"/>
      <w:r>
        <w:rPr>
          <w:rFonts w:hint="eastAsia" w:ascii="宋体" w:hAnsi="宋体" w:eastAsia="宋体" w:cs="宋体"/>
          <w:color w:val="auto"/>
          <w:sz w:val="24"/>
          <w:highlight w:val="none"/>
        </w:rPr>
        <w:t>期竣工违约金的上限：</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792"/>
      <w:bookmarkEnd w:id="793"/>
    </w:p>
    <w:p w14:paraId="09939F02">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bookmarkStart w:id="794" w:name="_Toc297123519"/>
      <w:bookmarkStart w:id="795" w:name="_Toc304295549"/>
      <w:bookmarkStart w:id="796" w:name="_Toc303539128"/>
      <w:bookmarkStart w:id="797" w:name="_Toc297216178"/>
      <w:bookmarkStart w:id="798" w:name="_Toc300934971"/>
      <w:bookmarkStart w:id="799" w:name="_Toc312678015"/>
      <w:r>
        <w:rPr>
          <w:rFonts w:hint="eastAsia" w:ascii="宋体" w:hAnsi="宋体" w:eastAsia="宋体" w:cs="宋体"/>
          <w:color w:val="auto"/>
          <w:sz w:val="24"/>
          <w:highlight w:val="none"/>
        </w:rPr>
        <w:t>.6 不</w:t>
      </w:r>
      <w:bookmarkEnd w:id="794"/>
      <w:bookmarkEnd w:id="795"/>
      <w:bookmarkEnd w:id="796"/>
      <w:bookmarkEnd w:id="797"/>
      <w:bookmarkEnd w:id="798"/>
      <w:bookmarkEnd w:id="799"/>
      <w:r>
        <w:rPr>
          <w:rFonts w:hint="eastAsia" w:ascii="宋体" w:hAnsi="宋体" w:eastAsia="宋体" w:cs="宋体"/>
          <w:color w:val="auto"/>
          <w:sz w:val="24"/>
          <w:highlight w:val="none"/>
        </w:rPr>
        <w:t>利物质条件</w:t>
      </w:r>
    </w:p>
    <w:p w14:paraId="4C5393A9">
      <w:pPr>
        <w:spacing w:line="360" w:lineRule="auto"/>
        <w:ind w:firstLine="480"/>
        <w:jc w:val="left"/>
        <w:rPr>
          <w:rFonts w:hint="eastAsia" w:ascii="宋体" w:hAnsi="宋体" w:eastAsia="宋体" w:cs="宋体"/>
          <w:color w:val="auto"/>
          <w:sz w:val="24"/>
          <w:highlight w:val="none"/>
        </w:rPr>
      </w:pPr>
      <w:bookmarkStart w:id="800" w:name="_Toc304295550"/>
      <w:bookmarkStart w:id="801" w:name="_Toc297123520"/>
      <w:bookmarkStart w:id="802" w:name="_Toc312678016"/>
      <w:bookmarkStart w:id="803" w:name="_Toc303539129"/>
      <w:bookmarkStart w:id="804" w:name="_Toc300934972"/>
      <w:bookmarkStart w:id="805" w:name="_Toc318581172"/>
      <w:bookmarkStart w:id="806" w:name="_Toc297216179"/>
      <w:r>
        <w:rPr>
          <w:rFonts w:hint="eastAsia" w:ascii="宋体" w:hAnsi="宋体" w:eastAsia="宋体" w:cs="宋体"/>
          <w:color w:val="auto"/>
          <w:sz w:val="24"/>
          <w:highlight w:val="none"/>
        </w:rPr>
        <w:t>不利物质条件的其他情形和有关约定：</w:t>
      </w:r>
      <w:r>
        <w:rPr>
          <w:rFonts w:hint="eastAsia" w:ascii="宋体" w:hAnsi="宋体" w:eastAsia="宋体" w:cs="宋体"/>
          <w:color w:val="auto"/>
          <w:highlight w:val="none"/>
          <w:u w:val="single"/>
        </w:rPr>
        <w:t>按通用条款执行</w:t>
      </w:r>
      <w:r>
        <w:rPr>
          <w:rFonts w:hint="eastAsia" w:ascii="宋体" w:hAnsi="宋体" w:eastAsia="宋体" w:cs="宋体"/>
          <w:color w:val="auto"/>
          <w:sz w:val="24"/>
          <w:highlight w:val="none"/>
        </w:rPr>
        <w:t>。</w:t>
      </w:r>
      <w:bookmarkEnd w:id="800"/>
      <w:bookmarkEnd w:id="801"/>
      <w:bookmarkEnd w:id="802"/>
      <w:bookmarkEnd w:id="803"/>
      <w:bookmarkEnd w:id="804"/>
      <w:bookmarkEnd w:id="805"/>
      <w:bookmarkEnd w:id="806"/>
    </w:p>
    <w:p w14:paraId="6C7DB7F1">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bookmarkStart w:id="807" w:name="_Toc297123521"/>
      <w:bookmarkStart w:id="808" w:name="_Toc303539130"/>
      <w:bookmarkStart w:id="809" w:name="_Toc312678017"/>
      <w:bookmarkStart w:id="810" w:name="_Toc297216180"/>
      <w:bookmarkStart w:id="811" w:name="_Toc300934973"/>
      <w:bookmarkStart w:id="812" w:name="_Toc304295551"/>
      <w:r>
        <w:rPr>
          <w:rFonts w:hint="eastAsia" w:ascii="宋体" w:hAnsi="宋体" w:eastAsia="宋体" w:cs="宋体"/>
          <w:color w:val="auto"/>
          <w:sz w:val="24"/>
          <w:highlight w:val="none"/>
        </w:rPr>
        <w:t>.7异常恶劣的气候条件</w:t>
      </w:r>
      <w:bookmarkEnd w:id="807"/>
      <w:bookmarkEnd w:id="808"/>
      <w:bookmarkEnd w:id="809"/>
      <w:bookmarkEnd w:id="810"/>
      <w:bookmarkEnd w:id="811"/>
      <w:bookmarkEnd w:id="812"/>
    </w:p>
    <w:p w14:paraId="314B672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发包人和承包人同意以下情形视为异常恶劣的气候条件：</w:t>
      </w:r>
    </w:p>
    <w:p w14:paraId="421F425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highlight w:val="none"/>
          <w:u w:val="single"/>
        </w:rPr>
        <w:t>按通用条款执行</w:t>
      </w:r>
      <w:r>
        <w:rPr>
          <w:rFonts w:hint="eastAsia" w:ascii="宋体" w:hAnsi="宋体" w:eastAsia="宋体" w:cs="宋体"/>
          <w:color w:val="auto"/>
          <w:sz w:val="24"/>
          <w:highlight w:val="none"/>
        </w:rPr>
        <w:t>。</w:t>
      </w:r>
    </w:p>
    <w:p w14:paraId="67840E46">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7.9 提前竣工的奖励</w:t>
      </w:r>
    </w:p>
    <w:p w14:paraId="2BFAB51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7.9.2提前竣工的奖励：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84DE21F">
      <w:pPr>
        <w:pStyle w:val="5"/>
        <w:spacing w:before="120" w:after="120" w:line="360" w:lineRule="auto"/>
        <w:rPr>
          <w:rFonts w:hint="eastAsia" w:ascii="宋体" w:hAnsi="宋体" w:eastAsia="宋体" w:cs="宋体"/>
          <w:b w:val="0"/>
          <w:color w:val="auto"/>
          <w:sz w:val="24"/>
          <w:highlight w:val="none"/>
        </w:rPr>
      </w:pPr>
      <w:bookmarkStart w:id="813" w:name="_Toc351203640"/>
      <w:r>
        <w:rPr>
          <w:rFonts w:hint="eastAsia" w:ascii="宋体" w:hAnsi="宋体" w:eastAsia="宋体" w:cs="宋体"/>
          <w:b w:val="0"/>
          <w:color w:val="auto"/>
          <w:sz w:val="24"/>
          <w:highlight w:val="none"/>
        </w:rPr>
        <w:t>8. 材料与设备</w:t>
      </w:r>
      <w:bookmarkEnd w:id="743"/>
      <w:bookmarkEnd w:id="744"/>
      <w:bookmarkEnd w:id="745"/>
      <w:bookmarkEnd w:id="746"/>
      <w:bookmarkEnd w:id="747"/>
      <w:bookmarkEnd w:id="748"/>
      <w:bookmarkEnd w:id="749"/>
      <w:bookmarkEnd w:id="750"/>
      <w:bookmarkEnd w:id="751"/>
      <w:bookmarkEnd w:id="752"/>
      <w:bookmarkEnd w:id="813"/>
    </w:p>
    <w:p w14:paraId="550CC25F">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bookmarkStart w:id="814" w:name="_Toc297048353"/>
      <w:bookmarkStart w:id="815" w:name="_Toc292559372"/>
      <w:bookmarkStart w:id="816" w:name="_Toc297120467"/>
      <w:bookmarkStart w:id="817" w:name="_Toc296891207"/>
      <w:bookmarkStart w:id="818" w:name="_Toc304295556"/>
      <w:bookmarkStart w:id="819" w:name="_Toc296890995"/>
      <w:bookmarkStart w:id="820" w:name="_Toc296944506"/>
      <w:bookmarkStart w:id="821" w:name="_Toc280868654"/>
      <w:bookmarkStart w:id="822" w:name="_Toc312677493"/>
      <w:bookmarkStart w:id="823" w:name="_Toc296346668"/>
      <w:bookmarkStart w:id="824" w:name="_Toc312678019"/>
      <w:bookmarkStart w:id="825" w:name="_Toc297216186"/>
      <w:bookmarkStart w:id="826" w:name="_Toc297123527"/>
      <w:bookmarkStart w:id="827" w:name="_Toc292559877"/>
      <w:bookmarkStart w:id="828" w:name="_Toc296503167"/>
      <w:bookmarkStart w:id="829" w:name="_Toc303539136"/>
      <w:bookmarkStart w:id="830" w:name="_Toc300934979"/>
      <w:bookmarkStart w:id="831" w:name="_Toc296347166"/>
      <w:bookmarkStart w:id="832" w:name="_Toc280868655"/>
      <w:bookmarkStart w:id="833" w:name="_Toc267251424"/>
      <w:bookmarkStart w:id="834" w:name="_Toc280868656"/>
      <w:r>
        <w:rPr>
          <w:rFonts w:hint="eastAsia" w:ascii="宋体" w:hAnsi="宋体" w:eastAsia="宋体" w:cs="宋体"/>
          <w:color w:val="auto"/>
          <w:sz w:val="24"/>
          <w:highlight w:val="none"/>
        </w:rPr>
        <w:t>.4材料与工程设备的保管与使用</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306B5F3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bookmarkStart w:id="835" w:name="_Toc292559373"/>
      <w:bookmarkStart w:id="836" w:name="_Toc292559878"/>
      <w:bookmarkStart w:id="837" w:name="_Toc297048354"/>
      <w:bookmarkStart w:id="838" w:name="_Toc318581173"/>
      <w:bookmarkStart w:id="839" w:name="_Toc297123528"/>
      <w:bookmarkStart w:id="840" w:name="_Toc296503168"/>
      <w:bookmarkStart w:id="841" w:name="_Toc300934980"/>
      <w:bookmarkStart w:id="842" w:name="_Toc296944507"/>
      <w:bookmarkStart w:id="843" w:name="_Toc297216187"/>
      <w:bookmarkStart w:id="844" w:name="_Toc303539137"/>
      <w:bookmarkStart w:id="845" w:name="_Toc312677494"/>
      <w:bookmarkStart w:id="846" w:name="_Toc312678020"/>
      <w:bookmarkStart w:id="847" w:name="_Toc296891208"/>
      <w:bookmarkStart w:id="848" w:name="_Toc304295557"/>
      <w:bookmarkStart w:id="849" w:name="_Toc296346669"/>
      <w:bookmarkStart w:id="850" w:name="_Toc297120468"/>
      <w:bookmarkStart w:id="851" w:name="_Toc296347167"/>
      <w:bookmarkStart w:id="852" w:name="_Toc296890996"/>
      <w:r>
        <w:rPr>
          <w:rFonts w:hint="eastAsia" w:ascii="宋体" w:hAnsi="宋体" w:eastAsia="宋体" w:cs="宋体"/>
          <w:color w:val="auto"/>
          <w:sz w:val="24"/>
          <w:highlight w:val="none"/>
        </w:rPr>
        <w:t>.4.1发包人供应的材料设备的保管费用的承担：</w:t>
      </w:r>
      <w:r>
        <w:rPr>
          <w:rFonts w:hint="eastAsia" w:ascii="宋体" w:hAnsi="宋体" w:eastAsia="宋体" w:cs="宋体"/>
          <w:color w:val="auto"/>
          <w:highlight w:val="none"/>
          <w:u w:val="single"/>
        </w:rPr>
        <w:t>另行协商</w:t>
      </w:r>
      <w:r>
        <w:rPr>
          <w:rFonts w:hint="eastAsia" w:ascii="宋体" w:hAnsi="宋体" w:eastAsia="宋体" w:cs="宋体"/>
          <w:color w:val="auto"/>
          <w:sz w:val="24"/>
          <w:highlight w:val="none"/>
        </w:rPr>
        <w:t>。</w:t>
      </w:r>
      <w:bookmarkEnd w:id="835"/>
      <w:bookmarkEnd w:id="836"/>
    </w:p>
    <w:p w14:paraId="40F07A07">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8.6 样品</w:t>
      </w:r>
    </w:p>
    <w:p w14:paraId="44F7B2A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8.6.1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样品的报送与封存</w:t>
      </w:r>
    </w:p>
    <w:p w14:paraId="3B45A8C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需要承包人报送样品的材料或工程设备，样品的种类、名称、规格、数量要求：</w:t>
      </w:r>
      <w:bookmarkStart w:id="853" w:name="EB689ded171f10418da62405f60d9ed548"/>
      <w:r>
        <w:rPr>
          <w:rFonts w:hint="eastAsia" w:ascii="宋体" w:hAnsi="宋体" w:eastAsia="宋体" w:cs="宋体"/>
          <w:color w:val="auto"/>
          <w:highlight w:val="none"/>
          <w:u w:val="single"/>
        </w:rPr>
        <w:t>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3"/>
      <w:r>
        <w:rPr>
          <w:rFonts w:hint="eastAsia" w:ascii="宋体" w:hAnsi="宋体" w:eastAsia="宋体" w:cs="宋体"/>
          <w:color w:val="auto"/>
          <w:sz w:val="24"/>
          <w:highlight w:val="none"/>
        </w:rPr>
        <w:t>。</w:t>
      </w:r>
    </w:p>
    <w:p w14:paraId="08EBA2CB">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8.8 施工设备和临时设施</w:t>
      </w:r>
    </w:p>
    <w:p w14:paraId="62114A5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8.8.1 承包人提供的施工设备和临时设施</w:t>
      </w:r>
    </w:p>
    <w:p w14:paraId="3F9172C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关于修建临时设施费用承担的约定：</w:t>
      </w:r>
      <w:bookmarkStart w:id="854" w:name="EBcf6cb69e3ee84f48b5935e4553620b81"/>
      <w:r>
        <w:rPr>
          <w:rFonts w:hint="eastAsia" w:ascii="宋体" w:hAnsi="宋体" w:eastAsia="宋体" w:cs="宋体"/>
          <w:color w:val="auto"/>
          <w:highlight w:val="none"/>
          <w:u w:val="single"/>
        </w:rPr>
        <w:t>1)需要发包人办理申请手续和承担相关费用的临时占地：均由承包人负责，已包含在投标报价的临时设施费用中</w:t>
      </w:r>
      <w:bookmarkEnd w:id="854"/>
      <w:r>
        <w:rPr>
          <w:rFonts w:hint="eastAsia" w:ascii="宋体" w:hAnsi="宋体" w:eastAsia="宋体" w:cs="宋体"/>
          <w:color w:val="auto"/>
          <w:highlight w:val="none"/>
          <w:u w:val="single"/>
        </w:rPr>
        <w:t>;2)发包人提供的施工设备和临时设施的运行、维护、拆除、清运费用的承担人：</w:t>
      </w:r>
      <w:bookmarkStart w:id="855" w:name="EBac5c9033341d4cc99749a207c4b9cbde"/>
      <w:r>
        <w:rPr>
          <w:rFonts w:hint="eastAsia" w:ascii="宋体" w:hAnsi="宋体" w:eastAsia="宋体" w:cs="宋体"/>
          <w:color w:val="auto"/>
          <w:highlight w:val="none"/>
          <w:u w:val="single"/>
        </w:rPr>
        <w:t>承包人负责接计量柜及水表，并负责使用期间的保养、维护，承担相应费用，费用已包含在总报价中</w:t>
      </w:r>
      <w:bookmarkEnd w:id="855"/>
      <w:r>
        <w:rPr>
          <w:rFonts w:hint="eastAsia" w:ascii="宋体" w:hAnsi="宋体" w:eastAsia="宋体" w:cs="宋体"/>
          <w:color w:val="auto"/>
          <w:sz w:val="24"/>
          <w:highlight w:val="none"/>
        </w:rPr>
        <w:t>。</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14:paraId="0F248B70">
      <w:pPr>
        <w:pStyle w:val="5"/>
        <w:spacing w:before="120" w:after="120" w:line="360" w:lineRule="auto"/>
        <w:rPr>
          <w:rFonts w:hint="eastAsia" w:ascii="宋体" w:hAnsi="宋体" w:eastAsia="宋体" w:cs="宋体"/>
          <w:b w:val="0"/>
          <w:color w:val="auto"/>
          <w:sz w:val="24"/>
          <w:highlight w:val="none"/>
        </w:rPr>
      </w:pPr>
      <w:bookmarkStart w:id="856" w:name="_Toc351203641"/>
      <w:r>
        <w:rPr>
          <w:rFonts w:hint="eastAsia" w:ascii="宋体" w:hAnsi="宋体" w:eastAsia="宋体" w:cs="宋体"/>
          <w:b w:val="0"/>
          <w:color w:val="auto"/>
          <w:sz w:val="24"/>
          <w:highlight w:val="none"/>
        </w:rPr>
        <w:t>9</w:t>
      </w:r>
      <w:bookmarkEnd w:id="832"/>
      <w:bookmarkEnd w:id="833"/>
      <w:bookmarkEnd w:id="834"/>
      <w:bookmarkStart w:id="857" w:name="_Toc297123533"/>
      <w:bookmarkStart w:id="858" w:name="_Toc312677495"/>
      <w:bookmarkStart w:id="859" w:name="_Toc303539139"/>
      <w:bookmarkStart w:id="860" w:name="_Toc312678021"/>
      <w:bookmarkStart w:id="861" w:name="_Toc297216192"/>
      <w:bookmarkStart w:id="862" w:name="_Toc300934982"/>
      <w:bookmarkStart w:id="863" w:name="_Toc304295559"/>
      <w:bookmarkStart w:id="864" w:name="_Toc296503173"/>
      <w:bookmarkStart w:id="865" w:name="_Toc292559883"/>
      <w:bookmarkStart w:id="866" w:name="_Toc296891213"/>
      <w:bookmarkStart w:id="867" w:name="_Toc267251427"/>
      <w:bookmarkStart w:id="868" w:name="_Toc297048359"/>
      <w:bookmarkStart w:id="869" w:name="_Toc292559378"/>
      <w:bookmarkStart w:id="870" w:name="_Toc297120473"/>
      <w:bookmarkStart w:id="871" w:name="_Toc296347172"/>
      <w:bookmarkStart w:id="872" w:name="_Toc267251428"/>
      <w:bookmarkStart w:id="873" w:name="_Toc296891001"/>
      <w:bookmarkStart w:id="874" w:name="_Toc296944512"/>
      <w:bookmarkStart w:id="875" w:name="_Toc296346674"/>
      <w:r>
        <w:rPr>
          <w:rFonts w:hint="eastAsia" w:ascii="宋体" w:hAnsi="宋体" w:eastAsia="宋体" w:cs="宋体"/>
          <w:b w:val="0"/>
          <w:color w:val="auto"/>
          <w:sz w:val="24"/>
          <w:highlight w:val="none"/>
        </w:rPr>
        <w:t>. 试验与检验</w:t>
      </w:r>
      <w:bookmarkEnd w:id="856"/>
      <w:bookmarkEnd w:id="857"/>
      <w:bookmarkEnd w:id="858"/>
      <w:bookmarkEnd w:id="859"/>
      <w:bookmarkEnd w:id="860"/>
      <w:bookmarkEnd w:id="861"/>
      <w:bookmarkEnd w:id="862"/>
      <w:bookmarkEnd w:id="863"/>
    </w:p>
    <w:p w14:paraId="26EAE31C">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bookmarkStart w:id="876" w:name="_Toc297216193"/>
      <w:bookmarkStart w:id="877" w:name="_Toc303539140"/>
      <w:bookmarkStart w:id="878" w:name="_Toc312678022"/>
      <w:bookmarkStart w:id="879" w:name="_Toc297123534"/>
      <w:bookmarkStart w:id="880" w:name="_Toc304295560"/>
      <w:bookmarkStart w:id="881" w:name="_Toc300934983"/>
      <w:bookmarkStart w:id="882" w:name="_Toc312677496"/>
      <w:r>
        <w:rPr>
          <w:rFonts w:hint="eastAsia" w:ascii="宋体" w:hAnsi="宋体" w:eastAsia="宋体" w:cs="宋体"/>
          <w:color w:val="auto"/>
          <w:sz w:val="24"/>
          <w:highlight w:val="none"/>
        </w:rPr>
        <w:t>.1试验设备与试验人员</w:t>
      </w:r>
      <w:bookmarkEnd w:id="876"/>
      <w:bookmarkEnd w:id="877"/>
      <w:bookmarkEnd w:id="878"/>
      <w:bookmarkEnd w:id="879"/>
      <w:bookmarkEnd w:id="880"/>
      <w:bookmarkEnd w:id="881"/>
      <w:bookmarkEnd w:id="882"/>
    </w:p>
    <w:p w14:paraId="7733CAB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bookmarkStart w:id="883" w:name="_Toc297216194"/>
      <w:bookmarkStart w:id="884" w:name="_Toc304295561"/>
      <w:bookmarkStart w:id="885" w:name="_Toc312678023"/>
      <w:bookmarkStart w:id="886" w:name="_Toc300934984"/>
      <w:bookmarkStart w:id="887" w:name="_Toc312677497"/>
      <w:bookmarkStart w:id="888" w:name="_Toc297123535"/>
      <w:bookmarkStart w:id="889" w:name="_Toc303539141"/>
      <w:bookmarkStart w:id="890" w:name="_Toc318581174"/>
      <w:r>
        <w:rPr>
          <w:rFonts w:hint="eastAsia" w:ascii="宋体" w:hAnsi="宋体" w:eastAsia="宋体" w:cs="宋体"/>
          <w:color w:val="auto"/>
          <w:sz w:val="24"/>
          <w:highlight w:val="none"/>
        </w:rPr>
        <w:t>.1.2 试验设备</w:t>
      </w:r>
    </w:p>
    <w:p w14:paraId="7C99230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施工现场需要配置的试验场所：</w:t>
      </w:r>
      <w:bookmarkEnd w:id="883"/>
      <w:bookmarkEnd w:id="884"/>
      <w:bookmarkEnd w:id="885"/>
      <w:bookmarkEnd w:id="886"/>
      <w:bookmarkEnd w:id="887"/>
      <w:bookmarkEnd w:id="888"/>
      <w:bookmarkEnd w:id="889"/>
      <w:bookmarkStart w:id="891" w:name="_Toc304295562"/>
      <w:bookmarkStart w:id="892" w:name="_Toc303539142"/>
      <w:bookmarkStart w:id="893" w:name="_Toc297123536"/>
      <w:bookmarkStart w:id="894" w:name="_Toc300934985"/>
      <w:bookmarkStart w:id="895" w:name="_Toc297216195"/>
      <w:bookmarkStart w:id="896" w:name="_Toc312677498"/>
      <w:bookmarkStart w:id="897" w:name="_Toc312678024"/>
      <w:r>
        <w:rPr>
          <w:rFonts w:hint="eastAsia" w:ascii="宋体" w:hAnsi="宋体" w:eastAsia="宋体" w:cs="宋体"/>
          <w:color w:val="auto"/>
          <w:highlight w:val="none"/>
          <w:u w:val="single"/>
        </w:rPr>
        <w:t>按通用条款执行</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 xml:space="preserve"> </w:t>
      </w:r>
    </w:p>
    <w:p w14:paraId="7DF2DE0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施工现场需要配备的试验设备：</w:t>
      </w:r>
      <w:r>
        <w:rPr>
          <w:rFonts w:hint="eastAsia" w:ascii="宋体" w:hAnsi="宋体" w:eastAsia="宋体" w:cs="宋体"/>
          <w:color w:val="auto"/>
          <w:highlight w:val="none"/>
          <w:u w:val="single"/>
        </w:rPr>
        <w:t>按通用条款执行</w:t>
      </w:r>
      <w:r>
        <w:rPr>
          <w:rFonts w:hint="eastAsia" w:ascii="宋体" w:hAnsi="宋体" w:eastAsia="宋体" w:cs="宋体"/>
          <w:color w:val="auto"/>
          <w:sz w:val="24"/>
          <w:highlight w:val="none"/>
        </w:rPr>
        <w:t>。</w:t>
      </w:r>
    </w:p>
    <w:p w14:paraId="62A2D06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施工现场需要具备的其他试验条件：</w:t>
      </w:r>
      <w:r>
        <w:rPr>
          <w:rFonts w:hint="eastAsia" w:ascii="宋体" w:hAnsi="宋体" w:eastAsia="宋体" w:cs="宋体"/>
          <w:color w:val="auto"/>
          <w:highlight w:val="none"/>
          <w:u w:val="single"/>
        </w:rPr>
        <w:t>按通用条款执行</w:t>
      </w:r>
      <w:r>
        <w:rPr>
          <w:rFonts w:hint="eastAsia" w:ascii="宋体" w:hAnsi="宋体" w:eastAsia="宋体" w:cs="宋体"/>
          <w:color w:val="auto"/>
          <w:sz w:val="24"/>
          <w:highlight w:val="none"/>
        </w:rPr>
        <w:t>。</w:t>
      </w:r>
    </w:p>
    <w:p w14:paraId="2EC6CA4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现场工艺试验 </w:t>
      </w:r>
    </w:p>
    <w:p w14:paraId="386AFC0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现场工艺试验的有关约定：</w:t>
      </w:r>
      <w:r>
        <w:rPr>
          <w:rFonts w:hint="eastAsia" w:ascii="宋体" w:hAnsi="宋体" w:eastAsia="宋体" w:cs="宋体"/>
          <w:color w:val="auto"/>
          <w:highlight w:val="none"/>
          <w:u w:val="single"/>
        </w:rPr>
        <w:t>承包人应按合同约定或监理人指示进行现场工艺试验。对大型的现场工艺试验，监理人认为必要时，应由承包人根据监理人提出的工艺试验要求，编制工艺试验措施计划，报送监理人审批。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4"/>
          <w:highlight w:val="none"/>
        </w:rPr>
        <w:t>。</w:t>
      </w:r>
      <w:bookmarkEnd w:id="890"/>
      <w:bookmarkEnd w:id="891"/>
      <w:bookmarkEnd w:id="892"/>
      <w:bookmarkEnd w:id="893"/>
      <w:bookmarkEnd w:id="894"/>
      <w:bookmarkEnd w:id="895"/>
      <w:bookmarkEnd w:id="896"/>
      <w:bookmarkEnd w:id="897"/>
    </w:p>
    <w:p w14:paraId="723B12A0">
      <w:pPr>
        <w:pStyle w:val="5"/>
        <w:spacing w:before="120" w:after="120" w:line="360" w:lineRule="auto"/>
        <w:rPr>
          <w:rFonts w:hint="eastAsia" w:ascii="宋体" w:hAnsi="宋体" w:eastAsia="宋体" w:cs="宋体"/>
          <w:b w:val="0"/>
          <w:color w:val="auto"/>
          <w:sz w:val="24"/>
          <w:highlight w:val="none"/>
        </w:rPr>
      </w:pPr>
      <w:bookmarkStart w:id="898" w:name="_Toc351203642"/>
      <w:r>
        <w:rPr>
          <w:rFonts w:hint="eastAsia" w:ascii="宋体" w:hAnsi="宋体" w:eastAsia="宋体" w:cs="宋体"/>
          <w:b w:val="0"/>
          <w:color w:val="auto"/>
          <w:sz w:val="24"/>
          <w:highlight w:val="none"/>
        </w:rPr>
        <w:t>1</w:t>
      </w:r>
      <w:bookmarkEnd w:id="864"/>
      <w:bookmarkEnd w:id="865"/>
      <w:bookmarkEnd w:id="866"/>
      <w:bookmarkEnd w:id="867"/>
      <w:bookmarkEnd w:id="868"/>
      <w:bookmarkEnd w:id="869"/>
      <w:bookmarkEnd w:id="870"/>
      <w:bookmarkEnd w:id="871"/>
      <w:bookmarkEnd w:id="872"/>
      <w:bookmarkEnd w:id="873"/>
      <w:bookmarkEnd w:id="874"/>
      <w:bookmarkEnd w:id="875"/>
      <w:bookmarkStart w:id="899" w:name="_Toc297120493"/>
      <w:bookmarkStart w:id="900" w:name="_Toc292559398"/>
      <w:bookmarkStart w:id="901" w:name="_Toc297123540"/>
      <w:bookmarkStart w:id="902" w:name="_Toc296346694"/>
      <w:bookmarkStart w:id="903" w:name="_Toc297216199"/>
      <w:bookmarkStart w:id="904" w:name="_Toc296944532"/>
      <w:bookmarkStart w:id="905" w:name="_Toc300934989"/>
      <w:bookmarkStart w:id="906" w:name="_Toc297048379"/>
      <w:bookmarkStart w:id="907" w:name="_Toc296347192"/>
      <w:bookmarkStart w:id="908" w:name="_Toc303539146"/>
      <w:bookmarkStart w:id="909" w:name="_Toc296891021"/>
      <w:bookmarkStart w:id="910" w:name="_Toc296891233"/>
      <w:bookmarkStart w:id="911" w:name="_Toc292559903"/>
      <w:bookmarkStart w:id="912" w:name="_Toc304295566"/>
      <w:bookmarkStart w:id="913" w:name="_Toc312677499"/>
      <w:bookmarkStart w:id="914" w:name="_Toc312678025"/>
      <w:bookmarkStart w:id="915" w:name="_Toc296503193"/>
      <w:bookmarkStart w:id="916" w:name="_Toc267251437"/>
      <w:bookmarkStart w:id="917" w:name="_Toc267251433"/>
      <w:bookmarkStart w:id="918" w:name="_Toc267251435"/>
      <w:bookmarkStart w:id="919" w:name="_Toc267251440"/>
      <w:bookmarkStart w:id="920" w:name="_Toc267251439"/>
      <w:bookmarkStart w:id="921" w:name="_Toc267251441"/>
      <w:bookmarkStart w:id="922" w:name="_Toc267251442"/>
      <w:r>
        <w:rPr>
          <w:rFonts w:hint="eastAsia" w:ascii="宋体" w:hAnsi="宋体" w:eastAsia="宋体" w:cs="宋体"/>
          <w:b w:val="0"/>
          <w:color w:val="auto"/>
          <w:sz w:val="24"/>
          <w:highlight w:val="none"/>
        </w:rPr>
        <w:t>0. 变更</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p>
    <w:p w14:paraId="5B0567ED">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923" w:name="_Toc300934990"/>
      <w:bookmarkStart w:id="924" w:name="_Toc292559904"/>
      <w:bookmarkStart w:id="925" w:name="_Toc296347193"/>
      <w:bookmarkStart w:id="926" w:name="_Toc304295567"/>
      <w:bookmarkStart w:id="927" w:name="_Toc292559399"/>
      <w:bookmarkStart w:id="928" w:name="_Toc312677500"/>
      <w:bookmarkStart w:id="929" w:name="_Toc312678026"/>
      <w:bookmarkStart w:id="930" w:name="_Toc297048380"/>
      <w:bookmarkStart w:id="931" w:name="_Toc296891022"/>
      <w:bookmarkStart w:id="932" w:name="_Toc296503194"/>
      <w:bookmarkStart w:id="933" w:name="_Toc297120494"/>
      <w:bookmarkStart w:id="934" w:name="_Toc296944533"/>
      <w:bookmarkStart w:id="935" w:name="_Toc297123541"/>
      <w:bookmarkStart w:id="936" w:name="_Toc303539147"/>
      <w:bookmarkStart w:id="937" w:name="_Toc296346695"/>
      <w:bookmarkStart w:id="938" w:name="_Toc296891234"/>
      <w:bookmarkStart w:id="939" w:name="_Toc297216200"/>
      <w:r>
        <w:rPr>
          <w:rFonts w:hint="eastAsia" w:ascii="宋体" w:hAnsi="宋体" w:eastAsia="宋体" w:cs="宋体"/>
          <w:color w:val="auto"/>
          <w:sz w:val="24"/>
          <w:highlight w:val="none"/>
        </w:rPr>
        <w:t>0.1变更的范围</w:t>
      </w:r>
    </w:p>
    <w:p w14:paraId="073D5ED6">
      <w:pPr>
        <w:spacing w:line="360" w:lineRule="auto"/>
        <w:ind w:firstLine="60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rPr>
        <w:t>关于变更的范围的约定：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 xml:space="preserve"> 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p>
    <w:p w14:paraId="609CDE02">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10.4 变更估价</w:t>
      </w:r>
    </w:p>
    <w:p w14:paraId="649609A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10.4.1 变更估价原则</w:t>
      </w:r>
    </w:p>
    <w:p w14:paraId="24E4669A">
      <w:pPr>
        <w:pStyle w:val="204"/>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p>
    <w:p w14:paraId="0284B50D">
      <w:pPr>
        <w:pStyle w:val="204"/>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（1）变更项目工程量结算方法：由承包人提出，按监理人、发包人和跟踪审计审定后的数量进行结算。</w:t>
      </w:r>
    </w:p>
    <w:p w14:paraId="6464158A">
      <w:pPr>
        <w:pStyle w:val="204"/>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中标当月</w:t>
      </w:r>
      <w:r>
        <w:rPr>
          <w:rFonts w:hint="eastAsia" w:ascii="宋体" w:hAnsi="宋体" w:eastAsia="宋体" w:cs="宋体"/>
          <w:color w:val="auto"/>
          <w:highlight w:val="none"/>
          <w:u w:val="single"/>
          <w:lang w:eastAsia="zh-CN"/>
        </w:rPr>
        <w:t>信息价</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信息价</w:t>
      </w:r>
      <w:r>
        <w:rPr>
          <w:rFonts w:hint="eastAsia" w:ascii="宋体" w:hAnsi="宋体" w:eastAsia="宋体" w:cs="宋体"/>
          <w:color w:val="auto"/>
          <w:highlight w:val="none"/>
          <w:u w:val="single"/>
        </w:rPr>
        <w:t>中没有的材料价格确定按照暂定价材料价格的确定方式确定），经监理人、跟踪审计、发包人审定后执行，此调整费用只计税金，不计其他费用。</w:t>
      </w:r>
    </w:p>
    <w:p w14:paraId="0EA308D9">
      <w:pPr>
        <w:pStyle w:val="204"/>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（3）优惠让利幅度：       。 </w:t>
      </w:r>
    </w:p>
    <w:p w14:paraId="6B15DD59">
      <w:pPr>
        <w:pStyle w:val="204"/>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（4）、总价措施项目费除安全文明施工费外（不随分部分项工程费及单价措施项目的增减而调整）不调整，风险范围以外约定的除外。</w:t>
      </w:r>
    </w:p>
    <w:p w14:paraId="5B1A6E21">
      <w:pPr>
        <w:pStyle w:val="204"/>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71A75494">
      <w:pPr>
        <w:pStyle w:val="204"/>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highlight w:val="none"/>
          <w:u w:val="single"/>
        </w:rPr>
        <w:t>（6）工程变更增加内容必须在变更图纸或变更通知书发出后14天内提交相关资料，逾期未提供的则视为包含在其他清单项目中，发包人不予签认。</w:t>
      </w:r>
    </w:p>
    <w:p w14:paraId="7D8E5EC8">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Start w:id="940" w:name="_Toc303539150"/>
      <w:bookmarkStart w:id="941" w:name="_Toc296503197"/>
      <w:bookmarkStart w:id="942" w:name="_Toc296347196"/>
      <w:bookmarkStart w:id="943" w:name="_Toc296944536"/>
      <w:bookmarkStart w:id="944" w:name="_Toc296891237"/>
      <w:bookmarkStart w:id="945" w:name="_Toc297120497"/>
      <w:bookmarkStart w:id="946" w:name="_Toc297123544"/>
      <w:bookmarkStart w:id="947" w:name="_Toc297048383"/>
      <w:bookmarkStart w:id="948" w:name="_Toc300934993"/>
      <w:bookmarkStart w:id="949" w:name="_Toc292559907"/>
      <w:bookmarkStart w:id="950" w:name="_Toc296891025"/>
      <w:bookmarkStart w:id="951" w:name="_Toc296346698"/>
      <w:bookmarkStart w:id="952" w:name="_Toc292559402"/>
      <w:bookmarkStart w:id="953" w:name="_Toc297216203"/>
      <w:bookmarkStart w:id="954" w:name="_Toc312677503"/>
      <w:bookmarkStart w:id="955" w:name="_Toc304295570"/>
      <w:bookmarkStart w:id="956" w:name="_Toc312678029"/>
      <w:r>
        <w:rPr>
          <w:rFonts w:hint="eastAsia" w:ascii="宋体" w:hAnsi="宋体" w:eastAsia="宋体" w:cs="宋体"/>
          <w:color w:val="auto"/>
          <w:sz w:val="24"/>
          <w:highlight w:val="none"/>
        </w:rPr>
        <w:t>0.5承</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Start w:id="957" w:name="_Toc296891031"/>
      <w:bookmarkStart w:id="958" w:name="_Toc303539151"/>
      <w:bookmarkStart w:id="959" w:name="_Toc297216204"/>
      <w:bookmarkStart w:id="960" w:name="_Toc300934994"/>
      <w:bookmarkStart w:id="961" w:name="_Toc297123545"/>
      <w:bookmarkStart w:id="962" w:name="_Toc297048389"/>
      <w:bookmarkStart w:id="963" w:name="_Toc296944542"/>
      <w:bookmarkStart w:id="964" w:name="_Toc296503203"/>
      <w:bookmarkStart w:id="965" w:name="_Toc297120503"/>
      <w:bookmarkStart w:id="966" w:name="_Toc296891243"/>
      <w:bookmarkStart w:id="967" w:name="_Toc292559408"/>
      <w:bookmarkStart w:id="968" w:name="_Toc296347202"/>
      <w:bookmarkStart w:id="969" w:name="_Toc292559913"/>
      <w:bookmarkStart w:id="970" w:name="_Toc296346704"/>
      <w:r>
        <w:rPr>
          <w:rFonts w:hint="eastAsia" w:ascii="宋体" w:hAnsi="宋体" w:eastAsia="宋体" w:cs="宋体"/>
          <w:color w:val="auto"/>
          <w:sz w:val="24"/>
          <w:highlight w:val="none"/>
        </w:rPr>
        <w:t>包人的合理化建议</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14:paraId="0F3079D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监理人审查承包人合理化建议的期限：</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480AB04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5BF5A46">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w:t>
      </w:r>
      <w:bookmarkStart w:id="971" w:name="_Toc318581175"/>
      <w:bookmarkStart w:id="972" w:name="_Toc300934995"/>
      <w:bookmarkStart w:id="973" w:name="_Toc296346705"/>
      <w:bookmarkStart w:id="974" w:name="_Toc304295571"/>
      <w:bookmarkStart w:id="975" w:name="_Toc312678030"/>
      <w:bookmarkStart w:id="976" w:name="_Toc297216205"/>
      <w:bookmarkStart w:id="977" w:name="_Toc296891032"/>
      <w:bookmarkStart w:id="978" w:name="_Toc296891244"/>
      <w:bookmarkStart w:id="979" w:name="_Toc297123546"/>
      <w:bookmarkStart w:id="980" w:name="_Toc303539152"/>
      <w:bookmarkStart w:id="981" w:name="_Toc296944543"/>
      <w:bookmarkStart w:id="982" w:name="_Toc292559914"/>
      <w:bookmarkStart w:id="983" w:name="_Toc292559409"/>
      <w:bookmarkStart w:id="984" w:name="_Toc296503204"/>
      <w:bookmarkStart w:id="985" w:name="_Toc296347203"/>
      <w:bookmarkStart w:id="986" w:name="_Toc297048390"/>
      <w:bookmarkStart w:id="987" w:name="_Toc312677504"/>
      <w:bookmarkStart w:id="988" w:name="_Toc297120504"/>
      <w:r>
        <w:rPr>
          <w:rFonts w:hint="eastAsia" w:ascii="宋体" w:hAnsi="宋体" w:eastAsia="宋体" w:cs="宋体"/>
          <w:color w:val="auto"/>
          <w:sz w:val="24"/>
          <w:highlight w:val="none"/>
        </w:rPr>
        <w:t>包人提出的合理化建议降低了合同价格或者提高了工程经济效益的奖励的方法和金额为：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p w14:paraId="2CE16DB9">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989" w:name="_Toc300934997"/>
      <w:bookmarkStart w:id="990" w:name="_Toc297216207"/>
      <w:bookmarkStart w:id="991" w:name="_Toc296346700"/>
      <w:bookmarkStart w:id="992" w:name="_Toc303539154"/>
      <w:bookmarkStart w:id="993" w:name="_Toc296891239"/>
      <w:bookmarkStart w:id="994" w:name="_Toc304295574"/>
      <w:bookmarkStart w:id="995" w:name="_Toc292559404"/>
      <w:bookmarkStart w:id="996" w:name="_Toc292559909"/>
      <w:bookmarkStart w:id="997" w:name="_Toc297048385"/>
      <w:bookmarkStart w:id="998" w:name="_Toc297123548"/>
      <w:bookmarkStart w:id="999" w:name="_Toc296944538"/>
      <w:bookmarkStart w:id="1000" w:name="_Toc312677507"/>
      <w:bookmarkStart w:id="1001" w:name="_Toc296891027"/>
      <w:bookmarkStart w:id="1002" w:name="_Toc296503199"/>
      <w:bookmarkStart w:id="1003" w:name="_Toc296347198"/>
      <w:bookmarkStart w:id="1004" w:name="_Toc312678033"/>
      <w:bookmarkStart w:id="1005" w:name="_Toc297120499"/>
      <w:r>
        <w:rPr>
          <w:rFonts w:hint="eastAsia" w:ascii="宋体" w:hAnsi="宋体" w:eastAsia="宋体" w:cs="宋体"/>
          <w:color w:val="auto"/>
          <w:sz w:val="24"/>
          <w:highlight w:val="none"/>
        </w:rPr>
        <w:t>0.7 暂估价</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p w14:paraId="6D2ACC2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1006" w:name="_Toc312678035"/>
      <w:bookmarkStart w:id="1007" w:name="_Toc318581177"/>
      <w:bookmarkStart w:id="1008" w:name="_Toc312677509"/>
      <w:r>
        <w:rPr>
          <w:rFonts w:hint="eastAsia" w:ascii="宋体" w:hAnsi="宋体" w:eastAsia="宋体" w:cs="宋体"/>
          <w:color w:val="auto"/>
          <w:sz w:val="24"/>
          <w:highlight w:val="none"/>
        </w:rPr>
        <w:t>0.7.1 依法必须招标的暂估价项目</w:t>
      </w:r>
      <w:bookmarkEnd w:id="1006"/>
      <w:bookmarkEnd w:id="1007"/>
      <w:bookmarkEnd w:id="1008"/>
    </w:p>
    <w:p w14:paraId="13135B8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对于依法必须招标的暂估价项目的确认和批准采取第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种方式确定。</w:t>
      </w:r>
    </w:p>
    <w:p w14:paraId="64460F9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10.7.2 不属于依法必须招标的暂估价项目</w:t>
      </w:r>
    </w:p>
    <w:p w14:paraId="1AF05ED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对于不属于依法必须招标的暂估价项目的确认和批准采取第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 xml:space="preserve"> 种方式确定。</w:t>
      </w:r>
    </w:p>
    <w:p w14:paraId="46540AB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第3种方式：承包人直接实施的暂估价项目</w:t>
      </w:r>
    </w:p>
    <w:p w14:paraId="7952128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承包人直接实施的暂估价项目的约定：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09629BB">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10.8 暂列金额</w:t>
      </w:r>
    </w:p>
    <w:p w14:paraId="2E06E3D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合同当事人关于暂列金额使用的约定：</w:t>
      </w:r>
      <w:r>
        <w:rPr>
          <w:rFonts w:hint="eastAsia" w:ascii="宋体" w:hAnsi="宋体" w:eastAsia="宋体" w:cs="宋体"/>
          <w:color w:val="auto"/>
          <w:highlight w:val="none"/>
          <w:u w:val="single"/>
        </w:rPr>
        <w:t>经发包人审批同意方可使用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0EC5CDF">
      <w:pPr>
        <w:pStyle w:val="5"/>
        <w:spacing w:before="120" w:after="120" w:line="360" w:lineRule="auto"/>
        <w:rPr>
          <w:rFonts w:hint="eastAsia" w:ascii="宋体" w:hAnsi="宋体" w:eastAsia="宋体" w:cs="宋体"/>
          <w:b w:val="0"/>
          <w:color w:val="auto"/>
          <w:sz w:val="24"/>
          <w:highlight w:val="none"/>
        </w:rPr>
      </w:pPr>
      <w:bookmarkStart w:id="1009" w:name="_Toc351203643"/>
      <w:r>
        <w:rPr>
          <w:rFonts w:hint="eastAsia" w:ascii="宋体" w:hAnsi="宋体" w:eastAsia="宋体" w:cs="宋体"/>
          <w:b w:val="0"/>
          <w:color w:val="auto"/>
          <w:sz w:val="24"/>
          <w:highlight w:val="none"/>
        </w:rPr>
        <w:t>11. 价格调整</w:t>
      </w:r>
      <w:bookmarkEnd w:id="1009"/>
    </w:p>
    <w:p w14:paraId="0993212B">
      <w:pPr>
        <w:spacing w:after="120" w:line="360" w:lineRule="auto"/>
        <w:ind w:firstLine="480"/>
        <w:rPr>
          <w:rFonts w:hint="eastAsia" w:ascii="宋体" w:hAnsi="宋体" w:eastAsia="宋体" w:cs="宋体"/>
          <w:color w:val="auto"/>
          <w:sz w:val="24"/>
          <w:highlight w:val="none"/>
        </w:rPr>
      </w:pPr>
      <w:bookmarkStart w:id="1010" w:name="_Toc297216209"/>
      <w:bookmarkStart w:id="1011" w:name="_Toc296503201"/>
      <w:bookmarkStart w:id="1012" w:name="_Toc312678039"/>
      <w:bookmarkStart w:id="1013" w:name="_Toc296891029"/>
      <w:bookmarkStart w:id="1014" w:name="_Toc303539157"/>
      <w:bookmarkStart w:id="1015" w:name="_Toc296944540"/>
      <w:bookmarkStart w:id="1016" w:name="_Toc304295577"/>
      <w:bookmarkStart w:id="1017" w:name="_Toc292559911"/>
      <w:bookmarkStart w:id="1018" w:name="_Toc297123550"/>
      <w:bookmarkStart w:id="1019" w:name="_Toc297048387"/>
      <w:bookmarkStart w:id="1020" w:name="_Toc296891241"/>
      <w:bookmarkStart w:id="1021" w:name="_Toc300935000"/>
      <w:bookmarkStart w:id="1022" w:name="_Toc296347200"/>
      <w:bookmarkStart w:id="1023" w:name="_Toc296346702"/>
      <w:bookmarkStart w:id="1024" w:name="_Toc292559406"/>
      <w:bookmarkStart w:id="1025" w:name="_Toc297120501"/>
      <w:r>
        <w:rPr>
          <w:rFonts w:hint="eastAsia" w:ascii="宋体" w:hAnsi="宋体" w:eastAsia="宋体" w:cs="宋体"/>
          <w:color w:val="auto"/>
          <w:sz w:val="24"/>
          <w:highlight w:val="none"/>
        </w:rPr>
        <w:t>11.1 市场价格波动引起的调整</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0EE0BDC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市场价格波动是否调整合同价格的约定：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市场价格波动不调整合同价格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4849AF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因市场价格波动调整合同价格，采用以下</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种方式对合同价格进行调整：</w:t>
      </w:r>
    </w:p>
    <w:p w14:paraId="03FC36E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第1种方式：采用价格指数进行价格调整。</w:t>
      </w:r>
    </w:p>
    <w:p w14:paraId="18F9DD88">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关于各可调因子、定值和变值权重，以及基本价格指数及其来源的约定：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586542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第2种方式：采用造价信息进行价格调整。</w:t>
      </w:r>
    </w:p>
    <w:p w14:paraId="028C6C8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（2）关于基准价格的约定：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7D25AF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%时，或材料单价跌幅以已标价工程量清单或预算书中载明材料单价为基础超过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%时，其超过部分据实调整。</w:t>
      </w:r>
    </w:p>
    <w:p w14:paraId="0768840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%时，材料单价涨幅以已标价工程量清单或预算书中载明材料单价为基础超过</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%时，其超过部分据实调整。</w:t>
      </w:r>
    </w:p>
    <w:p w14:paraId="3AA64AB3">
      <w:pPr>
        <w:spacing w:line="360" w:lineRule="auto"/>
        <w:ind w:firstLine="64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%时，其超过部分据实调整。</w:t>
      </w:r>
    </w:p>
    <w:p w14:paraId="79B5AFF2">
      <w:pPr>
        <w:spacing w:line="360" w:lineRule="auto"/>
        <w:ind w:firstLine="64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第3种方式：其他价格调整方式：</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bookmarkEnd w:id="916"/>
      <w:bookmarkEnd w:id="917"/>
      <w:bookmarkEnd w:id="918"/>
      <w:bookmarkEnd w:id="919"/>
      <w:bookmarkEnd w:id="920"/>
      <w:bookmarkEnd w:id="921"/>
    </w:p>
    <w:p w14:paraId="3BED603C">
      <w:pPr>
        <w:pStyle w:val="5"/>
        <w:spacing w:before="120" w:after="120" w:line="360" w:lineRule="auto"/>
        <w:rPr>
          <w:rFonts w:hint="eastAsia" w:ascii="宋体" w:hAnsi="宋体" w:eastAsia="宋体" w:cs="宋体"/>
          <w:b w:val="0"/>
          <w:color w:val="auto"/>
          <w:sz w:val="24"/>
          <w:highlight w:val="none"/>
        </w:rPr>
      </w:pPr>
      <w:bookmarkStart w:id="1026" w:name="_Toc292559915"/>
      <w:bookmarkStart w:id="1027" w:name="_Toc296944544"/>
      <w:bookmarkStart w:id="1028" w:name="_Toc296347204"/>
      <w:bookmarkStart w:id="1029" w:name="_Toc296891245"/>
      <w:bookmarkStart w:id="1030" w:name="_Toc296503205"/>
      <w:bookmarkStart w:id="1031" w:name="_Toc292559410"/>
      <w:bookmarkStart w:id="1032" w:name="_Toc296346706"/>
      <w:bookmarkStart w:id="1033" w:name="_Toc297048391"/>
      <w:bookmarkStart w:id="1034" w:name="_Toc297120505"/>
      <w:bookmarkStart w:id="1035" w:name="_Toc296891033"/>
      <w:bookmarkStart w:id="1036" w:name="_Toc297216211"/>
      <w:bookmarkStart w:id="1037" w:name="_Toc303539159"/>
      <w:bookmarkStart w:id="1038" w:name="_Toc312678040"/>
      <w:bookmarkStart w:id="1039" w:name="_Toc351203644"/>
      <w:bookmarkStart w:id="1040" w:name="_Toc304295579"/>
      <w:bookmarkStart w:id="1041" w:name="_Toc300935002"/>
      <w:bookmarkStart w:id="1042" w:name="_Toc297123552"/>
      <w:r>
        <w:rPr>
          <w:rFonts w:hint="eastAsia" w:ascii="宋体" w:hAnsi="宋体" w:eastAsia="宋体" w:cs="宋体"/>
          <w:b w:val="0"/>
          <w:color w:val="auto"/>
          <w:sz w:val="24"/>
          <w:highlight w:val="none"/>
        </w:rPr>
        <w:t xml:space="preserve">12. </w:t>
      </w:r>
      <w:bookmarkEnd w:id="1026"/>
      <w:bookmarkEnd w:id="1027"/>
      <w:bookmarkEnd w:id="1028"/>
      <w:bookmarkEnd w:id="1029"/>
      <w:bookmarkEnd w:id="1030"/>
      <w:bookmarkEnd w:id="1031"/>
      <w:bookmarkEnd w:id="1032"/>
      <w:bookmarkEnd w:id="1033"/>
      <w:bookmarkEnd w:id="1034"/>
      <w:bookmarkEnd w:id="1035"/>
      <w:r>
        <w:rPr>
          <w:rFonts w:hint="eastAsia" w:ascii="宋体" w:hAnsi="宋体" w:eastAsia="宋体" w:cs="宋体"/>
          <w:b w:val="0"/>
          <w:color w:val="auto"/>
          <w:sz w:val="24"/>
          <w:highlight w:val="none"/>
        </w:rPr>
        <w:t>合同价格、计量与支付</w:t>
      </w:r>
      <w:bookmarkEnd w:id="1036"/>
      <w:bookmarkEnd w:id="1037"/>
      <w:bookmarkEnd w:id="1038"/>
      <w:bookmarkEnd w:id="1039"/>
      <w:bookmarkEnd w:id="1040"/>
      <w:bookmarkEnd w:id="1041"/>
      <w:bookmarkEnd w:id="1042"/>
    </w:p>
    <w:p w14:paraId="3FBB7B0A">
      <w:pPr>
        <w:spacing w:after="120" w:line="360" w:lineRule="auto"/>
        <w:ind w:firstLine="480"/>
        <w:rPr>
          <w:rFonts w:hint="eastAsia" w:ascii="宋体" w:hAnsi="宋体" w:eastAsia="宋体" w:cs="宋体"/>
          <w:color w:val="auto"/>
          <w:sz w:val="24"/>
          <w:highlight w:val="none"/>
        </w:rPr>
      </w:pPr>
      <w:bookmarkStart w:id="1043" w:name="_Toc292559411"/>
      <w:bookmarkStart w:id="1044" w:name="_Toc292559916"/>
      <w:bookmarkStart w:id="1045" w:name="_Toc267251461"/>
      <w:bookmarkStart w:id="1046" w:name="_Toc296944545"/>
      <w:bookmarkStart w:id="1047" w:name="_Toc297120506"/>
      <w:bookmarkStart w:id="1048" w:name="_Toc296891246"/>
      <w:bookmarkStart w:id="1049" w:name="_Toc296347205"/>
      <w:bookmarkStart w:id="1050" w:name="_Toc297048392"/>
      <w:bookmarkStart w:id="1051" w:name="_Toc296891034"/>
      <w:bookmarkStart w:id="1052" w:name="_Toc296503206"/>
      <w:bookmarkStart w:id="1053" w:name="_Toc296346707"/>
      <w:bookmarkStart w:id="1054" w:name="_Toc297216212"/>
      <w:bookmarkStart w:id="1055" w:name="_Toc312678041"/>
      <w:bookmarkStart w:id="1056" w:name="_Toc300935003"/>
      <w:bookmarkStart w:id="1057" w:name="_Toc297123553"/>
      <w:bookmarkStart w:id="1058" w:name="_Toc304295580"/>
      <w:bookmarkStart w:id="1059" w:name="_Toc303539160"/>
      <w:r>
        <w:rPr>
          <w:rFonts w:hint="eastAsia" w:ascii="宋体" w:hAnsi="宋体" w:eastAsia="宋体" w:cs="宋体"/>
          <w:color w:val="auto"/>
          <w:sz w:val="24"/>
          <w:highlight w:val="none"/>
        </w:rPr>
        <w:t>12.1 合</w:t>
      </w:r>
      <w:bookmarkEnd w:id="1043"/>
      <w:bookmarkEnd w:id="1044"/>
      <w:bookmarkEnd w:id="1045"/>
      <w:r>
        <w:rPr>
          <w:rFonts w:hint="eastAsia" w:ascii="宋体" w:hAnsi="宋体" w:eastAsia="宋体" w:cs="宋体"/>
          <w:color w:val="auto"/>
          <w:sz w:val="24"/>
          <w:highlight w:val="none"/>
        </w:rPr>
        <w:t>同价</w:t>
      </w:r>
      <w:bookmarkEnd w:id="1046"/>
      <w:bookmarkEnd w:id="1047"/>
      <w:bookmarkEnd w:id="1048"/>
      <w:bookmarkEnd w:id="1049"/>
      <w:bookmarkEnd w:id="1050"/>
      <w:bookmarkEnd w:id="1051"/>
      <w:bookmarkEnd w:id="1052"/>
      <w:bookmarkEnd w:id="1053"/>
      <w:r>
        <w:rPr>
          <w:rFonts w:hint="eastAsia" w:ascii="宋体" w:hAnsi="宋体" w:eastAsia="宋体" w:cs="宋体"/>
          <w:color w:val="auto"/>
          <w:sz w:val="24"/>
          <w:highlight w:val="none"/>
        </w:rPr>
        <w:t>格形式</w:t>
      </w:r>
      <w:bookmarkEnd w:id="1054"/>
      <w:bookmarkEnd w:id="1055"/>
      <w:bookmarkEnd w:id="1056"/>
      <w:bookmarkEnd w:id="1057"/>
      <w:bookmarkEnd w:id="1058"/>
      <w:bookmarkEnd w:id="1059"/>
    </w:p>
    <w:p w14:paraId="11F97C7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1、单价合同。</w:t>
      </w:r>
    </w:p>
    <w:p w14:paraId="2FB662C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综合单价包含的风险范围：</w:t>
      </w:r>
      <w:r>
        <w:rPr>
          <w:rFonts w:hint="eastAsia" w:ascii="宋体" w:hAnsi="宋体" w:eastAsia="宋体" w:cs="宋体"/>
          <w:color w:val="auto"/>
          <w:sz w:val="28"/>
          <w:szCs w:val="28"/>
          <w:highlight w:val="none"/>
        </w:rPr>
        <w:t>：</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1CA579E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C3B940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风险范围以外合同价格的调整方法：</w:t>
      </w:r>
      <w:r>
        <w:rPr>
          <w:rFonts w:hint="eastAsia" w:ascii="宋体" w:hAnsi="宋体" w:eastAsia="宋体" w:cs="宋体"/>
          <w:color w:val="auto"/>
          <w:highlight w:val="none"/>
          <w:u w:val="single"/>
        </w:rPr>
        <w:t>/</w:t>
      </w:r>
    </w:p>
    <w:p w14:paraId="6E141C5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2、总价合同。</w:t>
      </w:r>
    </w:p>
    <w:p w14:paraId="3339E1E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总价包含的风险范围：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53C30E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AD279B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风险范围以外合同价格的调整方法：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A9DE87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3、其他价格方式：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7E95E80">
      <w:pPr>
        <w:spacing w:after="120" w:line="360" w:lineRule="auto"/>
        <w:ind w:firstLine="480"/>
        <w:rPr>
          <w:rFonts w:hint="eastAsia" w:ascii="宋体" w:hAnsi="宋体" w:eastAsia="宋体" w:cs="宋体"/>
          <w:color w:val="auto"/>
          <w:sz w:val="24"/>
          <w:highlight w:val="none"/>
        </w:rPr>
      </w:pPr>
      <w:bookmarkStart w:id="1060" w:name="_Toc297216213"/>
      <w:bookmarkStart w:id="1061" w:name="_Toc300935004"/>
      <w:bookmarkStart w:id="1062" w:name="_Toc303539161"/>
      <w:bookmarkStart w:id="1063" w:name="_Toc312678042"/>
      <w:bookmarkStart w:id="1064" w:name="_Toc297123554"/>
      <w:bookmarkStart w:id="1065" w:name="_Toc304295581"/>
      <w:bookmarkStart w:id="1066" w:name="_Toc296891247"/>
      <w:bookmarkStart w:id="1067" w:name="_Toc296347206"/>
      <w:bookmarkStart w:id="1068" w:name="_Toc296503207"/>
      <w:bookmarkStart w:id="1069" w:name="_Toc296944546"/>
      <w:bookmarkStart w:id="1070" w:name="_Toc297048393"/>
      <w:bookmarkStart w:id="1071" w:name="_Toc292559412"/>
      <w:bookmarkStart w:id="1072" w:name="_Toc296346708"/>
      <w:bookmarkStart w:id="1073" w:name="_Toc297120507"/>
      <w:bookmarkStart w:id="1074" w:name="_Toc296891035"/>
      <w:bookmarkStart w:id="1075" w:name="_Toc292559917"/>
      <w:r>
        <w:rPr>
          <w:rFonts w:hint="eastAsia" w:ascii="宋体" w:hAnsi="宋体" w:eastAsia="宋体" w:cs="宋体"/>
          <w:color w:val="auto"/>
          <w:sz w:val="24"/>
          <w:highlight w:val="none"/>
        </w:rPr>
        <w:t>12.2 预付款</w:t>
      </w:r>
      <w:bookmarkEnd w:id="1060"/>
      <w:bookmarkEnd w:id="1061"/>
      <w:bookmarkEnd w:id="1062"/>
      <w:bookmarkEnd w:id="1063"/>
      <w:bookmarkEnd w:id="1064"/>
      <w:bookmarkEnd w:id="1065"/>
    </w:p>
    <w:p w14:paraId="7CF9C3E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12.2.1 预付款的支付</w:t>
      </w:r>
    </w:p>
    <w:p w14:paraId="31A0515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预付款支付比例或金额：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A0210D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6E0E52F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预付款扣回的方式：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B77FCD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12.2.2 预付款担保</w:t>
      </w:r>
    </w:p>
    <w:p w14:paraId="5E1C277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承包人提交预付款担保的期限：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23A8ED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预付款担保的形式为：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1066"/>
      <w:bookmarkEnd w:id="1067"/>
      <w:bookmarkEnd w:id="1068"/>
      <w:bookmarkEnd w:id="1069"/>
      <w:bookmarkEnd w:id="1070"/>
      <w:bookmarkEnd w:id="1071"/>
      <w:bookmarkEnd w:id="1072"/>
      <w:bookmarkEnd w:id="1073"/>
      <w:bookmarkEnd w:id="1074"/>
      <w:bookmarkEnd w:id="1075"/>
    </w:p>
    <w:p w14:paraId="0AF155DA">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12.3 计量</w:t>
      </w:r>
    </w:p>
    <w:p w14:paraId="19F9B82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12.3.1 计量原则</w:t>
      </w:r>
    </w:p>
    <w:p w14:paraId="2A4423F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工程量计算规则：</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0FD7AA0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12.3.2 计量周期</w:t>
      </w:r>
    </w:p>
    <w:p w14:paraId="3F1BADB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关于计量周期的约定：</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B304AF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12.3.3 单价合同的计量</w:t>
      </w:r>
    </w:p>
    <w:p w14:paraId="4472ED3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关于单价合同计量的约定：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C9C830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12.3.4 总价合同的计量</w:t>
      </w:r>
    </w:p>
    <w:p w14:paraId="5B7571C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关于总价合同计量的约定：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E60153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576E1C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12.3.6 其他价格形式合同的计量</w:t>
      </w:r>
    </w:p>
    <w:p w14:paraId="4E8CB29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其他价格形式的计量方式和程序：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902CE3C">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12.4 工程进度款支付</w:t>
      </w:r>
    </w:p>
    <w:p w14:paraId="08D06151">
      <w:pPr>
        <w:spacing w:line="360" w:lineRule="auto"/>
        <w:ind w:firstLine="480"/>
        <w:jc w:val="left"/>
        <w:rPr>
          <w:rFonts w:hint="eastAsia" w:ascii="宋体" w:hAnsi="宋体" w:eastAsia="宋体" w:cs="宋体"/>
          <w:color w:val="auto"/>
          <w:sz w:val="24"/>
          <w:highlight w:val="none"/>
        </w:rPr>
      </w:pPr>
      <w:bookmarkStart w:id="1076" w:name="_Toc296346712"/>
      <w:bookmarkStart w:id="1077" w:name="_Toc296347210"/>
      <w:bookmarkStart w:id="1078" w:name="_Toc303539163"/>
      <w:bookmarkStart w:id="1079" w:name="_Toc296891251"/>
      <w:bookmarkStart w:id="1080" w:name="_Toc292559921"/>
      <w:bookmarkStart w:id="1081" w:name="_Toc297123556"/>
      <w:bookmarkStart w:id="1082" w:name="_Toc297216215"/>
      <w:bookmarkStart w:id="1083" w:name="_Toc297048397"/>
      <w:bookmarkStart w:id="1084" w:name="_Toc296944550"/>
      <w:bookmarkStart w:id="1085" w:name="_Toc300935006"/>
      <w:bookmarkStart w:id="1086" w:name="_Toc297120511"/>
      <w:bookmarkStart w:id="1087" w:name="_Toc296503211"/>
      <w:bookmarkStart w:id="1088" w:name="_Toc296891039"/>
      <w:bookmarkStart w:id="1089" w:name="_Toc292559416"/>
      <w:r>
        <w:rPr>
          <w:rFonts w:hint="eastAsia" w:ascii="宋体" w:hAnsi="宋体" w:eastAsia="宋体" w:cs="宋体"/>
          <w:color w:val="auto"/>
          <w:sz w:val="24"/>
          <w:highlight w:val="none"/>
        </w:rPr>
        <w:t>12.4.1 付款周期</w:t>
      </w:r>
    </w:p>
    <w:p w14:paraId="3A379FD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关于付款周期的约定：</w:t>
      </w:r>
      <w:r>
        <w:rPr>
          <w:rFonts w:hint="eastAsia" w:ascii="宋体" w:hAnsi="宋体" w:eastAsia="宋体" w:cs="宋体"/>
          <w:color w:val="auto"/>
          <w:highlight w:val="none"/>
          <w:u w:val="single"/>
        </w:rPr>
        <w:t>/。</w:t>
      </w:r>
    </w:p>
    <w:p w14:paraId="04AF4E2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12.4.2 进度付款申请单的编制</w:t>
      </w:r>
    </w:p>
    <w:p w14:paraId="2C7CD0C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关于进度付款申请单编制的约定：</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636AFC2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hint="eastAsia" w:ascii="宋体" w:hAnsi="宋体" w:eastAsia="宋体" w:cs="宋体"/>
          <w:color w:val="auto"/>
          <w:sz w:val="24"/>
          <w:highlight w:val="none"/>
        </w:rPr>
        <w:t>2.4.3 进度付款申请单的提交</w:t>
      </w:r>
    </w:p>
    <w:p w14:paraId="03F3159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（1）单价合同进度付款申请单提交的约定：</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32E7238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（2）总价合同进度付款申请单提交的约定：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9853A2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（3）其他价格形式合同进度付款申请单提交的约定/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B6EC0C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12.4.4 进度款审核和支付</w:t>
      </w:r>
    </w:p>
    <w:p w14:paraId="0BCDE0EB">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（1）监理人审查并报送发包人的期限：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55870A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发包人完成审批并签发进度款支付证书的期限：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F83B08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（2）发包人支付进度款的期限：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D73C5EC">
      <w:pPr>
        <w:spacing w:line="360" w:lineRule="auto"/>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发包人逾期支付进度款的违约金的计算方式：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519C02">
      <w:pPr>
        <w:spacing w:line="360" w:lineRule="auto"/>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12.4.6 支付分解表的编制</w:t>
      </w:r>
    </w:p>
    <w:p w14:paraId="1DA4CA0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2、总价合同支付分解表的编制与审批：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06C81D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3、单价合同的总价项目支付分解表的编制与审批：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E0FDF21">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12.5 工程款支付</w:t>
      </w:r>
    </w:p>
    <w:p w14:paraId="6DC9979E">
      <w:pPr>
        <w:spacing w:line="360" w:lineRule="auto"/>
        <w:ind w:firstLine="386"/>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1、双方约定的工程款（进度款）支付的方式和时间：</w:t>
      </w:r>
    </w:p>
    <w:p w14:paraId="206ACE34">
      <w:pPr>
        <w:spacing w:line="360" w:lineRule="auto"/>
        <w:ind w:firstLine="386"/>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工程竣工验收合格后付合同价的40%，审计后满一年付至审定价的70%，审计后满二年付至审定价的90%，审计后满三年付清余款。乙方必须开具增值税普通发票（以招标控制价核定的税率为准）。</w:t>
      </w:r>
    </w:p>
    <w:p w14:paraId="0AA197EF">
      <w:pPr>
        <w:spacing w:line="360" w:lineRule="auto"/>
        <w:ind w:firstLine="386"/>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工程采取全过程跟踪审计模式的，审计核减额在5%（含）以内（送审价-审定价）/送审价x100%≦5%的审计费由审计委托方承担，审计核减额在5%以上（送审价-审定价）/送审价x100%＞5%的审计费即〔（1-5%）x送审价-审定价〕x3%费用由施工方承担。</w:t>
      </w:r>
    </w:p>
    <w:p w14:paraId="18898C59">
      <w:pPr>
        <w:spacing w:line="360" w:lineRule="auto"/>
        <w:ind w:firstLine="283"/>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7EAC13AA">
      <w:pPr>
        <w:spacing w:line="360" w:lineRule="auto"/>
        <w:ind w:firstLine="283"/>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bidi="ar"/>
        </w:rPr>
        <w:t>3、工程审计由建设方委托，审计模式由委托方确定。</w:t>
      </w:r>
      <w:bookmarkEnd w:id="922"/>
    </w:p>
    <w:p w14:paraId="1E660C94">
      <w:pPr>
        <w:pStyle w:val="5"/>
        <w:spacing w:before="120" w:after="120" w:line="360" w:lineRule="auto"/>
        <w:rPr>
          <w:rFonts w:hint="eastAsia" w:ascii="宋体" w:hAnsi="宋体" w:eastAsia="宋体" w:cs="宋体"/>
          <w:b w:val="0"/>
          <w:color w:val="auto"/>
          <w:sz w:val="24"/>
          <w:highlight w:val="none"/>
        </w:rPr>
      </w:pPr>
      <w:bookmarkStart w:id="1090" w:name="_Toc297120519"/>
      <w:bookmarkStart w:id="1091" w:name="_Toc297216223"/>
      <w:bookmarkStart w:id="1092" w:name="_Toc312678053"/>
      <w:bookmarkStart w:id="1093" w:name="_Toc297048405"/>
      <w:bookmarkStart w:id="1094" w:name="_Toc296503219"/>
      <w:bookmarkStart w:id="1095" w:name="_Toc292559929"/>
      <w:bookmarkStart w:id="1096" w:name="_Toc292559424"/>
      <w:bookmarkStart w:id="1097" w:name="_Toc296944558"/>
      <w:bookmarkStart w:id="1098" w:name="_Toc304295593"/>
      <w:bookmarkStart w:id="1099" w:name="_Toc296891047"/>
      <w:bookmarkStart w:id="1100" w:name="_Toc296347218"/>
      <w:bookmarkStart w:id="1101" w:name="_Toc296891259"/>
      <w:bookmarkStart w:id="1102" w:name="_Toc300935015"/>
      <w:bookmarkStart w:id="1103" w:name="_Toc296346720"/>
      <w:bookmarkStart w:id="1104" w:name="_Toc297123564"/>
      <w:bookmarkStart w:id="1105" w:name="_Toc303539172"/>
      <w:bookmarkStart w:id="1106" w:name="_Toc351203645"/>
      <w:r>
        <w:rPr>
          <w:rFonts w:hint="eastAsia" w:ascii="宋体" w:hAnsi="宋体" w:eastAsia="宋体" w:cs="宋体"/>
          <w:b w:val="0"/>
          <w:color w:val="auto"/>
          <w:sz w:val="24"/>
          <w:highlight w:val="none"/>
        </w:rPr>
        <w:t>13. 验收和工程试车</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p w14:paraId="7B930B8D">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13.1 分部分项工程验收</w:t>
      </w:r>
    </w:p>
    <w:p w14:paraId="065CA55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13.1.2监理人不能按时进行验收时，应提前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小时提交书面延期要求。</w:t>
      </w:r>
    </w:p>
    <w:p w14:paraId="690F54F5">
      <w:pPr>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小时。</w:t>
      </w:r>
    </w:p>
    <w:p w14:paraId="639A75C0">
      <w:pPr>
        <w:spacing w:after="120" w:line="360" w:lineRule="auto"/>
        <w:ind w:firstLine="480"/>
        <w:rPr>
          <w:rFonts w:hint="eastAsia" w:ascii="宋体" w:hAnsi="宋体" w:eastAsia="宋体" w:cs="宋体"/>
          <w:color w:val="auto"/>
          <w:sz w:val="24"/>
          <w:highlight w:val="none"/>
        </w:rPr>
      </w:pPr>
      <w:bookmarkStart w:id="1107" w:name="_Toc296347222"/>
      <w:bookmarkStart w:id="1108" w:name="_Toc292559933"/>
      <w:bookmarkStart w:id="1109" w:name="_Toc300935016"/>
      <w:bookmarkStart w:id="1110" w:name="_Toc297120523"/>
      <w:bookmarkStart w:id="1111" w:name="_Toc297048409"/>
      <w:bookmarkStart w:id="1112" w:name="_Toc296891263"/>
      <w:bookmarkStart w:id="1113" w:name="_Toc296346724"/>
      <w:bookmarkStart w:id="1114" w:name="_Toc296503223"/>
      <w:bookmarkStart w:id="1115" w:name="_Toc296891051"/>
      <w:bookmarkStart w:id="1116" w:name="_Toc297216224"/>
      <w:bookmarkStart w:id="1117" w:name="_Toc303539173"/>
      <w:bookmarkStart w:id="1118" w:name="_Toc296944562"/>
      <w:bookmarkStart w:id="1119" w:name="_Toc304295596"/>
      <w:bookmarkStart w:id="1120" w:name="_Toc312678056"/>
      <w:bookmarkStart w:id="1121" w:name="_Toc297123565"/>
      <w:bookmarkStart w:id="1122" w:name="_Toc292559428"/>
      <w:bookmarkStart w:id="1123" w:name="_Toc267251470"/>
      <w:bookmarkStart w:id="1124" w:name="_Toc267251475"/>
      <w:bookmarkStart w:id="1125" w:name="_Toc267251473"/>
      <w:bookmarkStart w:id="1126" w:name="_Toc267251474"/>
      <w:bookmarkStart w:id="1127" w:name="_Toc267251471"/>
      <w:bookmarkStart w:id="1128" w:name="_Toc267251476"/>
      <w:bookmarkStart w:id="1129" w:name="_Toc267251472"/>
      <w:r>
        <w:rPr>
          <w:rFonts w:hint="eastAsia" w:ascii="宋体" w:hAnsi="宋体" w:eastAsia="宋体" w:cs="宋体"/>
          <w:color w:val="auto"/>
          <w:sz w:val="24"/>
          <w:highlight w:val="none"/>
        </w:rPr>
        <w:t>13.2 竣工验收</w:t>
      </w:r>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14:paraId="2C6D199E">
      <w:pPr>
        <w:spacing w:line="360" w:lineRule="auto"/>
        <w:ind w:firstLine="480"/>
        <w:jc w:val="left"/>
        <w:rPr>
          <w:rFonts w:hint="eastAsia" w:ascii="宋体" w:hAnsi="宋体" w:eastAsia="宋体" w:cs="宋体"/>
          <w:color w:val="auto"/>
          <w:sz w:val="24"/>
          <w:highlight w:val="none"/>
        </w:rPr>
      </w:pPr>
      <w:bookmarkStart w:id="1130" w:name="_Toc280868704"/>
      <w:bookmarkStart w:id="1131" w:name="_Toc280868705"/>
      <w:bookmarkStart w:id="1132" w:name="_Toc280868706"/>
      <w:bookmarkStart w:id="1133" w:name="_Toc280868707"/>
      <w:bookmarkStart w:id="1134" w:name="_Toc280868708"/>
      <w:bookmarkStart w:id="1135" w:name="_Toc280868709"/>
      <w:r>
        <w:rPr>
          <w:rFonts w:hint="eastAsia" w:ascii="宋体" w:hAnsi="宋体" w:eastAsia="宋体" w:cs="宋体"/>
          <w:color w:val="auto"/>
          <w:sz w:val="24"/>
          <w:highlight w:val="none"/>
        </w:rPr>
        <w:t>13.2.2竣工验收程序</w:t>
      </w:r>
      <w:bookmarkEnd w:id="1130"/>
    </w:p>
    <w:p w14:paraId="30840BC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关于竣工验收程序的约定：</w:t>
      </w:r>
      <w:r>
        <w:rPr>
          <w:rFonts w:hint="eastAsia" w:ascii="宋体" w:hAnsi="宋体" w:eastAsia="宋体" w:cs="宋体"/>
          <w:color w:val="auto"/>
          <w:szCs w:val="21"/>
          <w:highlight w:val="none"/>
          <w:u w:val="single"/>
        </w:rPr>
        <w:t>/</w:t>
      </w:r>
      <w:r>
        <w:rPr>
          <w:rFonts w:hint="eastAsia" w:ascii="宋体" w:hAnsi="宋体" w:eastAsia="宋体" w:cs="宋体"/>
          <w:color w:val="auto"/>
          <w:sz w:val="24"/>
          <w:highlight w:val="none"/>
        </w:rPr>
        <w:t>。</w:t>
      </w:r>
    </w:p>
    <w:p w14:paraId="2F52A23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发包人不按照本项约定组织竣工验收、颁发工程接收证书的违约金的计算方法：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1131"/>
    </w:p>
    <w:p w14:paraId="2F21331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13.2.5移交、接收全部与部分工程</w:t>
      </w:r>
      <w:bookmarkEnd w:id="1132"/>
    </w:p>
    <w:p w14:paraId="6BD95FF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承包人向发包人移交工程的期限：</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p>
    <w:p w14:paraId="2670048F">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发包人未按本合同约定接收全部或部分工程的，违约金的计算方法为：</w:t>
      </w:r>
      <w:r>
        <w:rPr>
          <w:rFonts w:hint="eastAsia" w:ascii="宋体" w:hAnsi="宋体" w:eastAsia="宋体" w:cs="宋体"/>
          <w:color w:val="auto"/>
          <w:highlight w:val="none"/>
          <w:u w:val="single"/>
        </w:rPr>
        <w:t>/</w:t>
      </w:r>
      <w:r>
        <w:rPr>
          <w:rFonts w:hint="eastAsia" w:ascii="宋体" w:hAnsi="宋体" w:eastAsia="宋体" w:cs="宋体"/>
          <w:color w:val="auto"/>
          <w:sz w:val="24"/>
          <w:highlight w:val="none"/>
        </w:rPr>
        <w:t>。</w:t>
      </w:r>
      <w:bookmarkEnd w:id="1133"/>
    </w:p>
    <w:p w14:paraId="5848F15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承包人未按时移交工程的，违约金的计算方法为：</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794A1146">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13.3 工程试车</w:t>
      </w:r>
      <w:bookmarkEnd w:id="1134"/>
    </w:p>
    <w:p w14:paraId="6DB2E8C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13.3.1 试车程序</w:t>
      </w:r>
    </w:p>
    <w:p w14:paraId="3E72162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工程试车内容：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B398D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（1）单机无负荷试车费用由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承担；</w:t>
      </w:r>
    </w:p>
    <w:p w14:paraId="0984C55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（2）无负荷联动试车费用由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承担。</w:t>
      </w:r>
    </w:p>
    <w:p w14:paraId="5E4F8F8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13.3.3 投料试车</w:t>
      </w:r>
    </w:p>
    <w:p w14:paraId="21E9AEA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关于投料试车相关事项的约定：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65C4C09">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13.6 竣工退场</w:t>
      </w:r>
    </w:p>
    <w:p w14:paraId="42BAE94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13.6.1 竣工退场</w:t>
      </w:r>
    </w:p>
    <w:p w14:paraId="54C43B7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承包人完成竣工退场的期限/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F5C3E80">
      <w:pPr>
        <w:pStyle w:val="5"/>
        <w:spacing w:before="120" w:after="120" w:line="360" w:lineRule="auto"/>
        <w:rPr>
          <w:rFonts w:hint="eastAsia" w:ascii="宋体" w:hAnsi="宋体" w:eastAsia="宋体" w:cs="宋体"/>
          <w:b w:val="0"/>
          <w:color w:val="auto"/>
          <w:sz w:val="24"/>
          <w:highlight w:val="none"/>
        </w:rPr>
      </w:pPr>
      <w:bookmarkStart w:id="1136" w:name="_Toc351203646"/>
      <w:r>
        <w:rPr>
          <w:rFonts w:hint="eastAsia" w:ascii="宋体" w:hAnsi="宋体" w:eastAsia="宋体" w:cs="宋体"/>
          <w:b w:val="0"/>
          <w:color w:val="auto"/>
          <w:sz w:val="24"/>
          <w:highlight w:val="none"/>
        </w:rPr>
        <w:t>14. 竣工结算</w:t>
      </w:r>
      <w:bookmarkEnd w:id="1136"/>
    </w:p>
    <w:p w14:paraId="3AFC77D0">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 竣工结算申请</w:t>
      </w:r>
    </w:p>
    <w:p w14:paraId="0170D3E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承包人提交竣工结算申请单的期限：</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058ECE1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竣工结算申请单应包括的内容：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86444AE">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14.2 竣工结算审核</w:t>
      </w:r>
    </w:p>
    <w:p w14:paraId="3BA6CB8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发包人审批竣工付款申请单的期限：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7F9CD1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发包人完成竣工付款的期限：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5D5C86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关于竣工付款证书异议部分复核的方式和程序：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241E0A6">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14.4 最终结清</w:t>
      </w:r>
    </w:p>
    <w:p w14:paraId="3DE86B0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14.4.1 最终结清申请单</w:t>
      </w:r>
    </w:p>
    <w:p w14:paraId="4B8CF70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承包人提交最终结清申请单的份数：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B6D8CE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承包人提交最终结算申请单的期限：</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 xml:space="preserve">。 </w:t>
      </w:r>
    </w:p>
    <w:p w14:paraId="45BCE84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14.4.2 最终结清证书和支付</w:t>
      </w:r>
    </w:p>
    <w:p w14:paraId="78EEA64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（1）发包人完成最终结清申请单的审批并颁发最终结清证书的期限：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153E7A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（2）发包人完成支付的期限：</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bookmarkEnd w:id="1123"/>
      <w:bookmarkEnd w:id="1124"/>
      <w:bookmarkEnd w:id="1125"/>
      <w:bookmarkEnd w:id="1126"/>
      <w:bookmarkEnd w:id="1127"/>
      <w:bookmarkEnd w:id="1128"/>
      <w:bookmarkEnd w:id="1129"/>
      <w:bookmarkEnd w:id="1135"/>
    </w:p>
    <w:p w14:paraId="3727C2C8">
      <w:pPr>
        <w:pStyle w:val="5"/>
        <w:spacing w:before="120" w:after="120" w:line="360" w:lineRule="auto"/>
        <w:rPr>
          <w:rFonts w:hint="eastAsia" w:ascii="宋体" w:hAnsi="宋体" w:eastAsia="宋体" w:cs="宋体"/>
          <w:b w:val="0"/>
          <w:color w:val="auto"/>
          <w:sz w:val="24"/>
          <w:highlight w:val="none"/>
        </w:rPr>
      </w:pPr>
      <w:bookmarkStart w:id="1137" w:name="_Toc351203647"/>
      <w:bookmarkStart w:id="1138" w:name="_Toc267251483"/>
      <w:bookmarkStart w:id="1139" w:name="_Toc267251482"/>
      <w:bookmarkStart w:id="1140" w:name="_Toc267251484"/>
      <w:bookmarkStart w:id="1141" w:name="_Toc267251485"/>
      <w:bookmarkStart w:id="1142" w:name="_Toc267251489"/>
      <w:bookmarkStart w:id="1143" w:name="_Toc267251486"/>
      <w:bookmarkStart w:id="1144" w:name="_Toc267251488"/>
      <w:bookmarkStart w:id="1145" w:name="_Toc267251490"/>
      <w:bookmarkStart w:id="1146" w:name="_Toc267251503"/>
      <w:bookmarkStart w:id="1147" w:name="_Toc267251491"/>
      <w:bookmarkStart w:id="1148" w:name="_Toc267251496"/>
      <w:bookmarkStart w:id="1149" w:name="_Toc267251492"/>
      <w:bookmarkStart w:id="1150" w:name="_Toc267251502"/>
      <w:bookmarkStart w:id="1151" w:name="_Toc267251493"/>
      <w:bookmarkStart w:id="1152" w:name="_Toc267251499"/>
      <w:bookmarkStart w:id="1153" w:name="_Toc267251497"/>
      <w:bookmarkStart w:id="1154" w:name="_Toc267251495"/>
      <w:bookmarkStart w:id="1155" w:name="_Toc267251494"/>
      <w:bookmarkStart w:id="1156" w:name="_Toc267251501"/>
      <w:bookmarkStart w:id="1157" w:name="_Toc267251498"/>
      <w:bookmarkStart w:id="1158" w:name="_Toc267251506"/>
      <w:bookmarkStart w:id="1159" w:name="_Toc267251504"/>
      <w:bookmarkStart w:id="1160" w:name="_Toc267251507"/>
      <w:bookmarkStart w:id="1161" w:name="_Toc267251508"/>
      <w:bookmarkStart w:id="1162" w:name="_Toc267251509"/>
      <w:bookmarkStart w:id="1163" w:name="_Toc267251510"/>
      <w:bookmarkStart w:id="1164" w:name="_Toc267251511"/>
      <w:bookmarkStart w:id="1165" w:name="_Toc267251513"/>
      <w:bookmarkStart w:id="1166" w:name="_Toc267251515"/>
      <w:bookmarkStart w:id="1167" w:name="_Toc267251514"/>
      <w:r>
        <w:rPr>
          <w:rFonts w:hint="eastAsia" w:ascii="宋体" w:hAnsi="宋体" w:eastAsia="宋体" w:cs="宋体"/>
          <w:b w:val="0"/>
          <w:color w:val="auto"/>
          <w:sz w:val="24"/>
          <w:highlight w:val="none"/>
        </w:rPr>
        <w:t>15. 缺陷责任期与保修</w:t>
      </w:r>
      <w:bookmarkEnd w:id="1137"/>
    </w:p>
    <w:p w14:paraId="4A171F19">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15.2缺陷责任期</w:t>
      </w:r>
      <w:bookmarkEnd w:id="1138"/>
    </w:p>
    <w:p w14:paraId="070A855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缺陷责任期的具体期限：</w:t>
      </w:r>
      <w:r>
        <w:rPr>
          <w:rFonts w:hint="eastAsia" w:ascii="宋体" w:hAnsi="宋体" w:eastAsia="宋体" w:cs="宋体"/>
          <w:color w:val="auto"/>
          <w:sz w:val="24"/>
          <w:highlight w:val="none"/>
          <w:u w:val="single"/>
        </w:rPr>
        <w:t>两年</w:t>
      </w:r>
      <w:r>
        <w:rPr>
          <w:rFonts w:hint="eastAsia" w:ascii="宋体" w:hAnsi="宋体" w:eastAsia="宋体" w:cs="宋体"/>
          <w:color w:val="auto"/>
          <w:sz w:val="24"/>
          <w:highlight w:val="none"/>
        </w:rPr>
        <w:t>。</w:t>
      </w:r>
    </w:p>
    <w:p w14:paraId="096DBD5B">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15.3 质量保证金</w:t>
      </w:r>
    </w:p>
    <w:p w14:paraId="3517D4E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关于是否扣留质量保证金的约定：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。在工程项目竣工前，承包人按专用合同条款第3.7条提供履约担保的，发包人不得同时预留工程质量保证金。</w:t>
      </w:r>
    </w:p>
    <w:p w14:paraId="499604A8">
      <w:pPr>
        <w:spacing w:line="360" w:lineRule="auto"/>
        <w:ind w:firstLine="480"/>
        <w:jc w:val="left"/>
        <w:rPr>
          <w:rFonts w:hint="eastAsia" w:ascii="宋体" w:hAnsi="宋体" w:eastAsia="宋体" w:cs="宋体"/>
          <w:color w:val="auto"/>
          <w:sz w:val="24"/>
          <w:highlight w:val="none"/>
        </w:rPr>
      </w:pPr>
    </w:p>
    <w:p w14:paraId="534575CA">
      <w:pPr>
        <w:spacing w:line="360" w:lineRule="auto"/>
        <w:ind w:firstLine="48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15.3.1 承包人提供质量保证金的方式</w:t>
      </w:r>
    </w:p>
    <w:p w14:paraId="154010C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质量保证金采用以下第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种方式：</w:t>
      </w:r>
    </w:p>
    <w:p w14:paraId="38CDC37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（1）质量保证金保函，保证金额为：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10136B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工程款；</w:t>
      </w:r>
    </w:p>
    <w:p w14:paraId="298D314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0CB58ECA">
      <w:pPr>
        <w:spacing w:line="360" w:lineRule="auto"/>
        <w:ind w:firstLine="48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质量保证金的扣留 </w:t>
      </w:r>
    </w:p>
    <w:p w14:paraId="11A0392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质量保证金的扣留采取以下第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种方式：</w:t>
      </w:r>
    </w:p>
    <w:p w14:paraId="234731A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（1）在支付工程进度款时逐次扣留，在此情形下，质量保证金的计算基数不包括预付款的支付、扣回以及价格调整的金额；</w:t>
      </w:r>
    </w:p>
    <w:p w14:paraId="66CA857D">
      <w:pPr>
        <w:spacing w:line="360" w:lineRule="auto"/>
        <w:ind w:firstLine="48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（2）工程竣工结算时一次性扣留质量保证金；</w:t>
      </w:r>
    </w:p>
    <w:p w14:paraId="21EE1AA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35BC40F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关于质量保证金的补充约定：</w:t>
      </w:r>
      <w:bookmarkEnd w:id="1139"/>
      <w:bookmarkEnd w:id="1140"/>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E6E6F8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15.4保修</w:t>
      </w:r>
      <w:bookmarkEnd w:id="1141"/>
    </w:p>
    <w:p w14:paraId="1E382A59">
      <w:pPr>
        <w:spacing w:line="360" w:lineRule="auto"/>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15.4.1 保修责任</w:t>
      </w:r>
    </w:p>
    <w:p w14:paraId="0EE47D75">
      <w:pPr>
        <w:spacing w:line="360" w:lineRule="auto"/>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工程保修期为：</w:t>
      </w:r>
      <w:r>
        <w:rPr>
          <w:rFonts w:hint="eastAsia" w:ascii="宋体" w:hAnsi="宋体" w:eastAsia="宋体" w:cs="宋体"/>
          <w:color w:val="auto"/>
          <w:sz w:val="24"/>
          <w:highlight w:val="none"/>
          <w:u w:val="single"/>
        </w:rPr>
        <w:t xml:space="preserve">        </w:t>
      </w:r>
    </w:p>
    <w:p w14:paraId="6B2DC481">
      <w:pPr>
        <w:spacing w:line="360" w:lineRule="auto"/>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15.4.3 修复通知</w:t>
      </w:r>
    </w:p>
    <w:p w14:paraId="1D7C98CE">
      <w:pPr>
        <w:spacing w:line="360" w:lineRule="auto"/>
        <w:ind w:firstLine="468"/>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承包人收到保修通知并到达工程现场的合理时间：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1142"/>
      <w:bookmarkEnd w:id="1143"/>
      <w:bookmarkEnd w:id="1144"/>
      <w:bookmarkEnd w:id="1145"/>
    </w:p>
    <w:p w14:paraId="313CA745">
      <w:pPr>
        <w:pStyle w:val="5"/>
        <w:spacing w:before="120" w:after="120" w:line="360" w:lineRule="auto"/>
        <w:rPr>
          <w:rFonts w:hint="eastAsia" w:ascii="宋体" w:hAnsi="宋体" w:eastAsia="宋体" w:cs="宋体"/>
          <w:b w:val="0"/>
          <w:color w:val="auto"/>
          <w:sz w:val="24"/>
          <w:highlight w:val="none"/>
        </w:rPr>
      </w:pPr>
      <w:bookmarkStart w:id="1168" w:name="_Toc351203648"/>
      <w:bookmarkStart w:id="1169" w:name="_Toc280868717"/>
      <w:bookmarkStart w:id="1170" w:name="_Toc280868718"/>
      <w:r>
        <w:rPr>
          <w:rFonts w:hint="eastAsia" w:ascii="宋体" w:hAnsi="宋体" w:eastAsia="宋体" w:cs="宋体"/>
          <w:b w:val="0"/>
          <w:color w:val="auto"/>
          <w:sz w:val="24"/>
          <w:highlight w:val="none"/>
        </w:rPr>
        <w:t>16. 违约</w:t>
      </w:r>
      <w:bookmarkEnd w:id="1168"/>
    </w:p>
    <w:p w14:paraId="3FD2E01D">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16.1 发包人违约</w:t>
      </w:r>
    </w:p>
    <w:p w14:paraId="0968881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16.1.1发包人违约的情形</w:t>
      </w:r>
    </w:p>
    <w:p w14:paraId="51BC58A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发包人违约的其他情形：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77102B2">
      <w:pPr>
        <w:spacing w:line="360" w:lineRule="auto"/>
        <w:ind w:left="1200" w:hanging="1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16.1.2 发包人违约的责任</w:t>
      </w:r>
    </w:p>
    <w:p w14:paraId="29B40FF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发包人违约责任的承担方式和计算方法：</w:t>
      </w:r>
    </w:p>
    <w:p w14:paraId="1B3F1114">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（1）因发包人原因未能在计划开工日期前7天内下达开工通知的违约责任：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FACECF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（2）因发包人原因未能按合同约定支付合同价款的违约责任：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E365DE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（3）发包人违反第10.1款〔变更的范围〕第（2）项约定，自行实施被取消的工作或转由他人实施的违约责任：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85DCDE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5DDFFE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（5）因发包人违反合同约定造成暂停施工的违约责任：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B37047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（6）发包人无正当理由没有在约定期限内发出复工指示，导致承包人无法复工的违约责任：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9A08EA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ACBE4D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16.1.3 因发包人违约解除合同</w:t>
      </w:r>
    </w:p>
    <w:p w14:paraId="70806FF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承包人按16.1.1项〔发包人违约的情形〕约定暂停施工满</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天后发包人仍不纠正其违约行为并致使合同目的不能实现的，承包人有权解除合同。</w:t>
      </w:r>
    </w:p>
    <w:p w14:paraId="177D3C5D">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16.2 承包人违约</w:t>
      </w:r>
    </w:p>
    <w:p w14:paraId="344D774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16.2.1 承包人违约的情形</w:t>
      </w:r>
    </w:p>
    <w:p w14:paraId="7A355E8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承包人违约的其他情形：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B4F784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16.2.2承包人违约的责任</w:t>
      </w:r>
    </w:p>
    <w:p w14:paraId="4DDA043F">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承包人违约责任的承担方式和计算方法：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4798E20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16.2.3 因承包人违约解除合同</w:t>
      </w:r>
    </w:p>
    <w:p w14:paraId="39CAEEB2">
      <w:pPr>
        <w:spacing w:before="120"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关于承包人违约解除合同的特别约定：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919E2A5">
      <w:pPr>
        <w:spacing w:before="120"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4E6B38B">
      <w:pPr>
        <w:pStyle w:val="5"/>
        <w:spacing w:before="120" w:after="120" w:line="360" w:lineRule="auto"/>
        <w:rPr>
          <w:rFonts w:hint="eastAsia" w:ascii="宋体" w:hAnsi="宋体" w:eastAsia="宋体" w:cs="宋体"/>
          <w:b w:val="0"/>
          <w:color w:val="auto"/>
          <w:sz w:val="24"/>
          <w:highlight w:val="none"/>
        </w:rPr>
      </w:pPr>
      <w:bookmarkStart w:id="1171" w:name="_Toc351203649"/>
      <w:r>
        <w:rPr>
          <w:rFonts w:hint="eastAsia" w:ascii="宋体" w:hAnsi="宋体" w:eastAsia="宋体" w:cs="宋体"/>
          <w:b w:val="0"/>
          <w:color w:val="auto"/>
          <w:sz w:val="24"/>
          <w:highlight w:val="none"/>
        </w:rPr>
        <w:t>17. 不可抗力</w:t>
      </w:r>
      <w:bookmarkEnd w:id="1171"/>
      <w:r>
        <w:rPr>
          <w:rFonts w:hint="eastAsia" w:ascii="宋体" w:hAnsi="宋体" w:eastAsia="宋体" w:cs="宋体"/>
          <w:b w:val="0"/>
          <w:color w:val="auto"/>
          <w:sz w:val="24"/>
          <w:highlight w:val="none"/>
        </w:rPr>
        <w:t xml:space="preserve"> </w:t>
      </w:r>
      <w:bookmarkEnd w:id="1169"/>
    </w:p>
    <w:p w14:paraId="63AFEBC6">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17.1 不可抗力的确认</w:t>
      </w:r>
    </w:p>
    <w:p w14:paraId="44CCC42C">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10113A0">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17.4 因不可抗力解除合同</w:t>
      </w:r>
    </w:p>
    <w:p w14:paraId="6A2C7D7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合同解除后，发包人应在商定或确定发包人应支付款项后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天内完成款项的支付。</w:t>
      </w:r>
    </w:p>
    <w:p w14:paraId="6AA818C5">
      <w:pPr>
        <w:pStyle w:val="5"/>
        <w:spacing w:before="120" w:after="120" w:line="360" w:lineRule="auto"/>
        <w:rPr>
          <w:rFonts w:hint="eastAsia" w:ascii="宋体" w:hAnsi="宋体" w:eastAsia="宋体" w:cs="宋体"/>
          <w:b w:val="0"/>
          <w:color w:val="auto"/>
          <w:sz w:val="24"/>
          <w:highlight w:val="none"/>
        </w:rPr>
      </w:pPr>
      <w:bookmarkStart w:id="1172" w:name="_Toc351203650"/>
      <w:r>
        <w:rPr>
          <w:rFonts w:hint="eastAsia" w:ascii="宋体" w:hAnsi="宋体" w:eastAsia="宋体" w:cs="宋体"/>
          <w:b w:val="0"/>
          <w:color w:val="auto"/>
          <w:sz w:val="24"/>
          <w:highlight w:val="none"/>
        </w:rPr>
        <w:t>18. 保险</w:t>
      </w:r>
      <w:bookmarkEnd w:id="1170"/>
      <w:bookmarkEnd w:id="1172"/>
    </w:p>
    <w:p w14:paraId="0C9F0CC4">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18.1 工程保险</w:t>
      </w:r>
    </w:p>
    <w:p w14:paraId="03415BA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关于工程保险的特别约定：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1FF260B">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18.3 其他保险</w:t>
      </w:r>
    </w:p>
    <w:p w14:paraId="1C418DB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关于其他保险的约定：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E64171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承包人是否应为其施工设备等办理财产保险：</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2F0D248">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18.7 通知义务</w:t>
      </w:r>
    </w:p>
    <w:p w14:paraId="3678804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关于变更保险合同时的通知义务的约定：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1146"/>
      <w:bookmarkEnd w:id="1147"/>
      <w:bookmarkEnd w:id="1148"/>
      <w:bookmarkEnd w:id="1149"/>
      <w:bookmarkEnd w:id="1150"/>
      <w:bookmarkEnd w:id="1151"/>
      <w:bookmarkEnd w:id="1152"/>
      <w:bookmarkEnd w:id="1153"/>
      <w:bookmarkEnd w:id="1154"/>
      <w:bookmarkEnd w:id="1155"/>
      <w:bookmarkEnd w:id="1156"/>
      <w:bookmarkEnd w:id="1157"/>
    </w:p>
    <w:p w14:paraId="05D65EE9">
      <w:pPr>
        <w:pStyle w:val="5"/>
        <w:spacing w:before="120" w:after="120" w:line="360" w:lineRule="auto"/>
        <w:rPr>
          <w:rFonts w:hint="eastAsia" w:ascii="宋体" w:hAnsi="宋体" w:eastAsia="宋体" w:cs="宋体"/>
          <w:b w:val="0"/>
          <w:color w:val="auto"/>
          <w:sz w:val="24"/>
          <w:highlight w:val="none"/>
        </w:rPr>
      </w:pPr>
      <w:bookmarkStart w:id="1173" w:name="_Toc351203651"/>
      <w:r>
        <w:rPr>
          <w:rFonts w:hint="eastAsia" w:ascii="宋体" w:hAnsi="宋体" w:eastAsia="宋体" w:cs="宋体"/>
          <w:b w:val="0"/>
          <w:color w:val="auto"/>
          <w:sz w:val="24"/>
          <w:highlight w:val="none"/>
        </w:rPr>
        <w:t>20. 争议解决</w:t>
      </w:r>
      <w:bookmarkEnd w:id="1158"/>
      <w:bookmarkEnd w:id="1159"/>
      <w:bookmarkEnd w:id="1173"/>
    </w:p>
    <w:p w14:paraId="2C456BD1">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20.3 争</w:t>
      </w:r>
      <w:bookmarkEnd w:id="1160"/>
      <w:r>
        <w:rPr>
          <w:rFonts w:hint="eastAsia" w:ascii="宋体" w:hAnsi="宋体" w:eastAsia="宋体" w:cs="宋体"/>
          <w:color w:val="auto"/>
          <w:sz w:val="24"/>
          <w:highlight w:val="none"/>
        </w:rPr>
        <w:t>议评审</w:t>
      </w:r>
    </w:p>
    <w:p w14:paraId="21EF265D">
      <w:pPr>
        <w:spacing w:line="360" w:lineRule="auto"/>
        <w:ind w:left="149"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合同当事人是否同意将工程争议提交争议评审小组决定：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99177A0">
      <w:pPr>
        <w:spacing w:line="360" w:lineRule="auto"/>
        <w:ind w:firstLine="48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20.3.1 争议评审小组的确定</w:t>
      </w:r>
    </w:p>
    <w:p w14:paraId="68C62FF3">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争议评审小组成员的确定：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95FC5A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选定争议评审员的期限：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34E53A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争议评审小组成员的报酬承担方式：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EA423F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其他事项的约定：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1836D14">
      <w:pPr>
        <w:spacing w:line="360" w:lineRule="auto"/>
        <w:ind w:firstLine="48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20.3.2 争议评审小组的决定</w:t>
      </w:r>
    </w:p>
    <w:p w14:paraId="0BAE08C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合同当事人关于本项的约定：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D97B5DA">
      <w:pPr>
        <w:spacing w:after="120" w:line="360" w:lineRule="auto"/>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20.4仲裁或诉讼</w:t>
      </w:r>
      <w:bookmarkEnd w:id="1161"/>
    </w:p>
    <w:p w14:paraId="670EBCD5">
      <w:pPr>
        <w:spacing w:after="12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种方式解决：</w:t>
      </w:r>
    </w:p>
    <w:p w14:paraId="3C736F6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仲裁委员会申请仲裁；</w:t>
      </w:r>
    </w:p>
    <w:p w14:paraId="2CA4ADA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w:t>
      </w:r>
      <w:r>
        <w:rPr>
          <w:rFonts w:hint="eastAsia" w:ascii="宋体" w:hAnsi="宋体" w:eastAsia="宋体" w:cs="宋体"/>
          <w:color w:val="auto"/>
          <w:sz w:val="24"/>
          <w:highlight w:val="none"/>
          <w:u w:val="single"/>
        </w:rPr>
        <w:t xml:space="preserve"> 常州市新北区 </w:t>
      </w:r>
      <w:r>
        <w:rPr>
          <w:rFonts w:hint="eastAsia" w:ascii="宋体" w:hAnsi="宋体" w:eastAsia="宋体" w:cs="宋体"/>
          <w:color w:val="auto"/>
          <w:sz w:val="24"/>
          <w:highlight w:val="none"/>
        </w:rPr>
        <w:t>人民法院起诉。</w:t>
      </w:r>
      <w:bookmarkEnd w:id="1162"/>
      <w:bookmarkEnd w:id="1163"/>
      <w:bookmarkEnd w:id="1164"/>
      <w:bookmarkEnd w:id="1165"/>
      <w:bookmarkEnd w:id="1166"/>
      <w:bookmarkEnd w:id="1167"/>
    </w:p>
    <w:p w14:paraId="6D6B1256">
      <w:pPr>
        <w:pStyle w:val="5"/>
        <w:spacing w:before="120" w:after="12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21. 其他条款</w:t>
      </w:r>
    </w:p>
    <w:p w14:paraId="04A61FFC">
      <w:pPr>
        <w:pStyle w:val="196"/>
        <w:tabs>
          <w:tab w:val="left" w:pos="993"/>
        </w:tabs>
        <w:spacing w:line="360" w:lineRule="auto"/>
        <w:ind w:left="420" w:firstLine="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1、本工程招标文件、投标函、设计交底纪要等作为本合同附件，与本合同具有同等效力，但与本合同有矛盾时，以本合同为准。 </w:t>
      </w:r>
    </w:p>
    <w:p w14:paraId="5EC12989">
      <w:pPr>
        <w:pStyle w:val="196"/>
        <w:tabs>
          <w:tab w:val="left" w:pos="993"/>
        </w:tabs>
        <w:spacing w:line="360" w:lineRule="auto"/>
        <w:ind w:left="420" w:firstLine="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1F45AAEE">
      <w:pPr>
        <w:pStyle w:val="196"/>
        <w:tabs>
          <w:tab w:val="left" w:pos="993"/>
        </w:tabs>
        <w:spacing w:line="360" w:lineRule="auto"/>
        <w:ind w:left="420" w:firstLine="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3、要求承包人安全、文明施工，因承包人原因产生安全事故由承包人承担一切责任。</w:t>
      </w:r>
    </w:p>
    <w:p w14:paraId="61F7DF68">
      <w:pPr>
        <w:pStyle w:val="196"/>
        <w:tabs>
          <w:tab w:val="left" w:pos="993"/>
        </w:tabs>
        <w:spacing w:line="360" w:lineRule="auto"/>
        <w:ind w:left="420" w:firstLine="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4、承包人有责任也有义务配合好管线、</w:t>
      </w:r>
      <w:r>
        <w:rPr>
          <w:rFonts w:hint="eastAsia" w:ascii="宋体" w:hAnsi="宋体" w:eastAsia="宋体" w:cs="宋体"/>
          <w:color w:val="auto"/>
          <w:sz w:val="24"/>
          <w:highlight w:val="none"/>
          <w:u w:val="single"/>
          <w:lang w:val="en-US" w:eastAsia="zh-CN"/>
        </w:rPr>
        <w:t>支护</w:t>
      </w:r>
      <w:r>
        <w:rPr>
          <w:rFonts w:hint="eastAsia" w:ascii="宋体" w:hAnsi="宋体" w:eastAsia="宋体" w:cs="宋体"/>
          <w:color w:val="auto"/>
          <w:sz w:val="24"/>
          <w:highlight w:val="none"/>
          <w:u w:val="single"/>
        </w:rPr>
        <w:t>等施工单位的工作，有义务配合好发包人解决各项外部矛盾，确保工程的顺利实施。</w:t>
      </w:r>
    </w:p>
    <w:p w14:paraId="2C19428F">
      <w:pPr>
        <w:pStyle w:val="196"/>
        <w:tabs>
          <w:tab w:val="left" w:pos="993"/>
        </w:tabs>
        <w:spacing w:line="360" w:lineRule="auto"/>
        <w:ind w:left="420" w:firstLine="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5、其他未尽事宜双方协商解决。</w:t>
      </w:r>
    </w:p>
    <w:p w14:paraId="50C5B8CC">
      <w:pPr>
        <w:pStyle w:val="196"/>
        <w:tabs>
          <w:tab w:val="left" w:pos="993"/>
        </w:tabs>
        <w:spacing w:line="360" w:lineRule="auto"/>
        <w:ind w:left="0" w:leftChars="0" w:firstLine="0" w:firstLineChars="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u w:val="single"/>
        </w:rPr>
        <w:br w:type="page" w:clear="all"/>
      </w:r>
      <w:bookmarkStart w:id="1174" w:name="_Toc351203652"/>
      <w:r>
        <w:rPr>
          <w:rFonts w:hint="eastAsia" w:ascii="宋体" w:hAnsi="宋体" w:eastAsia="宋体" w:cs="宋体"/>
          <w:b/>
          <w:color w:val="auto"/>
          <w:sz w:val="24"/>
          <w:highlight w:val="none"/>
        </w:rPr>
        <w:t>附件</w:t>
      </w:r>
      <w:bookmarkEnd w:id="1174"/>
      <w:r>
        <w:rPr>
          <w:rFonts w:hint="eastAsia" w:ascii="宋体" w:hAnsi="宋体" w:eastAsia="宋体" w:cs="宋体"/>
          <w:b/>
          <w:color w:val="auto"/>
          <w:sz w:val="24"/>
          <w:highlight w:val="none"/>
        </w:rPr>
        <w:t>：</w:t>
      </w:r>
    </w:p>
    <w:p w14:paraId="3BFAC109">
      <w:pPr>
        <w:pStyle w:val="196"/>
        <w:tabs>
          <w:tab w:val="left" w:pos="993"/>
        </w:tabs>
        <w:spacing w:line="360" w:lineRule="auto"/>
        <w:ind w:left="420" w:firstLine="28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工程质量保修书</w:t>
      </w:r>
    </w:p>
    <w:p w14:paraId="44B4F198">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发包人（全称）：</w:t>
      </w:r>
      <w:r>
        <w:rPr>
          <w:rFonts w:hint="eastAsia" w:ascii="宋体" w:hAnsi="宋体" w:eastAsia="宋体" w:cs="宋体"/>
          <w:b/>
          <w:bCs/>
          <w:color w:val="auto"/>
          <w:sz w:val="24"/>
          <w:highlight w:val="none"/>
          <w:u w:val="single"/>
          <w:lang w:eastAsia="zh-CN"/>
        </w:rPr>
        <w:t>江苏常州滨江经济开发区管理委员会</w:t>
      </w:r>
      <w:r>
        <w:rPr>
          <w:rFonts w:hint="eastAsia" w:ascii="宋体" w:hAnsi="宋体" w:eastAsia="宋体" w:cs="宋体"/>
          <w:b/>
          <w:bCs/>
          <w:color w:val="auto"/>
          <w:sz w:val="24"/>
          <w:highlight w:val="none"/>
        </w:rPr>
        <w:t xml:space="preserve"> </w:t>
      </w:r>
    </w:p>
    <w:p w14:paraId="38A56F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承包人（全称）：</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w:t>
      </w:r>
    </w:p>
    <w:p w14:paraId="56C4416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发包人和承包人根据《中华人民共和国建筑法》和《建设工程质量管理条例》，经协商一致就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XG080319地块土方回填工程</w:t>
      </w:r>
      <w:r>
        <w:rPr>
          <w:rFonts w:hint="eastAsia" w:ascii="宋体" w:hAnsi="宋体" w:eastAsia="宋体" w:cs="宋体"/>
          <w:color w:val="auto"/>
          <w:sz w:val="24"/>
          <w:highlight w:val="none"/>
        </w:rPr>
        <w:t>（工程全称）签订工程质量保修书。</w:t>
      </w:r>
    </w:p>
    <w:p w14:paraId="7272E6D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一、工程质量保修范围和内容</w:t>
      </w:r>
    </w:p>
    <w:p w14:paraId="12FA319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承包人在质量保修期内，按照有关法律规定和合同约定，承担工程质量保修责任。</w:t>
      </w:r>
    </w:p>
    <w:p w14:paraId="34679D6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按合同承包范围内容</w:t>
      </w:r>
      <w:r>
        <w:rPr>
          <w:rFonts w:hint="eastAsia" w:ascii="宋体" w:hAnsi="宋体" w:eastAsia="宋体" w:cs="宋体"/>
          <w:color w:val="auto"/>
          <w:sz w:val="24"/>
          <w:highlight w:val="none"/>
        </w:rPr>
        <w:t>。</w:t>
      </w:r>
    </w:p>
    <w:p w14:paraId="5CA77FD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二、质量保修期</w:t>
      </w:r>
    </w:p>
    <w:p w14:paraId="3C10486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根据《建设工程质量管理条例》及有关规定，工程的质量保修期如下：</w:t>
      </w:r>
    </w:p>
    <w:p w14:paraId="4A47102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地基基础工程和主体结构工程为设计文件规定的工程合理使用年限；</w:t>
      </w:r>
    </w:p>
    <w:p w14:paraId="5FA8B24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屋面防水工程、有防水要求的卫生间、房间和外墙面的防渗为</w:t>
      </w:r>
      <w:r>
        <w:rPr>
          <w:rFonts w:hint="eastAsia" w:ascii="宋体" w:hAnsi="宋体" w:eastAsia="宋体" w:cs="宋体"/>
          <w:color w:val="auto"/>
          <w:sz w:val="24"/>
          <w:highlight w:val="none"/>
          <w:u w:val="single"/>
        </w:rPr>
        <w:t xml:space="preserve"> 五 </w:t>
      </w:r>
      <w:r>
        <w:rPr>
          <w:rFonts w:hint="eastAsia" w:ascii="宋体" w:hAnsi="宋体" w:eastAsia="宋体" w:cs="宋体"/>
          <w:color w:val="auto"/>
          <w:sz w:val="24"/>
          <w:highlight w:val="none"/>
        </w:rPr>
        <w:t>年；</w:t>
      </w:r>
    </w:p>
    <w:p w14:paraId="7D2263C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装修工程为</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年；</w:t>
      </w:r>
    </w:p>
    <w:p w14:paraId="4A9A72A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电气管线、给排水管道、设备安装工程为</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年；</w:t>
      </w:r>
    </w:p>
    <w:p w14:paraId="062327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供热与供冷系统为</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个采暖期、供冷期；</w:t>
      </w:r>
    </w:p>
    <w:p w14:paraId="3BF30C4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住宅小区内的给排水设施、道路等配套工程为</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年；</w:t>
      </w:r>
    </w:p>
    <w:p w14:paraId="098C624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其他项目保修期限约定如下：</w:t>
      </w:r>
      <w:r>
        <w:rPr>
          <w:rFonts w:hint="eastAsia" w:ascii="宋体" w:hAnsi="宋体" w:eastAsia="宋体" w:cs="宋体"/>
          <w:color w:val="auto"/>
          <w:sz w:val="24"/>
          <w:highlight w:val="none"/>
          <w:u w:val="single"/>
        </w:rPr>
        <w:t>质量保修按国务院建设工程质量管理条例执行</w:t>
      </w:r>
      <w:r>
        <w:rPr>
          <w:rFonts w:hint="eastAsia" w:ascii="宋体" w:hAnsi="宋体" w:eastAsia="宋体" w:cs="宋体"/>
          <w:color w:val="auto"/>
          <w:sz w:val="24"/>
          <w:highlight w:val="none"/>
        </w:rPr>
        <w:t>。</w:t>
      </w:r>
    </w:p>
    <w:p w14:paraId="2811648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质量保修期自工程竣工验收合格之日起计算。</w:t>
      </w:r>
    </w:p>
    <w:p w14:paraId="1E87FFC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三、缺陷责任期</w:t>
      </w:r>
    </w:p>
    <w:p w14:paraId="55BD61F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工程缺陷责任期为</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个月，缺陷责任期自工程通过竣工验收之日起计算。单位工程先于全部工程进行验收，单位工程缺陷责任期自单位工程验收合格之日起算。</w:t>
      </w:r>
    </w:p>
    <w:p w14:paraId="4626C47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缺陷责任期终止后，发包人应退还剩余的质量保证金。</w:t>
      </w:r>
    </w:p>
    <w:p w14:paraId="0D2019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四、质量保修责任</w:t>
      </w:r>
    </w:p>
    <w:p w14:paraId="0DFE139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属于保修范围、内容的项目，承包人应当在接到保修通知之日起7天内派人保修。承包人不在约定期限内派人保修的，发包人可以委托他人修理。</w:t>
      </w:r>
    </w:p>
    <w:p w14:paraId="18E1840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发生紧急事故需抢修的，承包人在接到事故通知后，应当立即到达事故现场抢修。</w:t>
      </w:r>
    </w:p>
    <w:p w14:paraId="77A88D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0A3E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t>质量保修完成后，由发包人组织验收。</w:t>
      </w:r>
    </w:p>
    <w:p w14:paraId="7D5D65B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五、保修费用</w:t>
      </w:r>
    </w:p>
    <w:p w14:paraId="525C7C4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保修费用由造成质量缺陷的责任方承担。</w:t>
      </w:r>
    </w:p>
    <w:p w14:paraId="329474A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0"/>
        <w:rPr>
          <w:rFonts w:hint="eastAsia" w:ascii="宋体" w:hAnsi="宋体" w:eastAsia="宋体" w:cs="宋体"/>
          <w:color w:val="auto"/>
          <w:sz w:val="24"/>
          <w:highlight w:val="none"/>
        </w:rPr>
      </w:pPr>
      <w:r>
        <w:rPr>
          <w:rFonts w:hint="eastAsia" w:ascii="宋体" w:hAnsi="宋体" w:eastAsia="宋体" w:cs="宋体"/>
          <w:b/>
          <w:color w:val="auto"/>
          <w:sz w:val="24"/>
          <w:highlight w:val="none"/>
        </w:rPr>
        <w:t>六</w:t>
      </w:r>
      <w:r>
        <w:rPr>
          <w:rFonts w:hint="eastAsia" w:ascii="宋体" w:hAnsi="宋体" w:eastAsia="宋体" w:cs="宋体"/>
          <w:color w:val="auto"/>
          <w:sz w:val="24"/>
          <w:highlight w:val="none"/>
        </w:rPr>
        <w:t>、双方约定的其他工程质量保修事项：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3D81A8C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工程质量保修书由发包人、承包人在工程竣工验收前共同签署，作为施工合同附件，其有效期限至保修期满。</w:t>
      </w:r>
    </w:p>
    <w:p w14:paraId="4B7BAD2C">
      <w:pPr>
        <w:spacing w:line="360" w:lineRule="auto"/>
        <w:rPr>
          <w:rFonts w:hint="eastAsia" w:ascii="宋体" w:hAnsi="宋体" w:eastAsia="宋体" w:cs="宋体"/>
          <w:color w:val="auto"/>
          <w:sz w:val="24"/>
          <w:highlight w:val="none"/>
        </w:rPr>
      </w:pPr>
    </w:p>
    <w:p w14:paraId="57399F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发包人(公章)：</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 xml:space="preserve">            承包人(公章)：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4BBAD3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     </w:t>
      </w:r>
    </w:p>
    <w:p w14:paraId="13D8FA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法定代表人(签字)：</w:t>
      </w:r>
      <w:r>
        <w:rPr>
          <w:rFonts w:hint="eastAsia" w:ascii="宋体" w:hAnsi="宋体" w:eastAsia="宋体" w:cs="宋体"/>
          <w:color w:val="auto"/>
          <w:sz w:val="24"/>
          <w:highlight w:val="none"/>
          <w:u w:val="single"/>
        </w:rPr>
        <w:t xml:space="preserve">       </w:t>
      </w:r>
    </w:p>
    <w:p w14:paraId="732179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委托代理人(签字)：</w:t>
      </w:r>
      <w:r>
        <w:rPr>
          <w:rFonts w:hint="eastAsia" w:ascii="宋体" w:hAnsi="宋体" w:eastAsia="宋体" w:cs="宋体"/>
          <w:color w:val="auto"/>
          <w:sz w:val="24"/>
          <w:highlight w:val="none"/>
          <w:u w:val="single"/>
        </w:rPr>
        <w:t xml:space="preserve">       </w:t>
      </w:r>
    </w:p>
    <w:p w14:paraId="5C1C04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4A6D94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14:paraId="148DE3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p>
    <w:p w14:paraId="3DCEB78B">
      <w:pPr>
        <w:keepNext w:val="0"/>
        <w:keepLines w:val="0"/>
        <w:pageBreakBefore w:val="0"/>
        <w:widowControl w:val="0"/>
        <w:tabs>
          <w:tab w:val="left" w:pos="0"/>
          <w:tab w:val="left" w:pos="993"/>
          <w:tab w:val="left" w:pos="113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1"/>
          <w:szCs w:val="21"/>
          <w:highlight w:val="none"/>
        </w:rPr>
        <w:t xml:space="preserve"> </w:t>
      </w:r>
    </w:p>
    <w:p w14:paraId="6EA18A34">
      <w:pPr>
        <w:rPr>
          <w:rFonts w:hint="eastAsia" w:ascii="宋体" w:hAnsi="宋体" w:eastAsia="宋体" w:cs="宋体"/>
          <w:color w:val="auto"/>
          <w:highlight w:val="none"/>
        </w:rPr>
      </w:pPr>
      <w:bookmarkStart w:id="1175" w:name="_Hlk75944811"/>
    </w:p>
    <w:bookmarkEnd w:id="1175"/>
    <w:p w14:paraId="7F120DD4">
      <w:pPr>
        <w:pStyle w:val="4"/>
        <w:rPr>
          <w:rFonts w:hint="eastAsia" w:ascii="宋体" w:hAnsi="宋体" w:eastAsia="宋体" w:cs="宋体"/>
          <w:color w:val="auto"/>
          <w:highlight w:val="none"/>
        </w:rPr>
        <w:sectPr>
          <w:pgSz w:w="11906" w:h="16838" w:orient="landscape"/>
          <w:pgMar w:top="1440" w:right="1800" w:bottom="1440" w:left="1800" w:header="851" w:footer="992" w:gutter="0"/>
          <w:cols w:space="720" w:num="1"/>
        </w:sectPr>
      </w:pPr>
    </w:p>
    <w:p w14:paraId="5204047B">
      <w:pPr>
        <w:spacing w:line="360" w:lineRule="auto"/>
        <w:jc w:val="center"/>
        <w:outlineLvl w:val="0"/>
        <w:rPr>
          <w:b/>
          <w:color w:val="auto"/>
          <w:sz w:val="36"/>
          <w:szCs w:val="36"/>
          <w:highlight w:val="none"/>
        </w:rPr>
      </w:pPr>
      <w:bookmarkStart w:id="1176" w:name="_Toc10386"/>
      <w:r>
        <w:rPr>
          <w:b/>
          <w:color w:val="auto"/>
          <w:sz w:val="36"/>
          <w:szCs w:val="36"/>
          <w:highlight w:val="none"/>
        </w:rPr>
        <w:t>第六章   响应文件格式</w:t>
      </w:r>
      <w:bookmarkEnd w:id="612"/>
      <w:bookmarkEnd w:id="1176"/>
    </w:p>
    <w:p w14:paraId="4AB0A162">
      <w:pPr>
        <w:widowControl/>
        <w:spacing w:line="360" w:lineRule="auto"/>
        <w:jc w:val="left"/>
        <w:rPr>
          <w:b/>
          <w:color w:val="auto"/>
          <w:sz w:val="24"/>
          <w:highlight w:val="none"/>
        </w:rPr>
      </w:pPr>
    </w:p>
    <w:p w14:paraId="42F6800E">
      <w:pPr>
        <w:widowControl/>
        <w:spacing w:line="360" w:lineRule="auto"/>
        <w:jc w:val="left"/>
        <w:rPr>
          <w:b/>
          <w:color w:val="auto"/>
          <w:sz w:val="24"/>
          <w:highlight w:val="none"/>
        </w:rPr>
      </w:pPr>
    </w:p>
    <w:p w14:paraId="655B4C68">
      <w:pPr>
        <w:tabs>
          <w:tab w:val="left" w:pos="900"/>
          <w:tab w:val="left" w:pos="1980"/>
        </w:tabs>
        <w:spacing w:line="360" w:lineRule="auto"/>
        <w:ind w:left="142"/>
        <w:rPr>
          <w:b/>
          <w:color w:val="auto"/>
          <w:sz w:val="24"/>
          <w:highlight w:val="none"/>
        </w:rPr>
      </w:pPr>
      <w:r>
        <w:rPr>
          <w:rFonts w:hint="eastAsia"/>
          <w:b/>
          <w:color w:val="auto"/>
          <w:sz w:val="24"/>
          <w:highlight w:val="none"/>
        </w:rPr>
        <w:t>供应商编制文件须知</w:t>
      </w:r>
    </w:p>
    <w:p w14:paraId="77C8E0AC">
      <w:pPr>
        <w:tabs>
          <w:tab w:val="left" w:pos="900"/>
          <w:tab w:val="left" w:pos="1980"/>
        </w:tabs>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7948CC53">
      <w:pPr>
        <w:tabs>
          <w:tab w:val="left" w:pos="900"/>
          <w:tab w:val="left" w:pos="1980"/>
        </w:tabs>
        <w:spacing w:line="360" w:lineRule="auto"/>
        <w:ind w:left="142"/>
        <w:rPr>
          <w:color w:val="auto"/>
          <w:sz w:val="24"/>
          <w:highlight w:val="none"/>
        </w:rPr>
      </w:pPr>
      <w:r>
        <w:rPr>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。未标记“实质性格式”的文件和竞争性磋商文件未提供格式的内容，可由供应商自行编写。</w:t>
      </w:r>
    </w:p>
    <w:p w14:paraId="7C96435D">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3A34200E">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640AB5E6">
      <w:pPr>
        <w:tabs>
          <w:tab w:val="left" w:pos="900"/>
          <w:tab w:val="left" w:pos="1980"/>
        </w:tabs>
        <w:spacing w:line="360" w:lineRule="auto"/>
        <w:ind w:left="142"/>
        <w:rPr>
          <w:color w:val="auto"/>
          <w:sz w:val="24"/>
          <w:highlight w:val="none"/>
        </w:rPr>
      </w:pPr>
    </w:p>
    <w:p w14:paraId="757A913D">
      <w:pPr>
        <w:widowControl/>
        <w:jc w:val="left"/>
        <w:rPr>
          <w:color w:val="auto"/>
          <w:sz w:val="24"/>
          <w:highlight w:val="none"/>
        </w:rPr>
      </w:pPr>
      <w:r>
        <w:rPr>
          <w:color w:val="auto"/>
          <w:sz w:val="24"/>
          <w:highlight w:val="none"/>
        </w:rPr>
        <w:br w:type="page" w:clear="all"/>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1AFDBA6">
      <w:pPr>
        <w:rPr>
          <w:b/>
          <w:color w:val="auto"/>
          <w:spacing w:val="20"/>
          <w:szCs w:val="21"/>
          <w:highlight w:val="none"/>
        </w:rPr>
      </w:pPr>
    </w:p>
    <w:p w14:paraId="3E5F1CD5">
      <w:pPr>
        <w:rPr>
          <w:b/>
          <w:color w:val="auto"/>
          <w:sz w:val="24"/>
          <w:highlight w:val="none"/>
        </w:rPr>
      </w:pPr>
      <w:r>
        <w:rPr>
          <w:b/>
          <w:color w:val="auto"/>
          <w:spacing w:val="20"/>
          <w:sz w:val="24"/>
          <w:highlight w:val="none"/>
        </w:rPr>
        <w:t>响应文件</w:t>
      </w:r>
      <w:r>
        <w:rPr>
          <w:b/>
          <w:color w:val="auto"/>
          <w:sz w:val="24"/>
          <w:highlight w:val="none"/>
        </w:rPr>
        <w:t>封面（非实质性格式）</w:t>
      </w:r>
    </w:p>
    <w:p w14:paraId="3D7AF8BF">
      <w:pPr>
        <w:jc w:val="center"/>
        <w:rPr>
          <w:color w:val="auto"/>
          <w:szCs w:val="21"/>
          <w:highlight w:val="none"/>
        </w:rPr>
      </w:pPr>
    </w:p>
    <w:p w14:paraId="4DFA86BB">
      <w:pPr>
        <w:jc w:val="center"/>
        <w:rPr>
          <w:b/>
          <w:color w:val="auto"/>
          <w:spacing w:val="60"/>
          <w:sz w:val="84"/>
          <w:szCs w:val="84"/>
          <w:highlight w:val="none"/>
        </w:rPr>
      </w:pPr>
      <w:r>
        <w:rPr>
          <w:b/>
          <w:color w:val="auto"/>
          <w:spacing w:val="60"/>
          <w:sz w:val="84"/>
          <w:szCs w:val="84"/>
          <w:highlight w:val="none"/>
        </w:rPr>
        <w:t>响 应 文 件</w:t>
      </w:r>
    </w:p>
    <w:p w14:paraId="1C036F95">
      <w:pPr>
        <w:jc w:val="center"/>
        <w:rPr>
          <w:b/>
          <w:color w:val="auto"/>
          <w:spacing w:val="60"/>
          <w:sz w:val="52"/>
          <w:szCs w:val="52"/>
          <w:highlight w:val="none"/>
        </w:rPr>
      </w:pPr>
    </w:p>
    <w:p w14:paraId="35BB0520">
      <w:pPr>
        <w:ind w:firstLine="542"/>
        <w:rPr>
          <w:b/>
          <w:color w:val="auto"/>
          <w:spacing w:val="20"/>
          <w:sz w:val="32"/>
          <w:szCs w:val="32"/>
          <w:highlight w:val="none"/>
        </w:rPr>
      </w:pPr>
    </w:p>
    <w:p w14:paraId="35384202">
      <w:pPr>
        <w:ind w:firstLine="542"/>
        <w:rPr>
          <w:b/>
          <w:color w:val="auto"/>
          <w:spacing w:val="20"/>
          <w:sz w:val="32"/>
          <w:szCs w:val="32"/>
          <w:highlight w:val="none"/>
        </w:rPr>
      </w:pPr>
    </w:p>
    <w:p w14:paraId="69FE8078">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12A922D1">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0CF94D19">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p>
    <w:p w14:paraId="156DF2B3">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5DF6B285">
      <w:pPr>
        <w:jc w:val="center"/>
        <w:rPr>
          <w:b/>
          <w:color w:val="auto"/>
          <w:sz w:val="32"/>
          <w:szCs w:val="32"/>
          <w:highlight w:val="none"/>
        </w:rPr>
      </w:pPr>
    </w:p>
    <w:p w14:paraId="711BC38B">
      <w:pPr>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满足《中华人民共和国政府采购法》第二十二条规定及法律法规的其他规定</w:t>
      </w:r>
    </w:p>
    <w:p w14:paraId="366E05D9">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供应商资格声明</w:t>
      </w:r>
      <w:r>
        <w:rPr>
          <w:rFonts w:hint="eastAsia"/>
          <w:b/>
          <w:color w:val="auto"/>
          <w:highlight w:val="none"/>
        </w:rPr>
        <w:t>函</w:t>
      </w:r>
      <w:r>
        <w:rPr>
          <w:b/>
          <w:color w:val="auto"/>
          <w:highlight w:val="none"/>
        </w:rPr>
        <w:t>（实质性格式）</w:t>
      </w:r>
    </w:p>
    <w:p w14:paraId="4A2444A9">
      <w:pPr>
        <w:widowControl/>
        <w:spacing w:before="120" w:line="360" w:lineRule="auto"/>
        <w:jc w:val="center"/>
        <w:rPr>
          <w:rFonts w:hint="eastAsia" w:ascii="宋体" w:hAnsi="宋体" w:cs="宋体"/>
          <w:b/>
          <w:color w:val="auto"/>
          <w:sz w:val="28"/>
          <w:szCs w:val="28"/>
          <w:highlight w:val="none"/>
        </w:rPr>
      </w:pPr>
    </w:p>
    <w:p w14:paraId="7808CA90">
      <w:pPr>
        <w:widowControl/>
        <w:spacing w:before="12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供应商资格声明函</w:t>
      </w:r>
    </w:p>
    <w:p w14:paraId="1015A55A">
      <w:pPr>
        <w:pStyle w:val="14"/>
        <w:spacing w:line="460" w:lineRule="exact"/>
        <w:ind w:firstLine="480"/>
        <w:rPr>
          <w:color w:val="auto"/>
          <w:highlight w:val="none"/>
        </w:rPr>
      </w:pPr>
    </w:p>
    <w:p w14:paraId="26ABB7D6">
      <w:pPr>
        <w:pStyle w:val="14"/>
        <w:spacing w:line="460" w:lineRule="exact"/>
        <w:ind w:firstLine="480"/>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常州安丰工程项目管理有限公司</w:t>
      </w:r>
    </w:p>
    <w:p w14:paraId="2B9BDD8A">
      <w:pPr>
        <w:pStyle w:val="14"/>
        <w:spacing w:line="460" w:lineRule="exact"/>
        <w:ind w:firstLine="960"/>
        <w:rPr>
          <w:color w:val="auto"/>
          <w:highlight w:val="none"/>
          <w:u w:val="single"/>
        </w:rPr>
      </w:pPr>
      <w:r>
        <w:rPr>
          <w:rFonts w:hint="eastAsia"/>
          <w:color w:val="auto"/>
          <w:highlight w:val="none"/>
          <w:u w:val="single"/>
        </w:rPr>
        <w:t>（采购人名称）</w:t>
      </w:r>
    </w:p>
    <w:p w14:paraId="13CE3AFA">
      <w:pPr>
        <w:pStyle w:val="14"/>
        <w:spacing w:line="460" w:lineRule="exact"/>
        <w:ind w:firstLine="480"/>
        <w:rPr>
          <w:color w:val="auto"/>
          <w:highlight w:val="none"/>
        </w:rPr>
      </w:pPr>
    </w:p>
    <w:p w14:paraId="1547230E">
      <w:pPr>
        <w:pStyle w:val="14"/>
        <w:spacing w:line="460" w:lineRule="exact"/>
        <w:ind w:firstLine="480"/>
        <w:rPr>
          <w:color w:val="auto"/>
          <w:highlight w:val="none"/>
        </w:rPr>
      </w:pPr>
      <w:r>
        <w:rPr>
          <w:rFonts w:hint="eastAsia"/>
          <w:color w:val="auto"/>
          <w:highlight w:val="none"/>
        </w:rPr>
        <w:t>按照《中华人民共和国政府采购法》第二十二条和磋商文件的规定，我单位郑重声明如下：</w:t>
      </w:r>
    </w:p>
    <w:p w14:paraId="1C0C2685">
      <w:pPr>
        <w:pStyle w:val="1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67FA3390">
      <w:pPr>
        <w:pStyle w:val="14"/>
        <w:spacing w:line="460" w:lineRule="exact"/>
        <w:ind w:firstLine="480"/>
        <w:rPr>
          <w:color w:val="auto"/>
          <w:highlight w:val="none"/>
        </w:rPr>
      </w:pPr>
      <w:r>
        <w:rPr>
          <w:rFonts w:hint="eastAsia"/>
          <w:color w:val="auto"/>
          <w:highlight w:val="none"/>
        </w:rPr>
        <w:t>二、我单位未被“国家企业信用信息系统”列入经营异常名录或者严重违法企业名单。</w:t>
      </w:r>
    </w:p>
    <w:p w14:paraId="70CC395A">
      <w:pPr>
        <w:pStyle w:val="14"/>
        <w:spacing w:line="460" w:lineRule="exact"/>
        <w:ind w:firstLine="480"/>
        <w:rPr>
          <w:color w:val="auto"/>
          <w:highlight w:val="none"/>
        </w:rPr>
      </w:pPr>
      <w:r>
        <w:rPr>
          <w:rFonts w:hint="eastAsia"/>
          <w:color w:val="auto"/>
          <w:highlight w:val="none"/>
        </w:rPr>
        <w:t>三、我单位具有良好的商业信誉（指供应商经营状况良好，无本资格声明第十条情形）和健全的财务会计制度。</w:t>
      </w:r>
    </w:p>
    <w:p w14:paraId="028F191D">
      <w:pPr>
        <w:pStyle w:val="14"/>
        <w:spacing w:line="460" w:lineRule="exact"/>
        <w:ind w:firstLine="480"/>
        <w:rPr>
          <w:color w:val="auto"/>
          <w:highlight w:val="none"/>
        </w:rPr>
      </w:pPr>
      <w:r>
        <w:rPr>
          <w:rFonts w:hint="eastAsia"/>
          <w:color w:val="auto"/>
          <w:highlight w:val="none"/>
        </w:rPr>
        <w:t>四、我单位依法进行纳税和社会保险申报并实际履行了义务。</w:t>
      </w:r>
    </w:p>
    <w:p w14:paraId="56B987EE">
      <w:pPr>
        <w:pStyle w:val="14"/>
        <w:spacing w:line="460" w:lineRule="exact"/>
        <w:ind w:firstLine="480"/>
        <w:rPr>
          <w:rFonts w:hint="eastAsia"/>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76B6D195">
      <w:pPr>
        <w:pStyle w:val="1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1411BD01">
      <w:pPr>
        <w:pStyle w:val="1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741E0055">
      <w:pPr>
        <w:pStyle w:val="14"/>
        <w:spacing w:line="460" w:lineRule="exact"/>
        <w:ind w:firstLine="480"/>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559F175">
      <w:pPr>
        <w:pStyle w:val="14"/>
        <w:spacing w:line="460" w:lineRule="exact"/>
        <w:ind w:firstLine="480"/>
        <w:rPr>
          <w:color w:val="auto"/>
          <w:highlight w:val="none"/>
        </w:rPr>
      </w:pPr>
      <w:r>
        <w:rPr>
          <w:rFonts w:hint="eastAsia"/>
          <w:color w:val="auto"/>
          <w:highlight w:val="none"/>
        </w:rPr>
        <w:t>七、我单位具备法律、行政法规规定的其他条件。</w:t>
      </w:r>
    </w:p>
    <w:p w14:paraId="66F6F10B">
      <w:pPr>
        <w:pStyle w:val="14"/>
        <w:spacing w:line="460" w:lineRule="exact"/>
        <w:ind w:firstLine="480"/>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707862BA">
      <w:pPr>
        <w:pStyle w:val="1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6563B6B8">
      <w:pPr>
        <w:pStyle w:val="1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34A262E">
      <w:pPr>
        <w:pStyle w:val="1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06BE7BD6">
      <w:pPr>
        <w:pStyle w:val="14"/>
        <w:spacing w:line="460" w:lineRule="exact"/>
        <w:ind w:firstLine="480"/>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67DC2B3C">
      <w:pPr>
        <w:pStyle w:val="14"/>
        <w:spacing w:line="460" w:lineRule="exact"/>
        <w:ind w:firstLine="480"/>
        <w:rPr>
          <w:color w:val="auto"/>
          <w:highlight w:val="none"/>
        </w:rPr>
      </w:pPr>
      <w:r>
        <w:rPr>
          <w:rFonts w:hint="eastAsia"/>
          <w:color w:val="auto"/>
          <w:highlight w:val="none"/>
        </w:rPr>
        <w:t>十、</w:t>
      </w:r>
      <w:r>
        <w:rPr>
          <w:color w:val="auto"/>
          <w:highlight w:val="none"/>
        </w:rPr>
        <w:t>我单位无以下不良信用记录情形：</w:t>
      </w:r>
    </w:p>
    <w:p w14:paraId="519F231B">
      <w:pPr>
        <w:pStyle w:val="1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11C61E00">
      <w:pPr>
        <w:pStyle w:val="1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11C0891D">
      <w:pPr>
        <w:pStyle w:val="1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4ABC99A7">
      <w:pPr>
        <w:pStyle w:val="14"/>
        <w:spacing w:line="460" w:lineRule="exact"/>
        <w:ind w:firstLine="480"/>
        <w:rPr>
          <w:color w:val="auto"/>
          <w:highlight w:val="none"/>
        </w:rPr>
      </w:pPr>
    </w:p>
    <w:p w14:paraId="4A2DF42B">
      <w:pPr>
        <w:pStyle w:val="1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26302B0C">
      <w:pPr>
        <w:pStyle w:val="14"/>
        <w:spacing w:line="460" w:lineRule="exact"/>
        <w:ind w:firstLine="480"/>
        <w:rPr>
          <w:color w:val="auto"/>
          <w:highlight w:val="none"/>
        </w:rPr>
      </w:pPr>
    </w:p>
    <w:p w14:paraId="07BF0C1C">
      <w:pPr>
        <w:pStyle w:val="14"/>
        <w:spacing w:line="460" w:lineRule="exact"/>
        <w:ind w:firstLine="480"/>
        <w:rPr>
          <w:color w:val="auto"/>
          <w:highlight w:val="none"/>
        </w:rPr>
      </w:pPr>
    </w:p>
    <w:p w14:paraId="6F2106DB">
      <w:pPr>
        <w:pStyle w:val="14"/>
        <w:spacing w:line="460" w:lineRule="exact"/>
        <w:ind w:firstLine="480"/>
        <w:rPr>
          <w:color w:val="auto"/>
          <w:highlight w:val="none"/>
        </w:rPr>
      </w:pPr>
      <w:r>
        <w:rPr>
          <w:rFonts w:hint="eastAsia"/>
          <w:color w:val="auto"/>
          <w:highlight w:val="none"/>
        </w:rPr>
        <w:t>                                            供应商：（加盖公章）</w:t>
      </w:r>
    </w:p>
    <w:p w14:paraId="25D5AD7E">
      <w:pPr>
        <w:pStyle w:val="14"/>
        <w:spacing w:line="460" w:lineRule="exact"/>
        <w:ind w:firstLine="480"/>
        <w:rPr>
          <w:color w:val="auto"/>
          <w:highlight w:val="none"/>
        </w:rPr>
      </w:pPr>
      <w:r>
        <w:rPr>
          <w:rFonts w:hint="eastAsia"/>
          <w:color w:val="auto"/>
          <w:highlight w:val="none"/>
        </w:rPr>
        <w:t>                                           法定代表人（或单位负责人）签字或盖章：</w:t>
      </w:r>
    </w:p>
    <w:p w14:paraId="7921FC5F">
      <w:pPr>
        <w:pStyle w:val="14"/>
        <w:spacing w:line="460" w:lineRule="exact"/>
        <w:ind w:firstLine="4920"/>
        <w:rPr>
          <w:rFonts w:hint="eastAsia"/>
          <w:color w:val="auto"/>
          <w:highlight w:val="none"/>
        </w:rPr>
      </w:pPr>
      <w:r>
        <w:rPr>
          <w:rFonts w:hint="eastAsia"/>
          <w:color w:val="auto"/>
          <w:highlight w:val="none"/>
        </w:rPr>
        <w:t>日期：    年    月    日</w:t>
      </w:r>
    </w:p>
    <w:p w14:paraId="0A07B99F">
      <w:pPr>
        <w:spacing w:line="360" w:lineRule="auto"/>
        <w:rPr>
          <w:rFonts w:hint="eastAsia"/>
          <w:color w:val="auto"/>
          <w:sz w:val="24"/>
          <w:highlight w:val="none"/>
        </w:rPr>
      </w:pPr>
    </w:p>
    <w:p w14:paraId="03AFA416">
      <w:pPr>
        <w:spacing w:line="360" w:lineRule="auto"/>
        <w:rPr>
          <w:rFonts w:hint="eastAsia"/>
          <w:color w:val="auto"/>
          <w:sz w:val="24"/>
          <w:highlight w:val="none"/>
        </w:rPr>
      </w:pPr>
    </w:p>
    <w:p w14:paraId="38123F5E">
      <w:pPr>
        <w:spacing w:line="360" w:lineRule="auto"/>
        <w:rPr>
          <w:rFonts w:hint="eastAsia"/>
          <w:color w:val="auto"/>
          <w:sz w:val="24"/>
          <w:highlight w:val="none"/>
        </w:rPr>
      </w:pPr>
    </w:p>
    <w:p w14:paraId="24B1B595">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2AAB86F8">
      <w:pPr>
        <w:tabs>
          <w:tab w:val="left" w:pos="5580"/>
        </w:tabs>
        <w:spacing w:line="360" w:lineRule="auto"/>
        <w:rPr>
          <w:color w:val="auto"/>
          <w:sz w:val="24"/>
          <w:highlight w:val="none"/>
        </w:rPr>
        <w:sectPr>
          <w:pgSz w:w="11907" w:h="16840" w:orient="landscape"/>
          <w:pgMar w:top="1418" w:right="1134" w:bottom="1418" w:left="1701" w:header="851" w:footer="851" w:gutter="0"/>
          <w:cols w:space="720" w:num="1"/>
        </w:sectPr>
      </w:pPr>
    </w:p>
    <w:p w14:paraId="253101D5">
      <w:pPr>
        <w:spacing w:line="360" w:lineRule="auto"/>
        <w:rPr>
          <w:color w:val="auto"/>
          <w:sz w:val="24"/>
          <w:szCs w:val="20"/>
          <w:highlight w:val="none"/>
        </w:rPr>
      </w:pPr>
      <w:r>
        <w:rPr>
          <w:color w:val="auto"/>
          <w:sz w:val="24"/>
          <w:szCs w:val="20"/>
          <w:highlight w:val="none"/>
        </w:rPr>
        <w:t>2 落实政府采购政策需满足的资格要求</w:t>
      </w:r>
    </w:p>
    <w:p w14:paraId="215402FE">
      <w:pPr>
        <w:tabs>
          <w:tab w:val="left" w:pos="5580"/>
        </w:tabs>
        <w:spacing w:line="360" w:lineRule="auto"/>
        <w:rPr>
          <w:rFonts w:hint="eastAsia"/>
          <w:color w:val="auto"/>
          <w:sz w:val="24"/>
          <w:highlight w:val="none"/>
          <w:lang w:val="en-US" w:eastAsia="zh-CN"/>
        </w:rPr>
      </w:pPr>
      <w:r>
        <w:rPr>
          <w:rFonts w:hint="eastAsia"/>
          <w:color w:val="auto"/>
          <w:sz w:val="24"/>
          <w:highlight w:val="none"/>
          <w:lang w:val="en-US" w:eastAsia="zh-CN"/>
        </w:rPr>
        <w:t>2-1中小企业声明函</w:t>
      </w:r>
    </w:p>
    <w:p w14:paraId="1F2C8BAB">
      <w:pPr>
        <w:tabs>
          <w:tab w:val="left" w:pos="5580"/>
        </w:tabs>
        <w:spacing w:line="360" w:lineRule="auto"/>
        <w:rPr>
          <w:color w:val="auto"/>
          <w:sz w:val="24"/>
          <w:highlight w:val="none"/>
        </w:rPr>
      </w:pPr>
    </w:p>
    <w:p w14:paraId="3B7AFB92">
      <w:pPr>
        <w:tabs>
          <w:tab w:val="left" w:pos="5580"/>
        </w:tabs>
        <w:spacing w:line="360" w:lineRule="auto"/>
        <w:rPr>
          <w:color w:val="auto"/>
          <w:sz w:val="24"/>
          <w:highlight w:val="none"/>
        </w:rPr>
      </w:pPr>
      <w:r>
        <w:rPr>
          <w:color w:val="auto"/>
          <w:sz w:val="24"/>
          <w:highlight w:val="none"/>
        </w:rPr>
        <w:t>说明：</w:t>
      </w:r>
    </w:p>
    <w:p w14:paraId="0BA94FE5">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p>
    <w:p w14:paraId="70C7214A">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14:paraId="29017422">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6B552EB">
      <w:pPr>
        <w:tabs>
          <w:tab w:val="left" w:pos="5580"/>
        </w:tabs>
        <w:spacing w:line="360" w:lineRule="auto"/>
        <w:rPr>
          <w:color w:val="auto"/>
          <w:sz w:val="24"/>
          <w:highlight w:val="none"/>
        </w:rPr>
      </w:pPr>
      <w:r>
        <w:rPr>
          <w:rFonts w:hint="eastAsia"/>
          <w:color w:val="auto"/>
          <w:sz w:val="24"/>
          <w:highlight w:val="none"/>
        </w:rPr>
        <w:t>（4）其他</w:t>
      </w:r>
    </w:p>
    <w:p w14:paraId="075B0A4A">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1）中小企业参加政府采购活动，应当出具此格式文件。《中小企业声明函》由参加政府采购活动的投标人出具。联合体投标的，《中小企业声明函》由牵头人出具。</w:t>
      </w:r>
    </w:p>
    <w:p w14:paraId="0EE36AF9">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807D236">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14:paraId="1F80BD60">
      <w:pPr>
        <w:tabs>
          <w:tab w:val="left" w:pos="5580"/>
        </w:tabs>
        <w:spacing w:line="360" w:lineRule="auto"/>
        <w:rPr>
          <w:rFonts w:hint="eastAsia"/>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091F9E00">
      <w:pPr>
        <w:rPr>
          <w:rFonts w:hint="eastAsia"/>
          <w:color w:val="auto"/>
          <w:sz w:val="24"/>
          <w:highlight w:val="none"/>
          <w:lang w:val="en-US" w:eastAsia="zh-CN"/>
        </w:rPr>
        <w:sectPr>
          <w:pgSz w:w="11907" w:h="16840" w:orient="landscape"/>
          <w:pgMar w:top="1418" w:right="1134" w:bottom="1418" w:left="1701" w:header="851" w:footer="851" w:gutter="0"/>
          <w:cols w:space="720" w:num="1"/>
        </w:sectPr>
      </w:pPr>
    </w:p>
    <w:p w14:paraId="11BF8662">
      <w:pPr>
        <w:spacing w:before="240" w:after="240" w:line="360" w:lineRule="auto"/>
        <w:jc w:val="center"/>
        <w:rPr>
          <w:b/>
          <w:bCs/>
          <w:color w:val="auto"/>
          <w:sz w:val="36"/>
          <w:szCs w:val="36"/>
          <w:highlight w:val="none"/>
        </w:rPr>
      </w:pPr>
      <w:r>
        <w:rPr>
          <w:rFonts w:hint="eastAsia"/>
          <w:b/>
          <w:bCs/>
          <w:color w:val="auto"/>
          <w:sz w:val="36"/>
          <w:szCs w:val="36"/>
          <w:highlight w:val="none"/>
        </w:rPr>
        <w:t>中小企业声明函</w:t>
      </w:r>
    </w:p>
    <w:p w14:paraId="206E679D">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A24FEF7">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14:paraId="3753F576">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057C4B1">
      <w:pPr>
        <w:spacing w:line="360" w:lineRule="auto"/>
        <w:ind w:firstLine="504"/>
        <w:rPr>
          <w:color w:val="auto"/>
          <w:spacing w:val="6"/>
          <w:sz w:val="24"/>
          <w:highlight w:val="none"/>
        </w:rPr>
      </w:pPr>
    </w:p>
    <w:p w14:paraId="3965DBBC">
      <w:pPr>
        <w:spacing w:line="360" w:lineRule="auto"/>
        <w:ind w:firstLine="504"/>
        <w:rPr>
          <w:color w:val="auto"/>
          <w:spacing w:val="6"/>
          <w:sz w:val="24"/>
          <w:highlight w:val="none"/>
        </w:rPr>
      </w:pPr>
      <w:r>
        <w:rPr>
          <w:color w:val="auto"/>
          <w:spacing w:val="6"/>
          <w:sz w:val="24"/>
          <w:highlight w:val="none"/>
        </w:rPr>
        <w:t>……</w:t>
      </w:r>
    </w:p>
    <w:p w14:paraId="3F9D0D02">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2EE6B56">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2583066">
      <w:pPr>
        <w:spacing w:line="360" w:lineRule="auto"/>
        <w:ind w:right="360" w:firstLine="480"/>
        <w:jc w:val="right"/>
        <w:rPr>
          <w:color w:val="auto"/>
          <w:sz w:val="24"/>
          <w:highlight w:val="none"/>
        </w:rPr>
      </w:pPr>
    </w:p>
    <w:p w14:paraId="048DEA3D">
      <w:pPr>
        <w:spacing w:line="360" w:lineRule="auto"/>
        <w:ind w:right="360" w:firstLine="480"/>
        <w:jc w:val="right"/>
        <w:rPr>
          <w:color w:val="auto"/>
          <w:sz w:val="24"/>
          <w:highlight w:val="none"/>
        </w:rPr>
      </w:pPr>
      <w:r>
        <w:rPr>
          <w:color w:val="auto"/>
          <w:sz w:val="24"/>
          <w:highlight w:val="none"/>
        </w:rPr>
        <w:t>企业名称（加盖公章）：________</w:t>
      </w:r>
    </w:p>
    <w:p w14:paraId="747F6BB6">
      <w:pPr>
        <w:spacing w:line="360" w:lineRule="auto"/>
        <w:ind w:right="360" w:firstLine="480"/>
        <w:jc w:val="right"/>
        <w:rPr>
          <w:color w:val="auto"/>
          <w:sz w:val="24"/>
          <w:highlight w:val="none"/>
        </w:rPr>
      </w:pPr>
      <w:r>
        <w:rPr>
          <w:color w:val="auto"/>
          <w:sz w:val="24"/>
          <w:highlight w:val="none"/>
        </w:rPr>
        <w:t>日 期：________</w:t>
      </w:r>
    </w:p>
    <w:p w14:paraId="7C8212D6">
      <w:pPr>
        <w:jc w:val="left"/>
        <w:rPr>
          <w:color w:val="auto"/>
          <w:sz w:val="24"/>
          <w:szCs w:val="21"/>
          <w:highlight w:val="none"/>
        </w:rPr>
      </w:pPr>
    </w:p>
    <w:p w14:paraId="51B1BAD3">
      <w:pPr>
        <w:jc w:val="left"/>
        <w:rPr>
          <w:color w:val="auto"/>
          <w:sz w:val="24"/>
          <w:szCs w:val="21"/>
          <w:highlight w:val="none"/>
        </w:rPr>
      </w:pPr>
    </w:p>
    <w:tbl>
      <w:tblPr>
        <w:tblStyle w:val="4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408C2B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A1FF5C3">
            <w:pPr>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487C1E07">
      <w:pPr>
        <w:rPr>
          <w:rFonts w:hint="eastAsia"/>
          <w:color w:val="auto"/>
          <w:sz w:val="24"/>
          <w:highlight w:val="none"/>
          <w:lang w:val="en-US" w:eastAsia="zh-CN"/>
        </w:rPr>
        <w:sectPr>
          <w:pgSz w:w="11907" w:h="16840" w:orient="landscape"/>
          <w:pgMar w:top="1418" w:right="1134" w:bottom="1418" w:left="1701" w:header="851" w:footer="851" w:gutter="0"/>
          <w:cols w:space="720" w:num="1"/>
        </w:sectPr>
      </w:pPr>
    </w:p>
    <w:p w14:paraId="31FFB9D5">
      <w:pPr>
        <w:spacing w:before="240" w:after="240" w:line="360" w:lineRule="auto"/>
        <w:jc w:val="center"/>
        <w:rPr>
          <w:b/>
          <w:color w:val="auto"/>
          <w:sz w:val="36"/>
          <w:szCs w:val="36"/>
          <w:highlight w:val="none"/>
        </w:rPr>
      </w:pPr>
      <w:r>
        <w:rPr>
          <w:rFonts w:hint="eastAsia"/>
          <w:b/>
          <w:bCs/>
          <w:color w:val="auto"/>
          <w:sz w:val="36"/>
          <w:szCs w:val="36"/>
          <w:highlight w:val="none"/>
        </w:rPr>
        <w:t>残疾人福利性单位声明函格式</w:t>
      </w:r>
    </w:p>
    <w:p w14:paraId="5457361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090D5BD5">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7CDBF11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B2EA83A">
      <w:pPr>
        <w:spacing w:line="588" w:lineRule="exact"/>
        <w:ind w:firstLine="506"/>
        <w:rPr>
          <w:color w:val="auto"/>
          <w:spacing w:val="6"/>
          <w:sz w:val="24"/>
          <w:highlight w:val="none"/>
        </w:rPr>
      </w:pPr>
      <w:r>
        <w:rPr>
          <w:b/>
          <w:color w:val="auto"/>
          <w:spacing w:val="6"/>
          <w:sz w:val="24"/>
          <w:highlight w:val="none"/>
        </w:rPr>
        <w:t>本单位对上述声明的真实性负责。如有虚假，将依法承担相应责任。</w:t>
      </w:r>
    </w:p>
    <w:p w14:paraId="264E21D3">
      <w:pPr>
        <w:spacing w:line="588" w:lineRule="exact"/>
        <w:ind w:firstLine="504"/>
        <w:rPr>
          <w:color w:val="auto"/>
          <w:spacing w:val="6"/>
          <w:sz w:val="24"/>
          <w:highlight w:val="none"/>
        </w:rPr>
      </w:pPr>
    </w:p>
    <w:p w14:paraId="46682AAA">
      <w:pPr>
        <w:spacing w:line="588" w:lineRule="exact"/>
        <w:ind w:firstLine="504"/>
        <w:rPr>
          <w:color w:val="auto"/>
          <w:spacing w:val="6"/>
          <w:sz w:val="24"/>
          <w:highlight w:val="none"/>
        </w:rPr>
      </w:pPr>
    </w:p>
    <w:p w14:paraId="54A90A54">
      <w:pPr>
        <w:tabs>
          <w:tab w:val="left" w:pos="4860"/>
        </w:tabs>
        <w:spacing w:line="588" w:lineRule="exact"/>
        <w:ind w:right="1560" w:firstLine="504"/>
        <w:jc w:val="center"/>
        <w:rPr>
          <w:color w:val="auto"/>
          <w:spacing w:val="6"/>
          <w:sz w:val="24"/>
          <w:highlight w:val="none"/>
        </w:rPr>
      </w:pPr>
      <w:r>
        <w:rPr>
          <w:color w:val="auto"/>
          <w:spacing w:val="6"/>
          <w:sz w:val="24"/>
          <w:highlight w:val="none"/>
        </w:rPr>
        <w:t xml:space="preserve">               单位名称（加盖公章）：</w:t>
      </w:r>
    </w:p>
    <w:p w14:paraId="4052FF86">
      <w:pPr>
        <w:tabs>
          <w:tab w:val="left" w:pos="4860"/>
        </w:tabs>
        <w:spacing w:line="588" w:lineRule="exact"/>
        <w:ind w:right="1560" w:firstLine="504"/>
        <w:jc w:val="center"/>
        <w:rPr>
          <w:rFonts w:hint="eastAsia"/>
          <w:color w:val="auto"/>
          <w:spacing w:val="6"/>
          <w:sz w:val="24"/>
          <w:highlight w:val="none"/>
        </w:rPr>
      </w:pPr>
      <w:r>
        <w:rPr>
          <w:color w:val="auto"/>
          <w:spacing w:val="6"/>
          <w:sz w:val="24"/>
          <w:highlight w:val="none"/>
        </w:rPr>
        <w:t xml:space="preserve">       日  期：</w:t>
      </w:r>
    </w:p>
    <w:p w14:paraId="6EF4BADE">
      <w:pPr>
        <w:rPr>
          <w:rFonts w:hint="eastAsia"/>
          <w:color w:val="auto"/>
          <w:sz w:val="24"/>
          <w:highlight w:val="none"/>
          <w:lang w:val="en-US" w:eastAsia="zh-CN"/>
        </w:rPr>
      </w:pPr>
      <w:r>
        <w:rPr>
          <w:rFonts w:hint="eastAsia"/>
          <w:color w:val="auto"/>
          <w:sz w:val="24"/>
          <w:highlight w:val="none"/>
          <w:lang w:val="en-US" w:eastAsia="zh-CN"/>
        </w:rPr>
        <w:br w:type="page" w:clear="all"/>
      </w:r>
    </w:p>
    <w:p w14:paraId="69D0C59C">
      <w:pPr>
        <w:tabs>
          <w:tab w:val="left" w:pos="5580"/>
        </w:tabs>
        <w:spacing w:line="360" w:lineRule="auto"/>
        <w:rPr>
          <w:color w:val="auto"/>
          <w:spacing w:val="6"/>
          <w:sz w:val="24"/>
          <w:highlight w:val="none"/>
        </w:rPr>
      </w:pPr>
      <w:r>
        <w:rPr>
          <w:rFonts w:hint="eastAsia"/>
          <w:color w:val="auto"/>
          <w:sz w:val="24"/>
          <w:highlight w:val="none"/>
          <w:lang w:val="en-US" w:eastAsia="zh-CN"/>
        </w:rPr>
        <w:t>2-2</w:t>
      </w:r>
      <w:r>
        <w:rPr>
          <w:rFonts w:hint="eastAsia"/>
          <w:color w:val="auto"/>
          <w:sz w:val="24"/>
          <w:highlight w:val="none"/>
        </w:rPr>
        <w:t>其它落实政府采购政策的资格要求</w:t>
      </w:r>
      <w:r>
        <w:rPr>
          <w:rFonts w:hint="eastAsia"/>
          <w:color w:val="auto"/>
          <w:sz w:val="24"/>
          <w:highlight w:val="none"/>
          <w:lang w:eastAsia="zh-CN"/>
        </w:rPr>
        <w:t>（</w:t>
      </w:r>
      <w:r>
        <w:rPr>
          <w:rFonts w:hint="eastAsia"/>
          <w:color w:val="auto"/>
          <w:sz w:val="24"/>
          <w:highlight w:val="none"/>
        </w:rPr>
        <w:t>如有，见第一章《采购邀请》</w:t>
      </w:r>
      <w:r>
        <w:rPr>
          <w:rFonts w:hint="eastAsia"/>
          <w:color w:val="auto"/>
          <w:sz w:val="24"/>
          <w:highlight w:val="none"/>
          <w:lang w:eastAsia="zh-CN"/>
        </w:rPr>
        <w:t>）</w:t>
      </w:r>
    </w:p>
    <w:p w14:paraId="206599AD">
      <w:pPr>
        <w:spacing w:line="360" w:lineRule="auto"/>
        <w:outlineLvl w:val="2"/>
        <w:rPr>
          <w:rFonts w:hint="eastAsia" w:eastAsia="宋体"/>
          <w:color w:val="auto"/>
          <w:sz w:val="24"/>
          <w:highlight w:val="none"/>
          <w:lang w:eastAsia="zh-CN"/>
        </w:rPr>
      </w:pPr>
      <w:r>
        <w:rPr>
          <w:color w:val="auto"/>
          <w:sz w:val="24"/>
          <w:szCs w:val="20"/>
          <w:highlight w:val="none"/>
        </w:rPr>
        <w:br w:type="page" w:clear="all"/>
      </w:r>
      <w:bookmarkStart w:id="1177" w:name="_Toc226965830"/>
      <w:bookmarkStart w:id="1178" w:name="_Toc150774762"/>
      <w:bookmarkStart w:id="1179" w:name="_Toc305158825"/>
      <w:bookmarkStart w:id="1180" w:name="_Toc150480795"/>
      <w:bookmarkStart w:id="1181" w:name="_Toc264969247"/>
      <w:bookmarkStart w:id="1182" w:name="_Ref467988705"/>
      <w:bookmarkStart w:id="1183" w:name="_Toc195842922"/>
      <w:bookmarkStart w:id="1184" w:name="_Toc127151557"/>
      <w:bookmarkStart w:id="1185" w:name="_Toc480942350"/>
      <w:bookmarkStart w:id="1186" w:name="_Toc226337253"/>
      <w:bookmarkStart w:id="1187" w:name="_Toc226309801"/>
      <w:bookmarkStart w:id="1188" w:name="_Toc142311059"/>
      <w:bookmarkStart w:id="1189" w:name="_Toc265228395"/>
      <w:bookmarkStart w:id="1190" w:name="_Toc226965747"/>
      <w:bookmarkStart w:id="1191" w:name="_Toc305158899"/>
      <w:bookmarkStart w:id="1192" w:name="_Toc520356218"/>
      <w:r>
        <w:rPr>
          <w:color w:val="auto"/>
          <w:sz w:val="24"/>
          <w:szCs w:val="20"/>
          <w:highlight w:val="none"/>
        </w:rPr>
        <w:t xml:space="preserve">3 </w:t>
      </w:r>
      <w:r>
        <w:rPr>
          <w:color w:val="auto"/>
          <w:sz w:val="24"/>
          <w:highlight w:val="none"/>
        </w:rPr>
        <w:t>本项目的特定资格要求</w:t>
      </w:r>
      <w:r>
        <w:rPr>
          <w:rFonts w:hint="eastAsia"/>
          <w:color w:val="auto"/>
          <w:sz w:val="24"/>
          <w:highlight w:val="none"/>
          <w:lang w:eastAsia="zh-CN"/>
        </w:rPr>
        <w:t>（</w:t>
      </w:r>
      <w:r>
        <w:rPr>
          <w:rFonts w:hint="eastAsia"/>
          <w:color w:val="auto"/>
          <w:sz w:val="24"/>
          <w:highlight w:val="none"/>
          <w:lang w:val="en-US" w:eastAsia="zh-CN"/>
        </w:rPr>
        <w:t>如有</w:t>
      </w:r>
      <w:r>
        <w:rPr>
          <w:rFonts w:hint="eastAsia"/>
          <w:color w:val="auto"/>
          <w:sz w:val="24"/>
          <w:highlight w:val="none"/>
          <w:lang w:eastAsia="zh-CN"/>
        </w:rPr>
        <w:t>）</w:t>
      </w:r>
    </w:p>
    <w:p w14:paraId="5AB45E4F">
      <w:pPr>
        <w:widowControl/>
        <w:spacing w:line="360" w:lineRule="auto"/>
        <w:jc w:val="left"/>
        <w:rPr>
          <w:rFonts w:hint="default" w:eastAsia="宋体"/>
          <w:color w:val="auto"/>
          <w:sz w:val="24"/>
          <w:szCs w:val="20"/>
          <w:highlight w:val="none"/>
          <w:lang w:val="en-US" w:eastAsia="zh-CN"/>
        </w:rPr>
      </w:pPr>
      <w:r>
        <w:rPr>
          <w:color w:val="auto"/>
          <w:sz w:val="24"/>
          <w:szCs w:val="20"/>
          <w:highlight w:val="none"/>
        </w:rPr>
        <w:t>3-</w:t>
      </w:r>
      <w:r>
        <w:rPr>
          <w:rFonts w:hint="eastAsia"/>
          <w:color w:val="auto"/>
          <w:sz w:val="24"/>
          <w:szCs w:val="20"/>
          <w:highlight w:val="none"/>
        </w:rPr>
        <w:t>1</w:t>
      </w:r>
      <w:r>
        <w:rPr>
          <w:color w:val="auto"/>
          <w:sz w:val="24"/>
          <w:szCs w:val="20"/>
          <w:highlight w:val="none"/>
        </w:rPr>
        <w:t>其他特定资格要求</w:t>
      </w:r>
      <w:r>
        <w:rPr>
          <w:rFonts w:hint="eastAsia"/>
          <w:color w:val="auto"/>
          <w:sz w:val="24"/>
          <w:szCs w:val="20"/>
          <w:highlight w:val="none"/>
          <w:lang w:eastAsia="zh-CN"/>
        </w:rPr>
        <w:t>：</w:t>
      </w:r>
      <w:r>
        <w:rPr>
          <w:rFonts w:hint="eastAsia"/>
          <w:color w:val="auto"/>
          <w:sz w:val="24"/>
          <w:highlight w:val="none"/>
        </w:rPr>
        <w:t>如有，见第一章《采购邀请》</w:t>
      </w:r>
    </w:p>
    <w:p w14:paraId="221EC80D">
      <w:pPr>
        <w:spacing w:line="360" w:lineRule="auto"/>
        <w:rPr>
          <w:color w:val="auto"/>
          <w:sz w:val="24"/>
          <w:szCs w:val="20"/>
          <w:highlight w:val="none"/>
        </w:rPr>
      </w:pPr>
      <w:r>
        <w:rPr>
          <w:color w:val="auto"/>
          <w:sz w:val="24"/>
          <w:szCs w:val="20"/>
          <w:highlight w:val="none"/>
        </w:rPr>
        <w:br w:type="page" w:clear="all"/>
      </w:r>
      <w:r>
        <w:rPr>
          <w:rFonts w:hint="eastAsia"/>
          <w:color w:val="auto"/>
          <w:sz w:val="24"/>
          <w:highlight w:val="none"/>
        </w:rPr>
        <w:t>4</w:t>
      </w:r>
      <w:r>
        <w:rPr>
          <w:color w:val="auto"/>
          <w:sz w:val="24"/>
          <w:szCs w:val="20"/>
          <w:highlight w:val="none"/>
        </w:rPr>
        <w:t xml:space="preserve">  </w:t>
      </w:r>
      <w:r>
        <w:rPr>
          <w:color w:val="auto"/>
          <w:sz w:val="24"/>
          <w:highlight w:val="none"/>
        </w:rPr>
        <w:t>响应</w:t>
      </w:r>
      <w:r>
        <w:rPr>
          <w:rFonts w:hint="eastAsia"/>
          <w:color w:val="auto"/>
          <w:sz w:val="24"/>
          <w:highlight w:val="none"/>
        </w:rPr>
        <w:t>函</w:t>
      </w:r>
      <w:r>
        <w:rPr>
          <w:color w:val="auto"/>
          <w:sz w:val="24"/>
          <w:szCs w:val="20"/>
          <w:highlight w:val="none"/>
        </w:rPr>
        <w:t>（实质性格式）</w:t>
      </w:r>
    </w:p>
    <w:p w14:paraId="21A03752">
      <w:pPr>
        <w:spacing w:line="360" w:lineRule="auto"/>
        <w:jc w:val="center"/>
        <w:rPr>
          <w:b/>
          <w:color w:val="auto"/>
          <w:sz w:val="36"/>
          <w:szCs w:val="36"/>
          <w:highlight w:val="none"/>
        </w:rPr>
      </w:pPr>
      <w:r>
        <w:rPr>
          <w:rFonts w:hint="eastAsia"/>
          <w:b/>
          <w:color w:val="auto"/>
          <w:sz w:val="36"/>
          <w:szCs w:val="36"/>
          <w:highlight w:val="none"/>
        </w:rPr>
        <w:t>响应函</w:t>
      </w:r>
    </w:p>
    <w:p w14:paraId="0A243FE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48F4E67">
      <w:pPr>
        <w:tabs>
          <w:tab w:val="left" w:pos="5580"/>
        </w:tabs>
        <w:spacing w:line="360" w:lineRule="auto"/>
        <w:rPr>
          <w:color w:val="auto"/>
          <w:sz w:val="24"/>
          <w:szCs w:val="20"/>
          <w:highlight w:val="none"/>
        </w:rPr>
      </w:pPr>
    </w:p>
    <w:p w14:paraId="221408BA">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w:t>
      </w:r>
      <w:r>
        <w:rPr>
          <w:rFonts w:hint="eastAsia"/>
          <w:color w:val="auto"/>
          <w:sz w:val="24"/>
          <w:szCs w:val="20"/>
          <w:highlight w:val="none"/>
        </w:rPr>
        <w:t>政府采购</w:t>
      </w:r>
      <w:r>
        <w:rPr>
          <w:color w:val="auto"/>
          <w:sz w:val="24"/>
          <w:szCs w:val="20"/>
          <w:highlight w:val="none"/>
        </w:rPr>
        <w:t>活动，并对此项目进行响应。</w:t>
      </w:r>
    </w:p>
    <w:p w14:paraId="4D16867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62A8E797">
      <w:pPr>
        <w:tabs>
          <w:tab w:val="left" w:pos="720"/>
          <w:tab w:val="left" w:pos="900"/>
        </w:tabs>
        <w:spacing w:line="360" w:lineRule="auto"/>
        <w:ind w:left="360" w:firstLine="72"/>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w:t>
      </w:r>
      <w:r>
        <w:rPr>
          <w:rFonts w:hint="eastAsia"/>
          <w:color w:val="auto"/>
          <w:sz w:val="24"/>
          <w:szCs w:val="20"/>
          <w:highlight w:val="none"/>
        </w:rPr>
        <w:t>天</w:t>
      </w:r>
      <w:r>
        <w:rPr>
          <w:color w:val="auto"/>
          <w:sz w:val="24"/>
          <w:szCs w:val="20"/>
          <w:highlight w:val="none"/>
        </w:rPr>
        <w:t>。</w:t>
      </w:r>
    </w:p>
    <w:p w14:paraId="02E9150B">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（2）除合同条款及采购需求偏离表列出的偏离外，我方响应磋商文件的全部要求。</w:t>
      </w:r>
    </w:p>
    <w:p w14:paraId="752F8E4D">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7B71E0F7">
      <w:pPr>
        <w:tabs>
          <w:tab w:val="left" w:pos="5580"/>
        </w:tabs>
        <w:spacing w:line="360" w:lineRule="auto"/>
        <w:ind w:firstLine="420"/>
        <w:rPr>
          <w:color w:val="auto"/>
          <w:sz w:val="24"/>
          <w:highlight w:val="none"/>
        </w:rPr>
      </w:pPr>
      <w:r>
        <w:rPr>
          <w:color w:val="auto"/>
          <w:sz w:val="24"/>
          <w:szCs w:val="20"/>
          <w:highlight w:val="none"/>
        </w:rPr>
        <w:t>（4）如我方</w:t>
      </w:r>
      <w:r>
        <w:rPr>
          <w:rFonts w:hint="eastAsia"/>
          <w:color w:val="auto"/>
          <w:sz w:val="24"/>
          <w:szCs w:val="20"/>
          <w:highlight w:val="none"/>
        </w:rPr>
        <w:t>成交</w:t>
      </w:r>
      <w:r>
        <w:rPr>
          <w:color w:val="auto"/>
          <w:sz w:val="24"/>
          <w:szCs w:val="20"/>
          <w:highlight w:val="none"/>
        </w:rPr>
        <w:t>，我方将在法律规定的期限内与你方签订合同，并在合同约定的期限内完成合同规定的全部义务。</w:t>
      </w:r>
    </w:p>
    <w:p w14:paraId="7568C6E9">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A049E5B">
      <w:pPr>
        <w:spacing w:line="360" w:lineRule="auto"/>
        <w:ind w:firstLine="480"/>
        <w:rPr>
          <w:color w:val="auto"/>
          <w:sz w:val="24"/>
          <w:highlight w:val="none"/>
        </w:rPr>
      </w:pPr>
      <w:r>
        <w:rPr>
          <w:color w:val="auto"/>
          <w:sz w:val="24"/>
          <w:highlight w:val="none"/>
        </w:rPr>
        <w:t>与本响应有关的一切正式往来信函请寄：</w:t>
      </w:r>
    </w:p>
    <w:p w14:paraId="2A1AAD58">
      <w:pPr>
        <w:tabs>
          <w:tab w:val="left" w:pos="5580"/>
        </w:tabs>
        <w:spacing w:line="360" w:lineRule="auto"/>
        <w:ind w:left="420"/>
        <w:rPr>
          <w:color w:val="auto"/>
          <w:sz w:val="24"/>
          <w:szCs w:val="20"/>
          <w:highlight w:val="none"/>
        </w:rPr>
      </w:pPr>
    </w:p>
    <w:p w14:paraId="0069DFD5">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98B91E3">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6CA5BDA2">
      <w:pPr>
        <w:tabs>
          <w:tab w:val="left" w:pos="5580"/>
        </w:tabs>
        <w:spacing w:line="360" w:lineRule="auto"/>
        <w:ind w:left="420"/>
        <w:rPr>
          <w:color w:val="auto"/>
          <w:sz w:val="24"/>
          <w:szCs w:val="20"/>
          <w:highlight w:val="none"/>
        </w:rPr>
      </w:pPr>
    </w:p>
    <w:p w14:paraId="5B4ABE8A">
      <w:pPr>
        <w:tabs>
          <w:tab w:val="left" w:pos="5580"/>
        </w:tabs>
        <w:spacing w:line="360" w:lineRule="auto"/>
        <w:ind w:left="420"/>
        <w:rPr>
          <w:color w:val="auto"/>
          <w:sz w:val="24"/>
          <w:szCs w:val="20"/>
          <w:highlight w:val="none"/>
        </w:rPr>
      </w:pPr>
      <w:r>
        <w:rPr>
          <w:color w:val="auto"/>
          <w:sz w:val="24"/>
          <w:szCs w:val="20"/>
          <w:highlight w:val="none"/>
        </w:rPr>
        <w:t>供应商名称（加盖公章） ___________</w:t>
      </w:r>
    </w:p>
    <w:p w14:paraId="4BF7F8ED">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6616B09C">
      <w:pPr>
        <w:tabs>
          <w:tab w:val="left" w:pos="5580"/>
        </w:tabs>
        <w:spacing w:line="360" w:lineRule="auto"/>
        <w:ind w:left="420"/>
        <w:rPr>
          <w:color w:val="auto"/>
          <w:sz w:val="24"/>
          <w:szCs w:val="20"/>
          <w:highlight w:val="none"/>
          <w:u w:val="single"/>
        </w:rPr>
      </w:pPr>
    </w:p>
    <w:p w14:paraId="1CDA8249">
      <w:pPr>
        <w:widowControl/>
        <w:jc w:val="left"/>
        <w:rPr>
          <w:rFonts w:hint="eastAsia"/>
          <w:color w:val="auto"/>
          <w:sz w:val="24"/>
          <w:highlight w:val="none"/>
        </w:rPr>
      </w:pPr>
      <w:bookmarkStart w:id="1193" w:name="_Hlt520356243"/>
      <w:bookmarkEnd w:id="1193"/>
      <w:bookmarkStart w:id="1194" w:name="_Hlt520355938"/>
      <w:bookmarkEnd w:id="1194"/>
      <w:r>
        <w:rPr>
          <w:color w:val="auto"/>
          <w:sz w:val="24"/>
          <w:highlight w:val="none"/>
        </w:rPr>
        <w:br w:type="page" w:clear="all"/>
      </w:r>
      <w:r>
        <w:rPr>
          <w:rFonts w:hint="eastAsia"/>
          <w:color w:val="auto"/>
          <w:sz w:val="24"/>
          <w:highlight w:val="none"/>
        </w:rPr>
        <w:t>5</w:t>
      </w:r>
      <w:r>
        <w:rPr>
          <w:color w:val="auto"/>
          <w:sz w:val="24"/>
          <w:highlight w:val="none"/>
        </w:rPr>
        <w:t xml:space="preserve">  </w:t>
      </w:r>
      <w:r>
        <w:rPr>
          <w:rFonts w:hint="eastAsia"/>
          <w:color w:val="auto"/>
          <w:sz w:val="24"/>
          <w:highlight w:val="none"/>
        </w:rPr>
        <w:t>法定代表人资格证明书</w:t>
      </w:r>
      <w:r>
        <w:rPr>
          <w:color w:val="auto"/>
          <w:sz w:val="24"/>
          <w:szCs w:val="20"/>
          <w:highlight w:val="none"/>
        </w:rPr>
        <w:t>（实质性格式）</w:t>
      </w:r>
    </w:p>
    <w:p w14:paraId="12262EF6">
      <w:pPr>
        <w:spacing w:line="360" w:lineRule="auto"/>
        <w:jc w:val="center"/>
        <w:rPr>
          <w:rFonts w:hint="eastAsia" w:ascii="宋体" w:hAnsi="宋体"/>
          <w:b/>
          <w:color w:val="auto"/>
          <w:sz w:val="32"/>
          <w:szCs w:val="32"/>
          <w:highlight w:val="none"/>
        </w:rPr>
      </w:pPr>
    </w:p>
    <w:p w14:paraId="0B33A6D3">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8A44E53">
      <w:pPr>
        <w:spacing w:line="560" w:lineRule="exact"/>
        <w:rPr>
          <w:rFonts w:hint="eastAsia" w:ascii="宋体" w:hAnsi="宋体"/>
          <w:color w:val="auto"/>
          <w:sz w:val="24"/>
          <w:highlight w:val="none"/>
        </w:rPr>
      </w:pPr>
      <w:r>
        <w:rPr>
          <w:rFonts w:hint="eastAsia" w:ascii="宋体" w:hAnsi="宋体"/>
          <w:color w:val="auto"/>
          <w:sz w:val="24"/>
          <w:highlight w:val="none"/>
        </w:rPr>
        <w:t>单位名称：</w:t>
      </w:r>
    </w:p>
    <w:p w14:paraId="395C1370">
      <w:pPr>
        <w:spacing w:line="560" w:lineRule="exact"/>
        <w:rPr>
          <w:rFonts w:hint="eastAsia" w:ascii="宋体" w:hAnsi="宋体"/>
          <w:color w:val="auto"/>
          <w:sz w:val="24"/>
          <w:highlight w:val="none"/>
        </w:rPr>
      </w:pPr>
      <w:r>
        <w:rPr>
          <w:rFonts w:hint="eastAsia" w:ascii="宋体" w:hAnsi="宋体"/>
          <w:color w:val="auto"/>
          <w:sz w:val="24"/>
          <w:highlight w:val="none"/>
        </w:rPr>
        <w:t>地址：</w:t>
      </w:r>
    </w:p>
    <w:p w14:paraId="18E7C271">
      <w:pPr>
        <w:spacing w:line="560" w:lineRule="exact"/>
        <w:rPr>
          <w:rFonts w:hint="eastAsia" w:ascii="宋体" w:hAnsi="宋体"/>
          <w:color w:val="auto"/>
          <w:sz w:val="24"/>
          <w:highlight w:val="none"/>
        </w:rPr>
      </w:pPr>
      <w:r>
        <w:rPr>
          <w:rFonts w:hint="eastAsia" w:ascii="宋体" w:hAnsi="宋体"/>
          <w:color w:val="auto"/>
          <w:sz w:val="24"/>
          <w:highlight w:val="none"/>
        </w:rPr>
        <w:t>姓名：     性别：       年龄：      职务：</w:t>
      </w:r>
    </w:p>
    <w:p w14:paraId="2B57310A">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上述项目的磋商响应文件、进行合同谈判、签署合同和处理与之有关的一切事务。</w:t>
      </w:r>
    </w:p>
    <w:p w14:paraId="5A7C81D2">
      <w:pPr>
        <w:spacing w:line="560" w:lineRule="exact"/>
        <w:rPr>
          <w:rFonts w:ascii="宋体" w:hAnsi="宋体"/>
          <w:color w:val="auto"/>
          <w:sz w:val="24"/>
          <w:highlight w:val="none"/>
        </w:rPr>
      </w:pPr>
      <w:r>
        <w:rPr>
          <w:rFonts w:hint="eastAsia" w:ascii="宋体" w:hAnsi="宋体"/>
          <w:color w:val="auto"/>
          <w:sz w:val="24"/>
          <w:highlight w:val="none"/>
        </w:rPr>
        <w:t>特此证明。</w:t>
      </w:r>
    </w:p>
    <w:p w14:paraId="6D76E1B5">
      <w:pPr>
        <w:spacing w:line="560" w:lineRule="exact"/>
        <w:rPr>
          <w:rFonts w:ascii="宋体" w:hAnsi="宋体"/>
          <w:color w:val="auto"/>
          <w:sz w:val="24"/>
          <w:highlight w:val="none"/>
        </w:rPr>
      </w:pPr>
    </w:p>
    <w:p w14:paraId="1E76AA65">
      <w:pPr>
        <w:pStyle w:val="19"/>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2A20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634DC4D">
            <w:pPr>
              <w:tabs>
                <w:tab w:val="left" w:pos="5580"/>
              </w:tabs>
              <w:spacing w:line="360" w:lineRule="auto"/>
              <w:jc w:val="left"/>
              <w:rPr>
                <w:rFonts w:ascii="宋体" w:hAnsi="宋体"/>
                <w:color w:val="auto"/>
                <w:sz w:val="24"/>
                <w:szCs w:val="20"/>
                <w:highlight w:val="none"/>
              </w:rPr>
            </w:pPr>
          </w:p>
          <w:p w14:paraId="05D88F86">
            <w:pPr>
              <w:tabs>
                <w:tab w:val="left" w:pos="5580"/>
              </w:tabs>
              <w:spacing w:line="360" w:lineRule="auto"/>
              <w:jc w:val="left"/>
              <w:rPr>
                <w:rFonts w:ascii="宋体" w:hAnsi="宋体"/>
                <w:color w:val="auto"/>
                <w:sz w:val="24"/>
                <w:szCs w:val="20"/>
                <w:highlight w:val="none"/>
              </w:rPr>
            </w:pPr>
          </w:p>
          <w:p w14:paraId="6960BC5F">
            <w:pPr>
              <w:tabs>
                <w:tab w:val="left" w:pos="5580"/>
              </w:tabs>
              <w:spacing w:line="360" w:lineRule="auto"/>
              <w:jc w:val="left"/>
              <w:rPr>
                <w:rFonts w:ascii="宋体" w:hAnsi="宋体"/>
                <w:color w:val="auto"/>
                <w:sz w:val="24"/>
                <w:szCs w:val="20"/>
                <w:highlight w:val="none"/>
              </w:rPr>
            </w:pPr>
          </w:p>
        </w:tc>
        <w:tc>
          <w:tcPr>
            <w:tcW w:w="4536" w:type="dxa"/>
            <w:noWrap w:val="0"/>
            <w:vAlign w:val="top"/>
          </w:tcPr>
          <w:p w14:paraId="1EE079A0">
            <w:pPr>
              <w:tabs>
                <w:tab w:val="left" w:pos="5580"/>
              </w:tabs>
              <w:spacing w:line="360" w:lineRule="auto"/>
              <w:jc w:val="left"/>
              <w:rPr>
                <w:rFonts w:ascii="宋体" w:hAnsi="宋体"/>
                <w:color w:val="auto"/>
                <w:sz w:val="24"/>
                <w:szCs w:val="20"/>
                <w:highlight w:val="none"/>
              </w:rPr>
            </w:pPr>
          </w:p>
          <w:p w14:paraId="359DA6C8">
            <w:pPr>
              <w:tabs>
                <w:tab w:val="left" w:pos="5580"/>
              </w:tabs>
              <w:spacing w:line="360" w:lineRule="auto"/>
              <w:jc w:val="left"/>
              <w:rPr>
                <w:rFonts w:ascii="宋体" w:hAnsi="宋体"/>
                <w:color w:val="auto"/>
                <w:sz w:val="24"/>
                <w:szCs w:val="20"/>
                <w:highlight w:val="none"/>
              </w:rPr>
            </w:pPr>
          </w:p>
          <w:p w14:paraId="3AEE32F7">
            <w:pPr>
              <w:tabs>
                <w:tab w:val="left" w:pos="5580"/>
              </w:tabs>
              <w:spacing w:line="360" w:lineRule="auto"/>
              <w:jc w:val="left"/>
              <w:rPr>
                <w:rFonts w:ascii="宋体" w:hAnsi="宋体"/>
                <w:color w:val="auto"/>
                <w:sz w:val="24"/>
                <w:szCs w:val="20"/>
                <w:highlight w:val="none"/>
              </w:rPr>
            </w:pPr>
          </w:p>
        </w:tc>
      </w:tr>
    </w:tbl>
    <w:p w14:paraId="4E1F84B9">
      <w:pPr>
        <w:spacing w:line="560" w:lineRule="exact"/>
        <w:rPr>
          <w:rFonts w:ascii="宋体" w:hAnsi="宋体"/>
          <w:color w:val="auto"/>
          <w:sz w:val="24"/>
          <w:highlight w:val="none"/>
        </w:rPr>
      </w:pPr>
      <w:r>
        <w:rPr>
          <w:rFonts w:hint="eastAsia" w:ascii="宋体" w:hAnsi="宋体"/>
          <w:color w:val="auto"/>
          <w:sz w:val="24"/>
          <w:highlight w:val="none"/>
        </w:rPr>
        <w:t>                     供应商：（加盖公章）</w:t>
      </w:r>
    </w:p>
    <w:p w14:paraId="2FC7501D">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0AC48D45">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6087A93F">
      <w:pPr>
        <w:widowControl/>
        <w:jc w:val="left"/>
        <w:rPr>
          <w:rFonts w:hint="eastAsia"/>
          <w:color w:val="auto"/>
          <w:sz w:val="24"/>
          <w:highlight w:val="none"/>
        </w:rPr>
      </w:pPr>
    </w:p>
    <w:p w14:paraId="17C94EAF">
      <w:pPr>
        <w:widowControl/>
        <w:jc w:val="left"/>
        <w:rPr>
          <w:rFonts w:hint="eastAsia"/>
          <w:color w:val="auto"/>
          <w:sz w:val="24"/>
          <w:highlight w:val="none"/>
        </w:rPr>
      </w:pPr>
    </w:p>
    <w:p w14:paraId="7625C481">
      <w:pPr>
        <w:widowControl/>
        <w:jc w:val="left"/>
        <w:rPr>
          <w:rFonts w:hint="eastAsia"/>
          <w:color w:val="auto"/>
          <w:sz w:val="24"/>
          <w:highlight w:val="none"/>
        </w:rPr>
      </w:pPr>
    </w:p>
    <w:p w14:paraId="425B8E22">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49074B94">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55645919">
      <w:pPr>
        <w:pStyle w:val="19"/>
        <w:rPr>
          <w:color w:val="auto"/>
          <w:highlight w:val="none"/>
        </w:rPr>
      </w:pPr>
    </w:p>
    <w:p w14:paraId="4A633045">
      <w:pPr>
        <w:widowControl/>
        <w:jc w:val="left"/>
        <w:rPr>
          <w:rFonts w:hint="eastAsia"/>
          <w:color w:val="auto"/>
          <w:sz w:val="24"/>
          <w:highlight w:val="none"/>
        </w:rPr>
      </w:pPr>
    </w:p>
    <w:p w14:paraId="58563D85">
      <w:pPr>
        <w:widowControl/>
        <w:jc w:val="left"/>
        <w:rPr>
          <w:rFonts w:hint="eastAsia"/>
          <w:color w:val="auto"/>
          <w:sz w:val="24"/>
          <w:highlight w:val="none"/>
        </w:rPr>
      </w:pPr>
    </w:p>
    <w:p w14:paraId="54270628">
      <w:pPr>
        <w:widowControl/>
        <w:jc w:val="left"/>
        <w:rPr>
          <w:rFonts w:hint="eastAsia"/>
          <w:color w:val="auto"/>
          <w:sz w:val="24"/>
          <w:highlight w:val="none"/>
        </w:rPr>
      </w:pPr>
      <w:r>
        <w:rPr>
          <w:color w:val="auto"/>
          <w:sz w:val="24"/>
          <w:highlight w:val="none"/>
        </w:rPr>
        <w:br w:type="page" w:clear="all"/>
      </w:r>
      <w:r>
        <w:rPr>
          <w:rFonts w:hint="eastAsia"/>
          <w:color w:val="auto"/>
          <w:sz w:val="24"/>
          <w:highlight w:val="none"/>
        </w:rPr>
        <w:t>6  授权委托书（实质性格式）</w:t>
      </w:r>
    </w:p>
    <w:p w14:paraId="48120947">
      <w:pPr>
        <w:spacing w:line="360" w:lineRule="auto"/>
        <w:jc w:val="center"/>
        <w:rPr>
          <w:rFonts w:hint="eastAsia" w:ascii="宋体" w:hAnsi="宋体"/>
          <w:b/>
          <w:color w:val="auto"/>
          <w:sz w:val="32"/>
          <w:szCs w:val="32"/>
          <w:highlight w:val="none"/>
        </w:rPr>
      </w:pPr>
    </w:p>
    <w:p w14:paraId="6E807AE6">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授权委托书</w:t>
      </w:r>
    </w:p>
    <w:p w14:paraId="1CF4E74E">
      <w:pPr>
        <w:spacing w:line="360" w:lineRule="auto"/>
        <w:ind w:firstLine="516"/>
        <w:rPr>
          <w:rFonts w:ascii="宋体" w:hAnsi="宋体" w:cs="宋体"/>
          <w:color w:val="auto"/>
          <w:sz w:val="24"/>
          <w:highlight w:val="none"/>
        </w:rPr>
      </w:pPr>
    </w:p>
    <w:p w14:paraId="61D698B0">
      <w:pPr>
        <w:spacing w:line="360" w:lineRule="auto"/>
        <w:ind w:firstLine="516"/>
        <w:rPr>
          <w:rFonts w:ascii="宋体" w:hAnsi="宋体" w:cs="宋体"/>
          <w:color w:val="auto"/>
          <w:sz w:val="24"/>
          <w:highlight w:val="none"/>
        </w:rPr>
      </w:pPr>
      <w:r>
        <w:rPr>
          <w:rFonts w:hint="eastAsia" w:ascii="宋体" w:hAnsi="宋体" w:cs="宋体"/>
          <w:color w:val="auto"/>
          <w:sz w:val="24"/>
          <w:highlight w:val="none"/>
        </w:rPr>
        <w:t>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p>
    <w:p w14:paraId="30387C78">
      <w:pPr>
        <w:spacing w:line="360" w:lineRule="auto"/>
        <w:ind w:firstLine="516"/>
        <w:rPr>
          <w:rFonts w:ascii="宋体" w:hAnsi="宋体" w:cs="宋体"/>
          <w:color w:val="auto"/>
          <w:sz w:val="24"/>
          <w:highlight w:val="none"/>
        </w:rPr>
      </w:pPr>
      <w:r>
        <w:rPr>
          <w:rFonts w:hint="eastAsia" w:ascii="宋体" w:hAnsi="宋体" w:cs="宋体"/>
          <w:color w:val="auto"/>
          <w:sz w:val="24"/>
          <w:highlight w:val="none"/>
        </w:rPr>
        <w:t>本授权书于__________年_______月________日签字或盖章生效，特此声明。</w:t>
      </w:r>
    </w:p>
    <w:p w14:paraId="60CA883D">
      <w:pPr>
        <w:spacing w:line="360" w:lineRule="auto"/>
        <w:rPr>
          <w:rFonts w:ascii="宋体" w:hAnsi="宋体" w:cs="宋体"/>
          <w:color w:val="auto"/>
          <w:sz w:val="24"/>
          <w:highlight w:val="none"/>
        </w:rPr>
      </w:pPr>
    </w:p>
    <w:p w14:paraId="2C549C1A">
      <w:pPr>
        <w:spacing w:line="400" w:lineRule="exact"/>
        <w:rPr>
          <w:rFonts w:ascii="宋体" w:hAnsi="宋体" w:cs="宋体"/>
          <w:color w:val="auto"/>
          <w:szCs w:val="21"/>
          <w:highlight w:val="none"/>
        </w:rPr>
      </w:pPr>
      <w:r>
        <w:rPr>
          <w:rFonts w:hint="eastAsia" w:ascii="宋体" w:hAnsi="宋体" w:cs="宋体"/>
          <w:color w:val="auto"/>
          <w:szCs w:val="21"/>
          <w:highlight w:val="none"/>
        </w:rPr>
        <w:t>法定代表人签字或盖章：                       日期：</w:t>
      </w:r>
    </w:p>
    <w:p w14:paraId="1CDFA8A5">
      <w:pPr>
        <w:spacing w:line="400" w:lineRule="exact"/>
        <w:rPr>
          <w:rFonts w:ascii="宋体" w:hAnsi="宋体" w:cs="宋体"/>
          <w:color w:val="auto"/>
          <w:szCs w:val="21"/>
          <w:highlight w:val="none"/>
        </w:rPr>
      </w:pPr>
      <w:r>
        <w:rPr>
          <w:rFonts w:hint="eastAsia" w:ascii="宋体" w:hAnsi="宋体" w:cs="宋体"/>
          <w:color w:val="auto"/>
          <w:szCs w:val="21"/>
          <w:highlight w:val="none"/>
        </w:rPr>
        <w:t>职务：                                       联系电话：</w:t>
      </w:r>
    </w:p>
    <w:p w14:paraId="3DFCC4C1">
      <w:pPr>
        <w:spacing w:line="400" w:lineRule="exact"/>
        <w:rPr>
          <w:rFonts w:ascii="宋体" w:hAnsi="宋体" w:cs="宋体"/>
          <w:color w:val="auto"/>
          <w:szCs w:val="21"/>
          <w:highlight w:val="none"/>
        </w:rPr>
      </w:pPr>
      <w:r>
        <w:rPr>
          <w:rFonts w:hint="eastAsia" w:ascii="宋体" w:hAnsi="宋体" w:cs="宋体"/>
          <w:color w:val="auto"/>
          <w:szCs w:val="21"/>
          <w:highlight w:val="none"/>
        </w:rPr>
        <w:t>单位名称：                                   地址：</w:t>
      </w:r>
    </w:p>
    <w:p w14:paraId="26E5CAE2">
      <w:pPr>
        <w:spacing w:line="400" w:lineRule="exact"/>
        <w:rPr>
          <w:rFonts w:ascii="宋体" w:hAnsi="宋体" w:cs="宋体"/>
          <w:color w:val="auto"/>
          <w:szCs w:val="21"/>
          <w:highlight w:val="none"/>
        </w:rPr>
      </w:pPr>
      <w:r>
        <w:rPr>
          <w:rFonts w:hint="eastAsia" w:ascii="宋体" w:hAnsi="宋体" w:cs="宋体"/>
          <w:color w:val="auto"/>
          <w:szCs w:val="21"/>
          <w:highlight w:val="none"/>
        </w:rPr>
        <w:t>身份证号码：</w:t>
      </w:r>
    </w:p>
    <w:p w14:paraId="735ABD3F">
      <w:pPr>
        <w:spacing w:line="400" w:lineRule="exact"/>
        <w:rPr>
          <w:rFonts w:ascii="宋体" w:hAnsi="宋体" w:cs="宋体"/>
          <w:color w:val="auto"/>
          <w:szCs w:val="21"/>
          <w:highlight w:val="none"/>
        </w:rPr>
      </w:pPr>
    </w:p>
    <w:p w14:paraId="0F1C551C">
      <w:pPr>
        <w:spacing w:line="400" w:lineRule="exact"/>
        <w:rPr>
          <w:rFonts w:ascii="宋体" w:hAnsi="宋体" w:cs="宋体"/>
          <w:color w:val="auto"/>
          <w:szCs w:val="21"/>
          <w:highlight w:val="none"/>
        </w:rPr>
      </w:pPr>
      <w:r>
        <w:rPr>
          <w:rFonts w:hint="eastAsia" w:ascii="宋体" w:hAnsi="宋体" w:cs="宋体"/>
          <w:color w:val="auto"/>
          <w:szCs w:val="21"/>
          <w:highlight w:val="none"/>
        </w:rPr>
        <w:t>委托代理人（被授权人）签字或盖章：           日期：</w:t>
      </w:r>
    </w:p>
    <w:p w14:paraId="1263C62B">
      <w:pPr>
        <w:spacing w:line="400" w:lineRule="exact"/>
        <w:rPr>
          <w:rFonts w:ascii="宋体" w:hAnsi="宋体" w:cs="宋体"/>
          <w:color w:val="auto"/>
          <w:szCs w:val="21"/>
          <w:highlight w:val="none"/>
        </w:rPr>
      </w:pPr>
      <w:r>
        <w:rPr>
          <w:rFonts w:hint="eastAsia" w:ascii="宋体" w:hAnsi="宋体" w:cs="宋体"/>
          <w:color w:val="auto"/>
          <w:szCs w:val="21"/>
          <w:highlight w:val="none"/>
        </w:rPr>
        <w:t>职务：                                       联系电话：</w:t>
      </w:r>
    </w:p>
    <w:p w14:paraId="652CC5FD">
      <w:pPr>
        <w:spacing w:line="400" w:lineRule="exact"/>
        <w:rPr>
          <w:rFonts w:ascii="宋体" w:hAnsi="宋体" w:cs="宋体"/>
          <w:color w:val="auto"/>
          <w:szCs w:val="21"/>
          <w:highlight w:val="none"/>
        </w:rPr>
      </w:pPr>
      <w:r>
        <w:rPr>
          <w:rFonts w:hint="eastAsia" w:ascii="宋体" w:hAnsi="宋体" w:cs="宋体"/>
          <w:color w:val="auto"/>
          <w:szCs w:val="21"/>
          <w:highlight w:val="none"/>
        </w:rPr>
        <w:t>单位名称：                                   地址：</w:t>
      </w:r>
    </w:p>
    <w:p w14:paraId="146B5F8E">
      <w:pPr>
        <w:spacing w:line="400" w:lineRule="exact"/>
        <w:rPr>
          <w:rFonts w:ascii="宋体" w:hAnsi="宋体" w:cs="宋体"/>
          <w:color w:val="auto"/>
          <w:szCs w:val="21"/>
          <w:highlight w:val="none"/>
        </w:rPr>
      </w:pPr>
      <w:r>
        <w:rPr>
          <w:rFonts w:hint="eastAsia" w:ascii="宋体" w:hAnsi="宋体" w:cs="宋体"/>
          <w:color w:val="auto"/>
          <w:szCs w:val="21"/>
          <w:highlight w:val="none"/>
        </w:rPr>
        <w:t>身份证号码：</w:t>
      </w:r>
    </w:p>
    <w:p w14:paraId="51F9B2B4">
      <w:pPr>
        <w:spacing w:line="400" w:lineRule="exact"/>
        <w:rPr>
          <w:rFonts w:ascii="宋体" w:hAnsi="宋体" w:cs="宋体"/>
          <w:color w:val="auto"/>
          <w:szCs w:val="21"/>
          <w:highlight w:val="none"/>
        </w:rPr>
      </w:pPr>
    </w:p>
    <w:p w14:paraId="0F0173ED">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供应商公章： </w:t>
      </w:r>
    </w:p>
    <w:p w14:paraId="23846516">
      <w:pPr>
        <w:spacing w:line="400" w:lineRule="exact"/>
        <w:rPr>
          <w:rFonts w:ascii="宋体" w:hAnsi="宋体" w:cs="宋体"/>
          <w:color w:val="auto"/>
          <w:szCs w:val="21"/>
          <w:highlight w:val="none"/>
        </w:rPr>
      </w:pPr>
      <w:r>
        <w:rPr>
          <w:rFonts w:hint="eastAsia" w:ascii="宋体" w:hAnsi="宋体" w:cs="宋体"/>
          <w:color w:val="auto"/>
          <w:szCs w:val="21"/>
          <w:highlight w:val="none"/>
        </w:rPr>
        <w:t>地址：                                       电话：</w:t>
      </w:r>
    </w:p>
    <w:p w14:paraId="3AD3A427">
      <w:pPr>
        <w:spacing w:line="400" w:lineRule="exact"/>
        <w:rPr>
          <w:rFonts w:ascii="宋体" w:hAnsi="宋体" w:cs="宋体"/>
          <w:color w:val="auto"/>
          <w:szCs w:val="21"/>
          <w:highlight w:val="none"/>
        </w:rPr>
      </w:pPr>
      <w:r>
        <w:rPr>
          <w:rFonts w:hint="eastAsia" w:ascii="宋体" w:hAnsi="宋体" w:cs="宋体"/>
          <w:color w:val="auto"/>
          <w:szCs w:val="21"/>
          <w:highlight w:val="none"/>
        </w:rPr>
        <w:t>传真：                                       邮编：</w:t>
      </w:r>
    </w:p>
    <w:p w14:paraId="4213BEB6">
      <w:pPr>
        <w:spacing w:line="400" w:lineRule="exact"/>
        <w:rPr>
          <w:rFonts w:ascii="宋体" w:hAnsi="宋体" w:cs="宋体"/>
          <w:color w:val="auto"/>
          <w:szCs w:val="21"/>
          <w:highlight w:val="none"/>
        </w:rPr>
      </w:pPr>
      <w:r>
        <w:rPr>
          <w:rFonts w:hint="eastAsia" w:ascii="宋体" w:hAnsi="宋体" w:cs="宋体"/>
          <w:color w:val="auto"/>
          <w:szCs w:val="21"/>
          <w:highlight w:val="none"/>
        </w:rPr>
        <w:t>开户行：</w:t>
      </w:r>
    </w:p>
    <w:p w14:paraId="62278DF6">
      <w:pPr>
        <w:spacing w:line="400" w:lineRule="exact"/>
        <w:rPr>
          <w:rFonts w:ascii="宋体" w:hAnsi="宋体" w:cs="宋体"/>
          <w:color w:val="auto"/>
          <w:szCs w:val="21"/>
          <w:highlight w:val="none"/>
        </w:rPr>
      </w:pPr>
      <w:r>
        <w:rPr>
          <w:rFonts w:hint="eastAsia" w:ascii="宋体" w:hAnsi="宋体" w:cs="宋体"/>
          <w:color w:val="auto"/>
          <w:szCs w:val="21"/>
          <w:highlight w:val="none"/>
        </w:rPr>
        <w:t>账号：</w:t>
      </w:r>
    </w:p>
    <w:p w14:paraId="3304FC96">
      <w:pPr>
        <w:tabs>
          <w:tab w:val="left" w:pos="5580"/>
        </w:tabs>
        <w:spacing w:line="360" w:lineRule="auto"/>
        <w:jc w:val="left"/>
        <w:rPr>
          <w:rFonts w:hint="eastAsia" w:ascii="宋体" w:hAnsi="宋体"/>
          <w:color w:val="auto"/>
          <w:sz w:val="24"/>
          <w:szCs w:val="20"/>
          <w:highlight w:val="none"/>
        </w:rPr>
      </w:pPr>
    </w:p>
    <w:p w14:paraId="1777CC70">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附：代理人身份证正反面电子件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022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757AB10">
            <w:pPr>
              <w:tabs>
                <w:tab w:val="left" w:pos="5580"/>
              </w:tabs>
              <w:spacing w:line="360" w:lineRule="auto"/>
              <w:jc w:val="left"/>
              <w:rPr>
                <w:rFonts w:ascii="宋体" w:hAnsi="宋体"/>
                <w:color w:val="auto"/>
                <w:sz w:val="24"/>
                <w:szCs w:val="20"/>
                <w:highlight w:val="none"/>
              </w:rPr>
            </w:pPr>
          </w:p>
          <w:p w14:paraId="2DF0525D">
            <w:pPr>
              <w:tabs>
                <w:tab w:val="left" w:pos="5580"/>
              </w:tabs>
              <w:spacing w:line="360" w:lineRule="auto"/>
              <w:jc w:val="left"/>
              <w:rPr>
                <w:rFonts w:ascii="宋体" w:hAnsi="宋体"/>
                <w:color w:val="auto"/>
                <w:sz w:val="24"/>
                <w:szCs w:val="20"/>
                <w:highlight w:val="none"/>
              </w:rPr>
            </w:pPr>
          </w:p>
          <w:p w14:paraId="4E752FC7">
            <w:pPr>
              <w:tabs>
                <w:tab w:val="left" w:pos="5580"/>
              </w:tabs>
              <w:spacing w:line="360" w:lineRule="auto"/>
              <w:jc w:val="left"/>
              <w:rPr>
                <w:rFonts w:ascii="宋体" w:hAnsi="宋体"/>
                <w:color w:val="auto"/>
                <w:sz w:val="24"/>
                <w:szCs w:val="20"/>
                <w:highlight w:val="none"/>
              </w:rPr>
            </w:pPr>
          </w:p>
        </w:tc>
        <w:tc>
          <w:tcPr>
            <w:tcW w:w="4536" w:type="dxa"/>
            <w:noWrap w:val="0"/>
            <w:vAlign w:val="top"/>
          </w:tcPr>
          <w:p w14:paraId="0A9C5807">
            <w:pPr>
              <w:tabs>
                <w:tab w:val="left" w:pos="5580"/>
              </w:tabs>
              <w:spacing w:line="360" w:lineRule="auto"/>
              <w:jc w:val="left"/>
              <w:rPr>
                <w:rFonts w:ascii="宋体" w:hAnsi="宋体"/>
                <w:color w:val="auto"/>
                <w:sz w:val="24"/>
                <w:szCs w:val="20"/>
                <w:highlight w:val="none"/>
              </w:rPr>
            </w:pPr>
          </w:p>
          <w:p w14:paraId="0AE7C9A8">
            <w:pPr>
              <w:tabs>
                <w:tab w:val="left" w:pos="5580"/>
              </w:tabs>
              <w:spacing w:line="360" w:lineRule="auto"/>
              <w:jc w:val="left"/>
              <w:rPr>
                <w:rFonts w:ascii="宋体" w:hAnsi="宋体"/>
                <w:color w:val="auto"/>
                <w:sz w:val="24"/>
                <w:szCs w:val="20"/>
                <w:highlight w:val="none"/>
              </w:rPr>
            </w:pPr>
          </w:p>
          <w:p w14:paraId="262FA537">
            <w:pPr>
              <w:tabs>
                <w:tab w:val="left" w:pos="5580"/>
              </w:tabs>
              <w:spacing w:line="360" w:lineRule="auto"/>
              <w:jc w:val="left"/>
              <w:rPr>
                <w:rFonts w:ascii="宋体" w:hAnsi="宋体"/>
                <w:color w:val="auto"/>
                <w:sz w:val="24"/>
                <w:szCs w:val="20"/>
                <w:highlight w:val="none"/>
              </w:rPr>
            </w:pPr>
          </w:p>
        </w:tc>
      </w:tr>
    </w:tbl>
    <w:p w14:paraId="40EE06DA">
      <w:pPr>
        <w:widowControl/>
        <w:jc w:val="left"/>
        <w:rPr>
          <w:rFonts w:hint="eastAsia"/>
          <w:color w:val="auto"/>
          <w:sz w:val="24"/>
          <w:highlight w:val="none"/>
        </w:rPr>
        <w:sectPr>
          <w:pgSz w:w="11907" w:h="16840" w:orient="landscape"/>
          <w:pgMar w:top="1418" w:right="1134" w:bottom="1418" w:left="1701" w:header="851" w:footer="851" w:gutter="0"/>
          <w:cols w:space="720" w:num="1"/>
        </w:sectPr>
      </w:pPr>
    </w:p>
    <w:p w14:paraId="730F3978">
      <w:pPr>
        <w:widowControl/>
        <w:jc w:val="left"/>
        <w:rPr>
          <w:rFonts w:hint="eastAsia"/>
          <w:color w:val="auto"/>
          <w:sz w:val="24"/>
          <w:highlight w:val="none"/>
        </w:rPr>
      </w:pPr>
      <w:r>
        <w:rPr>
          <w:rFonts w:hint="eastAsia"/>
          <w:color w:val="auto"/>
          <w:sz w:val="24"/>
          <w:highlight w:val="none"/>
        </w:rPr>
        <w:t>7  政府采购供应商信用承诺书</w:t>
      </w:r>
      <w:r>
        <w:rPr>
          <w:color w:val="auto"/>
          <w:sz w:val="24"/>
          <w:szCs w:val="20"/>
          <w:highlight w:val="none"/>
        </w:rPr>
        <w:t>（实质性格式）</w:t>
      </w:r>
    </w:p>
    <w:p w14:paraId="12C5B7BD">
      <w:pPr>
        <w:spacing w:line="560" w:lineRule="exact"/>
        <w:ind w:firstLine="321"/>
        <w:jc w:val="center"/>
        <w:rPr>
          <w:rFonts w:hint="eastAsia" w:ascii="黑体" w:hAnsi="黑体" w:eastAsia="黑体"/>
          <w:b/>
          <w:color w:val="auto"/>
          <w:sz w:val="32"/>
          <w:szCs w:val="32"/>
          <w:highlight w:val="none"/>
        </w:rPr>
      </w:pPr>
    </w:p>
    <w:p w14:paraId="5A71D7A5">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7A125A5">
      <w:pPr>
        <w:ind w:firstLine="640"/>
        <w:rPr>
          <w:color w:val="auto"/>
          <w:highlight w:val="none"/>
        </w:rPr>
      </w:pPr>
    </w:p>
    <w:p w14:paraId="4BB9F0F2">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099B7737">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369E571">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B7A4C81">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1F3CB13">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B11E4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54AC36AC">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828E6C9">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0DFDFF95">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77C0352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1E0ACFE9">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A08C9A4">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5344CBE9">
      <w:pPr>
        <w:pStyle w:val="197"/>
        <w:spacing w:line="276" w:lineRule="auto"/>
        <w:ind w:right="1050" w:firstLine="2880"/>
        <w:jc w:val="both"/>
        <w:rPr>
          <w:rFonts w:ascii="宋体" w:hAnsi="宋体" w:eastAsia="宋体"/>
          <w:color w:val="auto"/>
          <w:sz w:val="24"/>
          <w:szCs w:val="22"/>
          <w:highlight w:val="none"/>
        </w:rPr>
      </w:pPr>
    </w:p>
    <w:p w14:paraId="7EA02BB4">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6116F178">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62833161">
      <w:pPr>
        <w:tabs>
          <w:tab w:val="left" w:pos="1800"/>
          <w:tab w:val="left" w:pos="5580"/>
        </w:tabs>
        <w:rPr>
          <w:color w:val="auto"/>
          <w:sz w:val="24"/>
          <w:highlight w:val="none"/>
        </w:rPr>
      </w:pPr>
      <w:r>
        <w:rPr>
          <w:color w:val="auto"/>
          <w:sz w:val="24"/>
          <w:szCs w:val="20"/>
          <w:highlight w:val="none"/>
        </w:rPr>
        <w:br w:type="page" w:clear="all"/>
      </w:r>
      <w:r>
        <w:rPr>
          <w:rFonts w:hint="eastAsia"/>
          <w:color w:val="auto"/>
          <w:sz w:val="24"/>
          <w:szCs w:val="20"/>
          <w:highlight w:val="none"/>
        </w:rPr>
        <w:t>8</w:t>
      </w:r>
      <w:r>
        <w:rPr>
          <w:color w:val="auto"/>
          <w:sz w:val="24"/>
          <w:szCs w:val="20"/>
          <w:highlight w:val="none"/>
        </w:rPr>
        <w:t xml:space="preserve">  报价一览表</w:t>
      </w:r>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p>
    <w:p w14:paraId="3DA75885">
      <w:pPr>
        <w:spacing w:line="360" w:lineRule="auto"/>
        <w:rPr>
          <w:rFonts w:hint="eastAsia" w:eastAsia="宋体"/>
          <w:color w:val="auto"/>
          <w:sz w:val="24"/>
          <w:szCs w:val="20"/>
          <w:highlight w:val="none"/>
          <w:lang w:val="en-US" w:eastAsia="zh-CN"/>
        </w:rPr>
      </w:pPr>
    </w:p>
    <w:p w14:paraId="4FEA8E80">
      <w:pPr>
        <w:jc w:val="center"/>
        <w:rPr>
          <w:b/>
          <w:color w:val="auto"/>
          <w:sz w:val="36"/>
          <w:szCs w:val="36"/>
          <w:highlight w:val="none"/>
        </w:rPr>
      </w:pPr>
      <w:bookmarkStart w:id="1195" w:name="_Toc195842923"/>
      <w:bookmarkStart w:id="1196" w:name="_Toc265228396"/>
      <w:bookmarkStart w:id="1197" w:name="_Toc164608672"/>
      <w:bookmarkStart w:id="1198" w:name="_Toc226337254"/>
      <w:bookmarkStart w:id="1199" w:name="_Toc226965748"/>
      <w:bookmarkStart w:id="1200" w:name="_Toc305158900"/>
      <w:bookmarkStart w:id="1201" w:name="_Toc264969248"/>
      <w:bookmarkStart w:id="1202" w:name="_Toc305158826"/>
      <w:bookmarkStart w:id="1203" w:name="_Toc226965831"/>
      <w:bookmarkStart w:id="1204" w:name="_Toc164608827"/>
      <w:bookmarkStart w:id="1205" w:name="_Toc226309802"/>
      <w:r>
        <w:rPr>
          <w:rFonts w:hint="eastAsia"/>
          <w:b/>
          <w:color w:val="auto"/>
          <w:sz w:val="36"/>
          <w:szCs w:val="36"/>
          <w:highlight w:val="none"/>
        </w:rPr>
        <w:t>报价一览表</w:t>
      </w:r>
      <w:bookmarkEnd w:id="1195"/>
      <w:bookmarkEnd w:id="1196"/>
      <w:bookmarkEnd w:id="1197"/>
      <w:bookmarkEnd w:id="1198"/>
      <w:bookmarkEnd w:id="1199"/>
      <w:bookmarkEnd w:id="1200"/>
      <w:bookmarkEnd w:id="1201"/>
      <w:bookmarkEnd w:id="1202"/>
      <w:bookmarkEnd w:id="1203"/>
      <w:bookmarkEnd w:id="1204"/>
      <w:bookmarkEnd w:id="1205"/>
    </w:p>
    <w:p w14:paraId="6087C2CD">
      <w:pPr>
        <w:tabs>
          <w:tab w:val="left" w:pos="1800"/>
          <w:tab w:val="left" w:pos="5580"/>
        </w:tabs>
        <w:spacing w:line="360" w:lineRule="auto"/>
        <w:jc w:val="left"/>
        <w:rPr>
          <w:color w:val="auto"/>
          <w:sz w:val="24"/>
          <w:highlight w:val="none"/>
        </w:rPr>
      </w:pPr>
      <w:bookmarkStart w:id="1206" w:name="_Toc265228400"/>
      <w:bookmarkStart w:id="1207" w:name="_Toc264969252"/>
      <w:bookmarkStart w:id="1208" w:name="_Toc150480798"/>
      <w:bookmarkStart w:id="1209" w:name="_Toc305158830"/>
      <w:bookmarkStart w:id="1210" w:name="_Toc226337258"/>
      <w:bookmarkStart w:id="1211" w:name="_Toc305158904"/>
      <w:bookmarkStart w:id="1212" w:name="_Toc195842927"/>
      <w:bookmarkStart w:id="1213" w:name="_Toc127151562"/>
      <w:bookmarkStart w:id="1214" w:name="_Toc226309806"/>
      <w:bookmarkStart w:id="1215" w:name="_Toc226965835"/>
      <w:bookmarkStart w:id="1216" w:name="_Toc150774765"/>
      <w:bookmarkStart w:id="1217" w:name="_Toc142311062"/>
      <w:bookmarkStart w:id="1218" w:name="_Toc226965752"/>
      <w:bookmarkStart w:id="1219" w:name="_Toc305158903"/>
      <w:bookmarkStart w:id="1220" w:name="_Toc305158829"/>
      <w:bookmarkStart w:id="1221" w:name="_Toc226337257"/>
      <w:bookmarkStart w:id="1222" w:name="_Toc150774764"/>
      <w:bookmarkStart w:id="1223" w:name="_Toc226965834"/>
      <w:bookmarkStart w:id="1224" w:name="_Toc226309805"/>
      <w:bookmarkStart w:id="1225" w:name="_Toc150480797"/>
      <w:bookmarkStart w:id="1226" w:name="_Toc195842926"/>
      <w:bookmarkStart w:id="1227" w:name="_Toc142311061"/>
      <w:bookmarkStart w:id="1228" w:name="_Toc127151561"/>
      <w:bookmarkStart w:id="1229" w:name="_Toc265228399"/>
      <w:bookmarkStart w:id="1230" w:name="_Toc264969251"/>
      <w:bookmarkStart w:id="1231" w:name="_Toc226965751"/>
    </w:p>
    <w:p w14:paraId="1172DFF1">
      <w:pPr>
        <w:tabs>
          <w:tab w:val="left" w:pos="1800"/>
          <w:tab w:val="left" w:pos="5580"/>
        </w:tabs>
        <w:spacing w:line="360" w:lineRule="auto"/>
        <w:ind w:firstLine="240"/>
        <w:jc w:val="left"/>
        <w:rPr>
          <w:color w:val="auto"/>
          <w:sz w:val="24"/>
          <w:highlight w:val="none"/>
          <w:u w:val="single"/>
        </w:rPr>
      </w:pPr>
      <w:r>
        <w:rPr>
          <w:color w:val="auto"/>
          <w:sz w:val="24"/>
          <w:highlight w:val="none"/>
        </w:rPr>
        <w:t>项目编号</w:t>
      </w:r>
      <w:r>
        <w:rPr>
          <w:color w:val="auto"/>
          <w:sz w:val="24"/>
          <w:szCs w:val="20"/>
          <w:highlight w:val="none"/>
        </w:rPr>
        <w:t>/包号</w:t>
      </w:r>
      <w:r>
        <w:rPr>
          <w:color w:val="auto"/>
          <w:sz w:val="24"/>
          <w:highlight w:val="none"/>
        </w:rPr>
        <w:t>：_____________________     项目名称：_______________________</w:t>
      </w:r>
    </w:p>
    <w:p w14:paraId="7DA150F4">
      <w:pPr>
        <w:jc w:val="left"/>
        <w:rPr>
          <w:color w:val="auto"/>
          <w:sz w:val="24"/>
          <w:highlight w:val="none"/>
        </w:rPr>
      </w:pPr>
    </w:p>
    <w:tbl>
      <w:tblPr>
        <w:tblStyle w:val="40"/>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2"/>
        <w:gridCol w:w="2477"/>
        <w:gridCol w:w="2851"/>
        <w:gridCol w:w="2852"/>
      </w:tblGrid>
      <w:tr w14:paraId="11FF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902" w:type="dxa"/>
            <w:vMerge w:val="restart"/>
            <w:tcBorders>
              <w:top w:val="single" w:color="auto" w:sz="4" w:space="0"/>
              <w:left w:val="single" w:color="auto" w:sz="4" w:space="0"/>
              <w:bottom w:val="single" w:color="auto" w:sz="4" w:space="0"/>
              <w:right w:val="single" w:color="auto" w:sz="4" w:space="0"/>
            </w:tcBorders>
            <w:noWrap w:val="0"/>
            <w:vAlign w:val="center"/>
          </w:tcPr>
          <w:p w14:paraId="45B61A9D">
            <w:pPr>
              <w:tabs>
                <w:tab w:val="left" w:pos="5580"/>
              </w:tabs>
              <w:jc w:val="center"/>
              <w:rPr>
                <w:b/>
                <w:color w:val="auto"/>
                <w:sz w:val="24"/>
                <w:highlight w:val="none"/>
              </w:rPr>
            </w:pPr>
            <w:r>
              <w:rPr>
                <w:rFonts w:hint="eastAsia"/>
                <w:b/>
                <w:color w:val="auto"/>
                <w:sz w:val="24"/>
                <w:highlight w:val="none"/>
              </w:rPr>
              <w:t>序号</w:t>
            </w:r>
          </w:p>
        </w:tc>
        <w:tc>
          <w:tcPr>
            <w:tcW w:w="2477" w:type="dxa"/>
            <w:vMerge w:val="restart"/>
            <w:tcBorders>
              <w:top w:val="single" w:color="auto" w:sz="4" w:space="0"/>
              <w:left w:val="single" w:color="auto" w:sz="4" w:space="0"/>
              <w:bottom w:val="single" w:color="auto" w:sz="4" w:space="0"/>
              <w:right w:val="single" w:color="auto" w:sz="4" w:space="0"/>
            </w:tcBorders>
            <w:noWrap w:val="0"/>
            <w:vAlign w:val="center"/>
          </w:tcPr>
          <w:p w14:paraId="144E97F2">
            <w:pPr>
              <w:tabs>
                <w:tab w:val="left" w:pos="5580"/>
              </w:tabs>
              <w:jc w:val="center"/>
              <w:rPr>
                <w:b/>
                <w:color w:val="auto"/>
                <w:sz w:val="24"/>
                <w:highlight w:val="none"/>
              </w:rPr>
            </w:pPr>
            <w:r>
              <w:rPr>
                <w:rFonts w:hint="eastAsia"/>
                <w:b/>
                <w:color w:val="auto"/>
                <w:sz w:val="24"/>
                <w:highlight w:val="none"/>
              </w:rPr>
              <w:t>供应商名称</w:t>
            </w:r>
          </w:p>
        </w:tc>
        <w:tc>
          <w:tcPr>
            <w:tcW w:w="5703" w:type="dxa"/>
            <w:gridSpan w:val="2"/>
            <w:tcBorders>
              <w:top w:val="single" w:color="auto" w:sz="4" w:space="0"/>
              <w:left w:val="single" w:color="auto" w:sz="4" w:space="0"/>
              <w:bottom w:val="single" w:color="auto" w:sz="4" w:space="0"/>
              <w:right w:val="single" w:color="auto" w:sz="4" w:space="0"/>
            </w:tcBorders>
            <w:noWrap w:val="0"/>
            <w:vAlign w:val="center"/>
          </w:tcPr>
          <w:p w14:paraId="06517CEF">
            <w:pPr>
              <w:tabs>
                <w:tab w:val="left" w:pos="5580"/>
              </w:tabs>
              <w:jc w:val="center"/>
              <w:rPr>
                <w:rFonts w:hint="eastAsia" w:eastAsia="宋体"/>
                <w:b/>
                <w:color w:val="auto"/>
                <w:sz w:val="24"/>
                <w:highlight w:val="none"/>
                <w:lang w:eastAsia="zh-CN"/>
              </w:rPr>
            </w:pPr>
            <w:r>
              <w:rPr>
                <w:rFonts w:hint="eastAsia"/>
                <w:b/>
                <w:color w:val="auto"/>
                <w:sz w:val="24"/>
                <w:highlight w:val="none"/>
              </w:rPr>
              <w:t>报价</w:t>
            </w:r>
            <w:r>
              <w:rPr>
                <w:rFonts w:hint="eastAsia"/>
                <w:b/>
                <w:color w:val="auto"/>
                <w:sz w:val="24"/>
                <w:highlight w:val="none"/>
                <w:u w:val="none"/>
                <w:lang w:eastAsia="zh-CN"/>
              </w:rPr>
              <w:t>（</w:t>
            </w:r>
            <w:r>
              <w:rPr>
                <w:rFonts w:hint="eastAsia"/>
                <w:b/>
                <w:color w:val="auto"/>
                <w:sz w:val="24"/>
                <w:highlight w:val="none"/>
                <w:u w:val="none"/>
                <w:lang w:val="en-US" w:eastAsia="zh-CN"/>
              </w:rPr>
              <w:t>人民币</w:t>
            </w:r>
            <w:r>
              <w:rPr>
                <w:rFonts w:hint="eastAsia"/>
                <w:b/>
                <w:color w:val="auto"/>
                <w:sz w:val="24"/>
                <w:highlight w:val="none"/>
                <w:u w:val="none"/>
                <w:lang w:eastAsia="zh-CN"/>
              </w:rPr>
              <w:t>）</w:t>
            </w:r>
          </w:p>
        </w:tc>
      </w:tr>
      <w:tr w14:paraId="53C42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902" w:type="dxa"/>
            <w:vMerge w:val="continue"/>
            <w:tcBorders>
              <w:top w:val="single" w:color="auto" w:sz="4" w:space="0"/>
              <w:left w:val="single" w:color="auto" w:sz="4" w:space="0"/>
              <w:bottom w:val="single" w:color="auto" w:sz="4" w:space="0"/>
              <w:right w:val="single" w:color="auto" w:sz="4" w:space="0"/>
            </w:tcBorders>
            <w:noWrap w:val="0"/>
            <w:vAlign w:val="center"/>
          </w:tcPr>
          <w:p w14:paraId="2F4F9B2A">
            <w:pPr>
              <w:widowControl/>
              <w:jc w:val="left"/>
              <w:rPr>
                <w:b/>
                <w:color w:val="auto"/>
                <w:sz w:val="24"/>
                <w:highlight w:val="none"/>
              </w:rPr>
            </w:pPr>
          </w:p>
        </w:tc>
        <w:tc>
          <w:tcPr>
            <w:tcW w:w="2477" w:type="dxa"/>
            <w:vMerge w:val="continue"/>
            <w:tcBorders>
              <w:top w:val="single" w:color="auto" w:sz="4" w:space="0"/>
              <w:left w:val="single" w:color="auto" w:sz="4" w:space="0"/>
              <w:bottom w:val="single" w:color="auto" w:sz="4" w:space="0"/>
              <w:right w:val="single" w:color="auto" w:sz="4" w:space="0"/>
            </w:tcBorders>
            <w:noWrap w:val="0"/>
            <w:vAlign w:val="center"/>
          </w:tcPr>
          <w:p w14:paraId="5A486E10">
            <w:pPr>
              <w:widowControl/>
              <w:jc w:val="left"/>
              <w:rPr>
                <w:b/>
                <w:color w:val="auto"/>
                <w:sz w:val="24"/>
                <w:highlight w:val="none"/>
              </w:rPr>
            </w:pPr>
          </w:p>
        </w:tc>
        <w:tc>
          <w:tcPr>
            <w:tcW w:w="2851" w:type="dxa"/>
            <w:tcBorders>
              <w:top w:val="single" w:color="auto" w:sz="4" w:space="0"/>
              <w:left w:val="single" w:color="auto" w:sz="4" w:space="0"/>
              <w:bottom w:val="single" w:color="auto" w:sz="4" w:space="0"/>
              <w:right w:val="single" w:color="auto" w:sz="4" w:space="0"/>
            </w:tcBorders>
            <w:noWrap w:val="0"/>
            <w:vAlign w:val="center"/>
          </w:tcPr>
          <w:p w14:paraId="7E4D6CA8">
            <w:pPr>
              <w:tabs>
                <w:tab w:val="left" w:pos="5580"/>
              </w:tabs>
              <w:jc w:val="center"/>
              <w:rPr>
                <w:b/>
                <w:color w:val="auto"/>
                <w:sz w:val="24"/>
                <w:highlight w:val="none"/>
              </w:rPr>
            </w:pPr>
            <w:r>
              <w:rPr>
                <w:rFonts w:hint="eastAsia"/>
                <w:b/>
                <w:color w:val="auto"/>
                <w:sz w:val="24"/>
                <w:highlight w:val="none"/>
              </w:rPr>
              <w:t>大写</w:t>
            </w:r>
          </w:p>
        </w:tc>
        <w:tc>
          <w:tcPr>
            <w:tcW w:w="2852" w:type="dxa"/>
            <w:tcBorders>
              <w:top w:val="single" w:color="auto" w:sz="4" w:space="0"/>
              <w:left w:val="single" w:color="auto" w:sz="4" w:space="0"/>
              <w:bottom w:val="single" w:color="auto" w:sz="4" w:space="0"/>
              <w:right w:val="single" w:color="auto" w:sz="4" w:space="0"/>
            </w:tcBorders>
            <w:noWrap w:val="0"/>
            <w:vAlign w:val="center"/>
          </w:tcPr>
          <w:p w14:paraId="11170291">
            <w:pPr>
              <w:tabs>
                <w:tab w:val="left" w:pos="5580"/>
              </w:tabs>
              <w:jc w:val="center"/>
              <w:rPr>
                <w:b/>
                <w:color w:val="auto"/>
                <w:sz w:val="24"/>
                <w:highlight w:val="none"/>
              </w:rPr>
            </w:pPr>
            <w:r>
              <w:rPr>
                <w:rFonts w:hint="eastAsia"/>
                <w:b/>
                <w:color w:val="auto"/>
                <w:sz w:val="24"/>
                <w:highlight w:val="none"/>
              </w:rPr>
              <w:t>小写</w:t>
            </w:r>
          </w:p>
        </w:tc>
      </w:tr>
      <w:tr w14:paraId="4448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1" w:hRule="atLeast"/>
          <w:jc w:val="center"/>
        </w:trPr>
        <w:tc>
          <w:tcPr>
            <w:tcW w:w="902" w:type="dxa"/>
            <w:tcBorders>
              <w:top w:val="single" w:color="auto" w:sz="4" w:space="0"/>
              <w:left w:val="single" w:color="auto" w:sz="4" w:space="0"/>
              <w:right w:val="single" w:color="auto" w:sz="4" w:space="0"/>
            </w:tcBorders>
            <w:noWrap w:val="0"/>
            <w:vAlign w:val="center"/>
          </w:tcPr>
          <w:p w14:paraId="2CC1E15F">
            <w:pPr>
              <w:tabs>
                <w:tab w:val="left" w:pos="5580"/>
              </w:tabs>
              <w:jc w:val="center"/>
              <w:rPr>
                <w:rFonts w:hint="eastAsia"/>
                <w:color w:val="auto"/>
                <w:sz w:val="24"/>
                <w:highlight w:val="none"/>
              </w:rPr>
            </w:pPr>
            <w:r>
              <w:rPr>
                <w:rFonts w:hint="eastAsia"/>
                <w:color w:val="auto"/>
                <w:sz w:val="24"/>
                <w:highlight w:val="none"/>
              </w:rPr>
              <w:t>1</w:t>
            </w:r>
          </w:p>
        </w:tc>
        <w:tc>
          <w:tcPr>
            <w:tcW w:w="2477" w:type="dxa"/>
            <w:tcBorders>
              <w:top w:val="single" w:color="auto" w:sz="4" w:space="0"/>
              <w:left w:val="single" w:color="auto" w:sz="4" w:space="0"/>
              <w:right w:val="single" w:color="auto" w:sz="4" w:space="0"/>
            </w:tcBorders>
            <w:noWrap w:val="0"/>
            <w:vAlign w:val="center"/>
          </w:tcPr>
          <w:p w14:paraId="6D3D033B">
            <w:pPr>
              <w:tabs>
                <w:tab w:val="left" w:pos="5580"/>
              </w:tabs>
              <w:jc w:val="center"/>
              <w:rPr>
                <w:color w:val="auto"/>
                <w:sz w:val="24"/>
                <w:highlight w:val="none"/>
              </w:rPr>
            </w:pPr>
          </w:p>
        </w:tc>
        <w:tc>
          <w:tcPr>
            <w:tcW w:w="2851" w:type="dxa"/>
            <w:tcBorders>
              <w:top w:val="single" w:color="auto" w:sz="4" w:space="0"/>
              <w:left w:val="single" w:color="auto" w:sz="4" w:space="0"/>
              <w:right w:val="single" w:color="auto" w:sz="4" w:space="0"/>
            </w:tcBorders>
            <w:noWrap w:val="0"/>
            <w:vAlign w:val="center"/>
          </w:tcPr>
          <w:p w14:paraId="0C70F7A4">
            <w:pPr>
              <w:tabs>
                <w:tab w:val="left" w:pos="5580"/>
              </w:tabs>
              <w:rPr>
                <w:color w:val="auto"/>
                <w:sz w:val="24"/>
                <w:highlight w:val="none"/>
              </w:rPr>
            </w:pPr>
          </w:p>
        </w:tc>
        <w:tc>
          <w:tcPr>
            <w:tcW w:w="2852" w:type="dxa"/>
            <w:tcBorders>
              <w:top w:val="single" w:color="auto" w:sz="4" w:space="0"/>
              <w:left w:val="single" w:color="auto" w:sz="4" w:space="0"/>
              <w:right w:val="single" w:color="auto" w:sz="4" w:space="0"/>
            </w:tcBorders>
            <w:noWrap w:val="0"/>
            <w:vAlign w:val="center"/>
          </w:tcPr>
          <w:p w14:paraId="313AA385">
            <w:pPr>
              <w:tabs>
                <w:tab w:val="left" w:pos="5580"/>
              </w:tabs>
              <w:rPr>
                <w:color w:val="auto"/>
                <w:sz w:val="24"/>
                <w:highlight w:val="none"/>
              </w:rPr>
            </w:pPr>
          </w:p>
        </w:tc>
      </w:tr>
    </w:tbl>
    <w:p w14:paraId="743AC8CD">
      <w:pPr>
        <w:spacing w:before="25" w:after="25" w:line="360" w:lineRule="auto"/>
        <w:rPr>
          <w:color w:val="auto"/>
          <w:sz w:val="24"/>
          <w:highlight w:val="none"/>
          <w:lang w:val="zh-CN"/>
        </w:rPr>
      </w:pPr>
    </w:p>
    <w:p w14:paraId="5CC31660">
      <w:pPr>
        <w:spacing w:line="400" w:lineRule="exact"/>
        <w:jc w:val="left"/>
        <w:rPr>
          <w:color w:val="auto"/>
          <w:sz w:val="24"/>
          <w:szCs w:val="20"/>
          <w:highlight w:val="none"/>
        </w:rPr>
      </w:pPr>
      <w:r>
        <w:rPr>
          <w:color w:val="auto"/>
          <w:sz w:val="24"/>
          <w:highlight w:val="none"/>
        </w:rPr>
        <w:t>注：</w:t>
      </w:r>
      <w:r>
        <w:rPr>
          <w:rFonts w:hint="eastAsia" w:ascii="宋体" w:hAnsi="宋体" w:cs="宋体"/>
          <w:b/>
          <w:bCs/>
          <w:color w:val="auto"/>
          <w:sz w:val="24"/>
          <w:highlight w:val="none"/>
        </w:rPr>
        <w:t>1.此表中的报价应和《分项报价表》中的总价相一致。</w:t>
      </w:r>
    </w:p>
    <w:p w14:paraId="0DAD6917">
      <w:pPr>
        <w:spacing w:line="4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二次报价即最终报价。</w:t>
      </w:r>
    </w:p>
    <w:p w14:paraId="12F5BFE1">
      <w:pPr>
        <w:spacing w:before="25" w:after="25" w:line="360" w:lineRule="auto"/>
        <w:rPr>
          <w:color w:val="auto"/>
          <w:sz w:val="24"/>
          <w:highlight w:val="none"/>
          <w:lang w:val="zh-CN"/>
        </w:rPr>
      </w:pPr>
      <w:r>
        <w:rPr>
          <w:color w:val="auto"/>
          <w:sz w:val="24"/>
          <w:highlight w:val="none"/>
          <w:lang w:val="zh-CN"/>
        </w:rPr>
        <w:t xml:space="preserve">                  </w:t>
      </w:r>
    </w:p>
    <w:p w14:paraId="1B98C07D">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4EE7AA8D">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3325D4EF">
      <w:pPr>
        <w:spacing w:line="360" w:lineRule="auto"/>
        <w:rPr>
          <w:rFonts w:hint="eastAsia"/>
          <w:color w:val="auto"/>
          <w:sz w:val="24"/>
          <w:szCs w:val="20"/>
          <w:highlight w:val="none"/>
        </w:rPr>
      </w:pPr>
    </w:p>
    <w:p w14:paraId="017C4BF8">
      <w:pPr>
        <w:spacing w:line="360" w:lineRule="auto"/>
        <w:rPr>
          <w:rFonts w:hint="eastAsia"/>
          <w:color w:val="auto"/>
          <w:sz w:val="24"/>
          <w:szCs w:val="20"/>
          <w:highlight w:val="none"/>
        </w:rPr>
      </w:pPr>
    </w:p>
    <w:p w14:paraId="630CBD34">
      <w:pPr>
        <w:spacing w:line="360" w:lineRule="auto"/>
        <w:rPr>
          <w:rFonts w:hint="eastAsia"/>
          <w:color w:val="auto"/>
          <w:sz w:val="24"/>
          <w:szCs w:val="20"/>
          <w:highlight w:val="none"/>
        </w:rPr>
      </w:pPr>
    </w:p>
    <w:p w14:paraId="497352E2">
      <w:pPr>
        <w:spacing w:line="360" w:lineRule="auto"/>
        <w:rPr>
          <w:color w:val="auto"/>
          <w:sz w:val="24"/>
          <w:highlight w:val="none"/>
        </w:rPr>
        <w:sectPr>
          <w:pgSz w:w="11907" w:h="16840" w:orient="landscape"/>
          <w:pgMar w:top="1418" w:right="1134" w:bottom="1418" w:left="1701" w:header="851" w:footer="851" w:gutter="0"/>
          <w:cols w:space="720" w:num="1"/>
        </w:sectPr>
      </w:pPr>
      <w:r>
        <w:rPr>
          <w:color w:val="auto"/>
          <w:sz w:val="24"/>
          <w:highlight w:val="none"/>
        </w:rPr>
        <w:br w:type="page" w:clear="all"/>
      </w:r>
    </w:p>
    <w:p w14:paraId="18FD0044">
      <w:pPr>
        <w:tabs>
          <w:tab w:val="left" w:pos="1800"/>
          <w:tab w:val="left" w:pos="5580"/>
        </w:tabs>
        <w:jc w:val="left"/>
        <w:rPr>
          <w:color w:val="auto"/>
          <w:sz w:val="24"/>
          <w:szCs w:val="20"/>
          <w:highlight w:val="none"/>
        </w:rPr>
      </w:pPr>
      <w:r>
        <w:rPr>
          <w:rFonts w:hint="eastAsia"/>
          <w:color w:val="auto"/>
          <w:sz w:val="24"/>
          <w:szCs w:val="20"/>
          <w:highlight w:val="none"/>
          <w:lang w:val="en-US" w:eastAsia="zh-CN"/>
        </w:rPr>
        <w:t xml:space="preserve">9  </w:t>
      </w:r>
      <w:r>
        <w:rPr>
          <w:color w:val="auto"/>
          <w:sz w:val="24"/>
          <w:szCs w:val="20"/>
          <w:highlight w:val="none"/>
        </w:rPr>
        <w:t>分项报价表</w:t>
      </w:r>
    </w:p>
    <w:p w14:paraId="071BFE41">
      <w:pPr>
        <w:pStyle w:val="4"/>
        <w:rPr>
          <w:rFonts w:hint="eastAsia"/>
          <w:color w:val="auto"/>
          <w:highlight w:val="none"/>
        </w:rPr>
      </w:pPr>
    </w:p>
    <w:p w14:paraId="22741F38">
      <w:pPr>
        <w:tabs>
          <w:tab w:val="left" w:pos="1800"/>
          <w:tab w:val="left" w:pos="5580"/>
        </w:tabs>
        <w:jc w:val="center"/>
        <w:rPr>
          <w:color w:val="auto"/>
          <w:sz w:val="24"/>
          <w:highlight w:val="none"/>
        </w:rPr>
      </w:pPr>
      <w:r>
        <w:rPr>
          <w:rFonts w:hint="eastAsia"/>
          <w:b/>
          <w:color w:val="auto"/>
          <w:sz w:val="36"/>
          <w:szCs w:val="36"/>
          <w:highlight w:val="none"/>
        </w:rPr>
        <w:t>分项报价表</w:t>
      </w:r>
    </w:p>
    <w:p w14:paraId="1832D1C6">
      <w:pPr>
        <w:tabs>
          <w:tab w:val="left" w:pos="1800"/>
          <w:tab w:val="left" w:pos="5580"/>
        </w:tabs>
        <w:rPr>
          <w:color w:val="auto"/>
          <w:sz w:val="24"/>
          <w:highlight w:val="none"/>
        </w:rPr>
      </w:pPr>
    </w:p>
    <w:p w14:paraId="11995BC7">
      <w:pPr>
        <w:tabs>
          <w:tab w:val="left" w:pos="1800"/>
          <w:tab w:val="left" w:pos="5580"/>
        </w:tabs>
        <w:rPr>
          <w:color w:val="auto"/>
          <w:sz w:val="24"/>
          <w:highlight w:val="none"/>
        </w:rPr>
      </w:pPr>
    </w:p>
    <w:p w14:paraId="7F36748E">
      <w:pPr>
        <w:tabs>
          <w:tab w:val="left" w:pos="1800"/>
          <w:tab w:val="left" w:pos="5580"/>
        </w:tabs>
        <w:rPr>
          <w:color w:val="auto"/>
          <w:sz w:val="24"/>
          <w:highlight w:val="none"/>
        </w:rPr>
      </w:pPr>
    </w:p>
    <w:p w14:paraId="4758E55D">
      <w:pPr>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详见工程量清单</w:t>
      </w:r>
    </w:p>
    <w:p w14:paraId="7D096FE5">
      <w:pPr>
        <w:spacing w:line="360" w:lineRule="exact"/>
        <w:outlineLvl w:val="1"/>
        <w:rPr>
          <w:rFonts w:ascii="宋体" w:hAnsi="宋体" w:cs="宋体"/>
          <w:b/>
          <w:color w:val="auto"/>
          <w:sz w:val="28"/>
          <w:szCs w:val="28"/>
          <w:highlight w:val="none"/>
        </w:rPr>
      </w:pPr>
    </w:p>
    <w:p w14:paraId="7A0EA4B4">
      <w:pPr>
        <w:tabs>
          <w:tab w:val="left" w:pos="1800"/>
          <w:tab w:val="left" w:pos="5580"/>
        </w:tabs>
        <w:ind w:firstLine="480"/>
        <w:jc w:val="left"/>
        <w:rPr>
          <w:color w:val="auto"/>
          <w:sz w:val="24"/>
          <w:highlight w:val="none"/>
        </w:rPr>
      </w:pPr>
    </w:p>
    <w:p w14:paraId="5ED0118E">
      <w:pPr>
        <w:spacing w:before="25" w:after="25" w:line="360" w:lineRule="auto"/>
        <w:rPr>
          <w:color w:val="auto"/>
          <w:sz w:val="24"/>
          <w:highlight w:val="none"/>
          <w:lang w:val="zh-CN"/>
        </w:rPr>
      </w:pPr>
      <w:r>
        <w:rPr>
          <w:color w:val="auto"/>
          <w:sz w:val="24"/>
          <w:highlight w:val="none"/>
          <w:lang w:val="zh-CN"/>
        </w:rPr>
        <w:t xml:space="preserve">                  </w:t>
      </w:r>
    </w:p>
    <w:p w14:paraId="2FA0FC7A">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7C23FD1E">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0F6A19E0">
      <w:pPr>
        <w:rPr>
          <w:rFonts w:hint="eastAsia"/>
          <w:color w:val="auto"/>
          <w:sz w:val="24"/>
          <w:szCs w:val="20"/>
          <w:highlight w:val="none"/>
          <w:lang w:val="en-US" w:eastAsia="zh-CN"/>
        </w:rPr>
      </w:pPr>
      <w:r>
        <w:rPr>
          <w:rFonts w:hint="eastAsia"/>
          <w:color w:val="auto"/>
          <w:sz w:val="24"/>
          <w:szCs w:val="20"/>
          <w:highlight w:val="none"/>
          <w:lang w:val="en-US" w:eastAsia="zh-CN"/>
        </w:rPr>
        <w:br w:type="page" w:clear="all"/>
      </w:r>
    </w:p>
    <w:p w14:paraId="64590999">
      <w:pPr>
        <w:spacing w:line="360" w:lineRule="auto"/>
        <w:rPr>
          <w:color w:val="auto"/>
          <w:sz w:val="24"/>
          <w:szCs w:val="20"/>
          <w:highlight w:val="none"/>
        </w:rPr>
      </w:pPr>
      <w:r>
        <w:rPr>
          <w:rFonts w:hint="eastAsia"/>
          <w:color w:val="auto"/>
          <w:sz w:val="24"/>
          <w:szCs w:val="20"/>
          <w:highlight w:val="none"/>
          <w:lang w:val="en-US" w:eastAsia="zh-CN"/>
        </w:rPr>
        <w:t>10</w:t>
      </w:r>
      <w:r>
        <w:rPr>
          <w:color w:val="auto"/>
          <w:sz w:val="24"/>
          <w:szCs w:val="20"/>
          <w:highlight w:val="none"/>
        </w:rPr>
        <w:t xml:space="preserve">  合同条款偏离表</w:t>
      </w:r>
      <w:bookmarkEnd w:id="1206"/>
      <w:bookmarkEnd w:id="1207"/>
      <w:bookmarkEnd w:id="1208"/>
      <w:bookmarkEnd w:id="1209"/>
      <w:bookmarkEnd w:id="1210"/>
      <w:bookmarkEnd w:id="1211"/>
      <w:bookmarkEnd w:id="1212"/>
      <w:bookmarkEnd w:id="1213"/>
      <w:bookmarkEnd w:id="1214"/>
      <w:bookmarkEnd w:id="1215"/>
      <w:bookmarkEnd w:id="1216"/>
      <w:bookmarkEnd w:id="1217"/>
      <w:bookmarkEnd w:id="1218"/>
    </w:p>
    <w:p w14:paraId="60CC57A6">
      <w:pPr>
        <w:spacing w:line="360" w:lineRule="auto"/>
        <w:rPr>
          <w:color w:val="auto"/>
          <w:sz w:val="24"/>
          <w:szCs w:val="20"/>
          <w:highlight w:val="none"/>
        </w:rPr>
      </w:pPr>
    </w:p>
    <w:p w14:paraId="229EA3ED">
      <w:pPr>
        <w:jc w:val="center"/>
        <w:rPr>
          <w:b/>
          <w:color w:val="auto"/>
          <w:sz w:val="36"/>
          <w:szCs w:val="36"/>
          <w:highlight w:val="none"/>
        </w:rPr>
      </w:pPr>
      <w:r>
        <w:rPr>
          <w:rFonts w:hint="eastAsia"/>
          <w:b/>
          <w:color w:val="auto"/>
          <w:sz w:val="36"/>
          <w:szCs w:val="36"/>
          <w:highlight w:val="none"/>
        </w:rPr>
        <w:t>合同条款偏离表</w:t>
      </w:r>
    </w:p>
    <w:p w14:paraId="68E00676">
      <w:pPr>
        <w:jc w:val="center"/>
        <w:rPr>
          <w:color w:val="auto"/>
          <w:sz w:val="36"/>
          <w:szCs w:val="36"/>
          <w:highlight w:val="none"/>
        </w:rPr>
      </w:pPr>
    </w:p>
    <w:p w14:paraId="667C7FA9">
      <w:pPr>
        <w:spacing w:line="360" w:lineRule="auto"/>
        <w:rPr>
          <w:color w:val="auto"/>
          <w:sz w:val="24"/>
          <w:szCs w:val="20"/>
          <w:highlight w:val="none"/>
        </w:rPr>
      </w:pPr>
    </w:p>
    <w:p w14:paraId="7F3AAE17">
      <w:pPr>
        <w:tabs>
          <w:tab w:val="left" w:pos="1800"/>
          <w:tab w:val="left" w:pos="5580"/>
        </w:tabs>
        <w:spacing w:line="360" w:lineRule="auto"/>
        <w:ind w:firstLine="360"/>
        <w:jc w:val="left"/>
        <w:rPr>
          <w:color w:val="auto"/>
          <w:sz w:val="24"/>
          <w:highlight w:val="none"/>
        </w:rPr>
      </w:pPr>
      <w:r>
        <w:rPr>
          <w:color w:val="auto"/>
          <w:sz w:val="24"/>
          <w:highlight w:val="none"/>
        </w:rPr>
        <w:t>项目编号</w:t>
      </w:r>
      <w:r>
        <w:rPr>
          <w:color w:val="auto"/>
          <w:sz w:val="24"/>
          <w:szCs w:val="20"/>
          <w:highlight w:val="none"/>
        </w:rPr>
        <w:t>/包号</w:t>
      </w:r>
      <w:r>
        <w:rPr>
          <w:color w:val="auto"/>
          <w:sz w:val="24"/>
          <w:highlight w:val="none"/>
        </w:rPr>
        <w:t>：_______________     项目名称：_____________________</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2295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391A655">
            <w:pPr>
              <w:jc w:val="left"/>
              <w:rPr>
                <w:b/>
                <w:color w:val="auto"/>
                <w:sz w:val="24"/>
                <w:highlight w:val="none"/>
              </w:rPr>
            </w:pPr>
            <w:r>
              <w:rPr>
                <w:rFonts w:hint="eastAsia"/>
                <w:b/>
                <w:color w:val="auto"/>
                <w:sz w:val="24"/>
                <w:highlight w:val="none"/>
              </w:rPr>
              <w:t>对本项目合同条款的偏离情况（请进行勾选）：</w:t>
            </w:r>
          </w:p>
          <w:p w14:paraId="1B45305F">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67472F21">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76B6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580A41B">
            <w:pPr>
              <w:jc w:val="center"/>
              <w:rPr>
                <w:color w:val="auto"/>
                <w:sz w:val="24"/>
                <w:highlight w:val="none"/>
              </w:rPr>
            </w:pPr>
            <w:r>
              <w:rPr>
                <w:color w:val="auto"/>
                <w:sz w:val="24"/>
                <w:highlight w:val="none"/>
              </w:rPr>
              <w:t>序号</w:t>
            </w:r>
          </w:p>
        </w:tc>
        <w:tc>
          <w:tcPr>
            <w:tcW w:w="1290" w:type="dxa"/>
            <w:noWrap w:val="0"/>
            <w:vAlign w:val="center"/>
          </w:tcPr>
          <w:p w14:paraId="141389E8">
            <w:pPr>
              <w:jc w:val="center"/>
              <w:rPr>
                <w:color w:val="auto"/>
                <w:sz w:val="24"/>
                <w:highlight w:val="none"/>
              </w:rPr>
            </w:pPr>
            <w:r>
              <w:rPr>
                <w:color w:val="auto"/>
                <w:sz w:val="24"/>
                <w:szCs w:val="21"/>
                <w:highlight w:val="none"/>
              </w:rPr>
              <w:t>磋商文件</w:t>
            </w:r>
            <w:r>
              <w:rPr>
                <w:color w:val="auto"/>
                <w:sz w:val="24"/>
                <w:highlight w:val="none"/>
              </w:rPr>
              <w:t>条目号（页码）</w:t>
            </w:r>
          </w:p>
        </w:tc>
        <w:tc>
          <w:tcPr>
            <w:tcW w:w="1980" w:type="dxa"/>
            <w:noWrap w:val="0"/>
            <w:vAlign w:val="center"/>
          </w:tcPr>
          <w:p w14:paraId="28F2E547">
            <w:pPr>
              <w:jc w:val="center"/>
              <w:rPr>
                <w:color w:val="auto"/>
                <w:sz w:val="24"/>
                <w:highlight w:val="none"/>
              </w:rPr>
            </w:pPr>
            <w:r>
              <w:rPr>
                <w:color w:val="auto"/>
                <w:sz w:val="24"/>
                <w:szCs w:val="21"/>
                <w:highlight w:val="none"/>
              </w:rPr>
              <w:t>磋商文件</w:t>
            </w:r>
            <w:r>
              <w:rPr>
                <w:color w:val="auto"/>
                <w:sz w:val="24"/>
                <w:highlight w:val="none"/>
              </w:rPr>
              <w:t>要求</w:t>
            </w:r>
          </w:p>
        </w:tc>
        <w:tc>
          <w:tcPr>
            <w:tcW w:w="1981" w:type="dxa"/>
            <w:noWrap w:val="0"/>
            <w:vAlign w:val="center"/>
          </w:tcPr>
          <w:p w14:paraId="6E9B01A9">
            <w:pPr>
              <w:jc w:val="center"/>
              <w:rPr>
                <w:color w:val="auto"/>
                <w:sz w:val="24"/>
                <w:highlight w:val="none"/>
              </w:rPr>
            </w:pPr>
            <w:r>
              <w:rPr>
                <w:color w:val="auto"/>
                <w:sz w:val="24"/>
                <w:highlight w:val="none"/>
              </w:rPr>
              <w:t>响应文件内容</w:t>
            </w:r>
          </w:p>
        </w:tc>
        <w:tc>
          <w:tcPr>
            <w:tcW w:w="2427" w:type="dxa"/>
            <w:noWrap w:val="0"/>
            <w:vAlign w:val="center"/>
          </w:tcPr>
          <w:p w14:paraId="17588641">
            <w:pPr>
              <w:jc w:val="center"/>
              <w:rPr>
                <w:color w:val="auto"/>
                <w:sz w:val="24"/>
                <w:highlight w:val="none"/>
              </w:rPr>
            </w:pPr>
            <w:r>
              <w:rPr>
                <w:color w:val="auto"/>
                <w:sz w:val="24"/>
                <w:highlight w:val="none"/>
              </w:rPr>
              <w:t>偏离情况</w:t>
            </w:r>
          </w:p>
          <w:p w14:paraId="2A3D650A">
            <w:pPr>
              <w:jc w:val="center"/>
              <w:rPr>
                <w:color w:val="auto"/>
                <w:sz w:val="24"/>
                <w:highlight w:val="none"/>
              </w:rPr>
            </w:pPr>
            <w:r>
              <w:rPr>
                <w:color w:val="auto"/>
                <w:sz w:val="24"/>
                <w:highlight w:val="none"/>
              </w:rPr>
              <w:t>（据实填写）</w:t>
            </w:r>
          </w:p>
        </w:tc>
        <w:tc>
          <w:tcPr>
            <w:tcW w:w="782" w:type="dxa"/>
            <w:noWrap w:val="0"/>
            <w:vAlign w:val="center"/>
          </w:tcPr>
          <w:p w14:paraId="5A9CB88E">
            <w:pPr>
              <w:jc w:val="center"/>
              <w:rPr>
                <w:color w:val="auto"/>
                <w:sz w:val="24"/>
                <w:highlight w:val="none"/>
              </w:rPr>
            </w:pPr>
            <w:r>
              <w:rPr>
                <w:color w:val="auto"/>
                <w:sz w:val="24"/>
                <w:highlight w:val="none"/>
              </w:rPr>
              <w:t>说明</w:t>
            </w:r>
          </w:p>
        </w:tc>
      </w:tr>
      <w:tr w14:paraId="0FC0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2B94EEC">
            <w:pPr>
              <w:jc w:val="center"/>
              <w:rPr>
                <w:color w:val="auto"/>
                <w:sz w:val="24"/>
                <w:highlight w:val="none"/>
              </w:rPr>
            </w:pPr>
          </w:p>
        </w:tc>
        <w:tc>
          <w:tcPr>
            <w:tcW w:w="1290" w:type="dxa"/>
            <w:noWrap w:val="0"/>
            <w:vAlign w:val="center"/>
          </w:tcPr>
          <w:p w14:paraId="18C0E9E5">
            <w:pPr>
              <w:jc w:val="center"/>
              <w:rPr>
                <w:color w:val="auto"/>
                <w:sz w:val="24"/>
                <w:highlight w:val="none"/>
              </w:rPr>
            </w:pPr>
          </w:p>
        </w:tc>
        <w:tc>
          <w:tcPr>
            <w:tcW w:w="1980" w:type="dxa"/>
            <w:noWrap w:val="0"/>
            <w:vAlign w:val="center"/>
          </w:tcPr>
          <w:p w14:paraId="37D53554">
            <w:pPr>
              <w:jc w:val="center"/>
              <w:rPr>
                <w:color w:val="auto"/>
                <w:sz w:val="24"/>
                <w:highlight w:val="none"/>
              </w:rPr>
            </w:pPr>
          </w:p>
        </w:tc>
        <w:tc>
          <w:tcPr>
            <w:tcW w:w="1981" w:type="dxa"/>
            <w:noWrap w:val="0"/>
            <w:vAlign w:val="center"/>
          </w:tcPr>
          <w:p w14:paraId="76E184C4">
            <w:pPr>
              <w:jc w:val="center"/>
              <w:rPr>
                <w:color w:val="auto"/>
                <w:sz w:val="24"/>
                <w:highlight w:val="none"/>
              </w:rPr>
            </w:pPr>
          </w:p>
        </w:tc>
        <w:tc>
          <w:tcPr>
            <w:tcW w:w="2427" w:type="dxa"/>
            <w:noWrap w:val="0"/>
            <w:vAlign w:val="center"/>
          </w:tcPr>
          <w:p w14:paraId="3191BAF0">
            <w:pPr>
              <w:jc w:val="center"/>
              <w:rPr>
                <w:color w:val="auto"/>
                <w:sz w:val="24"/>
                <w:highlight w:val="none"/>
              </w:rPr>
            </w:pPr>
          </w:p>
        </w:tc>
        <w:tc>
          <w:tcPr>
            <w:tcW w:w="782" w:type="dxa"/>
            <w:noWrap w:val="0"/>
            <w:vAlign w:val="center"/>
          </w:tcPr>
          <w:p w14:paraId="540E9BC1">
            <w:pPr>
              <w:jc w:val="center"/>
              <w:rPr>
                <w:color w:val="auto"/>
                <w:sz w:val="24"/>
                <w:highlight w:val="none"/>
              </w:rPr>
            </w:pPr>
          </w:p>
        </w:tc>
      </w:tr>
      <w:tr w14:paraId="3405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04C10D2">
            <w:pPr>
              <w:jc w:val="center"/>
              <w:rPr>
                <w:color w:val="auto"/>
                <w:sz w:val="24"/>
                <w:highlight w:val="none"/>
              </w:rPr>
            </w:pPr>
          </w:p>
        </w:tc>
        <w:tc>
          <w:tcPr>
            <w:tcW w:w="1290" w:type="dxa"/>
            <w:noWrap w:val="0"/>
            <w:vAlign w:val="center"/>
          </w:tcPr>
          <w:p w14:paraId="1E66CE03">
            <w:pPr>
              <w:jc w:val="center"/>
              <w:rPr>
                <w:color w:val="auto"/>
                <w:sz w:val="24"/>
                <w:highlight w:val="none"/>
              </w:rPr>
            </w:pPr>
          </w:p>
        </w:tc>
        <w:tc>
          <w:tcPr>
            <w:tcW w:w="1980" w:type="dxa"/>
            <w:noWrap w:val="0"/>
            <w:vAlign w:val="center"/>
          </w:tcPr>
          <w:p w14:paraId="01AFFDCC">
            <w:pPr>
              <w:jc w:val="center"/>
              <w:rPr>
                <w:color w:val="auto"/>
                <w:sz w:val="24"/>
                <w:highlight w:val="none"/>
              </w:rPr>
            </w:pPr>
          </w:p>
        </w:tc>
        <w:tc>
          <w:tcPr>
            <w:tcW w:w="1981" w:type="dxa"/>
            <w:noWrap w:val="0"/>
            <w:vAlign w:val="center"/>
          </w:tcPr>
          <w:p w14:paraId="61A9B313">
            <w:pPr>
              <w:jc w:val="center"/>
              <w:rPr>
                <w:color w:val="auto"/>
                <w:sz w:val="24"/>
                <w:highlight w:val="none"/>
              </w:rPr>
            </w:pPr>
          </w:p>
        </w:tc>
        <w:tc>
          <w:tcPr>
            <w:tcW w:w="2427" w:type="dxa"/>
            <w:noWrap w:val="0"/>
            <w:vAlign w:val="center"/>
          </w:tcPr>
          <w:p w14:paraId="58D73A2D">
            <w:pPr>
              <w:jc w:val="center"/>
              <w:rPr>
                <w:color w:val="auto"/>
                <w:sz w:val="24"/>
                <w:highlight w:val="none"/>
              </w:rPr>
            </w:pPr>
          </w:p>
        </w:tc>
        <w:tc>
          <w:tcPr>
            <w:tcW w:w="782" w:type="dxa"/>
            <w:noWrap w:val="0"/>
            <w:vAlign w:val="center"/>
          </w:tcPr>
          <w:p w14:paraId="685FD6B0">
            <w:pPr>
              <w:jc w:val="center"/>
              <w:rPr>
                <w:color w:val="auto"/>
                <w:sz w:val="24"/>
                <w:highlight w:val="none"/>
              </w:rPr>
            </w:pPr>
          </w:p>
        </w:tc>
      </w:tr>
      <w:tr w14:paraId="7903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6E9014D">
            <w:pPr>
              <w:jc w:val="center"/>
              <w:rPr>
                <w:color w:val="auto"/>
                <w:sz w:val="24"/>
                <w:highlight w:val="none"/>
              </w:rPr>
            </w:pPr>
          </w:p>
        </w:tc>
        <w:tc>
          <w:tcPr>
            <w:tcW w:w="1290" w:type="dxa"/>
            <w:noWrap w:val="0"/>
            <w:vAlign w:val="center"/>
          </w:tcPr>
          <w:p w14:paraId="44A81C89">
            <w:pPr>
              <w:jc w:val="center"/>
              <w:rPr>
                <w:color w:val="auto"/>
                <w:sz w:val="24"/>
                <w:highlight w:val="none"/>
              </w:rPr>
            </w:pPr>
          </w:p>
        </w:tc>
        <w:tc>
          <w:tcPr>
            <w:tcW w:w="1980" w:type="dxa"/>
            <w:noWrap w:val="0"/>
            <w:vAlign w:val="center"/>
          </w:tcPr>
          <w:p w14:paraId="20108545">
            <w:pPr>
              <w:jc w:val="center"/>
              <w:rPr>
                <w:color w:val="auto"/>
                <w:sz w:val="24"/>
                <w:highlight w:val="none"/>
              </w:rPr>
            </w:pPr>
          </w:p>
        </w:tc>
        <w:tc>
          <w:tcPr>
            <w:tcW w:w="1981" w:type="dxa"/>
            <w:noWrap w:val="0"/>
            <w:vAlign w:val="center"/>
          </w:tcPr>
          <w:p w14:paraId="3184D0FE">
            <w:pPr>
              <w:jc w:val="center"/>
              <w:rPr>
                <w:color w:val="auto"/>
                <w:sz w:val="24"/>
                <w:highlight w:val="none"/>
              </w:rPr>
            </w:pPr>
          </w:p>
        </w:tc>
        <w:tc>
          <w:tcPr>
            <w:tcW w:w="2427" w:type="dxa"/>
            <w:noWrap w:val="0"/>
            <w:vAlign w:val="center"/>
          </w:tcPr>
          <w:p w14:paraId="29EE42FE">
            <w:pPr>
              <w:jc w:val="center"/>
              <w:rPr>
                <w:color w:val="auto"/>
                <w:sz w:val="24"/>
                <w:highlight w:val="none"/>
              </w:rPr>
            </w:pPr>
          </w:p>
        </w:tc>
        <w:tc>
          <w:tcPr>
            <w:tcW w:w="782" w:type="dxa"/>
            <w:noWrap w:val="0"/>
            <w:vAlign w:val="center"/>
          </w:tcPr>
          <w:p w14:paraId="16ED51FF">
            <w:pPr>
              <w:jc w:val="center"/>
              <w:rPr>
                <w:color w:val="auto"/>
                <w:sz w:val="24"/>
                <w:highlight w:val="none"/>
              </w:rPr>
            </w:pPr>
          </w:p>
        </w:tc>
      </w:tr>
      <w:tr w14:paraId="2A2E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B3D315E">
            <w:pPr>
              <w:jc w:val="center"/>
              <w:rPr>
                <w:color w:val="auto"/>
                <w:sz w:val="24"/>
                <w:highlight w:val="none"/>
              </w:rPr>
            </w:pPr>
          </w:p>
        </w:tc>
        <w:tc>
          <w:tcPr>
            <w:tcW w:w="1290" w:type="dxa"/>
            <w:noWrap w:val="0"/>
            <w:vAlign w:val="center"/>
          </w:tcPr>
          <w:p w14:paraId="18DBC59F">
            <w:pPr>
              <w:jc w:val="center"/>
              <w:rPr>
                <w:color w:val="auto"/>
                <w:sz w:val="24"/>
                <w:highlight w:val="none"/>
              </w:rPr>
            </w:pPr>
          </w:p>
        </w:tc>
        <w:tc>
          <w:tcPr>
            <w:tcW w:w="1980" w:type="dxa"/>
            <w:noWrap w:val="0"/>
            <w:vAlign w:val="center"/>
          </w:tcPr>
          <w:p w14:paraId="45CDE689">
            <w:pPr>
              <w:jc w:val="center"/>
              <w:rPr>
                <w:color w:val="auto"/>
                <w:sz w:val="24"/>
                <w:highlight w:val="none"/>
              </w:rPr>
            </w:pPr>
          </w:p>
        </w:tc>
        <w:tc>
          <w:tcPr>
            <w:tcW w:w="1981" w:type="dxa"/>
            <w:noWrap w:val="0"/>
            <w:vAlign w:val="center"/>
          </w:tcPr>
          <w:p w14:paraId="32F1F4F5">
            <w:pPr>
              <w:jc w:val="center"/>
              <w:rPr>
                <w:color w:val="auto"/>
                <w:sz w:val="24"/>
                <w:highlight w:val="none"/>
              </w:rPr>
            </w:pPr>
          </w:p>
        </w:tc>
        <w:tc>
          <w:tcPr>
            <w:tcW w:w="2427" w:type="dxa"/>
            <w:noWrap w:val="0"/>
            <w:vAlign w:val="center"/>
          </w:tcPr>
          <w:p w14:paraId="14AFA815">
            <w:pPr>
              <w:jc w:val="center"/>
              <w:rPr>
                <w:color w:val="auto"/>
                <w:sz w:val="24"/>
                <w:highlight w:val="none"/>
              </w:rPr>
            </w:pPr>
          </w:p>
        </w:tc>
        <w:tc>
          <w:tcPr>
            <w:tcW w:w="782" w:type="dxa"/>
            <w:noWrap w:val="0"/>
            <w:vAlign w:val="center"/>
          </w:tcPr>
          <w:p w14:paraId="1D056209">
            <w:pPr>
              <w:jc w:val="center"/>
              <w:rPr>
                <w:color w:val="auto"/>
                <w:sz w:val="24"/>
                <w:highlight w:val="none"/>
              </w:rPr>
            </w:pPr>
          </w:p>
        </w:tc>
      </w:tr>
    </w:tbl>
    <w:p w14:paraId="3E690FE2">
      <w:pPr>
        <w:tabs>
          <w:tab w:val="left" w:pos="1800"/>
          <w:tab w:val="left" w:pos="5580"/>
        </w:tabs>
        <w:jc w:val="left"/>
        <w:rPr>
          <w:color w:val="auto"/>
          <w:sz w:val="24"/>
          <w:highlight w:val="none"/>
        </w:rPr>
      </w:pPr>
    </w:p>
    <w:p w14:paraId="0FDDFA5E">
      <w:pPr>
        <w:tabs>
          <w:tab w:val="left" w:pos="1800"/>
          <w:tab w:val="left" w:pos="5580"/>
        </w:tabs>
        <w:jc w:val="left"/>
        <w:rPr>
          <w:color w:val="auto"/>
          <w:sz w:val="24"/>
          <w:highlight w:val="none"/>
        </w:rPr>
      </w:pPr>
      <w:r>
        <w:rPr>
          <w:rFonts w:hint="eastAsia"/>
          <w:color w:val="auto"/>
          <w:sz w:val="24"/>
          <w:highlight w:val="none"/>
        </w:rPr>
        <w:t>注：</w:t>
      </w:r>
    </w:p>
    <w:p w14:paraId="6FE6DBBB">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4E5FBD32">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25EB7E58">
      <w:pPr>
        <w:spacing w:line="360" w:lineRule="auto"/>
        <w:rPr>
          <w:color w:val="auto"/>
          <w:sz w:val="24"/>
          <w:szCs w:val="20"/>
          <w:highlight w:val="none"/>
        </w:rPr>
      </w:pPr>
    </w:p>
    <w:p w14:paraId="414609B7">
      <w:pPr>
        <w:spacing w:before="25" w:after="25" w:line="360" w:lineRule="auto"/>
        <w:rPr>
          <w:color w:val="auto"/>
          <w:sz w:val="24"/>
          <w:highlight w:val="none"/>
          <w:lang w:val="zh-CN"/>
        </w:rPr>
      </w:pPr>
      <w:r>
        <w:rPr>
          <w:color w:val="auto"/>
          <w:sz w:val="24"/>
          <w:highlight w:val="none"/>
          <w:lang w:val="zh-CN"/>
        </w:rPr>
        <w:t xml:space="preserve">                      </w:t>
      </w:r>
    </w:p>
    <w:p w14:paraId="6F610B72">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009F9D42">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593F7B05">
      <w:pPr>
        <w:spacing w:line="360" w:lineRule="auto"/>
        <w:rPr>
          <w:color w:val="auto"/>
          <w:sz w:val="24"/>
          <w:szCs w:val="20"/>
          <w:highlight w:val="none"/>
        </w:rPr>
      </w:pPr>
      <w:r>
        <w:rPr>
          <w:color w:val="auto"/>
          <w:sz w:val="24"/>
          <w:szCs w:val="20"/>
          <w:highlight w:val="none"/>
        </w:rPr>
        <w:br w:type="page" w:clear="all"/>
      </w:r>
      <w:r>
        <w:rPr>
          <w:rFonts w:hint="eastAsia"/>
          <w:color w:val="auto"/>
          <w:sz w:val="24"/>
          <w:szCs w:val="20"/>
          <w:highlight w:val="none"/>
        </w:rPr>
        <w:t>1</w:t>
      </w:r>
      <w:r>
        <w:rPr>
          <w:rFonts w:hint="eastAsia"/>
          <w:color w:val="auto"/>
          <w:sz w:val="24"/>
          <w:szCs w:val="20"/>
          <w:highlight w:val="none"/>
          <w:lang w:val="en-US" w:eastAsia="zh-CN"/>
        </w:rPr>
        <w:t>1</w:t>
      </w:r>
      <w:r>
        <w:rPr>
          <w:color w:val="auto"/>
          <w:sz w:val="24"/>
          <w:szCs w:val="20"/>
          <w:highlight w:val="none"/>
        </w:rPr>
        <w:t xml:space="preserve">  </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r>
        <w:rPr>
          <w:color w:val="auto"/>
          <w:sz w:val="24"/>
          <w:szCs w:val="20"/>
          <w:highlight w:val="none"/>
        </w:rPr>
        <w:t>采购需求偏离表</w:t>
      </w:r>
    </w:p>
    <w:p w14:paraId="1E27F9BA">
      <w:pPr>
        <w:jc w:val="center"/>
        <w:rPr>
          <w:b/>
          <w:color w:val="auto"/>
          <w:sz w:val="36"/>
          <w:szCs w:val="36"/>
          <w:highlight w:val="none"/>
        </w:rPr>
      </w:pPr>
      <w:r>
        <w:rPr>
          <w:rFonts w:hint="eastAsia"/>
          <w:b/>
          <w:color w:val="auto"/>
          <w:sz w:val="36"/>
          <w:szCs w:val="36"/>
          <w:highlight w:val="none"/>
        </w:rPr>
        <w:t>采购需求偏离表</w:t>
      </w:r>
    </w:p>
    <w:p w14:paraId="7B2CDEC2">
      <w:pPr>
        <w:jc w:val="center"/>
        <w:rPr>
          <w:color w:val="auto"/>
          <w:sz w:val="36"/>
          <w:szCs w:val="36"/>
          <w:highlight w:val="none"/>
        </w:rPr>
      </w:pPr>
    </w:p>
    <w:p w14:paraId="1646BC86">
      <w:pPr>
        <w:tabs>
          <w:tab w:val="left" w:pos="1800"/>
          <w:tab w:val="left" w:pos="5580"/>
        </w:tabs>
        <w:spacing w:line="360" w:lineRule="auto"/>
        <w:ind w:firstLine="360"/>
        <w:jc w:val="left"/>
        <w:rPr>
          <w:color w:val="auto"/>
          <w:sz w:val="24"/>
          <w:highlight w:val="none"/>
          <w:u w:val="single"/>
        </w:rPr>
      </w:pPr>
      <w:r>
        <w:rPr>
          <w:color w:val="auto"/>
          <w:sz w:val="24"/>
          <w:highlight w:val="none"/>
        </w:rPr>
        <w:t>项目编号</w:t>
      </w:r>
      <w:r>
        <w:rPr>
          <w:color w:val="auto"/>
          <w:sz w:val="24"/>
          <w:szCs w:val="20"/>
          <w:highlight w:val="none"/>
        </w:rPr>
        <w:t>/包号</w:t>
      </w:r>
      <w:r>
        <w:rPr>
          <w:color w:val="auto"/>
          <w:sz w:val="24"/>
          <w:highlight w:val="none"/>
        </w:rPr>
        <w:t>：_____________________     项目名称：_______________________</w:t>
      </w:r>
    </w:p>
    <w:tbl>
      <w:tblPr>
        <w:tblStyle w:val="4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A849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4E8CB61">
            <w:pPr>
              <w:jc w:val="left"/>
              <w:rPr>
                <w:b/>
                <w:color w:val="auto"/>
                <w:sz w:val="24"/>
                <w:highlight w:val="none"/>
              </w:rPr>
            </w:pPr>
            <w:r>
              <w:rPr>
                <w:rFonts w:hint="eastAsia"/>
                <w:b/>
                <w:color w:val="auto"/>
                <w:sz w:val="24"/>
                <w:highlight w:val="none"/>
              </w:rPr>
              <w:t>对本项目</w:t>
            </w:r>
            <w:r>
              <w:rPr>
                <w:rFonts w:hint="eastAsia"/>
                <w:b/>
                <w:color w:val="auto"/>
                <w:sz w:val="24"/>
                <w:highlight w:val="none"/>
                <w:lang w:val="en-US" w:eastAsia="zh-CN"/>
              </w:rPr>
              <w:t>采购需求、</w:t>
            </w:r>
            <w:r>
              <w:rPr>
                <w:rFonts w:hint="eastAsia"/>
                <w:b/>
                <w:color w:val="auto"/>
                <w:sz w:val="24"/>
                <w:highlight w:val="none"/>
              </w:rPr>
              <w:t>技术要求</w:t>
            </w:r>
            <w:r>
              <w:rPr>
                <w:rFonts w:hint="eastAsia"/>
                <w:b/>
                <w:color w:val="auto"/>
                <w:sz w:val="24"/>
                <w:highlight w:val="none"/>
                <w:lang w:val="en-US" w:eastAsia="zh-CN"/>
              </w:rPr>
              <w:t>等</w:t>
            </w:r>
            <w:r>
              <w:rPr>
                <w:rFonts w:hint="eastAsia"/>
                <w:b/>
                <w:color w:val="auto"/>
                <w:sz w:val="24"/>
                <w:highlight w:val="none"/>
              </w:rPr>
              <w:t>条款的偏离情况（请进行勾选）：</w:t>
            </w:r>
          </w:p>
          <w:p w14:paraId="0A9B57C9">
            <w:pPr>
              <w:jc w:val="left"/>
              <w:rPr>
                <w:b/>
                <w:color w:val="auto"/>
                <w:sz w:val="24"/>
                <w:highlight w:val="none"/>
              </w:rPr>
            </w:pPr>
            <w:r>
              <w:rPr>
                <w:rFonts w:hint="eastAsia"/>
                <w:b/>
                <w:color w:val="auto"/>
                <w:sz w:val="24"/>
                <w:highlight w:val="none"/>
                <w:lang w:eastAsia="zh-CN"/>
              </w:rPr>
              <w:t>□</w:t>
            </w:r>
            <w:r>
              <w:rPr>
                <w:b/>
                <w:color w:val="auto"/>
                <w:sz w:val="24"/>
                <w:highlight w:val="none"/>
              </w:rPr>
              <w:t>无偏离</w:t>
            </w:r>
            <w:r>
              <w:rPr>
                <w:color w:val="auto"/>
                <w:sz w:val="24"/>
                <w:highlight w:val="none"/>
              </w:rPr>
              <w:t>（如无偏离，仅勾选无偏离即可）</w:t>
            </w:r>
          </w:p>
          <w:p w14:paraId="09CDBF38">
            <w:pPr>
              <w:jc w:val="both"/>
              <w:rPr>
                <w:color w:val="auto"/>
                <w:sz w:val="24"/>
                <w:highlight w:val="none"/>
              </w:rPr>
            </w:pPr>
            <w:r>
              <w:rPr>
                <w:rFonts w:hint="eastAsia"/>
                <w:b/>
                <w:color w:val="auto"/>
                <w:sz w:val="24"/>
                <w:highlight w:val="none"/>
                <w:lang w:eastAsia="zh-CN"/>
              </w:rPr>
              <w:t>□</w:t>
            </w:r>
            <w:r>
              <w:rPr>
                <w:b/>
                <w:color w:val="auto"/>
                <w:sz w:val="24"/>
                <w:highlight w:val="none"/>
              </w:rPr>
              <w:t>有偏离</w:t>
            </w:r>
            <w:r>
              <w:rPr>
                <w:color w:val="auto"/>
                <w:sz w:val="24"/>
                <w:highlight w:val="none"/>
              </w:rPr>
              <w:t>（如有</w:t>
            </w:r>
            <w:r>
              <w:rPr>
                <w:rFonts w:hint="eastAsia"/>
                <w:color w:val="auto"/>
                <w:sz w:val="24"/>
                <w:highlight w:val="none"/>
              </w:rPr>
              <w:t>超出或者</w:t>
            </w:r>
            <w:r>
              <w:rPr>
                <w:color w:val="auto"/>
                <w:sz w:val="24"/>
                <w:highlight w:val="none"/>
              </w:rPr>
              <w:t>偏离，则须在本表中对</w:t>
            </w:r>
            <w:r>
              <w:rPr>
                <w:rFonts w:hint="eastAsia"/>
                <w:color w:val="auto"/>
                <w:sz w:val="24"/>
                <w:highlight w:val="none"/>
              </w:rPr>
              <w:t>超出或者</w:t>
            </w:r>
            <w:r>
              <w:rPr>
                <w:color w:val="auto"/>
                <w:sz w:val="24"/>
                <w:highlight w:val="none"/>
              </w:rPr>
              <w:t>偏离项逐一列明）</w:t>
            </w:r>
          </w:p>
        </w:tc>
      </w:tr>
      <w:tr w14:paraId="04E1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EF94122">
            <w:pPr>
              <w:jc w:val="center"/>
              <w:rPr>
                <w:color w:val="auto"/>
                <w:sz w:val="24"/>
                <w:highlight w:val="none"/>
              </w:rPr>
            </w:pPr>
            <w:r>
              <w:rPr>
                <w:color w:val="auto"/>
                <w:sz w:val="24"/>
                <w:highlight w:val="none"/>
              </w:rPr>
              <w:t>序号</w:t>
            </w:r>
          </w:p>
        </w:tc>
        <w:tc>
          <w:tcPr>
            <w:tcW w:w="1482" w:type="dxa"/>
            <w:noWrap w:val="0"/>
            <w:vAlign w:val="center"/>
          </w:tcPr>
          <w:p w14:paraId="2B962286">
            <w:pPr>
              <w:jc w:val="center"/>
              <w:rPr>
                <w:color w:val="auto"/>
                <w:sz w:val="24"/>
                <w:highlight w:val="none"/>
              </w:rPr>
            </w:pPr>
            <w:r>
              <w:rPr>
                <w:color w:val="auto"/>
                <w:sz w:val="24"/>
                <w:highlight w:val="none"/>
              </w:rPr>
              <w:t>磋商文件条目号(页码)</w:t>
            </w:r>
          </w:p>
        </w:tc>
        <w:tc>
          <w:tcPr>
            <w:tcW w:w="2384" w:type="dxa"/>
            <w:noWrap w:val="0"/>
            <w:vAlign w:val="center"/>
          </w:tcPr>
          <w:p w14:paraId="0A8473D7">
            <w:pPr>
              <w:jc w:val="center"/>
              <w:rPr>
                <w:color w:val="auto"/>
                <w:sz w:val="24"/>
                <w:highlight w:val="none"/>
              </w:rPr>
            </w:pPr>
            <w:r>
              <w:rPr>
                <w:color w:val="auto"/>
                <w:sz w:val="24"/>
                <w:highlight w:val="none"/>
              </w:rPr>
              <w:t>磋商文件要求</w:t>
            </w:r>
          </w:p>
        </w:tc>
        <w:tc>
          <w:tcPr>
            <w:tcW w:w="2126" w:type="dxa"/>
            <w:noWrap w:val="0"/>
            <w:vAlign w:val="center"/>
          </w:tcPr>
          <w:p w14:paraId="4F03694E">
            <w:pPr>
              <w:jc w:val="center"/>
              <w:rPr>
                <w:color w:val="auto"/>
                <w:sz w:val="24"/>
                <w:highlight w:val="none"/>
              </w:rPr>
            </w:pPr>
            <w:r>
              <w:rPr>
                <w:color w:val="auto"/>
                <w:sz w:val="24"/>
                <w:highlight w:val="none"/>
              </w:rPr>
              <w:t>响应内容</w:t>
            </w:r>
          </w:p>
        </w:tc>
        <w:tc>
          <w:tcPr>
            <w:tcW w:w="1875" w:type="dxa"/>
            <w:noWrap w:val="0"/>
            <w:vAlign w:val="center"/>
          </w:tcPr>
          <w:p w14:paraId="1C5E8184">
            <w:pPr>
              <w:jc w:val="center"/>
              <w:rPr>
                <w:color w:val="auto"/>
                <w:sz w:val="24"/>
                <w:highlight w:val="none"/>
              </w:rPr>
            </w:pPr>
            <w:r>
              <w:rPr>
                <w:color w:val="auto"/>
                <w:sz w:val="24"/>
                <w:highlight w:val="none"/>
              </w:rPr>
              <w:t>偏离情况</w:t>
            </w:r>
          </w:p>
          <w:p w14:paraId="1944E699">
            <w:pPr>
              <w:jc w:val="center"/>
              <w:rPr>
                <w:color w:val="auto"/>
                <w:sz w:val="24"/>
                <w:highlight w:val="none"/>
              </w:rPr>
            </w:pPr>
            <w:r>
              <w:rPr>
                <w:color w:val="auto"/>
                <w:sz w:val="24"/>
                <w:szCs w:val="21"/>
                <w:highlight w:val="none"/>
              </w:rPr>
              <w:t>（据实填写）</w:t>
            </w:r>
          </w:p>
        </w:tc>
        <w:tc>
          <w:tcPr>
            <w:tcW w:w="1009" w:type="dxa"/>
            <w:noWrap w:val="0"/>
            <w:vAlign w:val="center"/>
          </w:tcPr>
          <w:p w14:paraId="377EF580">
            <w:pPr>
              <w:jc w:val="center"/>
              <w:rPr>
                <w:color w:val="auto"/>
                <w:sz w:val="24"/>
                <w:highlight w:val="none"/>
              </w:rPr>
            </w:pPr>
            <w:r>
              <w:rPr>
                <w:color w:val="auto"/>
                <w:sz w:val="24"/>
                <w:highlight w:val="none"/>
              </w:rPr>
              <w:t>说明</w:t>
            </w:r>
          </w:p>
        </w:tc>
      </w:tr>
      <w:tr w14:paraId="19E3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BBE6F2D">
            <w:pPr>
              <w:jc w:val="center"/>
              <w:rPr>
                <w:color w:val="auto"/>
                <w:sz w:val="24"/>
                <w:highlight w:val="none"/>
              </w:rPr>
            </w:pPr>
          </w:p>
        </w:tc>
        <w:tc>
          <w:tcPr>
            <w:tcW w:w="1482" w:type="dxa"/>
            <w:noWrap w:val="0"/>
            <w:vAlign w:val="center"/>
          </w:tcPr>
          <w:p w14:paraId="4A299E26">
            <w:pPr>
              <w:jc w:val="center"/>
              <w:rPr>
                <w:color w:val="auto"/>
                <w:sz w:val="24"/>
                <w:highlight w:val="none"/>
              </w:rPr>
            </w:pPr>
          </w:p>
        </w:tc>
        <w:tc>
          <w:tcPr>
            <w:tcW w:w="2384" w:type="dxa"/>
            <w:noWrap w:val="0"/>
            <w:vAlign w:val="center"/>
          </w:tcPr>
          <w:p w14:paraId="2A50F905">
            <w:pPr>
              <w:jc w:val="center"/>
              <w:rPr>
                <w:color w:val="auto"/>
                <w:sz w:val="24"/>
                <w:highlight w:val="none"/>
              </w:rPr>
            </w:pPr>
          </w:p>
        </w:tc>
        <w:tc>
          <w:tcPr>
            <w:tcW w:w="2126" w:type="dxa"/>
            <w:noWrap w:val="0"/>
            <w:vAlign w:val="center"/>
          </w:tcPr>
          <w:p w14:paraId="71E924A9">
            <w:pPr>
              <w:jc w:val="center"/>
              <w:rPr>
                <w:color w:val="auto"/>
                <w:sz w:val="24"/>
                <w:highlight w:val="none"/>
              </w:rPr>
            </w:pPr>
          </w:p>
        </w:tc>
        <w:tc>
          <w:tcPr>
            <w:tcW w:w="1875" w:type="dxa"/>
            <w:noWrap w:val="0"/>
            <w:vAlign w:val="center"/>
          </w:tcPr>
          <w:p w14:paraId="23DA1D9C">
            <w:pPr>
              <w:jc w:val="center"/>
              <w:rPr>
                <w:color w:val="auto"/>
                <w:sz w:val="24"/>
                <w:highlight w:val="none"/>
              </w:rPr>
            </w:pPr>
          </w:p>
        </w:tc>
        <w:tc>
          <w:tcPr>
            <w:tcW w:w="1009" w:type="dxa"/>
            <w:noWrap w:val="0"/>
            <w:vAlign w:val="center"/>
          </w:tcPr>
          <w:p w14:paraId="3435A6F7">
            <w:pPr>
              <w:jc w:val="center"/>
              <w:rPr>
                <w:color w:val="auto"/>
                <w:sz w:val="24"/>
                <w:highlight w:val="none"/>
              </w:rPr>
            </w:pPr>
          </w:p>
        </w:tc>
      </w:tr>
      <w:tr w14:paraId="241D0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74B220F">
            <w:pPr>
              <w:jc w:val="center"/>
              <w:rPr>
                <w:color w:val="auto"/>
                <w:sz w:val="24"/>
                <w:highlight w:val="none"/>
              </w:rPr>
            </w:pPr>
          </w:p>
        </w:tc>
        <w:tc>
          <w:tcPr>
            <w:tcW w:w="1482" w:type="dxa"/>
            <w:noWrap w:val="0"/>
            <w:vAlign w:val="center"/>
          </w:tcPr>
          <w:p w14:paraId="192D63B0">
            <w:pPr>
              <w:jc w:val="center"/>
              <w:rPr>
                <w:color w:val="auto"/>
                <w:sz w:val="24"/>
                <w:highlight w:val="none"/>
              </w:rPr>
            </w:pPr>
          </w:p>
        </w:tc>
        <w:tc>
          <w:tcPr>
            <w:tcW w:w="2384" w:type="dxa"/>
            <w:noWrap w:val="0"/>
            <w:vAlign w:val="center"/>
          </w:tcPr>
          <w:p w14:paraId="011C32A7">
            <w:pPr>
              <w:jc w:val="center"/>
              <w:rPr>
                <w:color w:val="auto"/>
                <w:sz w:val="24"/>
                <w:highlight w:val="none"/>
              </w:rPr>
            </w:pPr>
          </w:p>
        </w:tc>
        <w:tc>
          <w:tcPr>
            <w:tcW w:w="2126" w:type="dxa"/>
            <w:noWrap w:val="0"/>
            <w:vAlign w:val="center"/>
          </w:tcPr>
          <w:p w14:paraId="0AF1B7BA">
            <w:pPr>
              <w:jc w:val="center"/>
              <w:rPr>
                <w:color w:val="auto"/>
                <w:sz w:val="24"/>
                <w:highlight w:val="none"/>
              </w:rPr>
            </w:pPr>
          </w:p>
        </w:tc>
        <w:tc>
          <w:tcPr>
            <w:tcW w:w="1875" w:type="dxa"/>
            <w:noWrap w:val="0"/>
            <w:vAlign w:val="center"/>
          </w:tcPr>
          <w:p w14:paraId="39841662">
            <w:pPr>
              <w:jc w:val="center"/>
              <w:rPr>
                <w:color w:val="auto"/>
                <w:sz w:val="24"/>
                <w:highlight w:val="none"/>
              </w:rPr>
            </w:pPr>
          </w:p>
        </w:tc>
        <w:tc>
          <w:tcPr>
            <w:tcW w:w="1009" w:type="dxa"/>
            <w:noWrap w:val="0"/>
            <w:vAlign w:val="center"/>
          </w:tcPr>
          <w:p w14:paraId="2040D591">
            <w:pPr>
              <w:jc w:val="center"/>
              <w:rPr>
                <w:color w:val="auto"/>
                <w:sz w:val="24"/>
                <w:highlight w:val="none"/>
              </w:rPr>
            </w:pPr>
          </w:p>
        </w:tc>
      </w:tr>
      <w:tr w14:paraId="77D0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EEE0C0E">
            <w:pPr>
              <w:jc w:val="center"/>
              <w:rPr>
                <w:color w:val="auto"/>
                <w:sz w:val="24"/>
                <w:highlight w:val="none"/>
              </w:rPr>
            </w:pPr>
          </w:p>
        </w:tc>
        <w:tc>
          <w:tcPr>
            <w:tcW w:w="1482" w:type="dxa"/>
            <w:noWrap w:val="0"/>
            <w:vAlign w:val="center"/>
          </w:tcPr>
          <w:p w14:paraId="786EF198">
            <w:pPr>
              <w:jc w:val="center"/>
              <w:rPr>
                <w:color w:val="auto"/>
                <w:sz w:val="24"/>
                <w:highlight w:val="none"/>
              </w:rPr>
            </w:pPr>
          </w:p>
        </w:tc>
        <w:tc>
          <w:tcPr>
            <w:tcW w:w="2384" w:type="dxa"/>
            <w:noWrap w:val="0"/>
            <w:vAlign w:val="center"/>
          </w:tcPr>
          <w:p w14:paraId="00A2B4BE">
            <w:pPr>
              <w:jc w:val="center"/>
              <w:rPr>
                <w:color w:val="auto"/>
                <w:sz w:val="24"/>
                <w:highlight w:val="none"/>
              </w:rPr>
            </w:pPr>
          </w:p>
        </w:tc>
        <w:tc>
          <w:tcPr>
            <w:tcW w:w="2126" w:type="dxa"/>
            <w:noWrap w:val="0"/>
            <w:vAlign w:val="center"/>
          </w:tcPr>
          <w:p w14:paraId="0521B833">
            <w:pPr>
              <w:jc w:val="center"/>
              <w:rPr>
                <w:color w:val="auto"/>
                <w:sz w:val="24"/>
                <w:highlight w:val="none"/>
              </w:rPr>
            </w:pPr>
          </w:p>
        </w:tc>
        <w:tc>
          <w:tcPr>
            <w:tcW w:w="1875" w:type="dxa"/>
            <w:noWrap w:val="0"/>
            <w:vAlign w:val="center"/>
          </w:tcPr>
          <w:p w14:paraId="31D82479">
            <w:pPr>
              <w:jc w:val="center"/>
              <w:rPr>
                <w:color w:val="auto"/>
                <w:sz w:val="24"/>
                <w:highlight w:val="none"/>
              </w:rPr>
            </w:pPr>
          </w:p>
        </w:tc>
        <w:tc>
          <w:tcPr>
            <w:tcW w:w="1009" w:type="dxa"/>
            <w:noWrap w:val="0"/>
            <w:vAlign w:val="center"/>
          </w:tcPr>
          <w:p w14:paraId="773DE42E">
            <w:pPr>
              <w:jc w:val="center"/>
              <w:rPr>
                <w:color w:val="auto"/>
                <w:sz w:val="24"/>
                <w:highlight w:val="none"/>
              </w:rPr>
            </w:pPr>
          </w:p>
        </w:tc>
      </w:tr>
      <w:tr w14:paraId="4FD4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46B85E0">
            <w:pPr>
              <w:jc w:val="center"/>
              <w:rPr>
                <w:color w:val="auto"/>
                <w:sz w:val="24"/>
                <w:highlight w:val="none"/>
              </w:rPr>
            </w:pPr>
          </w:p>
        </w:tc>
        <w:tc>
          <w:tcPr>
            <w:tcW w:w="1482" w:type="dxa"/>
            <w:noWrap w:val="0"/>
            <w:vAlign w:val="center"/>
          </w:tcPr>
          <w:p w14:paraId="70AEAFB3">
            <w:pPr>
              <w:jc w:val="center"/>
              <w:rPr>
                <w:color w:val="auto"/>
                <w:sz w:val="24"/>
                <w:highlight w:val="none"/>
              </w:rPr>
            </w:pPr>
          </w:p>
        </w:tc>
        <w:tc>
          <w:tcPr>
            <w:tcW w:w="2384" w:type="dxa"/>
            <w:noWrap w:val="0"/>
            <w:vAlign w:val="center"/>
          </w:tcPr>
          <w:p w14:paraId="11EDAA9B">
            <w:pPr>
              <w:jc w:val="center"/>
              <w:rPr>
                <w:color w:val="auto"/>
                <w:sz w:val="24"/>
                <w:highlight w:val="none"/>
              </w:rPr>
            </w:pPr>
          </w:p>
        </w:tc>
        <w:tc>
          <w:tcPr>
            <w:tcW w:w="2126" w:type="dxa"/>
            <w:noWrap w:val="0"/>
            <w:vAlign w:val="center"/>
          </w:tcPr>
          <w:p w14:paraId="28BDDFC6">
            <w:pPr>
              <w:jc w:val="center"/>
              <w:rPr>
                <w:color w:val="auto"/>
                <w:sz w:val="24"/>
                <w:highlight w:val="none"/>
              </w:rPr>
            </w:pPr>
          </w:p>
        </w:tc>
        <w:tc>
          <w:tcPr>
            <w:tcW w:w="1875" w:type="dxa"/>
            <w:noWrap w:val="0"/>
            <w:vAlign w:val="center"/>
          </w:tcPr>
          <w:p w14:paraId="11699940">
            <w:pPr>
              <w:jc w:val="center"/>
              <w:rPr>
                <w:color w:val="auto"/>
                <w:sz w:val="24"/>
                <w:highlight w:val="none"/>
              </w:rPr>
            </w:pPr>
          </w:p>
        </w:tc>
        <w:tc>
          <w:tcPr>
            <w:tcW w:w="1009" w:type="dxa"/>
            <w:noWrap w:val="0"/>
            <w:vAlign w:val="center"/>
          </w:tcPr>
          <w:p w14:paraId="269E8049">
            <w:pPr>
              <w:jc w:val="center"/>
              <w:rPr>
                <w:color w:val="auto"/>
                <w:sz w:val="24"/>
                <w:highlight w:val="none"/>
              </w:rPr>
            </w:pPr>
          </w:p>
        </w:tc>
      </w:tr>
      <w:tr w14:paraId="3CA8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2FE703">
            <w:pPr>
              <w:jc w:val="center"/>
              <w:rPr>
                <w:color w:val="auto"/>
                <w:sz w:val="24"/>
                <w:highlight w:val="none"/>
              </w:rPr>
            </w:pPr>
          </w:p>
        </w:tc>
        <w:tc>
          <w:tcPr>
            <w:tcW w:w="1482" w:type="dxa"/>
            <w:noWrap w:val="0"/>
            <w:vAlign w:val="center"/>
          </w:tcPr>
          <w:p w14:paraId="2B4839B9">
            <w:pPr>
              <w:jc w:val="center"/>
              <w:rPr>
                <w:color w:val="auto"/>
                <w:sz w:val="24"/>
                <w:highlight w:val="none"/>
              </w:rPr>
            </w:pPr>
          </w:p>
        </w:tc>
        <w:tc>
          <w:tcPr>
            <w:tcW w:w="2384" w:type="dxa"/>
            <w:noWrap w:val="0"/>
            <w:vAlign w:val="center"/>
          </w:tcPr>
          <w:p w14:paraId="19AA96C6">
            <w:pPr>
              <w:jc w:val="center"/>
              <w:rPr>
                <w:color w:val="auto"/>
                <w:sz w:val="24"/>
                <w:highlight w:val="none"/>
              </w:rPr>
            </w:pPr>
          </w:p>
        </w:tc>
        <w:tc>
          <w:tcPr>
            <w:tcW w:w="2126" w:type="dxa"/>
            <w:noWrap w:val="0"/>
            <w:vAlign w:val="center"/>
          </w:tcPr>
          <w:p w14:paraId="059DCA66">
            <w:pPr>
              <w:jc w:val="center"/>
              <w:rPr>
                <w:color w:val="auto"/>
                <w:sz w:val="24"/>
                <w:highlight w:val="none"/>
              </w:rPr>
            </w:pPr>
          </w:p>
        </w:tc>
        <w:tc>
          <w:tcPr>
            <w:tcW w:w="1875" w:type="dxa"/>
            <w:noWrap w:val="0"/>
            <w:vAlign w:val="center"/>
          </w:tcPr>
          <w:p w14:paraId="3E6618CA">
            <w:pPr>
              <w:jc w:val="center"/>
              <w:rPr>
                <w:color w:val="auto"/>
                <w:sz w:val="24"/>
                <w:highlight w:val="none"/>
              </w:rPr>
            </w:pPr>
          </w:p>
        </w:tc>
        <w:tc>
          <w:tcPr>
            <w:tcW w:w="1009" w:type="dxa"/>
            <w:noWrap w:val="0"/>
            <w:vAlign w:val="center"/>
          </w:tcPr>
          <w:p w14:paraId="5D393E00">
            <w:pPr>
              <w:jc w:val="center"/>
              <w:rPr>
                <w:color w:val="auto"/>
                <w:sz w:val="24"/>
                <w:highlight w:val="none"/>
              </w:rPr>
            </w:pPr>
          </w:p>
        </w:tc>
      </w:tr>
    </w:tbl>
    <w:p w14:paraId="17729627">
      <w:pPr>
        <w:tabs>
          <w:tab w:val="left" w:pos="1800"/>
          <w:tab w:val="left" w:pos="5580"/>
        </w:tabs>
        <w:spacing w:line="360" w:lineRule="auto"/>
        <w:ind w:firstLine="360"/>
        <w:jc w:val="left"/>
        <w:rPr>
          <w:color w:val="auto"/>
          <w:sz w:val="24"/>
          <w:highlight w:val="none"/>
          <w:u w:val="single"/>
        </w:rPr>
      </w:pPr>
    </w:p>
    <w:p w14:paraId="3D0466A9">
      <w:pPr>
        <w:tabs>
          <w:tab w:val="left" w:pos="1800"/>
          <w:tab w:val="left" w:pos="5580"/>
        </w:tabs>
        <w:spacing w:line="360" w:lineRule="auto"/>
        <w:ind w:firstLine="360"/>
        <w:jc w:val="left"/>
        <w:rPr>
          <w:color w:val="auto"/>
          <w:sz w:val="24"/>
          <w:highlight w:val="none"/>
          <w:u w:val="single"/>
        </w:rPr>
      </w:pPr>
    </w:p>
    <w:p w14:paraId="3A71DE48">
      <w:pPr>
        <w:tabs>
          <w:tab w:val="left" w:pos="1800"/>
          <w:tab w:val="left" w:pos="5580"/>
        </w:tabs>
        <w:jc w:val="left"/>
        <w:rPr>
          <w:color w:val="auto"/>
          <w:sz w:val="24"/>
          <w:highlight w:val="none"/>
        </w:rPr>
      </w:pPr>
      <w:r>
        <w:rPr>
          <w:color w:val="auto"/>
          <w:sz w:val="24"/>
          <w:highlight w:val="none"/>
        </w:rPr>
        <w:t>注：</w:t>
      </w:r>
    </w:p>
    <w:p w14:paraId="0B85EA9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响应</w:t>
      </w:r>
      <w:r>
        <w:rPr>
          <w:color w:val="auto"/>
          <w:sz w:val="24"/>
          <w:highlight w:val="none"/>
        </w:rPr>
        <w:t>。</w:t>
      </w:r>
    </w:p>
    <w:p w14:paraId="10BA6CA4">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2573D68A">
      <w:pPr>
        <w:tabs>
          <w:tab w:val="left" w:pos="1800"/>
          <w:tab w:val="left" w:pos="5580"/>
        </w:tabs>
        <w:jc w:val="left"/>
        <w:rPr>
          <w:color w:val="auto"/>
          <w:sz w:val="24"/>
          <w:highlight w:val="none"/>
        </w:rPr>
      </w:pPr>
    </w:p>
    <w:p w14:paraId="7FDE1B87">
      <w:pPr>
        <w:rPr>
          <w:color w:val="auto"/>
          <w:sz w:val="24"/>
          <w:szCs w:val="20"/>
          <w:highlight w:val="none"/>
        </w:rPr>
      </w:pPr>
    </w:p>
    <w:p w14:paraId="1ECEF25B">
      <w:pPr>
        <w:spacing w:before="25" w:after="25" w:line="360" w:lineRule="auto"/>
        <w:rPr>
          <w:color w:val="auto"/>
          <w:sz w:val="24"/>
          <w:highlight w:val="none"/>
          <w:lang w:val="zh-CN"/>
        </w:rPr>
      </w:pPr>
      <w:r>
        <w:rPr>
          <w:color w:val="auto"/>
          <w:sz w:val="24"/>
          <w:highlight w:val="none"/>
          <w:lang w:val="zh-CN"/>
        </w:rPr>
        <w:t xml:space="preserve">                  </w:t>
      </w:r>
    </w:p>
    <w:p w14:paraId="4072E725">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2B0989AD">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256D4B6B">
      <w:pPr>
        <w:spacing w:line="560" w:lineRule="exact"/>
        <w:ind w:firstLine="480"/>
        <w:rPr>
          <w:rFonts w:hint="eastAsia"/>
          <w:color w:val="auto"/>
          <w:sz w:val="24"/>
          <w:szCs w:val="20"/>
          <w:highlight w:val="none"/>
          <w:lang w:val="en-US" w:eastAsia="zh-CN"/>
        </w:rPr>
      </w:pPr>
      <w:r>
        <w:rPr>
          <w:color w:val="auto"/>
          <w:sz w:val="24"/>
          <w:szCs w:val="20"/>
          <w:highlight w:val="none"/>
        </w:rPr>
        <w:br w:type="page" w:clear="all"/>
      </w:r>
      <w:r>
        <w:rPr>
          <w:rFonts w:hint="eastAsia"/>
          <w:color w:val="auto"/>
          <w:sz w:val="24"/>
          <w:szCs w:val="20"/>
          <w:highlight w:val="none"/>
        </w:rPr>
        <w:t>1</w:t>
      </w:r>
      <w:r>
        <w:rPr>
          <w:rFonts w:hint="eastAsia"/>
          <w:color w:val="auto"/>
          <w:sz w:val="24"/>
          <w:szCs w:val="20"/>
          <w:highlight w:val="none"/>
          <w:lang w:val="en-US" w:eastAsia="zh-CN"/>
        </w:rPr>
        <w:t>2</w:t>
      </w:r>
      <w:r>
        <w:rPr>
          <w:color w:val="auto"/>
          <w:sz w:val="24"/>
          <w:szCs w:val="20"/>
          <w:highlight w:val="none"/>
        </w:rPr>
        <w:t xml:space="preserve">  </w:t>
      </w:r>
      <w:r>
        <w:rPr>
          <w:rFonts w:hint="eastAsia"/>
          <w:color w:val="auto"/>
          <w:sz w:val="24"/>
          <w:szCs w:val="20"/>
          <w:highlight w:val="none"/>
        </w:rPr>
        <w:t>项目实施方案等</w:t>
      </w:r>
      <w:r>
        <w:rPr>
          <w:rFonts w:hint="eastAsia"/>
          <w:color w:val="auto"/>
          <w:sz w:val="24"/>
          <w:szCs w:val="20"/>
          <w:highlight w:val="none"/>
          <w:lang w:eastAsia="zh-CN"/>
        </w:rPr>
        <w:t>，包括但不限于如下主题：</w:t>
      </w:r>
    </w:p>
    <w:p w14:paraId="2C8A031E">
      <w:pPr>
        <w:spacing w:line="560" w:lineRule="exact"/>
        <w:ind w:firstLine="480"/>
        <w:rPr>
          <w:rFonts w:hint="default"/>
          <w:color w:val="auto"/>
          <w:sz w:val="24"/>
          <w:szCs w:val="20"/>
          <w:highlight w:val="none"/>
          <w:lang w:val="en-US" w:eastAsia="zh-CN"/>
        </w:rPr>
      </w:pPr>
      <w:r>
        <w:rPr>
          <w:rFonts w:hint="eastAsia"/>
          <w:color w:val="auto"/>
          <w:sz w:val="24"/>
          <w:szCs w:val="20"/>
          <w:highlight w:val="none"/>
        </w:rPr>
        <w:t>1）</w:t>
      </w:r>
      <w:r>
        <w:rPr>
          <w:rFonts w:hint="default"/>
          <w:color w:val="auto"/>
          <w:sz w:val="24"/>
          <w:szCs w:val="20"/>
          <w:highlight w:val="none"/>
          <w:lang w:val="en-US" w:eastAsia="zh-CN"/>
        </w:rPr>
        <w:t>总体概述</w:t>
      </w:r>
    </w:p>
    <w:p w14:paraId="06E9819E">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2</w:t>
      </w:r>
      <w:r>
        <w:rPr>
          <w:rFonts w:hint="eastAsia"/>
          <w:color w:val="auto"/>
          <w:sz w:val="24"/>
          <w:szCs w:val="20"/>
          <w:highlight w:val="none"/>
        </w:rPr>
        <w:t>）</w:t>
      </w:r>
      <w:r>
        <w:rPr>
          <w:rFonts w:hint="default"/>
          <w:color w:val="auto"/>
          <w:sz w:val="24"/>
          <w:szCs w:val="20"/>
          <w:highlight w:val="none"/>
          <w:lang w:val="en-US" w:eastAsia="zh-CN"/>
        </w:rPr>
        <w:t>施工进度计划和各阶段进度的保证措施</w:t>
      </w:r>
    </w:p>
    <w:p w14:paraId="35307731">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3</w:t>
      </w:r>
      <w:r>
        <w:rPr>
          <w:rFonts w:hint="eastAsia"/>
          <w:color w:val="auto"/>
          <w:sz w:val="24"/>
          <w:szCs w:val="20"/>
          <w:highlight w:val="none"/>
        </w:rPr>
        <w:t>）</w:t>
      </w:r>
      <w:r>
        <w:rPr>
          <w:rFonts w:hint="default"/>
          <w:color w:val="auto"/>
          <w:sz w:val="24"/>
          <w:szCs w:val="20"/>
          <w:highlight w:val="none"/>
          <w:lang w:val="en-US" w:eastAsia="zh-CN"/>
        </w:rPr>
        <w:t>施工质量保证措施</w:t>
      </w:r>
    </w:p>
    <w:p w14:paraId="0CA8458A">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4</w:t>
      </w:r>
      <w:r>
        <w:rPr>
          <w:rFonts w:hint="eastAsia"/>
          <w:color w:val="auto"/>
          <w:sz w:val="24"/>
          <w:szCs w:val="20"/>
          <w:highlight w:val="none"/>
        </w:rPr>
        <w:t>）</w:t>
      </w:r>
      <w:r>
        <w:rPr>
          <w:rFonts w:hint="default"/>
          <w:color w:val="auto"/>
          <w:sz w:val="24"/>
          <w:szCs w:val="20"/>
          <w:highlight w:val="none"/>
          <w:lang w:val="en-US" w:eastAsia="zh-CN"/>
        </w:rPr>
        <w:t>安全施工及文明环保措施</w:t>
      </w:r>
    </w:p>
    <w:p w14:paraId="6A935CF3">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5</w:t>
      </w:r>
      <w:r>
        <w:rPr>
          <w:rFonts w:hint="eastAsia"/>
          <w:color w:val="auto"/>
          <w:sz w:val="24"/>
          <w:szCs w:val="20"/>
          <w:highlight w:val="none"/>
        </w:rPr>
        <w:t>）</w:t>
      </w:r>
      <w:r>
        <w:rPr>
          <w:rFonts w:hint="default"/>
          <w:color w:val="auto"/>
          <w:sz w:val="24"/>
          <w:szCs w:val="20"/>
          <w:highlight w:val="none"/>
          <w:lang w:val="en-US" w:eastAsia="zh-CN"/>
        </w:rPr>
        <w:t>劳动力、机械设备和材料投入计划</w:t>
      </w:r>
    </w:p>
    <w:p w14:paraId="42B167A3">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6</w:t>
      </w:r>
      <w:r>
        <w:rPr>
          <w:rFonts w:hint="eastAsia"/>
          <w:color w:val="auto"/>
          <w:sz w:val="24"/>
          <w:szCs w:val="20"/>
          <w:highlight w:val="none"/>
        </w:rPr>
        <w:t>）</w:t>
      </w:r>
      <w:r>
        <w:rPr>
          <w:rFonts w:hint="default"/>
          <w:color w:val="auto"/>
          <w:sz w:val="24"/>
          <w:szCs w:val="20"/>
          <w:highlight w:val="none"/>
          <w:lang w:val="en-US" w:eastAsia="zh-CN"/>
        </w:rPr>
        <w:t>关键施工技术、工艺及工程项目实施的重点、难点和解决方案</w:t>
      </w:r>
    </w:p>
    <w:p w14:paraId="5CE48520">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7</w:t>
      </w:r>
      <w:r>
        <w:rPr>
          <w:rFonts w:hint="eastAsia"/>
          <w:color w:val="auto"/>
          <w:sz w:val="24"/>
          <w:szCs w:val="20"/>
          <w:highlight w:val="none"/>
        </w:rPr>
        <w:t>）</w:t>
      </w:r>
      <w:r>
        <w:rPr>
          <w:rFonts w:hint="default"/>
          <w:color w:val="auto"/>
          <w:sz w:val="24"/>
          <w:szCs w:val="20"/>
          <w:highlight w:val="none"/>
          <w:lang w:val="en-US" w:eastAsia="zh-CN"/>
        </w:rPr>
        <w:t>应急预案</w:t>
      </w:r>
    </w:p>
    <w:p w14:paraId="491B1241">
      <w:pPr>
        <w:spacing w:line="560" w:lineRule="exact"/>
        <w:ind w:firstLine="480"/>
        <w:rPr>
          <w:rFonts w:hint="eastAsia" w:eastAsia="宋体"/>
          <w:color w:val="auto"/>
          <w:sz w:val="24"/>
          <w:szCs w:val="20"/>
          <w:highlight w:val="none"/>
          <w:lang w:val="en-US" w:eastAsia="zh-CN"/>
        </w:rPr>
      </w:pPr>
      <w:r>
        <w:rPr>
          <w:rFonts w:hint="eastAsia"/>
          <w:color w:val="auto"/>
          <w:sz w:val="24"/>
          <w:szCs w:val="20"/>
          <w:highlight w:val="none"/>
          <w:lang w:val="en-US" w:eastAsia="zh-CN"/>
        </w:rPr>
        <w:t>8</w:t>
      </w:r>
      <w:r>
        <w:rPr>
          <w:rFonts w:hint="eastAsia"/>
          <w:color w:val="auto"/>
          <w:sz w:val="24"/>
          <w:szCs w:val="20"/>
          <w:highlight w:val="none"/>
        </w:rPr>
        <w:t>）</w:t>
      </w:r>
      <w:r>
        <w:rPr>
          <w:rFonts w:hint="eastAsia"/>
          <w:color w:val="auto"/>
          <w:sz w:val="24"/>
          <w:szCs w:val="20"/>
          <w:highlight w:val="none"/>
          <w:lang w:val="en-US" w:eastAsia="zh-CN"/>
        </w:rPr>
        <w:t>其他</w:t>
      </w:r>
    </w:p>
    <w:p w14:paraId="02E2CD40">
      <w:pPr>
        <w:pStyle w:val="4"/>
        <w:rPr>
          <w:rFonts w:hint="eastAsia"/>
          <w:color w:val="auto"/>
          <w:highlight w:val="none"/>
        </w:rPr>
      </w:pPr>
    </w:p>
    <w:p w14:paraId="5365A1AE">
      <w:pPr>
        <w:rPr>
          <w:color w:val="auto"/>
          <w:sz w:val="24"/>
          <w:szCs w:val="20"/>
          <w:highlight w:val="none"/>
        </w:rPr>
      </w:pPr>
      <w:r>
        <w:rPr>
          <w:rFonts w:hint="eastAsia"/>
          <w:color w:val="auto"/>
          <w:sz w:val="24"/>
          <w:szCs w:val="20"/>
          <w:highlight w:val="none"/>
        </w:rPr>
        <w:br w:type="page" w:clear="all"/>
      </w:r>
      <w:r>
        <w:rPr>
          <w:rFonts w:hint="eastAsia"/>
          <w:color w:val="auto"/>
          <w:sz w:val="24"/>
          <w:szCs w:val="20"/>
          <w:highlight w:val="none"/>
        </w:rPr>
        <w:t>1</w:t>
      </w:r>
      <w:r>
        <w:rPr>
          <w:rFonts w:hint="eastAsia"/>
          <w:color w:val="auto"/>
          <w:sz w:val="24"/>
          <w:szCs w:val="20"/>
          <w:highlight w:val="none"/>
          <w:lang w:val="en-US" w:eastAsia="zh-CN"/>
        </w:rPr>
        <w:t>3</w:t>
      </w:r>
      <w:r>
        <w:rPr>
          <w:rFonts w:hint="eastAsia"/>
          <w:color w:val="auto"/>
          <w:sz w:val="24"/>
          <w:szCs w:val="20"/>
          <w:highlight w:val="none"/>
        </w:rPr>
        <w:t xml:space="preserve">  参加本项目人员一览表</w:t>
      </w:r>
    </w:p>
    <w:p w14:paraId="4B7CC213">
      <w:pPr>
        <w:spacing w:line="360" w:lineRule="auto"/>
        <w:jc w:val="center"/>
        <w:rPr>
          <w:rFonts w:hint="eastAsia" w:ascii="宋体" w:hAnsi="宋体"/>
          <w:b/>
          <w:color w:val="auto"/>
          <w:sz w:val="32"/>
          <w:szCs w:val="32"/>
          <w:highlight w:val="none"/>
        </w:rPr>
      </w:pPr>
    </w:p>
    <w:p w14:paraId="3DD1B085">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025C5FE0">
      <w:pPr>
        <w:spacing w:line="360" w:lineRule="auto"/>
        <w:rPr>
          <w:rFonts w:ascii="宋体" w:hAnsi="宋体"/>
          <w:color w:val="auto"/>
          <w:sz w:val="22"/>
          <w:highlight w:val="none"/>
        </w:rPr>
      </w:pPr>
    </w:p>
    <w:p w14:paraId="5EEF988D">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0"/>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7BF4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135D49D1">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3E5D06">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9025258">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383165A">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B7440AE">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C4AE3C">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469FFA9">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62D83C">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365E37">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1EE82160">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F72235C">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4B02A066">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35090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A537E9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4CC9F9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0793D3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E71A46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8A83A4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5586C6E">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54C469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1613754">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040BAF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5647F29">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47AC6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A698C7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08435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82B9E23">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3C70F3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222D8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461E5A8">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55797C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754114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A04138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D5B50A3">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DA0B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377EBB56">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3892FB3">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02C351">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A203C5B">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AF7E68">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68DE7B0">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5E81CBF">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4F2C91F">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C95F9B6">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1151F17">
            <w:pPr>
              <w:tabs>
                <w:tab w:val="left" w:pos="9765"/>
              </w:tabs>
              <w:spacing w:line="360" w:lineRule="auto"/>
              <w:rPr>
                <w:rFonts w:ascii="宋体" w:hAnsi="宋体" w:cs="宋体"/>
                <w:color w:val="auto"/>
                <w:sz w:val="24"/>
                <w:highlight w:val="none"/>
              </w:rPr>
            </w:pPr>
          </w:p>
        </w:tc>
      </w:tr>
      <w:tr w14:paraId="12CBE1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FA4C5A3">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0A20159">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C23262">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A09BC29">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9A1179D">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ACBD64E">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5E78F5A">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19D23">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F8E52B8">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54A90D">
            <w:pPr>
              <w:tabs>
                <w:tab w:val="left" w:pos="9765"/>
              </w:tabs>
              <w:spacing w:line="360" w:lineRule="auto"/>
              <w:rPr>
                <w:rFonts w:ascii="宋体" w:hAnsi="宋体" w:cs="宋体"/>
                <w:color w:val="auto"/>
                <w:sz w:val="24"/>
                <w:highlight w:val="none"/>
              </w:rPr>
            </w:pPr>
          </w:p>
        </w:tc>
      </w:tr>
      <w:tr w14:paraId="284385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ABF603A">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9A165E5">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D613E47">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F3AFD85">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4D6B018">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1C112F8">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998FD6E">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AD900F4">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B1DDA47">
            <w:pPr>
              <w:tabs>
                <w:tab w:val="left" w:pos="9765"/>
              </w:tabs>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47B7BCF">
            <w:pPr>
              <w:tabs>
                <w:tab w:val="left" w:pos="9765"/>
              </w:tabs>
              <w:spacing w:line="360" w:lineRule="auto"/>
              <w:rPr>
                <w:rFonts w:ascii="宋体" w:hAnsi="宋体" w:cs="宋体"/>
                <w:color w:val="auto"/>
                <w:sz w:val="24"/>
                <w:highlight w:val="none"/>
              </w:rPr>
            </w:pPr>
          </w:p>
        </w:tc>
      </w:tr>
      <w:tr w14:paraId="18FF7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D19D4B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FC8D7E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148584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313C3C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C54B5FD">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2BB603D">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D689FF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752D76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DFB099">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7ABEF4E">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41D5DB92">
      <w:pPr>
        <w:tabs>
          <w:tab w:val="left" w:pos="9765"/>
        </w:tabs>
        <w:rPr>
          <w:rFonts w:ascii="宋体" w:hAnsi="宋体" w:cs="宋体"/>
          <w:b/>
          <w:color w:val="auto"/>
          <w:sz w:val="24"/>
          <w:highlight w:val="none"/>
          <w:lang w:val="zh-CN"/>
        </w:rPr>
      </w:pPr>
    </w:p>
    <w:p w14:paraId="7C988453">
      <w:pPr>
        <w:tabs>
          <w:tab w:val="left" w:pos="9765"/>
        </w:tabs>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注：参加本项目人员须是供应商正式职工。</w:t>
      </w:r>
    </w:p>
    <w:p w14:paraId="3D562AD7">
      <w:pPr>
        <w:spacing w:line="360" w:lineRule="auto"/>
        <w:rPr>
          <w:rFonts w:ascii="宋体" w:hAnsi="宋体"/>
          <w:color w:val="auto"/>
          <w:sz w:val="24"/>
          <w:highlight w:val="none"/>
        </w:rPr>
      </w:pPr>
    </w:p>
    <w:p w14:paraId="1410DB3D">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5522EBD6">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33EEF9BE">
      <w:pPr>
        <w:rPr>
          <w:color w:val="auto"/>
          <w:sz w:val="24"/>
          <w:szCs w:val="20"/>
          <w:highlight w:val="none"/>
        </w:rPr>
      </w:pPr>
      <w:r>
        <w:rPr>
          <w:color w:val="auto"/>
          <w:sz w:val="22"/>
          <w:highlight w:val="none"/>
        </w:rPr>
        <w:br w:type="page" w:clear="all"/>
      </w:r>
      <w:bookmarkStart w:id="1232" w:name="_Toc288738839"/>
      <w:bookmarkStart w:id="1233" w:name="_Toc288738397"/>
      <w:r>
        <w:rPr>
          <w:rFonts w:hint="eastAsia"/>
          <w:color w:val="auto"/>
          <w:sz w:val="24"/>
          <w:szCs w:val="20"/>
          <w:highlight w:val="none"/>
        </w:rPr>
        <w:t>1</w:t>
      </w:r>
      <w:r>
        <w:rPr>
          <w:rFonts w:hint="eastAsia"/>
          <w:color w:val="auto"/>
          <w:sz w:val="24"/>
          <w:szCs w:val="20"/>
          <w:highlight w:val="none"/>
          <w:lang w:val="en-US" w:eastAsia="zh-CN"/>
        </w:rPr>
        <w:t>4</w:t>
      </w:r>
      <w:r>
        <w:rPr>
          <w:rFonts w:hint="eastAsia"/>
          <w:color w:val="auto"/>
          <w:sz w:val="24"/>
          <w:szCs w:val="20"/>
          <w:highlight w:val="none"/>
        </w:rPr>
        <w:t xml:space="preserve">  相关业绩案例一览表</w:t>
      </w:r>
    </w:p>
    <w:p w14:paraId="3B8E86E7">
      <w:pPr>
        <w:rPr>
          <w:color w:val="auto"/>
          <w:sz w:val="24"/>
          <w:szCs w:val="20"/>
          <w:highlight w:val="none"/>
        </w:rPr>
      </w:pPr>
    </w:p>
    <w:p w14:paraId="358DB4CD">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1232"/>
      <w:bookmarkEnd w:id="1233"/>
    </w:p>
    <w:p w14:paraId="113E975E">
      <w:pPr>
        <w:spacing w:line="360" w:lineRule="auto"/>
        <w:jc w:val="center"/>
        <w:rPr>
          <w:rFonts w:ascii="宋体" w:hAnsi="宋体"/>
          <w:b/>
          <w:color w:val="auto"/>
          <w:sz w:val="28"/>
          <w:szCs w:val="30"/>
          <w:highlight w:val="none"/>
        </w:rPr>
      </w:pPr>
    </w:p>
    <w:p w14:paraId="3195992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0"/>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2D7ACC8C">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56350D2F">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D68B8B6">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DF943B7">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2C6EE9C">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1A0120A0">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15C2447">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622577E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41DED8E">
            <w:pPr>
              <w:tabs>
                <w:tab w:val="left" w:pos="9765"/>
              </w:tabs>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8B41B23">
            <w:pPr>
              <w:tabs>
                <w:tab w:val="left" w:pos="9765"/>
              </w:tabs>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3542E55E">
            <w:pPr>
              <w:tabs>
                <w:tab w:val="left" w:pos="9765"/>
              </w:tabs>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160E594B">
            <w:pPr>
              <w:tabs>
                <w:tab w:val="left" w:pos="9765"/>
              </w:tabs>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C547A6A">
            <w:pPr>
              <w:tabs>
                <w:tab w:val="left" w:pos="9765"/>
              </w:tabs>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44B82E4">
            <w:pPr>
              <w:tabs>
                <w:tab w:val="left" w:pos="9765"/>
              </w:tabs>
              <w:spacing w:line="360" w:lineRule="auto"/>
              <w:ind w:hanging="523"/>
              <w:jc w:val="center"/>
              <w:rPr>
                <w:rFonts w:ascii="宋体" w:hAnsi="宋体" w:cs="宋体"/>
                <w:color w:val="auto"/>
                <w:sz w:val="24"/>
                <w:highlight w:val="none"/>
              </w:rPr>
            </w:pPr>
          </w:p>
        </w:tc>
      </w:tr>
      <w:tr w14:paraId="5F581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FB5AB6A">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C1BF876">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17969BB">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FCFFD1F">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6AFFE38">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5E86448">
            <w:pPr>
              <w:tabs>
                <w:tab w:val="left" w:pos="9765"/>
              </w:tabs>
              <w:spacing w:line="360" w:lineRule="auto"/>
              <w:rPr>
                <w:rFonts w:ascii="宋体" w:hAnsi="宋体" w:cs="宋体"/>
                <w:color w:val="auto"/>
                <w:sz w:val="24"/>
                <w:highlight w:val="none"/>
              </w:rPr>
            </w:pPr>
          </w:p>
        </w:tc>
      </w:tr>
      <w:tr w14:paraId="367FBFC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ED05B61">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E636127">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87EA856">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6D6B765">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6681AB26">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499F250">
            <w:pPr>
              <w:tabs>
                <w:tab w:val="left" w:pos="9765"/>
              </w:tabs>
              <w:spacing w:line="360" w:lineRule="auto"/>
              <w:rPr>
                <w:rFonts w:ascii="宋体" w:hAnsi="宋体" w:cs="宋体"/>
                <w:color w:val="auto"/>
                <w:sz w:val="24"/>
                <w:highlight w:val="none"/>
              </w:rPr>
            </w:pPr>
          </w:p>
        </w:tc>
      </w:tr>
      <w:tr w14:paraId="76E0665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9A439FD">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A713A47">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7667F45">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D3833A1">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17CA1AD">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3BCCDDD9">
            <w:pPr>
              <w:tabs>
                <w:tab w:val="left" w:pos="9765"/>
              </w:tabs>
              <w:spacing w:line="360" w:lineRule="auto"/>
              <w:rPr>
                <w:rFonts w:ascii="宋体" w:hAnsi="宋体" w:cs="宋体"/>
                <w:color w:val="auto"/>
                <w:sz w:val="24"/>
                <w:highlight w:val="none"/>
              </w:rPr>
            </w:pPr>
          </w:p>
        </w:tc>
      </w:tr>
      <w:tr w14:paraId="036EA44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5485EA8">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16F21CB">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514A3F0">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7EE6303">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FE5E4B9">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7564184">
            <w:pPr>
              <w:tabs>
                <w:tab w:val="left" w:pos="9765"/>
              </w:tabs>
              <w:spacing w:line="360" w:lineRule="auto"/>
              <w:rPr>
                <w:rFonts w:ascii="宋体" w:hAnsi="宋体" w:cs="宋体"/>
                <w:color w:val="auto"/>
                <w:sz w:val="24"/>
                <w:highlight w:val="none"/>
              </w:rPr>
            </w:pPr>
          </w:p>
        </w:tc>
      </w:tr>
      <w:tr w14:paraId="28C5531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E4E7E5D">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D944A53">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E82BAAD">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732C578">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E2BFDD4">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A23B1E5">
            <w:pPr>
              <w:tabs>
                <w:tab w:val="left" w:pos="9765"/>
              </w:tabs>
              <w:spacing w:line="360" w:lineRule="auto"/>
              <w:rPr>
                <w:rFonts w:ascii="宋体" w:hAnsi="宋体" w:cs="宋体"/>
                <w:color w:val="auto"/>
                <w:sz w:val="24"/>
                <w:highlight w:val="none"/>
              </w:rPr>
            </w:pPr>
          </w:p>
        </w:tc>
      </w:tr>
      <w:tr w14:paraId="01F930D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DE06E74">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5EB53DD">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8AB813F">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484A7C8">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CFD1858">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4A0756B">
            <w:pPr>
              <w:tabs>
                <w:tab w:val="left" w:pos="9765"/>
              </w:tabs>
              <w:spacing w:line="360" w:lineRule="auto"/>
              <w:rPr>
                <w:rFonts w:ascii="宋体" w:hAnsi="宋体" w:cs="宋体"/>
                <w:color w:val="auto"/>
                <w:sz w:val="24"/>
                <w:highlight w:val="none"/>
              </w:rPr>
            </w:pPr>
          </w:p>
        </w:tc>
      </w:tr>
      <w:tr w14:paraId="581EB11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56D119C">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3923A76">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394A484">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88AB0D7">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9F726C7">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69FEB736">
            <w:pPr>
              <w:tabs>
                <w:tab w:val="left" w:pos="9765"/>
              </w:tabs>
              <w:spacing w:line="360" w:lineRule="auto"/>
              <w:rPr>
                <w:rFonts w:ascii="宋体" w:hAnsi="宋体" w:cs="宋体"/>
                <w:color w:val="auto"/>
                <w:sz w:val="24"/>
                <w:highlight w:val="none"/>
              </w:rPr>
            </w:pPr>
          </w:p>
        </w:tc>
      </w:tr>
      <w:tr w14:paraId="7E99512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02814EF">
            <w:pPr>
              <w:tabs>
                <w:tab w:val="left" w:pos="9765"/>
              </w:tabs>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439DA2E">
            <w:pPr>
              <w:tabs>
                <w:tab w:val="left" w:pos="9765"/>
              </w:tabs>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E870166">
            <w:pPr>
              <w:tabs>
                <w:tab w:val="left" w:pos="9765"/>
              </w:tabs>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5373383">
            <w:pPr>
              <w:tabs>
                <w:tab w:val="left" w:pos="9765"/>
              </w:tabs>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02D5605">
            <w:pPr>
              <w:tabs>
                <w:tab w:val="left" w:pos="9765"/>
              </w:tabs>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1CECE91">
            <w:pPr>
              <w:tabs>
                <w:tab w:val="left" w:pos="9765"/>
              </w:tabs>
              <w:spacing w:line="360" w:lineRule="auto"/>
              <w:rPr>
                <w:rFonts w:ascii="宋体" w:hAnsi="宋体" w:cs="宋体"/>
                <w:color w:val="auto"/>
                <w:sz w:val="24"/>
                <w:highlight w:val="none"/>
              </w:rPr>
            </w:pPr>
          </w:p>
        </w:tc>
      </w:tr>
    </w:tbl>
    <w:p w14:paraId="16D615F5">
      <w:pPr>
        <w:tabs>
          <w:tab w:val="left" w:pos="9765"/>
        </w:tabs>
        <w:rPr>
          <w:rFonts w:ascii="宋体" w:hAnsi="宋体" w:cs="宋体"/>
          <w:color w:val="auto"/>
          <w:sz w:val="24"/>
          <w:highlight w:val="none"/>
          <w:lang w:val="zh-CN"/>
        </w:rPr>
      </w:pPr>
    </w:p>
    <w:p w14:paraId="256DF9C3">
      <w:pPr>
        <w:spacing w:line="360" w:lineRule="auto"/>
        <w:rPr>
          <w:rFonts w:ascii="宋体" w:hAnsi="宋体" w:cs="宋体"/>
          <w:color w:val="auto"/>
          <w:sz w:val="24"/>
          <w:highlight w:val="none"/>
        </w:rPr>
      </w:pPr>
    </w:p>
    <w:p w14:paraId="033C01D6">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6AEE8AED">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335FD068">
      <w:pPr>
        <w:spacing w:line="360" w:lineRule="auto"/>
        <w:rPr>
          <w:color w:val="auto"/>
          <w:sz w:val="24"/>
          <w:highlight w:val="none"/>
        </w:rPr>
      </w:pPr>
      <w:r>
        <w:rPr>
          <w:color w:val="auto"/>
          <w:sz w:val="24"/>
          <w:highlight w:val="none"/>
        </w:rPr>
        <w:br w:type="page" w:clear="all"/>
      </w:r>
      <w:r>
        <w:rPr>
          <w:color w:val="auto"/>
          <w:sz w:val="24"/>
          <w:szCs w:val="20"/>
          <w:highlight w:val="none"/>
        </w:rPr>
        <w:t>1</w:t>
      </w:r>
      <w:r>
        <w:rPr>
          <w:rFonts w:hint="eastAsia"/>
          <w:color w:val="auto"/>
          <w:sz w:val="24"/>
          <w:szCs w:val="20"/>
          <w:highlight w:val="none"/>
          <w:lang w:val="en-US" w:eastAsia="zh-CN"/>
        </w:rPr>
        <w:t>5</w:t>
      </w:r>
      <w:r>
        <w:rPr>
          <w:color w:val="auto"/>
          <w:sz w:val="24"/>
          <w:szCs w:val="20"/>
          <w:highlight w:val="none"/>
        </w:rPr>
        <w:t xml:space="preserve"> 磋商文件要求提供或供应商认为应附的其他材料</w:t>
      </w:r>
    </w:p>
    <w:p w14:paraId="1C2C5C6F">
      <w:pPr>
        <w:rPr>
          <w:b/>
          <w:color w:val="auto"/>
          <w:sz w:val="36"/>
          <w:szCs w:val="36"/>
          <w:highlight w:val="none"/>
        </w:rPr>
        <w:sectPr>
          <w:pgSz w:w="11907" w:h="16840" w:orient="landscape"/>
          <w:pgMar w:top="1418" w:right="1134" w:bottom="1418" w:left="1701" w:header="851" w:footer="851" w:gutter="0"/>
          <w:cols w:space="720" w:num="1"/>
        </w:sectPr>
      </w:pPr>
    </w:p>
    <w:p w14:paraId="091792DB">
      <w:pPr>
        <w:spacing w:before="240" w:after="240" w:line="360" w:lineRule="auto"/>
        <w:jc w:val="left"/>
        <w:rPr>
          <w:rFonts w:hint="default" w:eastAsia="宋体"/>
          <w:b/>
          <w:bCs/>
          <w:color w:val="auto"/>
          <w:sz w:val="36"/>
          <w:szCs w:val="36"/>
          <w:highlight w:val="none"/>
          <w:lang w:val="en-US" w:eastAsia="zh-CN"/>
        </w:rPr>
      </w:pPr>
      <w:r>
        <w:rPr>
          <w:color w:val="auto"/>
          <w:sz w:val="24"/>
          <w:szCs w:val="20"/>
          <w:highlight w:val="none"/>
        </w:rPr>
        <w:t>1</w:t>
      </w:r>
      <w:r>
        <w:rPr>
          <w:rFonts w:hint="eastAsia"/>
          <w:color w:val="auto"/>
          <w:sz w:val="24"/>
          <w:szCs w:val="20"/>
          <w:highlight w:val="none"/>
          <w:lang w:val="en-US" w:eastAsia="zh-CN"/>
        </w:rPr>
        <w:t>6</w:t>
      </w:r>
      <w:r>
        <w:rPr>
          <w:color w:val="auto"/>
          <w:sz w:val="24"/>
          <w:szCs w:val="20"/>
          <w:highlight w:val="none"/>
        </w:rPr>
        <w:t xml:space="preserve"> </w:t>
      </w:r>
      <w:r>
        <w:rPr>
          <w:rFonts w:hint="eastAsia"/>
          <w:color w:val="auto"/>
          <w:sz w:val="24"/>
          <w:szCs w:val="20"/>
          <w:highlight w:val="none"/>
          <w:lang w:val="en-US" w:eastAsia="zh-CN"/>
        </w:rPr>
        <w:t>企业声明函</w:t>
      </w:r>
    </w:p>
    <w:p w14:paraId="3C0C1D1F">
      <w:pPr>
        <w:spacing w:before="240" w:after="240" w:line="360" w:lineRule="auto"/>
        <w:jc w:val="center"/>
        <w:rPr>
          <w:b/>
          <w:bCs/>
          <w:color w:val="auto"/>
          <w:sz w:val="36"/>
          <w:szCs w:val="36"/>
          <w:highlight w:val="none"/>
        </w:rPr>
      </w:pPr>
      <w:r>
        <w:rPr>
          <w:rFonts w:hint="eastAsia"/>
          <w:b/>
          <w:bCs/>
          <w:color w:val="auto"/>
          <w:sz w:val="36"/>
          <w:szCs w:val="36"/>
          <w:highlight w:val="none"/>
        </w:rPr>
        <w:t>中小企业声明函</w:t>
      </w:r>
    </w:p>
    <w:p w14:paraId="6114D818">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4CB2809">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14:paraId="6A6EF9F1">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1378BC1A">
      <w:pPr>
        <w:spacing w:line="360" w:lineRule="auto"/>
        <w:ind w:firstLine="504"/>
        <w:rPr>
          <w:color w:val="auto"/>
          <w:spacing w:val="6"/>
          <w:sz w:val="24"/>
          <w:highlight w:val="none"/>
        </w:rPr>
      </w:pPr>
    </w:p>
    <w:p w14:paraId="33BEB27D">
      <w:pPr>
        <w:spacing w:line="360" w:lineRule="auto"/>
        <w:ind w:firstLine="504"/>
        <w:rPr>
          <w:color w:val="auto"/>
          <w:spacing w:val="6"/>
          <w:sz w:val="24"/>
          <w:highlight w:val="none"/>
        </w:rPr>
      </w:pPr>
      <w:r>
        <w:rPr>
          <w:color w:val="auto"/>
          <w:spacing w:val="6"/>
          <w:sz w:val="24"/>
          <w:highlight w:val="none"/>
        </w:rPr>
        <w:t>……</w:t>
      </w:r>
    </w:p>
    <w:p w14:paraId="25FA639A">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50D3D291">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001D4131">
      <w:pPr>
        <w:spacing w:line="360" w:lineRule="auto"/>
        <w:ind w:right="360" w:firstLine="480"/>
        <w:jc w:val="right"/>
        <w:rPr>
          <w:color w:val="auto"/>
          <w:sz w:val="24"/>
          <w:highlight w:val="none"/>
        </w:rPr>
      </w:pPr>
    </w:p>
    <w:p w14:paraId="3EC26753">
      <w:pPr>
        <w:spacing w:line="360" w:lineRule="auto"/>
        <w:ind w:right="360" w:firstLine="480"/>
        <w:jc w:val="right"/>
        <w:rPr>
          <w:color w:val="auto"/>
          <w:sz w:val="24"/>
          <w:highlight w:val="none"/>
        </w:rPr>
      </w:pPr>
      <w:r>
        <w:rPr>
          <w:color w:val="auto"/>
          <w:sz w:val="24"/>
          <w:highlight w:val="none"/>
        </w:rPr>
        <w:t>企业名称（加盖公章）：________</w:t>
      </w:r>
    </w:p>
    <w:p w14:paraId="18A8C7E4">
      <w:pPr>
        <w:spacing w:line="360" w:lineRule="auto"/>
        <w:ind w:right="360" w:firstLine="480"/>
        <w:jc w:val="right"/>
        <w:rPr>
          <w:color w:val="auto"/>
          <w:sz w:val="24"/>
          <w:highlight w:val="none"/>
        </w:rPr>
      </w:pPr>
      <w:r>
        <w:rPr>
          <w:color w:val="auto"/>
          <w:sz w:val="24"/>
          <w:highlight w:val="none"/>
        </w:rPr>
        <w:t>日 期：________</w:t>
      </w:r>
    </w:p>
    <w:p w14:paraId="6F7592B2">
      <w:pPr>
        <w:jc w:val="left"/>
        <w:rPr>
          <w:color w:val="auto"/>
          <w:sz w:val="24"/>
          <w:szCs w:val="21"/>
          <w:highlight w:val="none"/>
        </w:rPr>
      </w:pPr>
    </w:p>
    <w:p w14:paraId="29DC81AC">
      <w:pPr>
        <w:jc w:val="left"/>
        <w:rPr>
          <w:color w:val="auto"/>
          <w:sz w:val="24"/>
          <w:szCs w:val="21"/>
          <w:highlight w:val="none"/>
        </w:rPr>
      </w:pPr>
    </w:p>
    <w:tbl>
      <w:tblPr>
        <w:tblStyle w:val="4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8E60D6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6DB7CD07">
            <w:pPr>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227E773B">
      <w:pPr>
        <w:rPr>
          <w:color w:val="auto"/>
          <w:highlight w:val="none"/>
        </w:rPr>
      </w:pPr>
    </w:p>
    <w:bookmarkEnd w:id="1234"/>
    <w:sectPr>
      <w:pgSz w:w="11907" w:h="16840" w:orient="landscape"/>
      <w:pgMar w:top="1418" w:right="1134" w:bottom="1418" w:left="1701"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IDFont+F4">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ESI黑体-GB2312">
    <w:altName w:val="黑体"/>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auto"/>
    <w:pitch w:val="default"/>
    <w:sig w:usb0="800001E3" w:usb1="1200FFEF" w:usb2="00040000" w:usb3="04000000" w:csb0="00000001" w:csb1="40000000"/>
  </w:font>
  <w:font w:name="KSOFBDAA233C">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D67F7">
    <w:pPr>
      <w:pStyle w:val="27"/>
      <w:framePr w:wrap="around" w:vAnchor="text" w:hAnchor="margin" w:xAlign="center" w:y="1"/>
      <w:rPr>
        <w:rStyle w:val="45"/>
      </w:rPr>
    </w:pPr>
    <w:r>
      <w:rPr>
        <w:rStyle w:val="45"/>
      </w:rPr>
      <w:fldChar w:fldCharType="begin"/>
    </w:r>
    <w:r>
      <w:rPr>
        <w:rStyle w:val="45"/>
      </w:rPr>
      <w:instrText xml:space="preserve">PAGE  </w:instrText>
    </w:r>
    <w:r>
      <w:rPr>
        <w:rStyle w:val="45"/>
      </w:rPr>
      <w:fldChar w:fldCharType="separate"/>
    </w:r>
    <w:r>
      <w:rPr>
        <w:rStyle w:val="45"/>
      </w:rPr>
      <w:t>- 2 -</w:t>
    </w:r>
    <w:r>
      <w:rPr>
        <w:rStyle w:val="45"/>
      </w:rPr>
      <w:fldChar w:fldCharType="end"/>
    </w:r>
  </w:p>
  <w:p w14:paraId="4FA06128">
    <w:pPr>
      <w:pStyle w:val="27"/>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7762A">
    <w:pPr>
      <w:pStyle w:val="27"/>
      <w:framePr w:wrap="around" w:vAnchor="text" w:hAnchor="margin" w:xAlign="center" w:y="1"/>
      <w:rPr>
        <w:rStyle w:val="45"/>
      </w:rPr>
    </w:pPr>
    <w:r>
      <w:fldChar w:fldCharType="begin"/>
    </w:r>
    <w:r>
      <w:rPr>
        <w:rStyle w:val="45"/>
      </w:rPr>
      <w:instrText xml:space="preserve">PAGE  </w:instrText>
    </w:r>
    <w:r>
      <w:fldChar w:fldCharType="end"/>
    </w:r>
  </w:p>
  <w:p w14:paraId="73FDB9C1">
    <w:pPr>
      <w:pStyle w:val="2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80176">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DD1A5">
    <w:pPr>
      <w:pStyle w:val="27"/>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94B0D3">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TsXjZ0gEAAKcDAAAOAAAAAAAAAAEAIAAAAB4BAABk&#10;cnMvZTJvRG9jLnhtbFBLBQYAAAAABgAGAFkBAABiBQAAAAA=&#10;">
              <v:fill on="f" focussize="0,0"/>
              <v:stroke on="f"/>
              <v:imagedata o:title=""/>
              <o:lock v:ext="edit" aspectratio="f"/>
              <v:textbox inset="0mm,0mm,0mm,0mm" style="mso-fit-shape-to-text:t;">
                <w:txbxContent>
                  <w:p w14:paraId="4F94B0D3">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10985">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31F182">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2fgs9E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mTxFYpI6HjnFoR4mejU0FyLS0xpU&#10;3NHWc2beOlI5bcxshNmoZ+Pkgz52eaVSPfSvSIGDzr2lWiPsVJjml9lNu5YW5M97znr4X7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F9n4LPRAQAApwMAAA4AAAAAAAAAAQAgAAAAHgEAAGRy&#10;cy9lMm9Eb2MueG1sUEsFBgAAAAAGAAYAWQEAAGEFAAAAAA==&#10;">
              <v:fill on="f" focussize="0,0"/>
              <v:stroke on="f"/>
              <v:imagedata o:title=""/>
              <o:lock v:ext="edit" aspectratio="f"/>
              <v:textbox inset="0mm,0mm,0mm,0mm" style="mso-fit-shape-to-text:t;">
                <w:txbxContent>
                  <w:p w14:paraId="1731F182">
                    <w:pPr>
                      <w:pStyle w:val="27"/>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42B97">
    <w:pPr>
      <w:pStyle w:val="28"/>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69812">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A70DC">
    <w:pPr>
      <w:pStyle w:val="28"/>
      <w:pBdr>
        <w:bottom w:val="none" w:color="000000"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pPr>
        <w:tabs>
          <w:tab w:val="left" w:pos="312"/>
        </w:tabs>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2">
    <w:nsid w:val="C46D1D77"/>
    <w:multiLevelType w:val="singleLevel"/>
    <w:tmpl w:val="C46D1D77"/>
    <w:lvl w:ilvl="0" w:tentative="0">
      <w:start w:val="1"/>
      <w:numFmt w:val="decimal"/>
      <w:suff w:val="nothing"/>
      <w:lvlText w:val="%1、"/>
      <w:lvlJc w:val="left"/>
    </w:lvl>
  </w:abstractNum>
  <w:abstractNum w:abstractNumId="3">
    <w:nsid w:val="CF092B84"/>
    <w:multiLevelType w:val="multilevel"/>
    <w:tmpl w:val="CF092B84"/>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default" w:asciiTheme="majorEastAsia" w:hAnsiTheme="majorEastAsia" w:eastAsiaTheme="majorEastAsia" w:cstheme="majorEastAsia"/>
        <w:sz w:val="24"/>
        <w:szCs w:val="24"/>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4">
    <w:nsid w:val="0053208E"/>
    <w:multiLevelType w:val="multilevel"/>
    <w:tmpl w:val="0053208E"/>
    <w:lvl w:ilvl="0" w:tentative="0">
      <w:start w:val="1"/>
      <w:numFmt w:val="chineseCountingThousand"/>
      <w:suff w:val="space"/>
      <w:lvlText w:val="第%1章"/>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pStyle w:val="5"/>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5">
    <w:nsid w:val="59ADCABA"/>
    <w:multiLevelType w:val="multilevel"/>
    <w:tmpl w:val="59ADCABA"/>
    <w:lvl w:ilvl="0" w:tentative="0">
      <w:start w:val="1"/>
      <w:numFmt w:val="japaneseCounting"/>
      <w:suff w:val="space"/>
      <w:lvlText w:val="第%1章"/>
      <w:lvlJc w:val="left"/>
      <w:pPr>
        <w:tabs>
          <w:tab w:val="left" w:pos="4941"/>
        </w:tabs>
        <w:ind w:left="4941" w:hanging="1140"/>
      </w:pPr>
      <w:rPr>
        <w:rFonts w:hint="eastAsia"/>
      </w:rPr>
    </w:lvl>
    <w:lvl w:ilvl="1" w:tentative="0">
      <w:start w:val="1"/>
      <w:numFmt w:val="lowerLetter"/>
      <w:suff w:val="space"/>
      <w:lvlText w:val="%2)"/>
      <w:lvlJc w:val="left"/>
      <w:pPr>
        <w:tabs>
          <w:tab w:val="left" w:pos="4641"/>
        </w:tabs>
        <w:ind w:left="4641" w:hanging="420"/>
      </w:pPr>
    </w:lvl>
    <w:lvl w:ilvl="2" w:tentative="0">
      <w:start w:val="1"/>
      <w:numFmt w:val="lowerRoman"/>
      <w:suff w:val="space"/>
      <w:lvlText w:val="%3."/>
      <w:lvlJc w:val="right"/>
      <w:pPr>
        <w:tabs>
          <w:tab w:val="left" w:pos="5061"/>
        </w:tabs>
        <w:ind w:left="5061" w:hanging="420"/>
      </w:pPr>
    </w:lvl>
    <w:lvl w:ilvl="3" w:tentative="0">
      <w:start w:val="1"/>
      <w:numFmt w:val="decimal"/>
      <w:suff w:val="space"/>
      <w:lvlText w:val="%4."/>
      <w:lvlJc w:val="left"/>
      <w:pPr>
        <w:tabs>
          <w:tab w:val="left" w:pos="5481"/>
        </w:tabs>
        <w:ind w:left="5481" w:hanging="420"/>
      </w:pPr>
    </w:lvl>
    <w:lvl w:ilvl="4" w:tentative="0">
      <w:start w:val="1"/>
      <w:numFmt w:val="lowerLetter"/>
      <w:suff w:val="space"/>
      <w:lvlText w:val="%5)"/>
      <w:lvlJc w:val="left"/>
      <w:pPr>
        <w:tabs>
          <w:tab w:val="left" w:pos="5901"/>
        </w:tabs>
        <w:ind w:left="5901" w:hanging="420"/>
      </w:pPr>
    </w:lvl>
    <w:lvl w:ilvl="5" w:tentative="0">
      <w:start w:val="1"/>
      <w:numFmt w:val="lowerRoman"/>
      <w:suff w:val="space"/>
      <w:lvlText w:val="%6."/>
      <w:lvlJc w:val="right"/>
      <w:pPr>
        <w:tabs>
          <w:tab w:val="left" w:pos="6321"/>
        </w:tabs>
        <w:ind w:left="6321" w:hanging="420"/>
      </w:pPr>
    </w:lvl>
    <w:lvl w:ilvl="6" w:tentative="0">
      <w:start w:val="1"/>
      <w:numFmt w:val="decimal"/>
      <w:suff w:val="space"/>
      <w:lvlText w:val="%7."/>
      <w:lvlJc w:val="left"/>
      <w:pPr>
        <w:tabs>
          <w:tab w:val="left" w:pos="6741"/>
        </w:tabs>
        <w:ind w:left="6741" w:hanging="420"/>
      </w:pPr>
    </w:lvl>
    <w:lvl w:ilvl="7" w:tentative="0">
      <w:start w:val="1"/>
      <w:numFmt w:val="lowerLetter"/>
      <w:suff w:val="space"/>
      <w:lvlText w:val="%8)"/>
      <w:lvlJc w:val="left"/>
      <w:pPr>
        <w:tabs>
          <w:tab w:val="left" w:pos="7161"/>
        </w:tabs>
        <w:ind w:left="7161" w:hanging="420"/>
      </w:pPr>
    </w:lvl>
    <w:lvl w:ilvl="8" w:tentative="0">
      <w:start w:val="1"/>
      <w:numFmt w:val="lowerRoman"/>
      <w:suff w:val="space"/>
      <w:lvlText w:val="%9."/>
      <w:lvlJc w:val="right"/>
      <w:pPr>
        <w:tabs>
          <w:tab w:val="left" w:pos="7581"/>
        </w:tabs>
        <w:ind w:left="7581" w:hanging="420"/>
      </w:p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96CDA"/>
    <w:rsid w:val="05C31CD9"/>
    <w:rsid w:val="077010BF"/>
    <w:rsid w:val="0D7955A8"/>
    <w:rsid w:val="0E9F5DF3"/>
    <w:rsid w:val="11755C50"/>
    <w:rsid w:val="17E07B9B"/>
    <w:rsid w:val="188D24E9"/>
    <w:rsid w:val="1B8A679C"/>
    <w:rsid w:val="1B9C4055"/>
    <w:rsid w:val="1CFF359F"/>
    <w:rsid w:val="32F3264C"/>
    <w:rsid w:val="35FA724C"/>
    <w:rsid w:val="37DE77FC"/>
    <w:rsid w:val="3C9871E1"/>
    <w:rsid w:val="3E817133"/>
    <w:rsid w:val="535B5D4C"/>
    <w:rsid w:val="59C55D87"/>
    <w:rsid w:val="5DC82C23"/>
    <w:rsid w:val="5EE22491"/>
    <w:rsid w:val="60D7721C"/>
    <w:rsid w:val="637B69B3"/>
    <w:rsid w:val="67F81D4E"/>
    <w:rsid w:val="6EC54F7C"/>
    <w:rsid w:val="701B0E45"/>
    <w:rsid w:val="711F23A8"/>
    <w:rsid w:val="77775113"/>
    <w:rsid w:val="7C380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9"/>
    <w:pPr>
      <w:keepNext/>
      <w:keepLines/>
      <w:ind w:firstLine="0"/>
      <w:outlineLvl w:val="0"/>
    </w:pPr>
    <w:rPr>
      <w:rFonts w:ascii="宋体" w:hAnsi="宋体"/>
      <w:b/>
      <w:bCs/>
      <w:szCs w:val="28"/>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qFormat/>
    <w:uiPriority w:val="0"/>
    <w:pPr>
      <w:keepNext/>
      <w:keepLines/>
      <w:widowControl w:val="0"/>
      <w:numPr>
        <w:ilvl w:val="3"/>
        <w:numId w:val="1"/>
      </w:numPr>
      <w:spacing w:before="280" w:after="290" w:line="376" w:lineRule="atLeast"/>
      <w:jc w:val="both"/>
      <w:outlineLvl w:val="3"/>
    </w:pPr>
    <w:rPr>
      <w:rFonts w:ascii="Arial" w:hAnsi="Arial" w:eastAsia="黑体" w:cs="Times New Roman"/>
      <w:b/>
      <w:sz w:val="28"/>
      <w:szCs w:val="24"/>
      <w:lang w:val="en-US" w:eastAsia="zh-CN" w:bidi="ar-SA"/>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qFormat/>
    <w:uiPriority w:val="0"/>
  </w:style>
  <w:style w:type="table" w:default="1" w:styleId="40">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after="57"/>
      <w:ind w:left="1701" w:right="0" w:firstLine="0"/>
    </w:pPr>
  </w:style>
  <w:style w:type="paragraph" w:styleId="12">
    <w:name w:val="table of authorities"/>
    <w:next w:val="13"/>
    <w:unhideWhenUsed/>
    <w:qFormat/>
    <w:uiPriority w:val="99"/>
    <w:pPr>
      <w:widowControl w:val="0"/>
      <w:ind w:left="420"/>
      <w:jc w:val="both"/>
    </w:pPr>
    <w:rPr>
      <w:rFonts w:hint="default" w:ascii="Calibri" w:hAnsi="Calibri" w:eastAsia="宋体" w:cs="Times New Roman"/>
      <w:sz w:val="21"/>
      <w:szCs w:val="24"/>
      <w:lang w:val="en-US" w:eastAsia="zh-CN" w:bidi="ar-SA"/>
    </w:rPr>
  </w:style>
  <w:style w:type="paragraph" w:customStyle="1" w:styleId="13">
    <w:name w:val="正文 A"/>
    <w:next w:val="12"/>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styleId="14">
    <w:name w:val="Normal Indent"/>
    <w:basedOn w:val="1"/>
    <w:next w:val="1"/>
    <w:qFormat/>
    <w:uiPriority w:val="0"/>
    <w:pPr>
      <w:ind w:firstLine="420"/>
      <w:jc w:val="left"/>
    </w:pPr>
    <w:rPr>
      <w:rFonts w:ascii="宋体"/>
      <w:sz w:val="24"/>
    </w:rPr>
  </w:style>
  <w:style w:type="paragraph" w:styleId="15">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6">
    <w:name w:val="index 5"/>
    <w:basedOn w:val="1"/>
    <w:next w:val="1"/>
    <w:unhideWhenUsed/>
    <w:qFormat/>
    <w:uiPriority w:val="99"/>
    <w:pPr>
      <w:ind w:left="800"/>
    </w:pPr>
  </w:style>
  <w:style w:type="paragraph" w:styleId="17">
    <w:name w:val="Document Map"/>
    <w:basedOn w:val="1"/>
    <w:next w:val="1"/>
    <w:qFormat/>
    <w:uiPriority w:val="0"/>
    <w:pPr>
      <w:shd w:val="clear" w:color="auto" w:fill="000080"/>
    </w:pPr>
  </w:style>
  <w:style w:type="paragraph" w:styleId="18">
    <w:name w:val="annotation text"/>
    <w:basedOn w:val="1"/>
    <w:qFormat/>
    <w:uiPriority w:val="0"/>
    <w:pPr>
      <w:jc w:val="left"/>
    </w:pPr>
  </w:style>
  <w:style w:type="paragraph" w:styleId="19">
    <w:name w:val="Body Text"/>
    <w:basedOn w:val="1"/>
    <w:next w:val="1"/>
    <w:qFormat/>
    <w:uiPriority w:val="0"/>
    <w:pPr>
      <w:tabs>
        <w:tab w:val="left" w:pos="567"/>
      </w:tabs>
      <w:spacing w:before="120" w:line="22" w:lineRule="atLeast"/>
    </w:pPr>
    <w:rPr>
      <w:rFonts w:ascii="宋体" w:hAnsi="宋体"/>
      <w:sz w:val="24"/>
    </w:rPr>
  </w:style>
  <w:style w:type="paragraph" w:styleId="20">
    <w:name w:val="Body Text Indent"/>
    <w:basedOn w:val="1"/>
    <w:next w:val="1"/>
    <w:qFormat/>
    <w:uiPriority w:val="0"/>
    <w:pPr>
      <w:spacing w:line="360" w:lineRule="auto"/>
      <w:ind w:firstLine="570"/>
    </w:pPr>
    <w:rPr>
      <w:sz w:val="24"/>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next w:val="14"/>
    <w:qFormat/>
    <w:uiPriority w:val="0"/>
    <w:rPr>
      <w:rFonts w:hint="eastAsia"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Body Text Indent 2"/>
    <w:basedOn w:val="1"/>
    <w:next w:val="1"/>
    <w:qFormat/>
    <w:uiPriority w:val="99"/>
    <w:pPr>
      <w:spacing w:line="420" w:lineRule="exact"/>
      <w:ind w:firstLine="195"/>
    </w:pPr>
    <w:rPr>
      <w:szCs w:val="24"/>
    </w:rPr>
  </w:style>
  <w:style w:type="paragraph" w:styleId="26">
    <w:name w:val="endnote text"/>
    <w:basedOn w:val="1"/>
    <w:link w:val="193"/>
    <w:semiHidden/>
    <w:unhideWhenUsed/>
    <w:qFormat/>
    <w:uiPriority w:val="99"/>
    <w:pPr>
      <w:spacing w:after="0" w:line="240" w:lineRule="auto"/>
    </w:pPr>
    <w:rPr>
      <w:sz w:val="20"/>
    </w:rPr>
  </w:style>
  <w:style w:type="paragraph" w:styleId="27">
    <w:name w:val="footer"/>
    <w:basedOn w:val="1"/>
    <w:qFormat/>
    <w:uiPriority w:val="99"/>
    <w:pPr>
      <w:tabs>
        <w:tab w:val="center" w:pos="4153"/>
        <w:tab w:val="right" w:pos="8306"/>
      </w:tabs>
      <w:jc w:val="left"/>
    </w:pPr>
    <w:rPr>
      <w:rFonts w:ascii="宋体"/>
      <w:sz w:val="18"/>
      <w:szCs w:val="20"/>
    </w:rPr>
  </w:style>
  <w:style w:type="paragraph" w:styleId="28">
    <w:name w:val="header"/>
    <w:basedOn w:val="1"/>
    <w:qFormat/>
    <w:uiPriority w:val="0"/>
    <w:pPr>
      <w:tabs>
        <w:tab w:val="center" w:pos="4153"/>
        <w:tab w:val="right" w:pos="8306"/>
      </w:tabs>
      <w:jc w:val="center"/>
    </w:pPr>
    <w:rPr>
      <w:sz w:val="18"/>
      <w:szCs w:val="18"/>
    </w:rPr>
  </w:style>
  <w:style w:type="paragraph" w:styleId="29">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9"/>
    <w:qFormat/>
    <w:uiPriority w:val="11"/>
    <w:pPr>
      <w:spacing w:before="200" w:after="200"/>
    </w:pPr>
    <w:rPr>
      <w:sz w:val="24"/>
      <w:szCs w:val="24"/>
    </w:rPr>
  </w:style>
  <w:style w:type="paragraph" w:styleId="32">
    <w:name w:val="footnote text"/>
    <w:basedOn w:val="1"/>
    <w:next w:val="16"/>
    <w:qFormat/>
    <w:uiPriority w:val="0"/>
    <w:pPr>
      <w:spacing w:before="120" w:line="360" w:lineRule="auto"/>
      <w:ind w:firstLine="425"/>
      <w:jc w:val="left"/>
    </w:pPr>
    <w:rPr>
      <w:sz w:val="18"/>
      <w:szCs w:val="20"/>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8">
    <w:name w:val="Title"/>
    <w:basedOn w:val="1"/>
    <w:next w:val="1"/>
    <w:link w:val="58"/>
    <w:qFormat/>
    <w:uiPriority w:val="10"/>
    <w:pPr>
      <w:spacing w:before="300" w:after="200"/>
      <w:contextualSpacing/>
    </w:pPr>
    <w:rPr>
      <w:sz w:val="48"/>
      <w:szCs w:val="48"/>
    </w:rPr>
  </w:style>
  <w:style w:type="paragraph" w:styleId="39">
    <w:name w:val="Body Text First Indent 2"/>
    <w:basedOn w:val="20"/>
    <w:next w:val="1"/>
    <w:qFormat/>
    <w:uiPriority w:val="0"/>
    <w:pPr>
      <w:spacing w:after="120" w:line="480" w:lineRule="exact"/>
      <w:ind w:left="420" w:firstLine="420"/>
    </w:pPr>
    <w:rPr>
      <w:szCs w:val="20"/>
    </w:r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3">
    <w:name w:val="Strong"/>
    <w:basedOn w:val="42"/>
    <w:qFormat/>
    <w:uiPriority w:val="22"/>
    <w:rPr>
      <w:b/>
    </w:rPr>
  </w:style>
  <w:style w:type="character" w:styleId="44">
    <w:name w:val="endnote reference"/>
    <w:basedOn w:val="42"/>
    <w:semiHidden/>
    <w:unhideWhenUsed/>
    <w:qFormat/>
    <w:uiPriority w:val="99"/>
    <w:rPr>
      <w:vertAlign w:val="superscript"/>
    </w:rPr>
  </w:style>
  <w:style w:type="character" w:styleId="45">
    <w:name w:val="page number"/>
    <w:qFormat/>
    <w:uiPriority w:val="0"/>
  </w:style>
  <w:style w:type="character" w:styleId="46">
    <w:name w:val="Hyperlink"/>
    <w:qFormat/>
    <w:uiPriority w:val="99"/>
    <w:rPr>
      <w:color w:val="0000FF"/>
      <w:u w:val="single"/>
    </w:rPr>
  </w:style>
  <w:style w:type="character" w:styleId="47">
    <w:name w:val="footnote reference"/>
    <w:basedOn w:val="42"/>
    <w:unhideWhenUsed/>
    <w:qFormat/>
    <w:uiPriority w:val="99"/>
    <w:rPr>
      <w:vertAlign w:val="superscript"/>
    </w:rPr>
  </w:style>
  <w:style w:type="character" w:customStyle="1" w:styleId="48">
    <w:name w:val="Heading 1 Char"/>
    <w:basedOn w:val="42"/>
    <w:qFormat/>
    <w:uiPriority w:val="9"/>
    <w:rPr>
      <w:rFonts w:ascii="Arial" w:hAnsi="Arial" w:eastAsia="Arial" w:cs="Arial"/>
      <w:sz w:val="40"/>
      <w:szCs w:val="40"/>
    </w:rPr>
  </w:style>
  <w:style w:type="character" w:customStyle="1" w:styleId="49">
    <w:name w:val="Heading 2 Char"/>
    <w:basedOn w:val="42"/>
    <w:link w:val="3"/>
    <w:qFormat/>
    <w:uiPriority w:val="9"/>
    <w:rPr>
      <w:rFonts w:ascii="Arial" w:hAnsi="Arial" w:eastAsia="Arial" w:cs="Arial"/>
      <w:sz w:val="34"/>
    </w:rPr>
  </w:style>
  <w:style w:type="character" w:customStyle="1" w:styleId="50">
    <w:name w:val="Heading 3 Char"/>
    <w:basedOn w:val="42"/>
    <w:qFormat/>
    <w:uiPriority w:val="9"/>
    <w:rPr>
      <w:rFonts w:ascii="Arial" w:hAnsi="Arial" w:eastAsia="Arial" w:cs="Arial"/>
      <w:sz w:val="30"/>
      <w:szCs w:val="30"/>
    </w:rPr>
  </w:style>
  <w:style w:type="character" w:customStyle="1" w:styleId="51">
    <w:name w:val="Heading 4 Char"/>
    <w:basedOn w:val="42"/>
    <w:qFormat/>
    <w:uiPriority w:val="9"/>
    <w:rPr>
      <w:rFonts w:ascii="Arial" w:hAnsi="Arial" w:eastAsia="Arial" w:cs="Arial"/>
      <w:b/>
      <w:bCs/>
      <w:sz w:val="26"/>
      <w:szCs w:val="26"/>
    </w:rPr>
  </w:style>
  <w:style w:type="character" w:customStyle="1" w:styleId="52">
    <w:name w:val="Heading 5 Char"/>
    <w:basedOn w:val="42"/>
    <w:link w:val="6"/>
    <w:qFormat/>
    <w:uiPriority w:val="9"/>
    <w:rPr>
      <w:rFonts w:ascii="Arial" w:hAnsi="Arial" w:eastAsia="Arial" w:cs="Arial"/>
      <w:b/>
      <w:bCs/>
      <w:sz w:val="24"/>
      <w:szCs w:val="24"/>
    </w:rPr>
  </w:style>
  <w:style w:type="character" w:customStyle="1" w:styleId="53">
    <w:name w:val="Heading 6 Char"/>
    <w:basedOn w:val="42"/>
    <w:link w:val="7"/>
    <w:qFormat/>
    <w:uiPriority w:val="9"/>
    <w:rPr>
      <w:rFonts w:ascii="Arial" w:hAnsi="Arial" w:eastAsia="Arial" w:cs="Arial"/>
      <w:b/>
      <w:bCs/>
      <w:sz w:val="22"/>
      <w:szCs w:val="22"/>
    </w:rPr>
  </w:style>
  <w:style w:type="character" w:customStyle="1" w:styleId="54">
    <w:name w:val="Heading 7 Char"/>
    <w:basedOn w:val="42"/>
    <w:link w:val="8"/>
    <w:qFormat/>
    <w:uiPriority w:val="9"/>
    <w:rPr>
      <w:rFonts w:ascii="Arial" w:hAnsi="Arial" w:eastAsia="Arial" w:cs="Arial"/>
      <w:b/>
      <w:bCs/>
      <w:i/>
      <w:iCs/>
      <w:sz w:val="22"/>
      <w:szCs w:val="22"/>
    </w:rPr>
  </w:style>
  <w:style w:type="character" w:customStyle="1" w:styleId="55">
    <w:name w:val="Heading 8 Char"/>
    <w:basedOn w:val="42"/>
    <w:link w:val="9"/>
    <w:qFormat/>
    <w:uiPriority w:val="9"/>
    <w:rPr>
      <w:rFonts w:ascii="Arial" w:hAnsi="Arial" w:eastAsia="Arial" w:cs="Arial"/>
      <w:i/>
      <w:iCs/>
      <w:sz w:val="22"/>
      <w:szCs w:val="22"/>
    </w:rPr>
  </w:style>
  <w:style w:type="character" w:customStyle="1" w:styleId="56">
    <w:name w:val="Heading 9 Char"/>
    <w:basedOn w:val="42"/>
    <w:link w:val="10"/>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2"/>
    <w:link w:val="38"/>
    <w:qFormat/>
    <w:uiPriority w:val="10"/>
    <w:rPr>
      <w:sz w:val="48"/>
      <w:szCs w:val="48"/>
    </w:rPr>
  </w:style>
  <w:style w:type="character" w:customStyle="1" w:styleId="59">
    <w:name w:val="Subtitle Char"/>
    <w:basedOn w:val="42"/>
    <w:link w:val="31"/>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2"/>
    <w:qFormat/>
    <w:uiPriority w:val="99"/>
  </w:style>
  <w:style w:type="character" w:customStyle="1" w:styleId="65">
    <w:name w:val="Footer Char"/>
    <w:basedOn w:val="42"/>
    <w:qFormat/>
    <w:uiPriority w:val="99"/>
  </w:style>
  <w:style w:type="character" w:customStyle="1" w:styleId="66">
    <w:name w:val="Caption Char"/>
    <w:qFormat/>
    <w:uiPriority w:val="99"/>
  </w:style>
  <w:style w:type="table" w:customStyle="1" w:styleId="67">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8">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9">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70">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1">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2">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3">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74">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75">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76">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77">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78">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79">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80">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1">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82">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3">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4">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5">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6">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7">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8">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89">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90">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91">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92">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93">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94">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5">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96">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97">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98">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99">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100">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101">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102">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103">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104">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105">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106">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107">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108">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9">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0">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1">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2">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3">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14">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15">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16">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7">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8">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9">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20">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21">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22">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4">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5">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6">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7">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8">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9">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0">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31">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32">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3">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4">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5">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6">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7">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38">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39">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40">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41">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42">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43">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44">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45">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46">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47">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48">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49">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50">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51">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52">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53">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54">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55">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56">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57">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8">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9">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0">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1">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2">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3">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4">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65">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66">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7">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8">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9">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70">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71">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2">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73">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74">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75">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76">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77">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78">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9">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80">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81">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82">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83">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84">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85">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86">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87">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88">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89">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90">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91">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92">
    <w:name w:val="Footnote Text Char"/>
    <w:qFormat/>
    <w:uiPriority w:val="99"/>
    <w:rPr>
      <w:sz w:val="18"/>
    </w:rPr>
  </w:style>
  <w:style w:type="character" w:customStyle="1" w:styleId="193">
    <w:name w:val="Endnote Text Char"/>
    <w:link w:val="26"/>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Default"/>
    <w:qFormat/>
    <w:uiPriority w:val="0"/>
    <w:pPr>
      <w:widowControl w:val="0"/>
    </w:pPr>
    <w:rPr>
      <w:rFonts w:hint="default" w:ascii="Symbol" w:hAnsi="Symbol" w:eastAsia="宋体" w:cs="Symbol"/>
      <w:color w:val="000000"/>
      <w:sz w:val="24"/>
      <w:szCs w:val="24"/>
      <w:lang w:val="en-US" w:eastAsia="zh-CN" w:bidi="ar-SA"/>
    </w:rPr>
  </w:style>
  <w:style w:type="paragraph" w:styleId="196">
    <w:name w:val="List Paragraph"/>
    <w:basedOn w:val="1"/>
    <w:qFormat/>
    <w:uiPriority w:val="34"/>
    <w:pPr>
      <w:ind w:firstLine="420"/>
    </w:pPr>
    <w:rPr>
      <w:rFonts w:ascii="Calibri" w:hAnsi="Calibri"/>
      <w:szCs w:val="22"/>
    </w:rPr>
  </w:style>
  <w:style w:type="paragraph" w:customStyle="1" w:styleId="197">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198">
    <w:name w:val="图例"/>
    <w:basedOn w:val="1"/>
    <w:qFormat/>
    <w:uiPriority w:val="0"/>
    <w:pPr>
      <w:spacing w:before="120" w:after="120" w:line="360" w:lineRule="auto"/>
      <w:jc w:val="center"/>
    </w:pPr>
    <w:rPr>
      <w:rFonts w:eastAsia="仿宋_GB2312"/>
      <w:b/>
      <w:sz w:val="24"/>
      <w:szCs w:val="20"/>
    </w:rPr>
  </w:style>
  <w:style w:type="paragraph" w:customStyle="1" w:styleId="199">
    <w:name w:val="表"/>
    <w:qFormat/>
    <w:uiPriority w:val="0"/>
    <w:pPr>
      <w:widowControl w:val="0"/>
      <w:spacing w:line="312" w:lineRule="auto"/>
      <w:jc w:val="both"/>
    </w:pPr>
    <w:rPr>
      <w:rFonts w:hint="default" w:ascii="Calibri" w:hAnsi="Calibri" w:eastAsia="宋体" w:cs="宋体"/>
      <w:sz w:val="21"/>
      <w:lang w:val="en-US" w:eastAsia="zh-CN" w:bidi="ar-SA"/>
    </w:rPr>
  </w:style>
  <w:style w:type="character" w:customStyle="1" w:styleId="200">
    <w:name w:val="fontstyle01"/>
    <w:basedOn w:val="42"/>
    <w:qFormat/>
    <w:uiPriority w:val="99"/>
    <w:rPr>
      <w:rFonts w:ascii="CIDFont+F4" w:hAnsi="CIDFont+F4" w:cs="Times New Roman"/>
      <w:color w:val="000000"/>
      <w:sz w:val="24"/>
      <w:szCs w:val="24"/>
    </w:rPr>
  </w:style>
  <w:style w:type="character" w:customStyle="1" w:styleId="201">
    <w:name w:val="font41"/>
    <w:basedOn w:val="42"/>
    <w:qFormat/>
    <w:uiPriority w:val="0"/>
    <w:rPr>
      <w:rFonts w:hint="default" w:ascii="Times New Roman" w:hAnsi="Times New Roman" w:cs="Times New Roman"/>
      <w:color w:val="000000"/>
      <w:sz w:val="21"/>
      <w:szCs w:val="21"/>
      <w:u w:val="none"/>
    </w:rPr>
  </w:style>
  <w:style w:type="character" w:customStyle="1" w:styleId="202">
    <w:name w:val="font11"/>
    <w:basedOn w:val="42"/>
    <w:qFormat/>
    <w:uiPriority w:val="0"/>
    <w:rPr>
      <w:rFonts w:hint="eastAsia" w:ascii="宋体" w:hAnsi="宋体" w:eastAsia="宋体" w:cs="宋体"/>
      <w:color w:val="000000"/>
      <w:sz w:val="21"/>
      <w:szCs w:val="21"/>
      <w:u w:val="none"/>
    </w:rPr>
  </w:style>
  <w:style w:type="paragraph" w:customStyle="1" w:styleId="203">
    <w:name w:val="_Style 4"/>
    <w:next w:val="1"/>
    <w:qFormat/>
    <w:uiPriority w:val="0"/>
    <w:pPr>
      <w:keepNext/>
      <w:keepLines/>
      <w:widowControl w:val="0"/>
      <w:numPr>
        <w:ilvl w:val="0"/>
        <w:numId w:val="0"/>
      </w:numPr>
      <w:spacing w:before="340" w:after="330" w:line="576" w:lineRule="auto"/>
      <w:jc w:val="both"/>
      <w:outlineLvl w:val="9"/>
    </w:pPr>
    <w:rPr>
      <w:rFonts w:hint="default" w:ascii="Calibri" w:hAnsi="Calibri" w:eastAsia="宋体" w:cs="Times New Roman"/>
      <w:b/>
      <w:bCs/>
      <w:sz w:val="44"/>
      <w:szCs w:val="44"/>
      <w:lang w:val="en-US" w:eastAsia="zh-CN" w:bidi="ar-SA"/>
    </w:rPr>
  </w:style>
  <w:style w:type="paragraph" w:customStyle="1" w:styleId="204">
    <w:name w:val="正文_0_1"/>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774</Words>
  <Characters>924</Characters>
  <TotalTime>5</TotalTime>
  <ScaleCrop>false</ScaleCrop>
  <LinksUpToDate>false</LinksUpToDate>
  <CharactersWithSpaces>986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2023-08-01T09:24:00Z</dcterms:created>
  <dc:creator>莫若</dc:creator>
  <cp:lastModifiedBy>wx</cp:lastModifiedBy>
  <dcterms:modified xsi:type="dcterms:W3CDTF">2026-09-24T02:34:04Z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9E90115AFD7A4E23A8C29CB812317380_13</vt:lpwstr>
  </property>
  <property fmtid="{D5CDD505-2E9C-101B-9397-08002B2CF9AE}" pid="4" name="KSOTemplateDocerSaveRecord">
    <vt:lpwstr>eyJoZGlkIjoiNmFhZjQyNWU4NTMzOWY4MzYzMjcwMzA1ZDQ2MmJmNjEiLCJ1c2VySWQiOiI1NTAwOTgwMzUifQ==</vt:lpwstr>
  </property>
</Properties>
</file>