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b/>
          <w:bCs/>
          <w:sz w:val="48"/>
          <w:szCs w:val="48"/>
        </w:rPr>
      </w:pPr>
      <w:r>
        <w:rPr>
          <w:rFonts w:ascii="Arial" w:hAnsi="Arial" w:eastAsia="黑体"/>
          <w:b/>
          <w:bCs/>
          <w:sz w:val="48"/>
          <w:szCs w:val="48"/>
        </w:rPr>
      </w:r>
      <w:r/>
    </w:p>
    <w:p>
      <w:pPr>
        <w:jc w:val="center"/>
        <w:spacing w:before="120" w:after="120" w:line="400" w:lineRule="exact"/>
        <w:rPr>
          <w:rFonts w:ascii="方正小标宋_GBK" w:hAnsi="方正小标宋_GBK" w:eastAsia="方正小标宋_GBK" w:cs="方正小标宋_GBK"/>
          <w:sz w:val="36"/>
          <w:szCs w:val="36"/>
        </w:rPr>
      </w:pPr>
      <w:r>
        <w:rPr>
          <w:rFonts w:hint="eastAsia" w:ascii="方正小标宋_GBK" w:hAnsi="方正小标宋_GBK" w:eastAsia="方正小标宋_GBK" w:cs="方正小标宋_GBK"/>
          <w:sz w:val="36"/>
          <w:szCs w:val="36"/>
        </w:rPr>
        <w:t xml:space="preserve">招　标　文　件</w:t>
      </w:r>
      <w:r/>
    </w:p>
    <w:p>
      <w:pPr>
        <w:ind w:firstLine="562"/>
        <w:jc w:val="left"/>
        <w:spacing w:before="120" w:after="120" w:line="400" w:lineRule="exact"/>
        <w:rPr>
          <w:rFonts w:ascii="Arial" w:hAnsi="Arial"/>
          <w:b/>
          <w:bCs/>
          <w:sz w:val="28"/>
          <w:szCs w:val="28"/>
        </w:rPr>
      </w:pPr>
      <w:r>
        <w:rPr>
          <w:rFonts w:ascii="Arial" w:hAnsi="Arial"/>
          <w:b/>
          <w:bCs/>
          <w:sz w:val="28"/>
          <w:szCs w:val="28"/>
        </w:rPr>
      </w:r>
      <w:r/>
    </w:p>
    <w:p>
      <w:pPr>
        <w:ind w:firstLine="560"/>
        <w:jc w:val="left"/>
        <w:spacing w:before="120" w:after="120"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项目名称：江苏省人民医院台式电脑采购</w:t>
      </w:r>
      <w:r>
        <w:rPr>
          <w:rFonts w:hint="eastAsia" w:ascii="微软雅黑" w:hAnsi="微软雅黑" w:eastAsia="微软雅黑" w:cs="微软雅黑"/>
          <w:sz w:val="28"/>
          <w:szCs w:val="28"/>
        </w:rPr>
        <w:t xml:space="preserve">项</w:t>
      </w:r>
      <w:r>
        <w:rPr>
          <w:rFonts w:hint="eastAsia" w:ascii="Malgun Gothic" w:hAnsi="Malgun Gothic" w:eastAsia="Malgun Gothic" w:cs="Malgun Gothic"/>
          <w:sz w:val="28"/>
          <w:szCs w:val="28"/>
        </w:rPr>
        <w:t xml:space="preserve">目</w:t>
      </w:r>
      <w:r/>
    </w:p>
    <w:p>
      <w:pPr>
        <w:ind w:firstLine="560"/>
        <w:spacing w:before="120" w:after="120"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采购编号：</w:t>
      </w:r>
      <w:r>
        <w:rPr>
          <w:rFonts w:eastAsia="方正黑体_GBK"/>
          <w:sz w:val="28"/>
          <w:szCs w:val="28"/>
        </w:rPr>
        <w:t xml:space="preserve">JSZC-320000-SCZX-G2026-0287</w:t>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360" w:lineRule="auto"/>
        <w:rPr>
          <w:rFonts w:hint="eastAsia" w:ascii="宋体" w:hAnsi="宋体"/>
          <w:sz w:val="28"/>
          <w:szCs w:val="28"/>
        </w:rPr>
      </w:pPr>
      <w:r>
        <w:rPr>
          <w:rFonts w:hint="eastAsia" w:ascii="宋体" w:hAnsi="宋体"/>
          <w:sz w:val="28"/>
          <w:szCs w:val="28"/>
        </w:rPr>
      </w:r>
      <w:r/>
    </w:p>
    <w:p>
      <w:pPr>
        <w:jc w:val="left"/>
        <w:spacing w:line="66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jc w:val="center"/>
        <w:spacing w:before="120" w:after="120"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江苏省政府采购中心</w:t>
      </w:r>
      <w:r/>
    </w:p>
    <w:p>
      <w:pPr>
        <w:jc w:val="center"/>
        <w:spacing w:before="120" w:after="120"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_2026_年_</w:t>
      </w:r>
      <w:r>
        <w:rPr>
          <w:rFonts w:hint="eastAsia" w:ascii="方正黑体_GBK" w:hAnsi="方正黑体_GBK" w:cs="方正黑体_GBK" w:eastAsiaTheme="minorEastAsia"/>
          <w:sz w:val="28"/>
          <w:szCs w:val="28"/>
        </w:rPr>
        <w:t xml:space="preserve">8</w:t>
      </w:r>
      <w:r>
        <w:rPr>
          <w:rFonts w:hint="eastAsia" w:ascii="方正黑体_GBK" w:hAnsi="方正黑体_GBK" w:eastAsia="方正黑体_GBK" w:cs="方正黑体_GBK"/>
          <w:sz w:val="28"/>
          <w:szCs w:val="28"/>
        </w:rPr>
        <w:t xml:space="preserve">_月</w:t>
      </w:r>
      <w:r/>
    </w:p>
    <w:p>
      <w:pPr>
        <w:jc w:val="left"/>
        <w:spacing w:before="120" w:after="120" w:line="360" w:lineRule="auto"/>
        <w:rPr>
          <w:rFonts w:ascii="Arial" w:hAnsi="Arial"/>
          <w:sz w:val="24"/>
          <w:szCs w:val="24"/>
          <w:u w:val="single"/>
        </w:rPr>
      </w:pPr>
      <w:r>
        <w:rPr>
          <w:rFonts w:hint="eastAsia" w:ascii="Arial" w:hAnsi="Arial"/>
          <w:sz w:val="24"/>
          <w:szCs w:val="24"/>
        </w:rPr>
        <w:t xml:space="preserve">                        </w:t>
      </w:r>
      <w:r/>
    </w:p>
    <w:p>
      <w:pPr>
        <w:jc w:val="center"/>
        <w:spacing w:before="120" w:after="120" w:line="360" w:lineRule="auto"/>
        <w:rPr>
          <w:rFonts w:ascii="Arial" w:hAnsi="Arial"/>
          <w:sz w:val="24"/>
          <w:szCs w:val="24"/>
        </w:rPr>
      </w:pPr>
      <w:r>
        <w:rPr>
          <w:rFonts w:ascii="Arial" w:hAnsi="Arial"/>
          <w:sz w:val="24"/>
          <w:szCs w:val="24"/>
        </w:rPr>
      </w:r>
      <w:r/>
    </w:p>
    <w:p>
      <w:pPr>
        <w:jc w:val="center"/>
        <w:spacing w:line="660" w:lineRule="exact"/>
        <w:rPr>
          <w:rFonts w:ascii="黑体" w:hAnsi="Arial" w:eastAsia="黑体"/>
          <w:b/>
          <w:sz w:val="28"/>
          <w:szCs w:val="28"/>
        </w:rPr>
        <w:outlineLvl w:val="0"/>
      </w:pPr>
      <w:r>
        <w:rPr>
          <w:szCs w:val="21"/>
        </w:rPr>
        <w:br w:type="page" w:clear="all"/>
      </w:r>
      <w:bookmarkStart w:id="0" w:name="_Toc233969276"/>
      <w:r/>
      <w:bookmarkStart w:id="1" w:name="_Toc120614210"/>
      <w:r/>
      <w:bookmarkStart w:id="2" w:name="_Toc20823272"/>
      <w:r/>
      <w:bookmarkStart w:id="3" w:name="_Toc16938516"/>
      <w:r/>
      <w:bookmarkStart w:id="4" w:name="_Toc513029200"/>
      <w:r/>
      <w:bookmarkStart w:id="5" w:name="_Toc523127445"/>
      <w:r/>
      <w:bookmarkStart w:id="6" w:name="_Toc479757206"/>
      <w:r>
        <w:rPr>
          <w:rFonts w:hint="eastAsia" w:ascii="方正黑体_GBK" w:hAnsi="方正黑体_GBK" w:eastAsia="方正黑体_GBK" w:cs="方正黑体_GBK"/>
          <w:bCs/>
          <w:sz w:val="28"/>
          <w:szCs w:val="28"/>
        </w:rPr>
        <w:t xml:space="preserve">总  目</w:t>
      </w:r>
      <w:r>
        <w:rPr>
          <w:rFonts w:hint="eastAsia" w:ascii="方正黑体_GBK" w:hAnsi="方正黑体_GBK" w:eastAsia="方正黑体_GBK" w:cs="方正黑体_GBK"/>
          <w:bCs/>
          <w:sz w:val="28"/>
          <w:szCs w:val="28"/>
        </w:rPr>
        <w:t xml:space="preserve">  录</w:t>
      </w:r>
      <w:bookmarkEnd w:id="0"/>
      <w:r/>
      <w:r/>
    </w:p>
    <w:p>
      <w:pPr>
        <w:pStyle w:val="795"/>
        <w:rPr>
          <w:rFonts w:hint="eastAsia" w:ascii="等线" w:hAnsi="等线" w:eastAsia="等线"/>
          <w:caps w:val="0"/>
          <w:sz w:val="22"/>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方正黑体_GBK" w:hAnsi="方正黑体_GBK" w:eastAsia="方正黑体_GBK" w:cs="方正黑体_GBK"/>
          <w:bCs/>
        </w:rPr>
        <w:t xml:space="preserve">总  目  录</w:t>
      </w:r>
      <w:r>
        <w:rPr>
          <w:rFonts w:hint="eastAsia"/>
        </w:rPr>
        <w:tab/>
      </w:r>
      <w:r>
        <w:rPr>
          <w:rFonts w:hint="eastAsia"/>
        </w:rPr>
        <w:fldChar w:fldCharType="begin"/>
      </w:r>
      <w:r>
        <w:rPr>
          <w:rFonts w:hint="eastAsia"/>
        </w:rPr>
        <w:instrText xml:space="preserve"> </w:instrText>
      </w:r>
      <w:r>
        <w:instrText xml:space="preserve">PAGEREF _Toc233969276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795"/>
        <w:rPr>
          <w:rFonts w:hint="eastAsia" w:ascii="等线" w:hAnsi="等线" w:eastAsia="等线"/>
          <w:caps w:val="0"/>
          <w:sz w:val="22"/>
        </w:rPr>
      </w:pPr>
      <w:r>
        <w:rPr>
          <w:rFonts w:hint="eastAsia" w:ascii="方正黑体_GBK" w:hAnsi="方正黑体_GBK" w:eastAsia="方正黑体_GBK" w:cs="方正黑体_GBK"/>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_Toc233969277 \h</w:instrText>
      </w:r>
      <w:r>
        <w:rPr>
          <w:rFonts w:hint="eastAsia"/>
        </w:rPr>
        <w:instrText xml:space="preserve"> </w:instrText>
      </w:r>
      <w:r>
        <w:rPr>
          <w:rFonts w:hint="eastAsia"/>
        </w:rPr>
        <w:fldChar w:fldCharType="separate"/>
      </w:r>
      <w:r>
        <w:rPr>
          <w:rFonts w:hint="eastAsia"/>
        </w:rPr>
        <w:t xml:space="preserve">1</w:t>
      </w:r>
      <w:r>
        <w:rPr>
          <w:rFonts w:hint="eastAsia"/>
        </w:rPr>
        <w:fldChar w:fldCharType="end"/>
      </w:r>
      <w:r/>
    </w:p>
    <w:p>
      <w:pPr>
        <w:pStyle w:val="795"/>
        <w:rPr>
          <w:rFonts w:hint="eastAsia" w:ascii="等线" w:hAnsi="等线" w:eastAsia="等线"/>
          <w:caps w:val="0"/>
          <w:sz w:val="22"/>
        </w:rPr>
      </w:pPr>
      <w:r>
        <w:rPr>
          <w:rFonts w:hint="eastAsia" w:ascii="方正黑体_GBK" w:hAnsi="方正黑体_GBK" w:eastAsia="方正黑体_GBK" w:cs="方正黑体_GBK"/>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_Toc233969278 \h</w:instrText>
      </w:r>
      <w:r>
        <w:rPr>
          <w:rFonts w:hint="eastAsia"/>
        </w:rPr>
        <w:instrText xml:space="preserve"> </w:instrText>
      </w:r>
      <w:r>
        <w:rPr>
          <w:rFonts w:hint="eastAsia"/>
        </w:rPr>
        <w:fldChar w:fldCharType="separate"/>
      </w:r>
      <w:r>
        <w:rPr>
          <w:rFonts w:hint="eastAsia"/>
        </w:rPr>
        <w:t xml:space="preserve">1</w:t>
      </w:r>
      <w:r>
        <w:rPr>
          <w:rFonts w:hint="eastAsia"/>
        </w:rPr>
        <w:fldChar w:fldCharType="end"/>
      </w:r>
      <w:r/>
    </w:p>
    <w:p>
      <w:pPr>
        <w:pStyle w:val="795"/>
        <w:rPr>
          <w:rFonts w:hint="eastAsia" w:ascii="等线" w:hAnsi="等线" w:eastAsia="等线"/>
          <w:caps w:val="0"/>
          <w:sz w:val="22"/>
        </w:rPr>
      </w:pPr>
      <w:r>
        <w:rPr>
          <w:rFonts w:hint="eastAsia" w:ascii="方正黑体_GBK" w:hAnsi="方正黑体_GBK" w:eastAsia="方正黑体_GBK" w:cs="方正黑体_GBK"/>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_Toc233969279 \h</w:instrText>
      </w:r>
      <w:r>
        <w:rPr>
          <w:rFonts w:hint="eastAsia"/>
        </w:rPr>
        <w:instrText xml:space="preserve"> </w:instrText>
      </w:r>
      <w:r>
        <w:rPr>
          <w:rFonts w:hint="eastAsia"/>
        </w:rPr>
        <w:fldChar w:fldCharType="separate"/>
      </w:r>
      <w:r>
        <w:rPr>
          <w:rFonts w:hint="eastAsia"/>
        </w:rPr>
        <w:t xml:space="preserve">1</w:t>
      </w:r>
      <w:r>
        <w:rPr>
          <w:rFonts w:hint="eastAsia"/>
        </w:rPr>
        <w:fldChar w:fldCharType="end"/>
      </w:r>
      <w:r/>
    </w:p>
    <w:p>
      <w:pPr>
        <w:pStyle w:val="795"/>
        <w:rPr>
          <w:rFonts w:hint="eastAsia" w:ascii="等线" w:hAnsi="等线" w:eastAsia="等线"/>
          <w:caps w:val="0"/>
          <w:sz w:val="22"/>
        </w:rPr>
      </w:pPr>
      <w:r>
        <w:rPr>
          <w:rFonts w:hint="eastAsia" w:ascii="方正黑体_GBK" w:hAnsi="方正黑体_GBK" w:eastAsia="方正黑体_GBK" w:cs="方正黑体_GBK"/>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_Toc233969280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795"/>
        <w:rPr>
          <w:rFonts w:hint="eastAsia" w:ascii="等线" w:hAnsi="等线" w:eastAsia="等线"/>
          <w:caps w:val="0"/>
          <w:sz w:val="22"/>
        </w:rPr>
      </w:pPr>
      <w:r>
        <w:rPr>
          <w:rFonts w:hint="eastAsia" w:ascii="方正黑体_GBK" w:hAnsi="方正黑体_GBK" w:eastAsia="方正黑体_GBK" w:cs="方正黑体_GBK"/>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_Toc233969281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795"/>
        <w:rPr>
          <w:rFonts w:hint="eastAsia" w:ascii="等线" w:hAnsi="等线" w:eastAsia="等线"/>
          <w:caps w:val="0"/>
          <w:sz w:val="22"/>
        </w:rPr>
      </w:pPr>
      <w:r>
        <w:rPr>
          <w:rFonts w:hint="eastAsia" w:ascii="方正黑体_GBK" w:hAnsi="方正黑体_GBK" w:eastAsia="方正黑体_GBK" w:cs="方正黑体_GBK"/>
        </w:rPr>
        <w:t xml:space="preserve">五、公告期限</w:t>
      </w:r>
      <w:r>
        <w:rPr>
          <w:rFonts w:hint="eastAsia"/>
        </w:rPr>
        <w:tab/>
      </w:r>
      <w:r>
        <w:rPr>
          <w:rFonts w:hint="eastAsia"/>
        </w:rPr>
        <w:fldChar w:fldCharType="begin"/>
      </w:r>
      <w:r>
        <w:rPr>
          <w:rFonts w:hint="eastAsia"/>
        </w:rPr>
        <w:instrText xml:space="preserve"> </w:instrText>
      </w:r>
      <w:r>
        <w:instrText xml:space="preserve">PAGEREF _Toc233969282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795"/>
        <w:rPr>
          <w:rFonts w:hint="eastAsia" w:ascii="等线" w:hAnsi="等线" w:eastAsia="等线"/>
          <w:caps w:val="0"/>
          <w:sz w:val="22"/>
        </w:rPr>
      </w:pPr>
      <w:r>
        <w:rPr>
          <w:rFonts w:hint="eastAsia" w:ascii="方正黑体_GBK" w:hAnsi="方正黑体_GBK" w:eastAsia="方正黑体_GBK" w:cs="方正黑体_GBK"/>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_Toc233969283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795"/>
        <w:rPr>
          <w:rFonts w:hint="eastAsia" w:ascii="等线" w:hAnsi="等线" w:eastAsia="等线"/>
          <w:caps w:val="0"/>
          <w:sz w:val="22"/>
        </w:rPr>
      </w:pPr>
      <w:r>
        <w:rPr>
          <w:rFonts w:hint="eastAsia" w:ascii="方正黑体_GBK" w:hAnsi="方正黑体_GBK" w:eastAsia="方正黑体_GBK" w:cs="方正黑体_GBK"/>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_Toc233969284 \h</w:instrText>
      </w:r>
      <w:r>
        <w:rPr>
          <w:rFonts w:hint="eastAsia"/>
        </w:rPr>
        <w:instrText xml:space="preserve"> </w:instrText>
      </w:r>
      <w:r>
        <w:rPr>
          <w:rFonts w:hint="eastAsia"/>
        </w:rPr>
        <w:fldChar w:fldCharType="separate"/>
      </w:r>
      <w:r>
        <w:rPr>
          <w:rFonts w:hint="eastAsia"/>
        </w:rPr>
        <w:t xml:space="preserve">2</w:t>
      </w:r>
      <w:r>
        <w:rPr>
          <w:rFonts w:hint="eastAsia"/>
        </w:rPr>
        <w:fldChar w:fldCharType="end"/>
      </w:r>
      <w:r/>
    </w:p>
    <w:p>
      <w:pPr>
        <w:pStyle w:val="795"/>
        <w:rPr>
          <w:rFonts w:hint="eastAsia" w:ascii="等线" w:hAnsi="等线" w:eastAsia="等线"/>
          <w:caps w:val="0"/>
          <w:sz w:val="22"/>
        </w:rPr>
      </w:pPr>
      <w:r>
        <w:rPr>
          <w:rFonts w:hint="eastAsia" w:ascii="方正黑体_GBK" w:hAnsi="方正黑体_GBK" w:eastAsia="方正黑体_GBK" w:cs="方正黑体_GBK"/>
        </w:rPr>
        <w:t xml:space="preserve">八、其他</w:t>
      </w:r>
      <w:r>
        <w:rPr>
          <w:rFonts w:hint="eastAsia"/>
        </w:rPr>
        <w:tab/>
      </w:r>
      <w:r>
        <w:rPr>
          <w:rFonts w:hint="eastAsia"/>
        </w:rPr>
        <w:fldChar w:fldCharType="begin"/>
      </w:r>
      <w:r>
        <w:rPr>
          <w:rFonts w:hint="eastAsia"/>
        </w:rPr>
        <w:instrText xml:space="preserve"> </w:instrText>
      </w:r>
      <w:r>
        <w:instrText xml:space="preserve">PAGEREF _Toc233969285 \h</w:instrText>
      </w:r>
      <w:r>
        <w:rPr>
          <w:rFonts w:hint="eastAsia"/>
        </w:rPr>
        <w:instrText xml:space="preserve"> </w:instrText>
      </w:r>
      <w:r>
        <w:rPr>
          <w:rFonts w:hint="eastAsia"/>
        </w:rPr>
        <w:fldChar w:fldCharType="separate"/>
      </w:r>
      <w:r>
        <w:rPr>
          <w:rFonts w:hint="eastAsia"/>
        </w:rPr>
        <w:t xml:space="preserve">3</w:t>
      </w:r>
      <w:r>
        <w:rPr>
          <w:rFonts w:hint="eastAsia"/>
        </w:rPr>
        <w:fldChar w:fldCharType="end"/>
      </w:r>
      <w:r/>
    </w:p>
    <w:p>
      <w:pPr>
        <w:pStyle w:val="795"/>
        <w:rPr>
          <w:rFonts w:hint="eastAsia" w:ascii="等线" w:hAnsi="等线" w:eastAsia="等线"/>
          <w:caps w:val="0"/>
          <w:sz w:val="22"/>
        </w:rPr>
      </w:pPr>
      <w:r>
        <w:rPr>
          <w:rFonts w:hint="eastAsia" w:ascii="方正黑体_GBK" w:hAnsi="方正黑体_GBK" w:eastAsia="方正黑体_GBK" w:cs="方正黑体_GBK"/>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_Toc233969286 \h</w:instrText>
      </w:r>
      <w:r>
        <w:rPr>
          <w:rFonts w:hint="eastAsia"/>
        </w:rPr>
        <w:instrText xml:space="preserve"> </w:instrText>
      </w:r>
      <w:r>
        <w:rPr>
          <w:rFonts w:hint="eastAsia"/>
        </w:rPr>
        <w:fldChar w:fldCharType="separate"/>
      </w:r>
      <w:r>
        <w:rPr>
          <w:rFonts w:hint="eastAsia"/>
        </w:rPr>
        <w:t xml:space="preserve">4</w:t>
      </w:r>
      <w:r>
        <w:rPr>
          <w:rFonts w:hint="eastAsia"/>
        </w:rPr>
        <w:fldChar w:fldCharType="end"/>
      </w:r>
      <w:r/>
    </w:p>
    <w:p>
      <w:pPr>
        <w:pStyle w:val="795"/>
        <w:rPr>
          <w:rFonts w:hint="eastAsia" w:ascii="等线" w:hAnsi="等线" w:eastAsia="等线"/>
          <w:caps w:val="0"/>
          <w:sz w:val="22"/>
        </w:rPr>
      </w:pPr>
      <w:r>
        <w:rPr>
          <w:rFonts w:hint="eastAsia" w:ascii="方正黑体_GBK" w:hAnsi="方正黑体_GBK" w:eastAsia="方正黑体_GBK" w:cs="方正黑体_GBK"/>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_Toc233969287 \h</w:instrText>
      </w:r>
      <w:r>
        <w:rPr>
          <w:rFonts w:hint="eastAsia"/>
        </w:rPr>
        <w:instrText xml:space="preserve"> </w:instrText>
      </w:r>
      <w:r>
        <w:rPr>
          <w:rFonts w:hint="eastAsia"/>
        </w:rPr>
        <w:fldChar w:fldCharType="separate"/>
      </w:r>
      <w:r>
        <w:rPr>
          <w:rFonts w:hint="eastAsia"/>
        </w:rPr>
        <w:t xml:space="preserve">15</w:t>
      </w:r>
      <w:r>
        <w:rPr>
          <w:rFonts w:hint="eastAsia"/>
        </w:rPr>
        <w:fldChar w:fldCharType="end"/>
      </w:r>
      <w:r/>
    </w:p>
    <w:p>
      <w:pPr>
        <w:pStyle w:val="795"/>
        <w:rPr>
          <w:rFonts w:hint="eastAsia" w:ascii="等线" w:hAnsi="等线" w:eastAsia="等线"/>
          <w:caps w:val="0"/>
          <w:sz w:val="22"/>
        </w:rPr>
      </w:pPr>
      <w:r>
        <w:rPr>
          <w:rFonts w:hint="eastAsia" w:ascii="方正黑体_GBK" w:hAnsi="方正黑体_GBK" w:eastAsia="方正黑体_GBK" w:cs="方正黑体_GBK"/>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_Toc233969288 \h</w:instrText>
      </w:r>
      <w:r>
        <w:rPr>
          <w:rFonts w:hint="eastAsia"/>
        </w:rPr>
        <w:instrText xml:space="preserve"> </w:instrText>
      </w:r>
      <w:r>
        <w:rPr>
          <w:rFonts w:hint="eastAsia"/>
        </w:rPr>
        <w:fldChar w:fldCharType="separate"/>
      </w:r>
      <w:r>
        <w:rPr>
          <w:rFonts w:hint="eastAsia"/>
        </w:rPr>
        <w:t xml:space="preserve">34</w:t>
      </w:r>
      <w:r>
        <w:rPr>
          <w:rFonts w:hint="eastAsia"/>
        </w:rPr>
        <w:fldChar w:fldCharType="end"/>
      </w:r>
      <w:r/>
    </w:p>
    <w:p>
      <w:pPr>
        <w:pStyle w:val="795"/>
        <w:rPr>
          <w:rFonts w:hint="eastAsia" w:ascii="等线" w:hAnsi="等线" w:eastAsia="等线"/>
          <w:caps w:val="0"/>
          <w:sz w:val="22"/>
        </w:rPr>
      </w:pPr>
      <w:r>
        <w:rPr>
          <w:rFonts w:hint="eastAsia" w:ascii="方正黑体_GBK" w:hAnsi="方正黑体_GBK" w:eastAsia="方正黑体_GBK" w:cs="方正黑体_GBK"/>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_Toc233969289 \h</w:instrText>
      </w:r>
      <w:r>
        <w:rPr>
          <w:rFonts w:hint="eastAsia"/>
        </w:rPr>
        <w:instrText xml:space="preserve"> </w:instrText>
      </w:r>
      <w:r>
        <w:rPr>
          <w:rFonts w:hint="eastAsia"/>
        </w:rPr>
        <w:fldChar w:fldCharType="separate"/>
      </w:r>
      <w:r>
        <w:rPr>
          <w:rFonts w:hint="eastAsia"/>
        </w:rPr>
        <w:t xml:space="preserve">71</w:t>
      </w:r>
      <w:r>
        <w:rPr>
          <w:rFonts w:hint="eastAsia"/>
        </w:rPr>
        <w:fldChar w:fldCharType="end"/>
      </w:r>
      <w:r/>
    </w:p>
    <w:p>
      <w:pPr>
        <w:pStyle w:val="795"/>
        <w:rPr>
          <w:rFonts w:hint="eastAsia" w:ascii="等线" w:hAnsi="等线" w:eastAsia="等线"/>
          <w:caps w:val="0"/>
          <w:sz w:val="22"/>
        </w:rPr>
      </w:pPr>
      <w:r>
        <w:rPr>
          <w:rFonts w:hint="eastAsia" w:ascii="方正黑体_GBK" w:hAnsi="方正黑体_GBK" w:eastAsia="方正黑体_GBK" w:cs="方正黑体_GBK"/>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_Toc233969290 \h</w:instrText>
      </w:r>
      <w:r>
        <w:rPr>
          <w:rFonts w:hint="eastAsia"/>
        </w:rPr>
        <w:instrText xml:space="preserve"> </w:instrText>
      </w:r>
      <w:r>
        <w:rPr>
          <w:rFonts w:hint="eastAsia"/>
        </w:rPr>
        <w:fldChar w:fldCharType="separate"/>
      </w:r>
      <w:r>
        <w:rPr>
          <w:rFonts w:hint="eastAsia"/>
        </w:rPr>
        <w:t xml:space="preserve">76</w:t>
      </w:r>
      <w:r>
        <w:rPr>
          <w:rFonts w:hint="eastAsia"/>
        </w:rPr>
        <w:fldChar w:fldCharType="end"/>
      </w:r>
      <w:r/>
    </w:p>
    <w:p>
      <w:r>
        <w:rPr>
          <w:rFonts w:hAnsi="宋体"/>
          <w:bCs/>
          <w:szCs w:val="36"/>
        </w:rPr>
        <w:fldChar w:fldCharType="end"/>
      </w:r>
      <w:r/>
    </w:p>
    <w:p>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rPr>
          <w:szCs w:val="21"/>
        </w:rPr>
      </w:pPr>
      <w:r>
        <w:rPr>
          <w:szCs w:val="21"/>
        </w:rPr>
      </w:r>
      <w:r/>
    </w:p>
    <w:p>
      <w:pPr>
        <w:jc w:val="center"/>
        <w:keepNext/>
        <w:spacing w:line="400" w:lineRule="exact"/>
        <w:rPr>
          <w:rFonts w:ascii="方正黑体_GBK" w:hAnsi="方正黑体_GBK" w:eastAsia="方正黑体_GBK" w:cs="方正黑体_GBK"/>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outlineLvl w:val="0"/>
      </w:pPr>
      <w:r>
        <w:rPr>
          <w:rFonts w:ascii="方正黑体_GBK" w:hAnsi="方正黑体_GBK" w:eastAsia="方正黑体_GBK" w:cs="方正黑体_GBK"/>
          <w:sz w:val="28"/>
          <w:szCs w:val="28"/>
        </w:rPr>
      </w:r>
      <w:r/>
    </w:p>
    <w:p>
      <w:pPr>
        <w:jc w:val="center"/>
        <w:keepNext/>
        <w:spacing w:line="400" w:lineRule="exact"/>
        <w:rPr>
          <w:rFonts w:ascii="方正黑体_GBK" w:hAnsi="方正黑体_GBK" w:eastAsia="方正黑体_GBK" w:cs="方正黑体_GBK"/>
          <w:bCs/>
          <w:sz w:val="28"/>
          <w:szCs w:val="28"/>
        </w:rPr>
        <w:outlineLvl w:val="0"/>
      </w:pPr>
      <w:r/>
      <w:bookmarkStart w:id="7" w:name="_Toc233969277"/>
      <w:r>
        <w:rPr>
          <w:rFonts w:hint="eastAsia" w:ascii="方正黑体_GBK" w:hAnsi="方正黑体_GBK" w:eastAsia="方正黑体_GBK" w:cs="方正黑体_GBK"/>
          <w:sz w:val="28"/>
          <w:szCs w:val="28"/>
        </w:rPr>
        <w:t xml:space="preserve">第一章  </w:t>
      </w:r>
      <w:bookmarkEnd w:id="1"/>
      <w:r>
        <w:rPr>
          <w:rFonts w:hint="eastAsia" w:ascii="方正黑体_GBK" w:hAnsi="方正黑体_GBK" w:eastAsia="方正黑体_GBK" w:cs="方正黑体_GBK"/>
          <w:sz w:val="28"/>
          <w:szCs w:val="28"/>
        </w:rPr>
        <w:t xml:space="preserve">投标邀请</w:t>
      </w:r>
      <w:bookmarkEnd w:id="7"/>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受〔江苏省人民医院〕的委托，江苏省政府采购中心就〔江苏省人民医院台式电脑采购〕(〔JSZC-320000-SCZX-G2026-0287〕)项目进行公开招标采购，欢迎符合条件的供应商投标。</w:t>
      </w:r>
      <w:r/>
    </w:p>
    <w:p>
      <w:pPr>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p>
    <w:p>
      <w:pPr>
        <w:ind w:firstLine="560"/>
        <w:spacing w:line="400" w:lineRule="exact"/>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江苏省人民医院台式电脑采购</w:t>
      </w:r>
      <w:r>
        <w:rPr>
          <w:rFonts w:hint="eastAsia" w:ascii="方正仿宋_GBK" w:hAnsi="方正仿宋_GBK" w:eastAsia="方正仿宋_GBK" w:cs="方正仿宋_GBK"/>
          <w:sz w:val="28"/>
          <w:szCs w:val="28"/>
        </w:rPr>
        <w:t xml:space="preserve"> 招标项目的潜在投标人可在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招标文件，并于</w:t>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年9</w:t>
      </w:r>
      <w:r>
        <w:rPr>
          <w:rFonts w:hint="eastAsia" w:ascii="方正仿宋_GBK" w:hAnsi="方正仿宋_GBK" w:eastAsia="方正仿宋_GBK" w:cs="方正仿宋_GBK"/>
          <w:bCs/>
          <w:sz w:val="28"/>
          <w:szCs w:val="28"/>
        </w:rPr>
        <w:t xml:space="preserve">月4</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9</w:t>
      </w:r>
      <w:r>
        <w:rPr>
          <w:rFonts w:hint="eastAsia" w:ascii="方正仿宋_GBK" w:hAnsi="方正仿宋_GBK" w:eastAsia="方正仿宋_GBK" w:cs="方正仿宋_GBK"/>
          <w:sz w:val="28"/>
          <w:szCs w:val="28"/>
        </w:rPr>
        <w:t xml:space="preserve">时</w:t>
      </w:r>
      <w:r>
        <w:rPr>
          <w:rFonts w:hint="eastAsia" w:eastAsia="方正仿宋_GBK"/>
          <w:sz w:val="28"/>
          <w:szCs w:val="28"/>
        </w:rPr>
        <w:t xml:space="preserve">30</w:t>
      </w:r>
      <w:r>
        <w:rPr>
          <w:rFonts w:hint="eastAsia" w:ascii="方正仿宋_GBK" w:hAnsi="方正仿宋_GBK" w:eastAsia="方正仿宋_GBK" w:cs="方正仿宋_GBK"/>
          <w:bCs/>
          <w:sz w:val="28"/>
          <w:szCs w:val="28"/>
        </w:rPr>
        <w:t xml:space="preserve">分（北京时间）前递交投标文件</w:t>
      </w:r>
      <w:r>
        <w:rPr>
          <w:rFonts w:hint="eastAsia" w:ascii="方正仿宋_GBK" w:hAnsi="方正仿宋_GBK" w:eastAsia="方正仿宋_GBK" w:cs="方正仿宋_GBK"/>
          <w:sz w:val="28"/>
          <w:szCs w:val="28"/>
        </w:rPr>
        <w:t xml:space="preserve">。</w:t>
      </w:r>
      <w:r/>
    </w:p>
    <w:p>
      <w:pPr>
        <w:ind w:firstLine="560"/>
        <w:jc w:val="left"/>
        <w:keepNext/>
        <w:spacing w:line="400" w:lineRule="exact"/>
        <w:rPr>
          <w:rFonts w:ascii="方正黑体_GBK" w:hAnsi="方正黑体_GBK" w:eastAsia="方正黑体_GBK" w:cs="方正黑体_GBK"/>
          <w:sz w:val="28"/>
          <w:szCs w:val="28"/>
        </w:rPr>
        <w:outlineLvl w:val="0"/>
      </w:pPr>
      <w:r/>
      <w:bookmarkStart w:id="8" w:name="_Toc233969278"/>
      <w:r/>
      <w:bookmarkStart w:id="9" w:name="_Toc35393790"/>
      <w:r/>
      <w:bookmarkStart w:id="10" w:name="_Toc28359002"/>
      <w:r/>
      <w:bookmarkStart w:id="11" w:name="_Toc28359079"/>
      <w:r/>
      <w:bookmarkStart w:id="12" w:name="_Toc35393621"/>
      <w:r/>
      <w:bookmarkStart w:id="13" w:name="_Toc38985263"/>
      <w:r/>
      <w:bookmarkStart w:id="14" w:name="_Hlk24379207"/>
      <w:r>
        <w:rPr>
          <w:rFonts w:hint="eastAsia" w:ascii="方正黑体_GBK" w:hAnsi="方正黑体_GBK" w:eastAsia="方正黑体_GBK" w:cs="方正黑体_GBK"/>
          <w:sz w:val="28"/>
          <w:szCs w:val="28"/>
        </w:rPr>
        <w:t xml:space="preserve">一、项目基本情况</w:t>
      </w:r>
      <w:bookmarkEnd w:id="8"/>
      <w:r/>
      <w:bookmarkEnd w:id="9"/>
      <w:r/>
      <w:bookmarkEnd w:id="10"/>
      <w:r/>
      <w:bookmarkEnd w:id="11"/>
      <w:r/>
      <w:bookmarkEnd w:id="12"/>
      <w:r/>
      <w:bookmarkEnd w:id="13"/>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1.采购编号：</w:t>
      </w:r>
      <w:r>
        <w:rPr>
          <w:rFonts w:eastAsia="方正仿宋_GBK"/>
          <w:sz w:val="28"/>
          <w:szCs w:val="28"/>
        </w:rPr>
        <w:t xml:space="preserve">JSZC-320000-SCZX-G2026-0287</w:t>
      </w:r>
      <w:r/>
    </w:p>
    <w:p>
      <w:pPr>
        <w:ind w:firstLine="560"/>
        <w:spacing w:line="400" w:lineRule="exact"/>
        <w:rPr>
          <w:rFonts w:eastAsia="方正仿宋_GBK"/>
          <w:sz w:val="28"/>
          <w:szCs w:val="28"/>
        </w:rPr>
      </w:pPr>
      <w:r>
        <w:rPr>
          <w:rFonts w:hint="eastAsia" w:ascii="方正仿宋_GBK" w:hAnsi="方正仿宋_GBK" w:eastAsia="方正仿宋_GBK" w:cs="方正仿宋_GBK"/>
          <w:sz w:val="28"/>
          <w:szCs w:val="28"/>
        </w:rPr>
        <w:t xml:space="preserve">2.项目名称：</w:t>
      </w:r>
      <w:bookmarkEnd w:id="14"/>
      <w:r>
        <w:rPr>
          <w:rFonts w:hint="eastAsia" w:eastAsia="方正仿宋_GBK"/>
          <w:sz w:val="28"/>
          <w:szCs w:val="28"/>
        </w:rPr>
        <w:t xml:space="preserve">江苏省人民医院台式电脑采购项目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2"/>
        <w:gridCol w:w="3312"/>
      </w:tblGrid>
      <w:tr>
        <w:trPr/>
        <w:tc>
          <w:tcPr>
            <w:tcW w:w="109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31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9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12" w:type="dxa"/>
            <w:textDirection w:val="lrTb"/>
            <w:noWrap w:val="false"/>
          </w:tcPr>
          <w:p>
            <w:pPr>
              <w:ind w:firstLine="1120"/>
              <w:spacing w:line="400" w:lineRule="exact"/>
              <w:rPr>
                <w:rFonts w:hint="eastAsia" w:ascii="方正仿宋_GBK" w:hAnsi="方正仿宋_GBK" w:eastAsia="方正仿宋_GBK" w:cs="方正仿宋_GBK"/>
                <w:sz w:val="28"/>
                <w:szCs w:val="28"/>
              </w:rPr>
            </w:pPr>
            <w:r>
              <w:rPr>
                <w:rFonts w:eastAsia="方正仿宋_GBK"/>
                <w:sz w:val="28"/>
                <w:szCs w:val="28"/>
              </w:rPr>
              <w:t xml:space="preserve">946</w:t>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85"/>
        <w:gridCol w:w="3296"/>
      </w:tblGrid>
      <w:tr>
        <w:trPr>
          <w:trHeight w:val="849"/>
        </w:trPr>
        <w:tc>
          <w:tcPr>
            <w:tcW w:w="108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29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最高限价</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p>
        </w:tc>
      </w:tr>
      <w:tr>
        <w:trPr/>
        <w:tc>
          <w:tcPr>
            <w:tcW w:w="108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296" w:type="dxa"/>
            <w:textDirection w:val="lrTb"/>
            <w:noWrap w:val="false"/>
          </w:tcPr>
          <w:p>
            <w:pPr>
              <w:jc w:val="center"/>
              <w:spacing w:line="400" w:lineRule="exact"/>
              <w:rPr>
                <w:rFonts w:eastAsia="方正仿宋_GBK"/>
                <w:sz w:val="28"/>
                <w:szCs w:val="28"/>
              </w:rPr>
            </w:pPr>
            <w:r>
              <w:rPr>
                <w:rFonts w:eastAsia="方正仿宋_GBK"/>
                <w:sz w:val="28"/>
                <w:szCs w:val="28"/>
              </w:rPr>
              <w:t xml:space="preserve">946</w:t>
            </w:r>
            <w:r/>
          </w:p>
        </w:tc>
      </w:tr>
    </w:tbl>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5.采购需求</w:t>
      </w:r>
      <w:r>
        <w:rPr>
          <w:rFonts w:hint="eastAsia" w:ascii="方正仿宋_GBK" w:hAnsi="方正仿宋_GBK" w:eastAsia="方正仿宋_GBK" w:cs="方正仿宋_GBK"/>
          <w:sz w:val="28"/>
          <w:szCs w:val="28"/>
        </w:rPr>
        <w:t xml:space="preserve">(简介)</w:t>
      </w:r>
      <w:r>
        <w:rPr>
          <w:rFonts w:hint="eastAsia" w:ascii="方正仿宋_GBK" w:hAnsi="方正仿宋_GBK" w:eastAsia="方正仿宋_GBK" w:cs="方正仿宋_GBK"/>
          <w:sz w:val="28"/>
          <w:szCs w:val="28"/>
        </w:rPr>
        <w:t xml:space="preserve">：具体详见采购需求。（详细内容见本招标文件第四章）</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6.合同履行期限：</w:t>
      </w:r>
      <w:r>
        <w:rPr>
          <w:rFonts w:hint="eastAsia" w:eastAsia="方正仿宋_GBK"/>
          <w:sz w:val="28"/>
          <w:szCs w:val="28"/>
        </w:rPr>
        <w:t xml:space="preserve">合同签订后所有货物完成全部软硬件安装调试工作并投入使用，并提供</w:t>
      </w:r>
      <w:r>
        <w:rPr>
          <w:rFonts w:hint="eastAsia" w:eastAsia="方正仿宋_GBK"/>
          <w:sz w:val="28"/>
          <w:szCs w:val="28"/>
        </w:rPr>
        <w:t xml:space="preserve">5</w:t>
      </w:r>
      <w:r>
        <w:rPr>
          <w:rFonts w:hint="eastAsia" w:eastAsia="方正仿宋_GBK"/>
          <w:sz w:val="28"/>
          <w:szCs w:val="28"/>
        </w:rPr>
        <w:t xml:space="preserve">年原厂质保（自验收合格之日算起）。</w:t>
      </w:r>
      <w:r/>
    </w:p>
    <w:p>
      <w:pPr>
        <w:ind w:firstLine="560"/>
        <w:jc w:val="left"/>
        <w:keepNext/>
        <w:spacing w:line="400" w:lineRule="exact"/>
        <w:rPr>
          <w:rFonts w:ascii="方正黑体_GBK" w:hAnsi="方正黑体_GBK" w:eastAsia="方正黑体_GBK" w:cs="方正黑体_GBK"/>
          <w:sz w:val="28"/>
          <w:szCs w:val="28"/>
        </w:rPr>
        <w:outlineLvl w:val="0"/>
      </w:pPr>
      <w:r/>
      <w:bookmarkStart w:id="15" w:name="_Toc28359003"/>
      <w:r/>
      <w:bookmarkStart w:id="16" w:name="_Toc28359080"/>
      <w:r/>
      <w:bookmarkStart w:id="17" w:name="_Toc35393791"/>
      <w:r/>
      <w:bookmarkStart w:id="18" w:name="_Toc38985264"/>
      <w:r/>
      <w:bookmarkStart w:id="19" w:name="_Toc233969279"/>
      <w:r/>
      <w:bookmarkStart w:id="20" w:name="_Toc35393622"/>
      <w:r>
        <w:rPr>
          <w:rFonts w:hint="eastAsia" w:ascii="方正黑体_GBK" w:hAnsi="方正黑体_GBK" w:eastAsia="方正黑体_GBK" w:cs="方正黑体_GBK"/>
          <w:sz w:val="28"/>
          <w:szCs w:val="28"/>
        </w:rPr>
        <w:t xml:space="preserve">二、申请人的资格要求</w:t>
      </w:r>
      <w:bookmarkEnd w:id="15"/>
      <w:r/>
      <w:bookmarkEnd w:id="16"/>
      <w:r/>
      <w:bookmarkEnd w:id="17"/>
      <w:r/>
      <w:bookmarkEnd w:id="18"/>
      <w:r/>
      <w:bookmarkEnd w:id="19"/>
      <w:r/>
      <w:bookmarkEnd w:id="20"/>
      <w:r/>
      <w:r/>
    </w:p>
    <w:p>
      <w:pPr>
        <w:ind w:firstLine="560"/>
        <w:spacing w:line="400" w:lineRule="exact"/>
        <w:rPr>
          <w:rFonts w:ascii="方正楷体_GBK" w:hAnsi="方正楷体_GBK" w:eastAsia="方正楷体_GBK" w:cs="方正楷体_GBK"/>
          <w:sz w:val="28"/>
          <w:szCs w:val="28"/>
        </w:rPr>
      </w:pPr>
      <w:r/>
      <w:bookmarkStart w:id="21" w:name="_Toc28359081"/>
      <w:r/>
      <w:bookmarkStart w:id="22" w:name="_Toc38985265"/>
      <w:r/>
      <w:bookmarkStart w:id="23" w:name="_Toc28359004"/>
      <w:r/>
      <w:bookmarkStart w:id="24" w:name="_Toc35393623"/>
      <w:r/>
      <w:bookmarkStart w:id="25" w:name="_Toc35393792"/>
      <w:r>
        <w:rPr>
          <w:rFonts w:hint="eastAsia" w:ascii="方正楷体_GBK" w:hAnsi="方正楷体_GBK" w:eastAsia="方正楷体_GBK" w:cs="方正楷体_GBK"/>
          <w:sz w:val="28"/>
          <w:szCs w:val="28"/>
        </w:rPr>
        <w:t xml:space="preserve">（一）通用资格要求</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上一年度的财务状况报告（成立不满一年无需提供）；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eastAsia="方正仿宋_GBK"/>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968"/>
        <w:gridCol w:w="2967"/>
      </w:tblGrid>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296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是否接受联合体投标（是/否）</w:t>
            </w:r>
            <w:r/>
          </w:p>
        </w:tc>
        <w:tc>
          <w:tcPr>
            <w:tcW w:w="296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该采购包中联合体成员数量上限</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96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c>
          <w:tcPr>
            <w:tcW w:w="296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ind w:firstLine="560"/>
        <w:spacing w:line="400" w:lineRule="exact"/>
        <w:rPr>
          <w:rFonts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5921"/>
      </w:tblGrid>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592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p>
        </w:tc>
      </w:tr>
      <w:tr>
        <w:trPr/>
        <w:tc>
          <w:tcPr>
            <w:tcW w:w="114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92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r>
    </w:tbl>
    <w:p>
      <w:pPr>
        <w:ind w:firstLine="560"/>
        <w:jc w:val="left"/>
        <w:keepNext/>
        <w:spacing w:line="400" w:lineRule="exact"/>
        <w:rPr>
          <w:rFonts w:ascii="方正黑体_GBK" w:hAnsi="方正黑体_GBK" w:eastAsia="方正黑体_GBK" w:cs="方正黑体_GBK"/>
          <w:sz w:val="28"/>
          <w:szCs w:val="28"/>
        </w:rPr>
        <w:outlineLvl w:val="0"/>
      </w:pPr>
      <w:r/>
      <w:bookmarkStart w:id="26" w:name="_Toc233969280"/>
      <w:r>
        <w:rPr>
          <w:rFonts w:hint="eastAsia" w:ascii="方正黑体_GBK" w:hAnsi="方正黑体_GBK" w:eastAsia="方正黑体_GBK" w:cs="方正黑体_GBK"/>
          <w:sz w:val="28"/>
          <w:szCs w:val="28"/>
        </w:rPr>
        <w:t xml:space="preserve">三、获取招标文件</w:t>
      </w:r>
      <w:bookmarkEnd w:id="26"/>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1.时间：自招标文件公告发布之日起5个工作日。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2.方式：在“江苏政府采购网”自行免费下载招标文件。</w:t>
      </w:r>
      <w:r/>
    </w:p>
    <w:p>
      <w:pPr>
        <w:ind w:firstLine="560"/>
        <w:jc w:val="left"/>
        <w:keepNext/>
        <w:spacing w:line="400" w:lineRule="exact"/>
        <w:rPr>
          <w:rFonts w:ascii="方正黑体_GBK" w:hAnsi="方正黑体_GBK" w:eastAsia="方正黑体_GBK" w:cs="方正黑体_GBK"/>
          <w:sz w:val="28"/>
          <w:szCs w:val="28"/>
        </w:rPr>
        <w:outlineLvl w:val="0"/>
      </w:pPr>
      <w:r/>
      <w:bookmarkStart w:id="27" w:name="_Toc28359005"/>
      <w:r/>
      <w:bookmarkStart w:id="28" w:name="_Toc28359082"/>
      <w:r/>
      <w:bookmarkStart w:id="29" w:name="_Toc233969281"/>
      <w:r/>
      <w:bookmarkStart w:id="30" w:name="_Toc35393624"/>
      <w:r/>
      <w:bookmarkStart w:id="31" w:name="_Toc38985266"/>
      <w:r/>
      <w:bookmarkStart w:id="32" w:name="_Toc35393793"/>
      <w:r/>
      <w:bookmarkEnd w:id="21"/>
      <w:r/>
      <w:bookmarkEnd w:id="22"/>
      <w:r/>
      <w:bookmarkEnd w:id="23"/>
      <w:r/>
      <w:bookmarkEnd w:id="24"/>
      <w:r/>
      <w:bookmarkEnd w:id="25"/>
      <w:r>
        <w:rPr>
          <w:rFonts w:hint="eastAsia" w:ascii="方正黑体_GBK" w:hAnsi="方正黑体_GBK" w:eastAsia="方正黑体_GBK" w:cs="方正黑体_GBK"/>
          <w:sz w:val="28"/>
          <w:szCs w:val="28"/>
        </w:rPr>
        <w:t xml:space="preserve">四、提交投标文件</w:t>
      </w:r>
      <w:bookmarkEnd w:id="27"/>
      <w:r/>
      <w:bookmarkEnd w:id="28"/>
      <w:r>
        <w:rPr>
          <w:rFonts w:hint="eastAsia" w:ascii="方正黑体_GBK" w:hAnsi="方正黑体_GBK" w:eastAsia="方正黑体_GBK" w:cs="方正黑体_GBK"/>
          <w:sz w:val="28"/>
          <w:szCs w:val="28"/>
        </w:rPr>
        <w:t xml:space="preserve">截止时间、开标时间和地点</w:t>
      </w:r>
      <w:bookmarkEnd w:id="29"/>
      <w:r/>
      <w:bookmarkEnd w:id="30"/>
      <w:r/>
      <w:bookmarkEnd w:id="31"/>
      <w:r/>
      <w:bookmarkEnd w:id="32"/>
      <w:r/>
      <w:r/>
    </w:p>
    <w:p>
      <w:pPr>
        <w:ind w:firstLine="560"/>
        <w:spacing w:line="400" w:lineRule="exact"/>
        <w:rPr>
          <w:rFonts w:hint="eastAsia" w:ascii="宋体" w:hAnsi="宋体"/>
          <w:bCs/>
          <w:sz w:val="28"/>
          <w:szCs w:val="28"/>
          <w:u w:val="single"/>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rPr>
          <w:rFonts w:hint="eastAsia" w:eastAsia="方正仿宋_GBK"/>
          <w:sz w:val="28"/>
          <w:szCs w:val="28"/>
        </w:rPr>
        <w:t xml:space="preserve">2026</w:t>
      </w:r>
      <w:r>
        <w:rPr>
          <w:rFonts w:hint="eastAsia" w:ascii="方正仿宋_GBK" w:hAnsi="方正仿宋_GBK" w:eastAsia="方正仿宋_GBK" w:cs="方正仿宋_GBK"/>
          <w:bCs/>
          <w:sz w:val="28"/>
          <w:szCs w:val="28"/>
        </w:rPr>
        <w:t xml:space="preserve">年9</w:t>
      </w:r>
      <w:r>
        <w:rPr>
          <w:rFonts w:hint="eastAsia" w:ascii="方正仿宋_GBK" w:hAnsi="方正仿宋_GBK" w:eastAsia="方正仿宋_GBK" w:cs="方正仿宋_GBK"/>
          <w:bCs/>
          <w:sz w:val="28"/>
          <w:szCs w:val="28"/>
        </w:rPr>
        <w:t xml:space="preserve">月4</w:t>
      </w:r>
      <w:r>
        <w:rPr>
          <w:rFonts w:hint="eastAsia" w:ascii="方正仿宋_GBK" w:hAnsi="方正仿宋_GBK" w:eastAsia="方正仿宋_GBK" w:cs="方正仿宋_GBK"/>
          <w:bCs/>
          <w:sz w:val="28"/>
          <w:szCs w:val="28"/>
        </w:rPr>
        <w:t xml:space="preserve">日</w:t>
      </w:r>
      <w:r>
        <w:rPr>
          <w:rFonts w:hint="eastAsia" w:eastAsia="方正仿宋_GBK"/>
          <w:sz w:val="28"/>
          <w:szCs w:val="28"/>
        </w:rPr>
        <w:t xml:space="preserve">9</w:t>
      </w:r>
      <w:r>
        <w:rPr>
          <w:rFonts w:hint="eastAsia" w:ascii="方正仿宋_GBK" w:hAnsi="方正仿宋_GBK" w:eastAsia="方正仿宋_GBK" w:cs="方正仿宋_GBK"/>
          <w:sz w:val="28"/>
          <w:szCs w:val="28"/>
        </w:rPr>
        <w:t xml:space="preserve">时</w:t>
      </w:r>
      <w:r>
        <w:rPr>
          <w:rFonts w:hint="eastAsia" w:eastAsia="方正仿宋_GBK"/>
          <w:sz w:val="28"/>
          <w:szCs w:val="28"/>
        </w:rPr>
        <w:t xml:space="preserve">30</w:t>
      </w:r>
      <w:r>
        <w:rPr>
          <w:rFonts w:hint="eastAsia" w:ascii="方正仿宋_GBK" w:hAnsi="方正仿宋_GBK" w:eastAsia="方正仿宋_GBK" w:cs="方正仿宋_GBK"/>
          <w:bCs/>
          <w:sz w:val="28"/>
          <w:szCs w:val="28"/>
        </w:rPr>
        <w:t xml:space="preserve">分</w:t>
      </w:r>
      <w:r/>
      <w:r>
        <w:rPr>
          <w:rFonts w:hint="eastAsia" w:ascii="方正仿宋_GBK" w:hAnsi="方正仿宋_GBK" w:eastAsia="方正仿宋_GBK" w:cs="方正仿宋_GBK"/>
          <w:sz w:val="28"/>
          <w:szCs w:val="28"/>
        </w:rPr>
      </w:r>
      <w:r>
        <w:rPr>
          <w:rFonts w:hint="eastAsia" w:ascii="方正仿宋_GBK" w:hAnsi="方正仿宋_GBK" w:eastAsia="方正仿宋_GBK" w:cs="方正仿宋_GBK"/>
          <w:bCs/>
          <w:sz w:val="28"/>
          <w:szCs w:val="28"/>
        </w:rPr>
        <w:t xml:space="preserve">（北京时间）</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p>
    <w:p>
      <w:pPr>
        <w:ind w:firstLine="560"/>
        <w:jc w:val="left"/>
        <w:keepNext/>
        <w:spacing w:line="400" w:lineRule="exact"/>
        <w:rPr>
          <w:rFonts w:ascii="方正黑体_GBK" w:hAnsi="方正黑体_GBK" w:eastAsia="方正黑体_GBK" w:cs="方正黑体_GBK"/>
          <w:sz w:val="28"/>
          <w:szCs w:val="28"/>
        </w:rPr>
        <w:outlineLvl w:val="0"/>
      </w:pPr>
      <w:r/>
      <w:bookmarkStart w:id="33" w:name="_Toc28359007"/>
      <w:r/>
      <w:bookmarkStart w:id="34" w:name="_Toc35393625"/>
      <w:r/>
      <w:bookmarkStart w:id="35" w:name="_Toc38985267"/>
      <w:r/>
      <w:bookmarkStart w:id="36" w:name="_Toc35393794"/>
      <w:r/>
      <w:bookmarkStart w:id="37" w:name="_Toc28359084"/>
      <w:r/>
      <w:bookmarkStart w:id="38" w:name="_Toc233969282"/>
      <w:r>
        <w:rPr>
          <w:rFonts w:hint="eastAsia" w:ascii="方正黑体_GBK" w:hAnsi="方正黑体_GBK" w:eastAsia="方正黑体_GBK" w:cs="方正黑体_GBK"/>
          <w:sz w:val="28"/>
          <w:szCs w:val="28"/>
        </w:rPr>
        <w:t xml:space="preserve">五、公告期限</w:t>
      </w:r>
      <w:bookmarkEnd w:id="33"/>
      <w:r/>
      <w:bookmarkEnd w:id="34"/>
      <w:r/>
      <w:bookmarkEnd w:id="35"/>
      <w:r/>
      <w:bookmarkEnd w:id="36"/>
      <w:r/>
      <w:bookmarkEnd w:id="37"/>
      <w:r/>
      <w:bookmarkEnd w:id="38"/>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招标公告及招标文件公告期限为自本公告发布之日起5个工作日。</w:t>
      </w:r>
      <w:r/>
    </w:p>
    <w:p>
      <w:pPr>
        <w:ind w:firstLine="560"/>
        <w:jc w:val="left"/>
        <w:keepNext/>
        <w:spacing w:line="400" w:lineRule="exact"/>
        <w:rPr>
          <w:rFonts w:ascii="方正黑体_GBK" w:hAnsi="方正黑体_GBK" w:eastAsia="方正黑体_GBK" w:cs="方正黑体_GBK"/>
          <w:sz w:val="28"/>
          <w:szCs w:val="28"/>
        </w:rPr>
        <w:outlineLvl w:val="0"/>
      </w:pPr>
      <w:r/>
      <w:bookmarkStart w:id="39" w:name="_Toc38985268"/>
      <w:r/>
      <w:bookmarkStart w:id="40" w:name="_Toc35393795"/>
      <w:r/>
      <w:bookmarkStart w:id="41" w:name="_Toc35393626"/>
      <w:r/>
      <w:bookmarkStart w:id="42" w:name="_Toc233969283"/>
      <w:r>
        <w:rPr>
          <w:rFonts w:hint="eastAsia" w:ascii="方正黑体_GBK" w:hAnsi="方正黑体_GBK" w:eastAsia="方正黑体_GBK" w:cs="方正黑体_GBK"/>
          <w:sz w:val="28"/>
          <w:szCs w:val="28"/>
        </w:rPr>
        <w:t xml:space="preserve">六、其他补充事宜</w:t>
      </w:r>
      <w:bookmarkEnd w:id="39"/>
      <w:r/>
      <w:bookmarkEnd w:id="40"/>
      <w:r/>
      <w:bookmarkEnd w:id="41"/>
      <w:r/>
      <w:bookmarkEnd w:id="42"/>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无。</w:t>
      </w:r>
      <w:r/>
    </w:p>
    <w:p>
      <w:pPr>
        <w:ind w:firstLine="560"/>
        <w:jc w:val="left"/>
        <w:keepNext/>
        <w:spacing w:line="400" w:lineRule="exact"/>
        <w:rPr>
          <w:rFonts w:ascii="方正黑体_GBK" w:hAnsi="方正黑体_GBK" w:eastAsia="方正黑体_GBK" w:cs="方正黑体_GBK"/>
          <w:sz w:val="28"/>
          <w:szCs w:val="28"/>
        </w:rPr>
        <w:outlineLvl w:val="0"/>
      </w:pPr>
      <w:r/>
      <w:bookmarkStart w:id="43" w:name="_Toc28359008"/>
      <w:r/>
      <w:bookmarkStart w:id="44" w:name="_Toc233969284"/>
      <w:r/>
      <w:bookmarkStart w:id="45" w:name="_Toc28359085"/>
      <w:r/>
      <w:bookmarkStart w:id="46" w:name="_Toc35393627"/>
      <w:r/>
      <w:bookmarkStart w:id="47" w:name="_Toc38985269"/>
      <w:r/>
      <w:bookmarkStart w:id="48" w:name="_Toc35393796"/>
      <w:r>
        <w:rPr>
          <w:rFonts w:hint="eastAsia" w:ascii="方正黑体_GBK" w:hAnsi="方正黑体_GBK" w:eastAsia="方正黑体_GBK" w:cs="方正黑体_GBK"/>
          <w:sz w:val="28"/>
          <w:szCs w:val="28"/>
        </w:rPr>
        <w:t xml:space="preserve">七、本次招标联系方式</w:t>
      </w:r>
      <w:bookmarkEnd w:id="43"/>
      <w:r/>
      <w:bookmarkEnd w:id="44"/>
      <w:r/>
      <w:bookmarkEnd w:id="45"/>
      <w:r/>
      <w:bookmarkEnd w:id="46"/>
      <w:r/>
      <w:bookmarkEnd w:id="47"/>
      <w:r/>
      <w:bookmarkEnd w:id="48"/>
      <w:r/>
      <w:r/>
    </w:p>
    <w:p>
      <w:pPr>
        <w:jc w:val="left"/>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r>
        <w:rPr>
          <w:rFonts w:hint="eastAsia" w:ascii="方正仿宋_GBK" w:hAnsi="方正仿宋_GBK" w:eastAsia="方正仿宋_GBK" w:cs="方正仿宋_GBK"/>
          <w:sz w:val="28"/>
          <w:szCs w:val="28"/>
        </w:rPr>
        <w:t xml:space="preserve">1.采购人信息</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　　江苏省人民医院　　</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u w:val="single"/>
        </w:rPr>
        <w:t xml:space="preserve">　　</w:t>
      </w:r>
      <w:r>
        <w:rPr>
          <w:rFonts w:ascii="方正仿宋_GBK" w:hAnsi="方正仿宋_GBK" w:eastAsia="方正仿宋_GBK" w:cs="方正仿宋_GBK"/>
          <w:sz w:val="28"/>
          <w:szCs w:val="28"/>
          <w:u w:val="single"/>
        </w:rPr>
        <w:t xml:space="preserve">南京市广州路300号</w:t>
      </w:r>
      <w:r>
        <w:rPr>
          <w:rFonts w:hint="eastAsia" w:ascii="方正仿宋_GBK" w:hAnsi="方正仿宋_GBK" w:eastAsia="方正仿宋_GBK" w:cs="方正仿宋_GBK"/>
          <w:sz w:val="28"/>
          <w:szCs w:val="28"/>
          <w:u w:val="single"/>
        </w:rPr>
        <w:t xml:space="preserve">　　</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周老师</w:t>
      </w:r>
      <w:r>
        <w:rPr>
          <w:rFonts w:hint="eastAsia" w:ascii="方正仿宋_GBK" w:hAnsi="方正仿宋_GBK" w:eastAsia="方正仿宋_GBK" w:cs="方正仿宋_GBK"/>
          <w:sz w:val="28"/>
          <w:szCs w:val="28"/>
          <w:u w:val="single"/>
        </w:rPr>
        <w:t xml:space="preserve">           </w:t>
      </w:r>
      <w:r/>
    </w:p>
    <w:p>
      <w:pPr>
        <w:ind w:firstLine="560"/>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r>
        <w:rPr>
          <w:rFonts w:hint="eastAsia" w:ascii="方正仿宋_GBK" w:hAnsi="方正仿宋_GBK" w:eastAsia="方正仿宋_GBK" w:cs="方正仿宋_GBK"/>
          <w:sz w:val="28"/>
          <w:szCs w:val="28"/>
          <w:u w:val="single"/>
        </w:rPr>
        <w:t xml:space="preserve">　　　　　0</w:t>
      </w:r>
      <w:r>
        <w:rPr>
          <w:rFonts w:ascii="方正仿宋_GBK" w:hAnsi="方正仿宋_GBK" w:eastAsia="方正仿宋_GBK" w:cs="方正仿宋_GBK"/>
          <w:sz w:val="28"/>
          <w:szCs w:val="28"/>
          <w:u w:val="single"/>
        </w:rPr>
        <w:t xml:space="preserve">25-</w:t>
      </w:r>
      <w:r>
        <w:rPr>
          <w:rFonts w:hint="eastAsia" w:ascii="方正仿宋_GBK" w:hAnsi="方正仿宋_GBK" w:eastAsia="方正仿宋_GBK" w:cs="方正仿宋_GBK"/>
          <w:sz w:val="28"/>
          <w:szCs w:val="28"/>
          <w:u w:val="single"/>
        </w:rPr>
        <w:t xml:space="preserve">68306652　　　　　　 </w:t>
      </w:r>
      <w:bookmarkStart w:id="49" w:name="_Toc28359009"/>
      <w:r/>
      <w:bookmarkStart w:id="50" w:name="_Toc28359086"/>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9"/>
      <w:r/>
      <w:bookmarkEnd w:id="50"/>
      <w:r/>
      <w:r/>
    </w:p>
    <w:p>
      <w:pPr>
        <w:ind w:firstLine="560"/>
        <w:spacing w:line="400" w:lineRule="exact"/>
        <w:rPr>
          <w:rFonts w:ascii="方正仿宋_GB2312" w:hAnsi="方正仿宋_GB2312" w:eastAsia="方正仿宋_GB2312" w:cs="方正仿宋_GB2312"/>
          <w:sz w:val="28"/>
          <w:szCs w:val="28"/>
        </w:rPr>
      </w:pPr>
      <w:r/>
      <w:bookmarkStart w:id="51" w:name="_Toc28359010"/>
      <w:r/>
      <w:bookmarkStart w:id="52" w:name="_Toc28359087"/>
      <w:r>
        <w:rPr>
          <w:rFonts w:hint="eastAsia" w:ascii="方正仿宋_GB2312" w:hAnsi="方正仿宋_GB2312" w:eastAsia="方正仿宋_GB2312" w:cs="方正仿宋_GB2312"/>
          <w:sz w:val="28"/>
          <w:szCs w:val="28"/>
        </w:rPr>
        <w:t xml:space="preserve">地　址：</w:t>
      </w:r>
      <w:r>
        <w:rPr>
          <w:rFonts w:hint="eastAsia" w:ascii="方正仿宋_GB2312" w:hAnsi="方正仿宋_GB2312" w:eastAsia="方正仿宋_GB2312" w:cs="方正仿宋_GB2312"/>
          <w:sz w:val="28"/>
          <w:szCs w:val="28"/>
          <w:u w:val="single"/>
        </w:rPr>
        <w:t xml:space="preserve">　南京市汉中门大街145号省政务中心二期3楼南区　</w:t>
      </w:r>
      <w:r/>
    </w:p>
    <w:p>
      <w:pPr>
        <w:ind w:firstLine="560"/>
        <w:spacing w:line="400" w:lineRule="exact"/>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联系人：</w:t>
      </w:r>
      <w:r>
        <w:rPr>
          <w:rFonts w:hint="eastAsia" w:ascii="方正仿宋_GB2312" w:hAnsi="方正仿宋_GB2312" w:eastAsia="方正仿宋_GB2312" w:cs="方正仿宋_GB2312"/>
          <w:sz w:val="28"/>
          <w:szCs w:val="28"/>
          <w:u w:val="single"/>
        </w:rPr>
        <w:t xml:space="preserve">  </w:t>
      </w:r>
      <w:r>
        <w:rPr>
          <w:rFonts w:hint="eastAsia" w:ascii="宋体" w:hAnsi="宋体" w:cs="宋体"/>
          <w:sz w:val="28"/>
          <w:szCs w:val="28"/>
          <w:u w:val="single"/>
        </w:rPr>
        <w:t xml:space="preserve">付钢</w:t>
      </w:r>
      <w:r>
        <w:rPr>
          <w:rFonts w:hint="eastAsia" w:ascii="方正仿宋_GB2312" w:hAnsi="方正仿宋_GB2312" w:eastAsia="方正仿宋_GB2312" w:cs="方正仿宋_GB2312"/>
          <w:sz w:val="28"/>
          <w:szCs w:val="28"/>
          <w:u w:val="single"/>
        </w:rPr>
        <w:t xml:space="preserve">、唐文                    </w:t>
      </w:r>
      <w:r/>
    </w:p>
    <w:p>
      <w:pPr>
        <w:ind w:firstLine="560"/>
        <w:spacing w:line="400" w:lineRule="exact"/>
        <w:rPr>
          <w:rFonts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u w:val="single"/>
        </w:rPr>
        <w:t xml:space="preserve">联系方式：　025-83668520/83668519　</w:t>
      </w:r>
      <w:r/>
    </w:p>
    <w:p>
      <w:pPr>
        <w:ind w:firstLine="560"/>
        <w:jc w:val="left"/>
        <w:keepNext/>
        <w:spacing w:line="400" w:lineRule="exact"/>
        <w:rPr>
          <w:rFonts w:ascii="方正黑体_GBK" w:hAnsi="方正黑体_GBK" w:eastAsia="方正黑体_GBK" w:cs="方正黑体_GBK"/>
          <w:sz w:val="28"/>
          <w:szCs w:val="28"/>
        </w:rPr>
        <w:outlineLvl w:val="0"/>
      </w:pPr>
      <w:r/>
      <w:bookmarkStart w:id="53" w:name="_Toc233969285"/>
      <w:r/>
      <w:bookmarkEnd w:id="51"/>
      <w:r/>
      <w:bookmarkEnd w:id="52"/>
      <w:r>
        <w:rPr>
          <w:rFonts w:hint="eastAsia" w:ascii="方正黑体_GBK" w:hAnsi="方正黑体_GBK" w:eastAsia="方正黑体_GBK" w:cs="方正黑体_GBK"/>
          <w:sz w:val="28"/>
          <w:szCs w:val="28"/>
        </w:rPr>
        <w:t xml:space="preserve">八、其他</w:t>
      </w:r>
      <w:bookmarkEnd w:id="53"/>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bCs/>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sz w:val="28"/>
          <w:szCs w:val="28"/>
        </w:rPr>
        <w:t xml:space="preserve">“苏采云”政府采购交易系统（以下简称苏采云系统）</w:t>
      </w:r>
      <w:r>
        <w:rPr>
          <w:rFonts w:hint="eastAsia" w:ascii="方正仿宋_GBK" w:hAnsi="方正仿宋_GBK" w:eastAsia="方正仿宋_GBK" w:cs="方正仿宋_GBK"/>
          <w:bCs/>
          <w:sz w:val="28"/>
          <w:szCs w:val="28"/>
        </w:rPr>
        <w:t xml:space="preserve">的CA数字证书、电子签章已更换为江苏省电子政务证书认证中心CA和方正国际软件（北京）有限公司电子签章。具体办理指南和操作手册见链接：</w:t>
      </w:r>
      <w:r>
        <w:rPr>
          <w:rFonts w:hint="eastAsia" w:eastAsia="方正仿宋_GBK"/>
          <w:sz w:val="28"/>
          <w:szCs w:val="28"/>
        </w:rPr>
        <w:t xml:space="preserve">http://www.ccgp-jiangsu.gov.cn/jiangsu/zlxz/ee/ee3a4bc5a3454aa2b0d9312230633ce9.html</w:t>
      </w:r>
      <w:r>
        <w:rPr>
          <w:rFonts w:hint="eastAsia" w:eastAsia="方正仿宋_GBK"/>
          <w:sz w:val="28"/>
          <w:szCs w:val="28"/>
        </w:rPr>
        <w:t xml:space="preserve">。</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3.本次招标不收取投标保证金。</w:t>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r>
      <w:r/>
    </w:p>
    <w:p>
      <w:pPr>
        <w:ind w:right="840"/>
        <w:rPr>
          <w:rFonts w:hint="eastAsia" w:ascii="宋体" w:hAnsi="宋体"/>
          <w:sz w:val="24"/>
          <w:szCs w:val="24"/>
        </w:rPr>
      </w:pPr>
      <w:r>
        <w:rPr>
          <w:rFonts w:hint="eastAsia" w:ascii="宋体" w:hAnsi="宋体"/>
          <w:sz w:val="24"/>
          <w:szCs w:val="24"/>
        </w:rPr>
        <w:br w:type="page" w:clear="all"/>
      </w:r>
      <w:r/>
    </w:p>
    <w:p>
      <w:pPr>
        <w:ind w:right="840"/>
        <w:rPr>
          <w:rFonts w:hint="eastAsia" w:ascii="宋体" w:hAnsi="宋体"/>
          <w:sz w:val="24"/>
          <w:szCs w:val="24"/>
        </w:rPr>
      </w:pPr>
      <w:r>
        <w:rPr>
          <w:rFonts w:hint="eastAsia" w:ascii="宋体" w:hAnsi="宋体"/>
          <w:sz w:val="24"/>
          <w:szCs w:val="24"/>
        </w:rPr>
      </w:r>
      <w:r/>
    </w:p>
    <w:p>
      <w:pPr>
        <w:jc w:val="center"/>
        <w:keepNext/>
        <w:spacing w:line="400" w:lineRule="exact"/>
        <w:rPr>
          <w:rFonts w:ascii="方正黑体_GBK" w:hAnsi="方正黑体_GBK" w:eastAsia="方正黑体_GBK" w:cs="方正黑体_GBK"/>
          <w:sz w:val="28"/>
          <w:szCs w:val="28"/>
        </w:rPr>
        <w:outlineLvl w:val="0"/>
      </w:pPr>
      <w:r/>
      <w:bookmarkStart w:id="54" w:name="_Toc233969286"/>
      <w:r>
        <w:rPr>
          <w:rFonts w:hint="eastAsia" w:ascii="方正黑体_GBK" w:hAnsi="方正黑体_GBK" w:eastAsia="方正黑体_GBK" w:cs="方正黑体_GBK"/>
          <w:sz w:val="28"/>
          <w:szCs w:val="28"/>
        </w:rPr>
        <w:t xml:space="preserve">第二章  投标人须知</w:t>
      </w:r>
      <w:bookmarkEnd w:id="54"/>
      <w:r/>
      <w:r/>
    </w:p>
    <w:p>
      <w:pPr>
        <w:ind w:firstLine="498"/>
        <w:keepLines/>
        <w:keepNext/>
        <w:spacing w:before="156" w:after="156" w:line="400" w:lineRule="exact"/>
        <w:rPr>
          <w:b/>
          <w:bCs/>
          <w:sz w:val="32"/>
          <w:szCs w:val="32"/>
        </w:rPr>
        <w:outlineLvl w:val="2"/>
      </w:pPr>
      <w:r>
        <w:rPr>
          <w:rFonts w:hint="eastAsia"/>
          <w:b/>
          <w:bCs/>
          <w:sz w:val="32"/>
          <w:szCs w:val="32"/>
        </w:rPr>
        <w:t xml:space="preserve">一、总则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hint="eastAsia" w:ascii="Arial" w:hAnsi="Arial" w:eastAsia="黑体" w:cs="Arial"/>
          <w:sz w:val="28"/>
          <w:szCs w:val="28"/>
        </w:rPr>
        <w:t xml:space="preserve">、招标方式</w:t>
      </w:r>
      <w:r/>
    </w:p>
    <w:p>
      <w:pPr>
        <w:ind w:firstLine="480"/>
        <w:spacing w:line="4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3</w:t>
      </w:r>
      <w:r>
        <w:rPr>
          <w:rFonts w:hint="eastAsia" w:ascii="Arial" w:hAnsi="Arial" w:eastAsia="黑体" w:cs="Arial"/>
          <w:sz w:val="28"/>
          <w:szCs w:val="28"/>
        </w:rPr>
        <w:t xml:space="preserve">、适用法律和标准</w:t>
      </w:r>
      <w:r/>
    </w:p>
    <w:p>
      <w:pPr>
        <w:ind w:firstLine="420"/>
        <w:spacing w:line="4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spacing w:line="400" w:lineRule="exact"/>
        <w:rPr>
          <w:rFonts w:hint="eastAsia" w:ascii="宋体" w:hAnsi="宋体"/>
          <w:sz w:val="24"/>
          <w:szCs w:val="21"/>
        </w:rPr>
      </w:pPr>
      <w:r>
        <w:rPr>
          <w:rFonts w:hint="eastAsia" w:ascii="宋体" w:hAnsi="宋体"/>
          <w:sz w:val="24"/>
          <w:szCs w:val="21"/>
        </w:rPr>
        <w:t xml:space="preserve">3.2 在本项目政府采购活动过程中，如果所执行的标准有更新的，按照最新标准执行。</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r/>
    </w:p>
    <w:p>
      <w:pPr>
        <w:ind w:firstLine="480"/>
        <w:spacing w:line="4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szCs w:val="21"/>
        </w:rPr>
      </w:pPr>
      <w:r>
        <w:rPr>
          <w:rFonts w:hint="eastAsia" w:ascii="宋体" w:hAnsi="宋体"/>
          <w:sz w:val="24"/>
          <w:szCs w:val="21"/>
        </w:rPr>
        <w:t xml:space="preserve">4.2本次招标采购中心和采购人不收取标书工本费与中标服务费。</w:t>
      </w:r>
      <w:r/>
    </w:p>
    <w:p>
      <w:pPr>
        <w:ind w:firstLine="452"/>
        <w:keepLines/>
        <w:keepNext/>
        <w:spacing w:line="4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ind w:firstLine="321"/>
        <w:keepLines/>
        <w:keepNext/>
        <w:spacing w:before="156" w:after="156" w:line="400" w:lineRule="exact"/>
        <w:rPr>
          <w:b/>
          <w:bCs/>
          <w:sz w:val="32"/>
          <w:szCs w:val="32"/>
        </w:rPr>
        <w:outlineLvl w:val="2"/>
      </w:pPr>
      <w:r>
        <w:rPr>
          <w:rFonts w:hint="eastAsia"/>
          <w:b/>
          <w:bCs/>
          <w:sz w:val="32"/>
          <w:szCs w:val="32"/>
        </w:rPr>
        <w:t xml:space="preserve">二、招标文件</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r/>
    </w:p>
    <w:p>
      <w:pPr>
        <w:ind w:firstLine="480"/>
        <w:spacing w:line="4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sz w:val="24"/>
          <w:szCs w:val="24"/>
        </w:rPr>
      </w:pPr>
      <w:r>
        <w:rPr>
          <w:rFonts w:hint="eastAsia" w:ascii="宋体" w:hAnsi="宋体"/>
          <w:sz w:val="24"/>
          <w:szCs w:val="24"/>
        </w:rPr>
        <w:t xml:space="preserve">（5）</w:t>
      </w:r>
      <w:r>
        <w:rPr>
          <w:rFonts w:hint="eastAsia" w:hAnsi="宋体"/>
          <w:sz w:val="24"/>
          <w:szCs w:val="24"/>
        </w:rPr>
        <w:t xml:space="preserve">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szCs w:val="21"/>
        </w:rPr>
      </w:pPr>
      <w:r>
        <w:rPr>
          <w:rFonts w:hint="eastAsia" w:ascii="宋体" w:hAnsi="宋体"/>
          <w:sz w:val="24"/>
          <w:szCs w:val="21"/>
        </w:rPr>
        <w:t xml:space="preserve">请仔细检查招标文件是否齐全，如有缺漏请立即与采购中心联系解决。</w:t>
      </w:r>
      <w:r/>
    </w:p>
    <w:p>
      <w:pPr>
        <w:ind w:firstLine="480"/>
        <w:spacing w:line="4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w:t>
      </w:r>
      <w:r>
        <w:rPr>
          <w:rFonts w:hint="eastAsia" w:ascii="宋体" w:hAnsi="宋体"/>
          <w:sz w:val="24"/>
          <w:szCs w:val="21"/>
        </w:rPr>
        <w:t xml:space="preserve">按招标文件要求和规定编制投标文件，并保证所提供的全部资料的真实性，以使其投标文件对招标文件作出实质性响应，否则其风险由投标人自行承担。</w:t>
      </w:r>
      <w:r/>
    </w:p>
    <w:p>
      <w:pPr>
        <w:ind w:firstLine="56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7</w:t>
      </w:r>
      <w:r>
        <w:rPr>
          <w:rFonts w:hint="eastAsia" w:ascii="Arial" w:hAnsi="Arial" w:eastAsia="黑体" w:cs="Arial"/>
          <w:sz w:val="28"/>
          <w:szCs w:val="28"/>
        </w:rPr>
        <w:t xml:space="preserve">、招标文件的修改</w:t>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，采购中心可以对招标文件进行修改。</w:t>
      </w:r>
      <w:r/>
    </w:p>
    <w:p>
      <w:pPr>
        <w:ind w:firstLine="480"/>
        <w:spacing w:line="400" w:lineRule="exact"/>
        <w:rPr>
          <w:rFonts w:ascii="宋体" w:hAnsi="Arial"/>
          <w:sz w:val="28"/>
          <w:szCs w:val="21"/>
        </w:rPr>
      </w:pPr>
      <w:r>
        <w:rPr>
          <w:rFonts w:ascii="宋体" w:hAnsi="宋体"/>
          <w:bCs/>
          <w:sz w:val="24"/>
          <w:szCs w:val="21"/>
        </w:rPr>
        <w:t xml:space="preserve">7</w:t>
      </w:r>
      <w:r>
        <w:rPr>
          <w:rFonts w:hint="eastAsia" w:ascii="宋体" w:hAnsi="宋体"/>
          <w:bCs/>
          <w:sz w:val="24"/>
          <w:szCs w:val="21"/>
        </w:rPr>
        <w:t xml:space="preserve">.2 </w:t>
      </w:r>
      <w:r>
        <w:rPr>
          <w:rFonts w:hint="eastAsia" w:ascii="宋体" w:hAnsi="宋体"/>
          <w:sz w:val="24"/>
          <w:szCs w:val="21"/>
        </w:rPr>
        <w:t xml:space="preserve">采购中心</w:t>
      </w:r>
      <w:r>
        <w:rPr>
          <w:rFonts w:hint="eastAsia" w:ascii="宋体" w:hAnsi="宋体"/>
          <w:sz w:val="24"/>
          <w:szCs w:val="24"/>
        </w:rPr>
        <w:t xml:space="preserve">有权按照法定的要求</w:t>
      </w:r>
      <w:r>
        <w:rPr>
          <w:rFonts w:hint="eastAsia" w:ascii="宋体" w:hAnsi="宋体"/>
          <w:sz w:val="24"/>
          <w:szCs w:val="21"/>
        </w:rPr>
        <w:t xml:space="preserve">推迟投标截止日期和开标日期。</w:t>
      </w:r>
      <w:r/>
    </w:p>
    <w:p>
      <w:pPr>
        <w:ind w:firstLine="480"/>
        <w:spacing w:line="400" w:lineRule="exact"/>
        <w:rPr>
          <w:rFonts w:hint="eastAsia" w:ascii="宋体" w:hAnsi="宋体"/>
          <w:sz w:val="24"/>
          <w:szCs w:val="21"/>
        </w:rPr>
      </w:pPr>
      <w:r>
        <w:rPr>
          <w:rFonts w:ascii="宋体" w:hAnsi="宋体"/>
          <w:bCs/>
          <w:sz w:val="24"/>
          <w:szCs w:val="21"/>
        </w:rPr>
        <w:t xml:space="preserve">7</w:t>
      </w:r>
      <w:r>
        <w:rPr>
          <w:rFonts w:hint="eastAsia" w:ascii="宋体" w:hAnsi="宋体"/>
          <w:bCs/>
          <w:sz w:val="24"/>
          <w:szCs w:val="21"/>
        </w:rPr>
        <w:t xml:space="preserve">.3 </w:t>
      </w:r>
      <w:r>
        <w:rPr>
          <w:rFonts w:hint="eastAsia" w:ascii="宋体" w:hAnsi="宋体"/>
          <w:sz w:val="24"/>
          <w:szCs w:val="21"/>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before="156" w:after="156" w:line="400" w:lineRule="exact"/>
        <w:rPr>
          <w:b/>
          <w:bCs/>
          <w:sz w:val="32"/>
          <w:szCs w:val="32"/>
        </w:rPr>
        <w:outlineLvl w:val="2"/>
      </w:pPr>
      <w:r>
        <w:rPr>
          <w:rFonts w:hint="eastAsia"/>
          <w:b/>
          <w:bCs/>
          <w:sz w:val="32"/>
          <w:szCs w:val="32"/>
        </w:rPr>
        <w:t xml:space="preserve">三、投标文件的编制</w:t>
      </w:r>
      <w:r/>
    </w:p>
    <w:p>
      <w:pPr>
        <w:ind w:firstLine="560"/>
        <w:keepLines/>
        <w:keepNext/>
        <w:spacing w:line="400" w:lineRule="exact"/>
        <w:rPr>
          <w:rFonts w:ascii="Arial" w:hAnsi="Arial" w:eastAsia="黑体" w:cs="Arial"/>
          <w:b/>
          <w:sz w:val="28"/>
          <w:szCs w:val="28"/>
        </w:rPr>
        <w:outlineLvl w:val="3"/>
      </w:pPr>
      <w:r>
        <w:rPr>
          <w:rFonts w:ascii="Arial" w:hAnsi="Arial" w:eastAsia="黑体" w:cs="Arial"/>
          <w:sz w:val="28"/>
          <w:szCs w:val="28"/>
        </w:rPr>
        <w:t xml:space="preserve">8</w:t>
      </w:r>
      <w:r>
        <w:rPr>
          <w:rFonts w:hint="eastAsia" w:ascii="Arial" w:hAnsi="Arial" w:eastAsia="黑体" w:cs="Arial"/>
          <w:sz w:val="28"/>
          <w:szCs w:val="28"/>
        </w:rPr>
        <w:t xml:space="preserve">、投标文件的语言及度量衡单位</w:t>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.1</w:t>
      </w:r>
      <w:r>
        <w:rPr>
          <w:rFonts w:hint="eastAsia" w:ascii="宋体" w:hAnsi="宋体"/>
          <w:sz w:val="24"/>
          <w:szCs w:val="21"/>
        </w:rPr>
        <w:t xml:space="preserve"> 投标人提交的投标文件以及投标人与采购中心就有关投标的所有来往通知、函件和文件均应使用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400" w:lineRule="exact"/>
        <w:rPr>
          <w:rFonts w:hint="eastAsia" w:ascii="宋体" w:hAnsi="宋体"/>
          <w:sz w:val="24"/>
          <w:szCs w:val="21"/>
        </w:rPr>
      </w:pPr>
      <w:r>
        <w:rPr>
          <w:rFonts w:ascii="宋体" w:hAnsi="宋体"/>
          <w:bCs/>
          <w:sz w:val="24"/>
          <w:szCs w:val="21"/>
        </w:rPr>
        <w:t xml:space="preserve">8</w:t>
      </w:r>
      <w:r>
        <w:rPr>
          <w:rFonts w:hint="eastAsia" w:ascii="宋体" w:hAnsi="宋体"/>
          <w:bCs/>
          <w:sz w:val="24"/>
          <w:szCs w:val="21"/>
        </w:rPr>
        <w:t xml:space="preserve">.2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9</w:t>
      </w:r>
      <w:r>
        <w:rPr>
          <w:rFonts w:hint="eastAsia" w:ascii="Arial" w:hAnsi="Arial" w:eastAsia="黑体" w:cs="Arial"/>
          <w:sz w:val="28"/>
          <w:szCs w:val="28"/>
        </w:rPr>
        <w:t xml:space="preserve">、投标文件构成</w:t>
      </w:r>
      <w:r/>
    </w:p>
    <w:p>
      <w:pPr>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.2 如标书制作工具中格式和内容与“江苏政府采购网”发布的招标文件不一致，请以“江苏政府采购网”发布的招标文件为准。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0</w:t>
      </w:r>
      <w:r>
        <w:rPr>
          <w:rFonts w:hint="eastAsia" w:ascii="Arial" w:hAnsi="Arial" w:eastAsia="黑体" w:cs="Arial"/>
          <w:sz w:val="28"/>
          <w:szCs w:val="28"/>
        </w:rPr>
        <w:t xml:space="preserve">、证明投标人及投标标的符合招标文件规定的文件</w:t>
      </w:r>
      <w:r/>
    </w:p>
    <w:p>
      <w:pPr>
        <w:spacing w:line="400" w:lineRule="exact"/>
        <w:rPr>
          <w:rFonts w:hint="eastAsia" w:ascii="宋体" w:hAnsi="宋体"/>
          <w:sz w:val="24"/>
          <w:szCs w:val="24"/>
        </w:rPr>
      </w:pPr>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1</w:t>
      </w:r>
      <w:r>
        <w:rPr>
          <w:rFonts w:hint="eastAsia" w:ascii="Arial" w:hAnsi="Arial" w:eastAsia="黑体" w:cs="Arial"/>
          <w:sz w:val="28"/>
          <w:szCs w:val="28"/>
        </w:rPr>
        <w:t xml:space="preserve">、投标分项报价表</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投标人按照招标文件规定格式填报投标分项报价表。</w:t>
      </w:r>
      <w:r/>
    </w:p>
    <w:p>
      <w:pPr>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2</w:t>
      </w:r>
      <w:r>
        <w:rPr>
          <w:rFonts w:hint="eastAsia" w:ascii="Arial" w:hAnsi="Arial" w:eastAsia="黑体" w:cs="Arial"/>
          <w:sz w:val="28"/>
          <w:szCs w:val="28"/>
        </w:rPr>
        <w:t xml:space="preserve">、技术要求响应及偏离表、商务要求响应及偏离表</w:t>
      </w:r>
      <w:r/>
    </w:p>
    <w:p>
      <w:pPr>
        <w:ind w:firstLine="480"/>
        <w:spacing w:line="400" w:lineRule="exact"/>
        <w:rPr>
          <w:rFonts w:ascii="宋体" w:hAnsi="Arial" w:cs="宋体"/>
          <w:sz w:val="24"/>
          <w:szCs w:val="21"/>
          <w:lang w:val="zh-CN"/>
        </w:rPr>
      </w:pPr>
      <w:r>
        <w:rPr>
          <w:rFonts w:ascii="宋体" w:hAnsi="Arial" w:cs="宋体"/>
          <w:bCs/>
          <w:sz w:val="24"/>
          <w:szCs w:val="21"/>
          <w:lang w:val="zh-CN"/>
        </w:rPr>
        <w:t xml:space="preserve">12.1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投标人需对招标文件中的技术要求与商务要求逐项作出响应或偏离，并说明原因。</w:t>
      </w:r>
      <w:r/>
    </w:p>
    <w:p>
      <w:pPr>
        <w:ind w:firstLine="480"/>
        <w:spacing w:line="400" w:lineRule="exact"/>
        <w:rPr>
          <w:rFonts w:ascii="宋体" w:hAnsi="Arial" w:cs="宋体"/>
          <w:sz w:val="24"/>
          <w:szCs w:val="21"/>
          <w:lang w:val="zh-CN"/>
        </w:rPr>
      </w:pPr>
      <w:r>
        <w:rPr>
          <w:rFonts w:hint="eastAsia" w:ascii="宋体" w:hAnsi="Arial" w:cs="宋体"/>
          <w:sz w:val="24"/>
          <w:szCs w:val="21"/>
          <w:lang w:val="zh-CN"/>
        </w:rPr>
        <w:t xml:space="preserve">1</w:t>
      </w:r>
      <w:r>
        <w:rPr>
          <w:rFonts w:ascii="宋体" w:hAnsi="Arial" w:cs="宋体"/>
          <w:sz w:val="24"/>
          <w:szCs w:val="21"/>
          <w:lang w:val="zh-CN"/>
        </w:rPr>
        <w:t xml:space="preserve">2</w:t>
      </w:r>
      <w:r>
        <w:rPr>
          <w:rFonts w:hint="eastAsia" w:ascii="宋体" w:hAnsi="Arial" w:cs="宋体"/>
          <w:sz w:val="24"/>
          <w:szCs w:val="21"/>
          <w:lang w:val="zh-CN"/>
        </w:rPr>
        <w:t xml:space="preserve">.2 投标人需按照招标文件要求，在投标文件中提供与技术要求和商务要求相关的证明材料。</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3</w:t>
      </w:r>
      <w:r>
        <w:rPr>
          <w:rFonts w:hint="eastAsia" w:ascii="Arial" w:hAnsi="Arial" w:eastAsia="黑体" w:cs="Arial"/>
          <w:sz w:val="28"/>
          <w:szCs w:val="28"/>
        </w:rPr>
        <w:t xml:space="preserve">、服务承诺、培训计划、人员安排及其他</w:t>
      </w:r>
      <w:r/>
    </w:p>
    <w:p>
      <w:pPr>
        <w:ind w:firstLine="480"/>
        <w:spacing w:line="400" w:lineRule="exact"/>
        <w:rPr>
          <w:rFonts w:hint="eastAsia" w:ascii="宋体" w:hAnsi="宋体"/>
          <w:sz w:val="24"/>
          <w:szCs w:val="24"/>
        </w:rPr>
      </w:pPr>
      <w:r>
        <w:rPr>
          <w:rFonts w:hint="eastAsia" w:ascii="宋体" w:hAnsi="宋体"/>
          <w:bCs/>
          <w:sz w:val="24"/>
          <w:szCs w:val="24"/>
        </w:rPr>
        <w:t xml:space="preserve">1</w:t>
      </w:r>
      <w:r>
        <w:rPr>
          <w:rFonts w:ascii="宋体" w:hAnsi="宋体"/>
          <w:bCs/>
          <w:sz w:val="24"/>
          <w:szCs w:val="24"/>
        </w:rPr>
        <w:t xml:space="preserve">3</w:t>
      </w:r>
      <w:r>
        <w:rPr>
          <w:rFonts w:hint="eastAsia" w:ascii="宋体" w:hAnsi="宋体"/>
          <w:bCs/>
          <w:sz w:val="24"/>
          <w:szCs w:val="24"/>
        </w:rPr>
        <w:t xml:space="preserve">.1 </w:t>
      </w:r>
      <w:r>
        <w:rPr>
          <w:rFonts w:hint="eastAsia" w:ascii="宋体" w:hAnsi="宋体"/>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.2 投标人需根据招标文件要求提供培训计划。</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3</w:t>
      </w:r>
      <w:r>
        <w:rPr>
          <w:rFonts w:hint="eastAsia" w:ascii="宋体" w:hAnsi="宋体"/>
          <w:sz w:val="24"/>
          <w:szCs w:val="24"/>
        </w:rPr>
        <w:t xml:space="preserve">.3 投标人需根据招标文件要求提供</w:t>
      </w:r>
      <w:r>
        <w:rPr>
          <w:rFonts w:hint="eastAsia" w:ascii="宋体" w:hAnsi="Arial" w:cs="宋体"/>
          <w:sz w:val="24"/>
          <w:szCs w:val="21"/>
          <w:lang w:val="zh-CN"/>
        </w:rPr>
        <w:t xml:space="preserve">所投标</w:t>
      </w:r>
      <w:r>
        <w:rPr>
          <w:rFonts w:hint="eastAsia" w:ascii="宋体" w:hAnsi="Arial" w:cs="宋体"/>
          <w:sz w:val="24"/>
          <w:szCs w:val="21"/>
          <w:lang w:val="zh-CN"/>
        </w:rPr>
        <w:t xml:space="preserve">的的</w:t>
      </w:r>
      <w:r>
        <w:rPr>
          <w:rFonts w:hint="eastAsia" w:ascii="宋体" w:hAnsi="Arial" w:cs="宋体"/>
          <w:sz w:val="24"/>
          <w:szCs w:val="21"/>
          <w:lang w:val="zh-CN"/>
        </w:rPr>
        <w:t xml:space="preserve">主要组成部分、功能设计、实现思路及关键技术等。</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4</w:t>
      </w:r>
      <w:r>
        <w:rPr>
          <w:rFonts w:hint="eastAsia" w:ascii="Arial" w:hAnsi="Arial" w:eastAsia="黑体" w:cs="Arial"/>
          <w:sz w:val="28"/>
          <w:szCs w:val="28"/>
        </w:rPr>
        <w:t xml:space="preserve">、投标函和开标一览表</w:t>
      </w:r>
      <w:r/>
    </w:p>
    <w:p>
      <w:pPr>
        <w:ind w:firstLine="480"/>
        <w:spacing w:line="400" w:lineRule="exact"/>
        <w:rPr>
          <w:rFonts w:hint="eastAsia" w:ascii="宋体" w:hAnsi="宋体"/>
          <w:sz w:val="24"/>
          <w:szCs w:val="21"/>
        </w:rPr>
      </w:pP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.1</w:t>
      </w:r>
      <w:r>
        <w:rPr>
          <w:rFonts w:hint="eastAsia" w:ascii="宋体" w:hAnsi="宋体"/>
          <w:sz w:val="24"/>
          <w:szCs w:val="21"/>
        </w:rPr>
        <w:t xml:space="preserve"> 投标人应按照招标文件中提供的格式完整、正确填写投标函、开标一览表。</w:t>
      </w:r>
      <w:r/>
    </w:p>
    <w:p>
      <w:pPr>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4</w:t>
      </w:r>
      <w:r>
        <w:rPr>
          <w:rFonts w:hint="eastAsia" w:ascii="宋体" w:hAnsi="宋体"/>
          <w:sz w:val="24"/>
          <w:szCs w:val="21"/>
        </w:rPr>
        <w:t xml:space="preserve">.2 对于采用货币报价的项目，开标一览表中的投标总报价应与投标分项报价表中的投标总报价一致，如不一致，不作为无效投标处理，但评标时按开标一览表中价格为准。</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5</w:t>
      </w:r>
      <w:r>
        <w:rPr>
          <w:rFonts w:hint="eastAsia" w:ascii="Arial" w:hAnsi="Arial" w:eastAsia="黑体" w:cs="Arial"/>
          <w:sz w:val="28"/>
          <w:szCs w:val="28"/>
        </w:rPr>
        <w:t xml:space="preserve">、投标有效期</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.1投标有效期为采购中心规定的开标之日后</w:t>
      </w:r>
      <w:r>
        <w:rPr>
          <w:rFonts w:hint="eastAsia" w:ascii="仿宋_GB2312" w:hAnsi="仿宋_GB2312"/>
          <w:b/>
          <w:sz w:val="24"/>
          <w:szCs w:val="21"/>
          <w:u w:val="single"/>
        </w:rPr>
        <w:t xml:space="preserve">六十（</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6</w:t>
      </w:r>
      <w:r>
        <w:rPr>
          <w:rFonts w:hint="eastAsia" w:ascii="Arial" w:hAnsi="Arial" w:eastAsia="黑体" w:cs="Arial"/>
          <w:sz w:val="28"/>
          <w:szCs w:val="28"/>
        </w:rPr>
        <w:t xml:space="preserve">、投标有效期的延长</w:t>
      </w:r>
      <w:r/>
    </w:p>
    <w:p>
      <w:pPr>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w:t>
      </w:r>
      <w:r>
        <w:rPr>
          <w:rFonts w:hint="eastAsia" w:ascii="宋体" w:hAnsi="宋体"/>
          <w:sz w:val="24"/>
          <w:szCs w:val="24"/>
        </w:rPr>
        <w:t xml:space="preserve">受投标有效期约束的所有权利与义务均延长至新的有效期</w:t>
      </w:r>
      <w:r>
        <w:rPr>
          <w:rFonts w:hint="eastAsia" w:ascii="宋体" w:hAnsi="宋体"/>
          <w:bCs/>
          <w:sz w:val="24"/>
          <w:szCs w:val="21"/>
        </w:rPr>
        <w:t xml:space="preserve">。</w:t>
      </w:r>
      <w:r/>
    </w:p>
    <w:p>
      <w:pPr>
        <w:keepLines/>
        <w:keepNext/>
        <w:spacing w:before="156" w:after="156" w:line="400" w:lineRule="exact"/>
        <w:rPr>
          <w:b/>
          <w:bCs/>
          <w:sz w:val="32"/>
          <w:szCs w:val="32"/>
        </w:rPr>
        <w:outlineLvl w:val="2"/>
      </w:pPr>
      <w:r>
        <w:rPr>
          <w:rFonts w:hint="eastAsia"/>
          <w:b/>
          <w:bCs/>
          <w:sz w:val="32"/>
          <w:szCs w:val="32"/>
        </w:rPr>
        <w:t xml:space="preserve">四、投标文件的递交</w:t>
      </w:r>
      <w:r/>
    </w:p>
    <w:p>
      <w:pPr>
        <w:ind w:firstLine="420"/>
        <w:keepLines/>
        <w:keepNext/>
        <w:spacing w:line="400" w:lineRule="exact"/>
        <w:rPr>
          <w:rFonts w:ascii="黑体"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投标文件的递交</w:t>
      </w:r>
      <w:r/>
    </w:p>
    <w:p>
      <w:pPr>
        <w:ind w:left="525"/>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.1投标人应当按照《操作手册》规定，在投标截止时间前</w:t>
      </w:r>
      <w:r>
        <w:rPr>
          <w:rFonts w:ascii="宋体" w:hAnsi="宋体"/>
          <w:bCs/>
          <w:sz w:val="24"/>
          <w:szCs w:val="21"/>
        </w:rPr>
        <w:t xml:space="preserve">制作</w:t>
      </w:r>
      <w:r>
        <w:rPr>
          <w:rFonts w:hint="eastAsia" w:ascii="宋体" w:hAnsi="宋体"/>
          <w:bCs/>
          <w:sz w:val="24"/>
          <w:szCs w:val="21"/>
        </w:rPr>
        <w:t xml:space="preserve">并上传电</w:t>
      </w:r>
      <w:r/>
    </w:p>
    <w:p>
      <w:pPr>
        <w:spacing w:line="400" w:lineRule="exact"/>
        <w:rPr>
          <w:rFonts w:hint="eastAsia" w:ascii="宋体" w:hAnsi="宋体"/>
          <w:bCs/>
          <w:sz w:val="24"/>
          <w:szCs w:val="21"/>
        </w:rPr>
      </w:pPr>
      <w:r>
        <w:rPr>
          <w:rFonts w:hint="eastAsia" w:ascii="宋体" w:hAnsi="宋体"/>
          <w:bCs/>
          <w:sz w:val="24"/>
          <w:szCs w:val="21"/>
        </w:rPr>
        <w:t xml:space="preserve">子投标文件。</w:t>
      </w:r>
      <w:r/>
    </w:p>
    <w:p>
      <w:pPr>
        <w:ind w:firstLine="420"/>
        <w:keepLines/>
        <w:keepNext/>
        <w:spacing w:before="280" w:after="290" w:line="400" w:lineRule="exact"/>
        <w:rPr>
          <w:rFonts w:hint="eastAsia" w:ascii="宋体" w:hAnsi="宋体" w:eastAsia="黑体" w:cs="Arial"/>
          <w:bCs/>
          <w:sz w:val="24"/>
          <w:szCs w:val="28"/>
        </w:rPr>
        <w:outlineLvl w:val="3"/>
      </w:pPr>
      <w:r>
        <w:rPr>
          <w:rFonts w:ascii="Arial" w:hAnsi="Arial" w:eastAsia="黑体" w:cs="Arial"/>
          <w:bCs/>
          <w:sz w:val="28"/>
          <w:szCs w:val="28"/>
        </w:rPr>
        <w:t xml:space="preserve">18</w:t>
      </w:r>
      <w:r>
        <w:rPr>
          <w:rFonts w:hint="eastAsia" w:ascii="Arial" w:hAnsi="Arial" w:eastAsia="黑体" w:cs="Arial"/>
          <w:bCs/>
          <w:sz w:val="28"/>
          <w:szCs w:val="28"/>
        </w:rPr>
        <w:t xml:space="preserve">、投标截止日期</w:t>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.1</w:t>
      </w:r>
      <w:r>
        <w:rPr>
          <w:rFonts w:hint="eastAsia" w:ascii="宋体" w:hAnsi="宋体"/>
          <w:bCs/>
          <w:sz w:val="24"/>
          <w:szCs w:val="21"/>
        </w:rPr>
        <w:t xml:space="preserve"> 投标人上传电子投标文件的时间不得迟于招标公告中规定的投标截止时间。</w:t>
      </w:r>
      <w:r/>
    </w:p>
    <w:p>
      <w:pPr>
        <w:ind w:firstLine="480"/>
        <w:spacing w:line="400" w:lineRule="exact"/>
        <w:rPr>
          <w:rFonts w:hint="eastAsia" w:ascii="宋体" w:hAnsi="宋体"/>
          <w:bCs/>
          <w:sz w:val="24"/>
          <w:szCs w:val="21"/>
        </w:rPr>
      </w:pP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w:t>
      </w:r>
      <w:r>
        <w:rPr>
          <w:rFonts w:ascii="宋体" w:hAnsi="宋体"/>
          <w:bCs/>
          <w:sz w:val="24"/>
          <w:szCs w:val="21"/>
        </w:rPr>
        <w:t xml:space="preserve">6</w:t>
      </w:r>
      <w:r>
        <w:rPr>
          <w:rFonts w:hint="eastAsia" w:ascii="宋体" w:hAnsi="宋体"/>
          <w:bCs/>
          <w:sz w:val="24"/>
          <w:szCs w:val="21"/>
        </w:rPr>
        <w:t xml:space="preserve">.1.2条规定做无效投标处理。</w:t>
      </w:r>
      <w:r/>
    </w:p>
    <w:p>
      <w:pPr>
        <w:ind w:firstLine="480"/>
        <w:spacing w:line="400" w:lineRule="exact"/>
        <w:rPr>
          <w:rFonts w:hint="eastAsia" w:ascii="宋体" w:hAnsi="宋体"/>
          <w:bCs/>
          <w:sz w:val="24"/>
          <w:szCs w:val="21"/>
        </w:rPr>
      </w:pPr>
      <w:r>
        <w:rPr>
          <w:rFonts w:ascii="宋体" w:hAnsi="宋体"/>
          <w:sz w:val="24"/>
          <w:szCs w:val="21"/>
        </w:rPr>
        <w:t xml:space="preserve">18</w:t>
      </w:r>
      <w:r>
        <w:rPr>
          <w:rFonts w:hint="eastAsia" w:ascii="宋体" w:hAnsi="宋体"/>
          <w:sz w:val="24"/>
          <w:szCs w:val="21"/>
        </w:rPr>
        <w:t xml:space="preserve">.2</w:t>
      </w:r>
      <w:r>
        <w:rPr>
          <w:rFonts w:hint="eastAsia" w:ascii="宋体" w:hAnsi="宋体"/>
          <w:bCs/>
          <w:sz w:val="24"/>
          <w:szCs w:val="21"/>
        </w:rPr>
        <w:t xml:space="preserve"> 采购中心可以按照规定，通过修改招标文件酌情延长投标截止日期，在此情况下，投标人的所有权利和义务以及投标人受制的截止日期均应以延长后新的截止日期为准。</w:t>
      </w:r>
      <w:r/>
    </w:p>
    <w:p>
      <w:pPr>
        <w:ind w:firstLine="420"/>
        <w:keepLines/>
        <w:keepNext/>
        <w:spacing w:line="400" w:lineRule="exact"/>
        <w:rPr>
          <w:rFonts w:ascii="Arial" w:hAnsi="Arial" w:eastAsia="黑体" w:cs="Arial"/>
          <w:sz w:val="28"/>
          <w:szCs w:val="28"/>
        </w:rPr>
        <w:outlineLvl w:val="3"/>
      </w:pPr>
      <w:r>
        <w:rPr>
          <w:rFonts w:ascii="Arial" w:hAnsi="Arial" w:eastAsia="黑体" w:cs="Arial"/>
          <w:sz w:val="28"/>
          <w:szCs w:val="28"/>
        </w:rPr>
        <w:t xml:space="preserve">19</w:t>
      </w:r>
      <w:r>
        <w:rPr>
          <w:rFonts w:hint="eastAsia" w:ascii="Arial" w:hAnsi="Arial" w:eastAsia="黑体" w:cs="Arial"/>
          <w:sz w:val="28"/>
          <w:szCs w:val="28"/>
        </w:rPr>
        <w:t xml:space="preserve">、投标文件的拒收</w:t>
      </w:r>
      <w:r/>
    </w:p>
    <w:p>
      <w:pPr>
        <w:ind w:firstLine="480"/>
        <w:spacing w:line="400" w:lineRule="exact"/>
        <w:rPr>
          <w:rFonts w:hint="eastAsia" w:ascii="宋体" w:hAnsi="宋体"/>
          <w:bCs/>
          <w:sz w:val="24"/>
          <w:szCs w:val="21"/>
        </w:rPr>
      </w:pPr>
      <w:r>
        <w:rPr>
          <w:rFonts w:ascii="宋体" w:hAnsi="宋体"/>
          <w:bCs/>
          <w:sz w:val="24"/>
          <w:szCs w:val="21"/>
        </w:rPr>
        <w:t xml:space="preserve">19</w:t>
      </w:r>
      <w:r>
        <w:rPr>
          <w:rFonts w:hint="eastAsia" w:ascii="宋体" w:hAnsi="宋体"/>
          <w:bCs/>
          <w:sz w:val="24"/>
          <w:szCs w:val="21"/>
        </w:rPr>
        <w:t xml:space="preserve">.1 采购中心拒绝接收在其规定的投标截止时间后上传的任何投标文件。</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、投标文件的撤回和修改</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 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.1.1 电子投标文件的撤回</w:t>
      </w:r>
      <w:r/>
    </w:p>
    <w:p>
      <w:pPr>
        <w:ind w:firstLine="480"/>
        <w:spacing w:line="4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0</w:t>
      </w:r>
      <w:r>
        <w:rPr>
          <w:rFonts w:hint="eastAsia" w:ascii="宋体" w:hAnsi="宋体"/>
          <w:sz w:val="24"/>
          <w:szCs w:val="24"/>
        </w:rPr>
        <w:t xml:space="preserve">.2 投标文件的修改</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.2.1投标人可在投标截止时间前，对其电子投标文件进行修改，具体操作方法见《操作手册》。</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0</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before="156" w:after="156" w:line="400" w:lineRule="exact"/>
        <w:rPr>
          <w:b/>
          <w:bCs/>
          <w:sz w:val="32"/>
          <w:szCs w:val="32"/>
        </w:rPr>
        <w:outlineLvl w:val="2"/>
      </w:pPr>
      <w:r>
        <w:rPr>
          <w:rFonts w:hint="eastAsia"/>
          <w:b/>
          <w:bCs/>
          <w:sz w:val="32"/>
          <w:szCs w:val="32"/>
        </w:rPr>
        <w:t xml:space="preserve">五、开标与评标</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、开标</w:t>
      </w:r>
      <w:r/>
    </w:p>
    <w:p>
      <w:pPr>
        <w:ind w:firstLine="480"/>
        <w:spacing w:line="400" w:lineRule="exact"/>
        <w:rPr>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2</w:t>
      </w:r>
      <w:r>
        <w:rPr>
          <w:rFonts w:hint="eastAsia" w:ascii="Arial" w:hAnsi="Arial" w:eastAsia="黑体" w:cs="Arial"/>
          <w:sz w:val="28"/>
          <w:szCs w:val="28"/>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2</w:t>
      </w:r>
      <w:r>
        <w:rPr>
          <w:rFonts w:hint="eastAsia" w:ascii="宋体" w:hAnsi="宋体"/>
          <w:sz w:val="24"/>
          <w:szCs w:val="24"/>
        </w:rPr>
        <w:t xml:space="preserve">.3评标委员会独立工作，负责评审所有投标文件并确定中标侯选人。</w:t>
      </w:r>
      <w:r/>
    </w:p>
    <w:p>
      <w:pPr>
        <w:ind w:firstLine="420"/>
        <w:keepLines/>
        <w:keepNext/>
        <w:spacing w:line="4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3</w:t>
      </w:r>
      <w:r>
        <w:rPr>
          <w:rFonts w:hint="eastAsia" w:ascii="黑体" w:hAnsi="Arial" w:eastAsia="黑体" w:cs="Arial"/>
          <w:sz w:val="28"/>
          <w:szCs w:val="28"/>
        </w:rPr>
        <w:t xml:space="preserve">、评标过程的保密与公正</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3</w:t>
      </w:r>
      <w:r>
        <w:rPr>
          <w:rFonts w:hint="eastAsia" w:ascii="宋体" w:hAnsi="宋体"/>
          <w:sz w:val="24"/>
          <w:szCs w:val="21"/>
        </w:rPr>
        <w:t xml:space="preserve">.2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ascii="宋体" w:hAnsi="宋体"/>
          <w:sz w:val="24"/>
          <w:szCs w:val="24"/>
        </w:rPr>
        <w:t xml:space="preserve">23</w:t>
      </w:r>
      <w:r>
        <w:rPr>
          <w:rFonts w:hint="eastAsia" w:ascii="宋体" w:hAnsi="宋体"/>
          <w:sz w:val="24"/>
          <w:szCs w:val="24"/>
        </w:rPr>
        <w:t xml:space="preserve">.</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4</w:t>
      </w:r>
      <w:r>
        <w:rPr>
          <w:rFonts w:hint="eastAsia" w:ascii="Arial" w:hAnsi="Arial" w:eastAsia="黑体" w:cs="Arial"/>
          <w:sz w:val="28"/>
          <w:szCs w:val="28"/>
        </w:rPr>
        <w:t xml:space="preserve">、投标文件的澄清</w:t>
      </w:r>
      <w:r/>
    </w:p>
    <w:p>
      <w:pPr>
        <w:ind w:firstLine="480"/>
        <w:spacing w:line="400" w:lineRule="exact"/>
        <w:rPr>
          <w:rFonts w:hint="eastAsia" w:ascii="宋体" w:hAnsi="宋体"/>
          <w:sz w:val="24"/>
          <w:szCs w:val="24"/>
        </w:rPr>
      </w:pPr>
      <w:r>
        <w:rPr>
          <w:rFonts w:ascii="宋体" w:hAnsi="宋体"/>
          <w:sz w:val="24"/>
          <w:szCs w:val="24"/>
        </w:rPr>
        <w:t xml:space="preserve">24</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4</w:t>
      </w:r>
      <w:r>
        <w:rPr>
          <w:rFonts w:hint="eastAsia" w:ascii="宋体" w:hAnsi="宋体"/>
          <w:sz w:val="24"/>
          <w:szCs w:val="24"/>
        </w:rPr>
        <w:t xml:space="preserve">.3 接到评标委员会澄清、说明和补正要求的投标人如未按规定做出澄清、说明和补正，其风险由投标人自行承担。</w:t>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、对投标文件的初审</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hint="eastAsia" w:ascii="宋体" w:hAnsi="宋体"/>
          <w:bCs/>
          <w:sz w:val="24"/>
          <w:szCs w:val="21"/>
        </w:rPr>
      </w:pPr>
      <w:r>
        <w:rPr>
          <w:rFonts w:hint="eastAsia" w:ascii="宋体" w:hAnsi="宋体"/>
          <w:bCs/>
          <w:sz w:val="24"/>
          <w:szCs w:val="21"/>
        </w:rPr>
        <w:t xml:space="preserve">采购人在进行资格性审查的同时，将在“信用中国”网站</w:t>
      </w:r>
      <w:r>
        <w:rPr>
          <w:bCs/>
          <w:szCs w:val="21"/>
        </w:rPr>
        <w:t xml:space="preserve">（</w:t>
      </w:r>
      <w:r>
        <w:rPr>
          <w:bCs/>
          <w:szCs w:val="21"/>
        </w:rPr>
        <w:t xml:space="preserve">www.creditchina.gov.cn</w:t>
      </w:r>
      <w:r>
        <w:rPr>
          <w:bCs/>
          <w:szCs w:val="21"/>
        </w:rPr>
        <w:t xml:space="preserve">）</w:t>
      </w:r>
      <w:r>
        <w:rPr>
          <w:rFonts w:hint="eastAsia" w:ascii="宋体" w:hAnsi="宋体"/>
          <w:bCs/>
          <w:sz w:val="24"/>
          <w:szCs w:val="21"/>
        </w:rPr>
        <w:t xml:space="preserve">查询投标人的信用记录，以确定投标人是否具备投标</w:t>
      </w:r>
      <w:r>
        <w:rPr>
          <w:rFonts w:hint="eastAsia" w:ascii="宋体" w:hAnsi="宋体"/>
          <w:bCs/>
          <w:sz w:val="24"/>
          <w:szCs w:val="21"/>
        </w:rPr>
        <w:t xml:space="preserve">资格,</w:t>
      </w:r>
      <w:r>
        <w:rPr>
          <w:rFonts w:hint="eastAsia" w:ascii="宋体" w:hAnsi="宋体"/>
          <w:bCs/>
          <w:sz w:val="24"/>
          <w:szCs w:val="21"/>
        </w:rPr>
        <w:t xml:space="preserve">查询结果留存并归档。</w:t>
      </w:r>
      <w:r/>
    </w:p>
    <w:p>
      <w:pPr>
        <w:ind w:firstLine="480"/>
        <w:spacing w:line="4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w:t>
      </w:r>
      <w:r>
        <w:rPr>
          <w:rFonts w:hint="eastAsia" w:ascii="宋体" w:hAnsi="宋体"/>
          <w:bCs/>
          <w:sz w:val="24"/>
          <w:szCs w:val="21"/>
        </w:rPr>
        <w:t xml:space="preserve">的,</w:t>
      </w:r>
      <w:r>
        <w:rPr>
          <w:rFonts w:hint="eastAsia" w:ascii="宋体" w:hAnsi="宋体"/>
          <w:bCs/>
          <w:sz w:val="24"/>
          <w:szCs w:val="21"/>
        </w:rPr>
        <w:t xml:space="preserve">联合体成员中任何一方存在不良信用记录的，视同联合体存在不良应用记录。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.1.2 符合性审查：依据招标文件的规定，由评标委员会从投标文件的有</w:t>
      </w:r>
      <w:r>
        <w:rPr>
          <w:rFonts w:hint="eastAsia" w:ascii="宋体" w:hAnsi="宋体"/>
          <w:bCs/>
          <w:sz w:val="24"/>
          <w:szCs w:val="21"/>
        </w:rPr>
        <w:t xml:space="preserve">效性、完整性和对招标文件的响应程度进行审查，以确定是否对招标文件的实质性要求作出响应。</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sz w:val="24"/>
          <w:szCs w:val="21"/>
        </w:rPr>
        <w:t xml:space="preserve">5</w:t>
      </w:r>
      <w:r>
        <w:rPr>
          <w:rFonts w:hint="eastAsia" w:ascii="宋体" w:hAnsi="宋体"/>
          <w:bCs/>
          <w:sz w:val="24"/>
          <w:szCs w:val="21"/>
        </w:rPr>
        <w:t xml:space="preserve">.1.3 未通过资格审查或符合性审查的投标人，采购中心将在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中告知未通过资格审查或符合性审查的原因，评审结束后，采购中心将不再告知未通过资格审查或符合性审查的原因。</w:t>
      </w:r>
      <w:r/>
    </w:p>
    <w:p>
      <w:pPr>
        <w:ind w:firstLine="480"/>
        <w:spacing w:line="400" w:lineRule="exact"/>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bCs/>
          <w:sz w:val="24"/>
          <w:szCs w:val="21"/>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w:t>
      </w:r>
      <w:r>
        <w:rPr>
          <w:rFonts w:hint="eastAsia" w:ascii="宋体" w:hAnsi="宋体"/>
          <w:bCs/>
          <w:sz w:val="24"/>
          <w:szCs w:val="21"/>
        </w:rPr>
        <w:t xml:space="preserve">评委决定投标文件的响应性只根据投标文件本身的内容，而不寻求外部的证据。</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.4</w:t>
      </w:r>
      <w:r>
        <w:rPr>
          <w:rFonts w:hint="eastAsia" w:ascii="宋体" w:hAnsi="宋体"/>
          <w:bCs/>
          <w:sz w:val="24"/>
          <w:szCs w:val="21"/>
        </w:rPr>
        <w:t xml:space="preserve">评标委员会将对确定为实质性响应的投标进行进一步审核，看其是否有计算上或累加上的算术错误，修正错误的原则如下：</w:t>
      </w:r>
      <w:r/>
    </w:p>
    <w:p>
      <w:pPr>
        <w:ind w:firstLine="480"/>
        <w:spacing w:line="4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4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4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4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4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4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.5</w:t>
      </w:r>
      <w:r>
        <w:rPr>
          <w:rFonts w:hint="eastAsia" w:ascii="宋体" w:hAnsi="宋体"/>
          <w:bCs/>
          <w:sz w:val="24"/>
          <w:szCs w:val="21"/>
        </w:rPr>
        <w:t xml:space="preserve">评标委员会将按上述修正错误的方法调整投标文件中的投标报价，并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4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w:t>
      </w:r>
      <w:r>
        <w:rPr>
          <w:rFonts w:ascii="宋体" w:hAnsi="宋体"/>
          <w:sz w:val="24"/>
          <w:szCs w:val="21"/>
        </w:rPr>
        <w:t xml:space="preserve">审查的不同投标人参加同一合同项下投标的，按一家投标人计算，评审后得分最高的同品牌投标人获得中标供应商推荐资格；评审得分相同的，由评标委员会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4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5</w:t>
      </w:r>
      <w:r>
        <w:rPr>
          <w:rFonts w:hint="eastAsia" w:ascii="宋体" w:hAnsi="宋体"/>
          <w:sz w:val="24"/>
          <w:szCs w:val="21"/>
        </w:rPr>
        <w:t xml:space="preserve">.7投标人在开、评标全过程中应保持通讯畅通，及时登录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并安排专人与采购中心及评标委员会联系。</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 异常低价投标审查</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25.8.1 评标过程中出现下列情形之一的，评标委员会应当启动异常低价投标审查程序：</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（1）投标报价低于全部通过符合性审查供应商投标报价平均值</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的，即投标报价&lt;全部通过符合性审查供应商投标报价平均值×</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（2）投标报价低于通过符合性审查的次低报价供应商投标报价</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的，即投标报价&lt;通过符合性审查的次低报价供应商投标报价×</w:t>
      </w:r>
      <w:r>
        <w:rPr>
          <w:rFonts w:hint="eastAsia" w:ascii="方正魏碑_GBK" w:hAnsi="方正魏碑_GBK" w:eastAsia="方正魏碑_GBK" w:cs="方正魏碑_GBK"/>
          <w:sz w:val="24"/>
          <w:szCs w:val="21"/>
          <w:u w:val="single"/>
        </w:rPr>
        <w:t xml:space="preserve">50%</w:t>
      </w:r>
      <w:r>
        <w:rPr>
          <w:rFonts w:hint="eastAsia" w:ascii="方正魏碑_GBK" w:hAnsi="方正魏碑_GBK" w:eastAsia="方正魏碑_GBK" w:cs="方正魏碑_GBK"/>
          <w:sz w:val="24"/>
          <w:szCs w:val="21"/>
        </w:rPr>
        <w:t xml:space="preserve">；</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（3）投标报价低于采购项目最高限价</w:t>
      </w:r>
      <w:r>
        <w:rPr>
          <w:rFonts w:hint="eastAsia" w:ascii="方正魏碑_GBK" w:hAnsi="方正魏碑_GBK" w:eastAsia="方正魏碑_GBK" w:cs="方正魏碑_GBK"/>
          <w:sz w:val="24"/>
          <w:szCs w:val="21"/>
          <w:u w:val="single"/>
        </w:rPr>
        <w:t xml:space="preserve">45%</w:t>
      </w:r>
      <w:r>
        <w:rPr>
          <w:rFonts w:hint="eastAsia" w:ascii="方正魏碑_GBK" w:hAnsi="方正魏碑_GBK" w:eastAsia="方正魏碑_GBK" w:cs="方正魏碑_GBK"/>
          <w:sz w:val="24"/>
          <w:szCs w:val="21"/>
        </w:rPr>
        <w:t xml:space="preserve">的，即投标报价&lt;采购项目最高限价×</w:t>
      </w:r>
      <w:r>
        <w:rPr>
          <w:rFonts w:hint="eastAsia" w:ascii="方正魏碑_GBK" w:hAnsi="方正魏碑_GBK" w:eastAsia="方正魏碑_GBK" w:cs="方正魏碑_GBK"/>
          <w:sz w:val="24"/>
          <w:szCs w:val="21"/>
          <w:u w:val="single"/>
        </w:rPr>
        <w:t xml:space="preserve">45%</w:t>
      </w:r>
      <w:r>
        <w:rPr>
          <w:rFonts w:hint="eastAsia" w:ascii="方正魏碑_GBK" w:hAnsi="方正魏碑_GBK" w:eastAsia="方正魏碑_GBK" w:cs="方正魏碑_GBK"/>
          <w:sz w:val="24"/>
          <w:szCs w:val="21"/>
        </w:rPr>
        <w:t xml:space="preserve">；</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（4）评标委员会基于专业判断，认为供应商报价过低，有可能影响产品质量或者不能诚信履约的其他情形。</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ascii="方正魏碑_GBK" w:hAnsi="方正魏碑_GBK" w:eastAsia="方正魏碑_GBK" w:cs="方正魏碑_GBK"/>
          <w:sz w:val="24"/>
          <w:szCs w:val="21"/>
        </w:rPr>
      </w:pPr>
      <w:r>
        <w:rPr>
          <w:rFonts w:hint="eastAsia" w:ascii="方正魏碑_GBK" w:hAnsi="方正魏碑_GBK" w:eastAsia="方正魏碑_GBK" w:cs="方正魏碑_GBK"/>
          <w:sz w:val="24"/>
          <w:szCs w:val="21"/>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spacing w:line="400" w:lineRule="exact"/>
        <w:rPr>
          <w:rFonts w:ascii="方正魏碑_GBK" w:hAnsi="方正魏碑_GBK" w:eastAsia="方正魏碑_GBK" w:cs="方正魏碑_GBK"/>
          <w:sz w:val="24"/>
          <w:szCs w:val="21"/>
        </w:rPr>
      </w:pPr>
      <w:r>
        <w:rPr>
          <w:rFonts w:ascii="方正魏碑_GBK" w:hAnsi="方正魏碑_GBK" w:eastAsia="方正魏碑_GBK" w:cs="方正魏碑_GBK"/>
          <w:sz w:val="24"/>
          <w:szCs w:val="21"/>
        </w:rPr>
      </w:r>
      <w:r/>
    </w:p>
    <w:p>
      <w:pPr>
        <w:ind w:firstLine="420"/>
        <w:keepLines/>
        <w:keepNext/>
        <w:spacing w:line="4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、无效投标条款和废标条款</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 投标人同一</w:t>
      </w:r>
      <w:r>
        <w:rPr>
          <w:rFonts w:ascii="宋体" w:hAnsi="宋体"/>
          <w:bCs/>
          <w:sz w:val="24"/>
          <w:szCs w:val="21"/>
        </w:rPr>
        <w:t xml:space="preserve">采购包</w:t>
      </w:r>
      <w:r>
        <w:rPr>
          <w:rFonts w:hint="eastAsia" w:ascii="宋体" w:hAnsi="宋体"/>
          <w:bCs/>
          <w:sz w:val="24"/>
          <w:szCs w:val="21"/>
        </w:rPr>
        <w:t xml:space="preserve">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4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400" w:lineRule="exact"/>
        <w:rPr>
          <w:rFonts w:hint="eastAsia" w:ascii="宋体" w:hAnsi="宋体"/>
          <w:bCs/>
          <w:i/>
          <w:sz w:val="24"/>
          <w:szCs w:val="21"/>
          <w:u w:val="single"/>
        </w:rPr>
      </w:pPr>
      <w:r>
        <w:rPr>
          <w:rFonts w:hint="eastAsia" w:ascii="宋体" w:hAnsi="宋体"/>
          <w:bCs/>
          <w:sz w:val="24"/>
          <w:szCs w:val="21"/>
        </w:rPr>
        <w:t xml:space="preserve"> 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rPr>
          <w:rFonts w:hint="eastAsia" w:ascii="宋体" w:hAnsi="宋体"/>
          <w:bCs/>
          <w:sz w:val="24"/>
          <w:szCs w:val="21"/>
        </w:rPr>
        <w:t xml:space="preserve">。</w:t>
      </w:r>
      <w:r/>
    </w:p>
    <w:p>
      <w:pPr>
        <w:ind w:firstLine="420"/>
        <w:spacing w:line="400" w:lineRule="exact"/>
        <w:rPr>
          <w:rFonts w:hint="eastAsia" w:ascii="宋体" w:hAnsi="宋体"/>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p>
    <w:p>
      <w:pPr>
        <w:ind w:firstLine="420"/>
        <w:spacing w:line="400" w:lineRule="exact"/>
        <w:rPr>
          <w:rFonts w:hint="eastAsia" w:ascii="宋体" w:hAnsi="宋体"/>
          <w:sz w:val="24"/>
          <w:szCs w:val="21"/>
        </w:rPr>
      </w:pPr>
      <w:r>
        <w:rPr>
          <w:rFonts w:hint="eastAsia" w:ascii="宋体" w:hAnsi="宋体"/>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20"/>
        <w:spacing w:line="400" w:lineRule="exact"/>
        <w:rPr>
          <w:rFonts w:hint="eastAsia" w:ascii="宋体" w:hAnsi="宋体"/>
          <w:sz w:val="24"/>
          <w:szCs w:val="21"/>
        </w:rPr>
      </w:pPr>
      <w:r>
        <w:rPr>
          <w:rFonts w:hint="eastAsia" w:ascii="宋体" w:hAnsi="宋体"/>
          <w:sz w:val="24"/>
          <w:szCs w:val="21"/>
        </w:rPr>
        <w:t xml:space="preserve">26.1.13 投标人所投标产品不符合招标文件中所列国家强制性标准的。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.1.14其他法律、法规及本招标文件规定的属无效投标的情形。</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.2废标条款 </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.2.1符合专业条件的供应商或者对招标文件作实质响应的供应商不足三</w:t>
      </w:r>
      <w:r/>
    </w:p>
    <w:p>
      <w:pPr>
        <w:spacing w:line="400" w:lineRule="exact"/>
        <w:rPr>
          <w:rFonts w:hint="eastAsia" w:ascii="宋体" w:hAnsi="宋体"/>
          <w:bCs/>
          <w:sz w:val="24"/>
          <w:szCs w:val="21"/>
        </w:rPr>
      </w:pPr>
      <w:r>
        <w:rPr>
          <w:rFonts w:hint="eastAsia" w:ascii="宋体" w:hAnsi="宋体"/>
          <w:bCs/>
          <w:sz w:val="24"/>
          <w:szCs w:val="21"/>
        </w:rPr>
        <w:t xml:space="preserve">家的。</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.2.2出现影响采购公正的违法、违规行为的。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.2.3因重大变故，采购任务取消的。</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.2.4评标委员会认定招标文件存在歧义、重大缺陷导致评审工作无法进</w:t>
      </w:r>
      <w:r/>
    </w:p>
    <w:p>
      <w:pPr>
        <w:spacing w:line="400" w:lineRule="exact"/>
        <w:rPr>
          <w:rFonts w:hint="eastAsia" w:ascii="宋体" w:hAnsi="宋体"/>
          <w:bCs/>
          <w:sz w:val="24"/>
          <w:szCs w:val="21"/>
        </w:rPr>
      </w:pPr>
      <w:r>
        <w:rPr>
          <w:rFonts w:hint="eastAsia" w:ascii="宋体" w:hAnsi="宋体"/>
          <w:bCs/>
          <w:sz w:val="24"/>
          <w:szCs w:val="21"/>
        </w:rPr>
        <w:t xml:space="preserve">行。</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.2.5 因</w:t>
      </w:r>
      <w:r>
        <w:rPr>
          <w:rFonts w:hint="eastAsia" w:ascii="宋体" w:hAnsi="宋体"/>
          <w:sz w:val="24"/>
          <w:szCs w:val="24"/>
        </w:rPr>
        <w:t xml:space="preserve">苏采云</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rPr>
          <w:rFonts w:hint="eastAsia" w:ascii="宋体" w:hAnsi="宋体"/>
          <w:bCs/>
          <w:sz w:val="24"/>
          <w:szCs w:val="21"/>
        </w:rPr>
        <w:t xml:space="preserve">  </w:t>
      </w:r>
      <w:r/>
    </w:p>
    <w:p>
      <w:pPr>
        <w:ind w:left="479"/>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 投标截止时间结束后参加投标的供应商不足三家的处理：</w:t>
      </w:r>
      <w:r/>
    </w:p>
    <w:p>
      <w:pPr>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2"/>
        <w:keepLines/>
        <w:keepNext/>
        <w:spacing w:before="156" w:after="156" w:line="400" w:lineRule="exact"/>
        <w:rPr>
          <w:b/>
          <w:bCs/>
          <w:sz w:val="32"/>
          <w:szCs w:val="32"/>
        </w:rPr>
        <w:outlineLvl w:val="2"/>
      </w:pPr>
      <w:r>
        <w:rPr>
          <w:rFonts w:hint="eastAsia"/>
          <w:b/>
          <w:bCs/>
          <w:sz w:val="32"/>
          <w:szCs w:val="32"/>
        </w:rPr>
        <w:t xml:space="preserve">六、定标</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2</w:t>
      </w:r>
      <w:r>
        <w:rPr>
          <w:rFonts w:ascii="黑体" w:hAnsi="宋体" w:eastAsia="黑体"/>
          <w:bCs/>
          <w:sz w:val="30"/>
          <w:szCs w:val="30"/>
        </w:rPr>
        <w:t xml:space="preserve">7</w:t>
      </w:r>
      <w:r>
        <w:rPr>
          <w:rFonts w:hint="eastAsia" w:ascii="黑体" w:hAnsi="宋体" w:eastAsia="黑体"/>
          <w:bCs/>
          <w:sz w:val="30"/>
          <w:szCs w:val="30"/>
        </w:rPr>
        <w:t xml:space="preserve">、确定中标单位</w:t>
      </w:r>
      <w:r/>
    </w:p>
    <w:p>
      <w:pPr>
        <w:ind w:firstLine="480"/>
        <w:spacing w:line="400" w:lineRule="exact"/>
        <w:rPr>
          <w:rFonts w:hint="eastAsia" w:ascii="宋体" w:hAnsi="宋体"/>
          <w:bCs/>
          <w:sz w:val="24"/>
          <w:szCs w:val="21"/>
        </w:rPr>
      </w:pPr>
      <w:r>
        <w:rPr>
          <w:rFonts w:hint="eastAsia" w:ascii="宋体" w:hAnsi="宋体"/>
          <w:bCs/>
          <w:sz w:val="24"/>
          <w:szCs w:val="21"/>
        </w:rPr>
        <w:t xml:space="preserve">27.1中标候选人的选取原则和数量见招标文件第五章规定。 </w:t>
      </w:r>
      <w:r/>
    </w:p>
    <w:p>
      <w:pPr>
        <w:ind w:firstLine="480"/>
        <w:spacing w:line="400" w:lineRule="exact"/>
        <w:rPr>
          <w:rFonts w:hint="eastAsia" w:ascii="宋体" w:hAnsi="宋体"/>
          <w:bCs/>
          <w:sz w:val="24"/>
          <w:szCs w:val="21"/>
        </w:rPr>
      </w:pPr>
      <w:r>
        <w:rPr>
          <w:rFonts w:hint="eastAsia" w:ascii="宋体" w:hAnsi="宋体"/>
          <w:bCs/>
          <w:sz w:val="24"/>
          <w:szCs w:val="21"/>
        </w:rPr>
        <w:t xml:space="preserve">27.2 采购人应根据评标委员会推荐的中标候选人确定中标供应商。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27.4 若有充分证据证明，中标供应商出现下列情况之一的，一经查实，将被取消中标资格：</w:t>
      </w:r>
      <w:r/>
    </w:p>
    <w:p>
      <w:pPr>
        <w:ind w:firstLine="480"/>
        <w:spacing w:line="40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27.4.3属于本文件规定的无效条件，但在评标过程中又未被评标委员会发现的。</w:t>
      </w:r>
      <w:r/>
    </w:p>
    <w:p>
      <w:pPr>
        <w:ind w:firstLine="480"/>
        <w:spacing w:line="40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00" w:lineRule="exact"/>
        <w:rPr>
          <w:rFonts w:hint="eastAsia"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27.5.4不同投标人的投标文件异常一致或者投标报价呈规律性差异。</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28</w:t>
      </w:r>
      <w:r>
        <w:rPr>
          <w:rFonts w:hint="eastAsia" w:ascii="黑体" w:hAnsi="宋体" w:eastAsia="黑体"/>
          <w:bCs/>
          <w:sz w:val="30"/>
          <w:szCs w:val="30"/>
        </w:rPr>
        <w:t xml:space="preserve">、质疑处理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00" w:lineRule="exact"/>
        <w:rPr>
          <w:rFonts w:hint="eastAsia" w:hAnsi="宋体" w:cs="宋体"/>
          <w:sz w:val="24"/>
          <w:szCs w:val="24"/>
        </w:rPr>
      </w:pPr>
      <w:r>
        <w:rPr>
          <w:rFonts w:ascii="宋体" w:hAnsi="宋体"/>
          <w:sz w:val="24"/>
          <w:szCs w:val="24"/>
        </w:rPr>
        <w:t xml:space="preserve">28.</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rPr>
          <w:rFonts w:hAnsi="宋体" w:cs="宋体"/>
          <w:sz w:val="24"/>
          <w:szCs w:val="24"/>
        </w:rPr>
        <w:br w:type="textWrapping" w:clear="all"/>
      </w:r>
      <w:r>
        <w:rPr>
          <w:rFonts w:hAnsi="宋体" w:cs="宋体"/>
          <w:sz w:val="24"/>
          <w:szCs w:val="24"/>
        </w:rPr>
        <w:t xml:space="preserve">　　</w:t>
      </w:r>
      <w:r>
        <w:rPr>
          <w:rFonts w:ascii="宋体" w:hAnsi="宋体"/>
          <w:sz w:val="24"/>
          <w:szCs w:val="24"/>
        </w:rPr>
        <w:t xml:space="preserve">28.</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sz w:val="24"/>
          <w:szCs w:val="24"/>
        </w:rPr>
      </w:pPr>
      <w:r>
        <w:rPr>
          <w:rFonts w:hint="eastAsia" w:ascii="宋体" w:hAnsi="宋体"/>
          <w:sz w:val="24"/>
          <w:szCs w:val="24"/>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采购人及采购中心只接收以纸质原件形式送达的</w:t>
      </w:r>
      <w:r>
        <w:rPr>
          <w:rFonts w:hint="eastAsia" w:ascii="宋体" w:hAnsi="宋体"/>
          <w:sz w:val="24"/>
          <w:szCs w:val="24"/>
        </w:rPr>
        <w:t xml:space="preserve">质疑,</w:t>
      </w:r>
      <w:r>
        <w:rPr>
          <w:rFonts w:hint="eastAsia" w:ascii="宋体" w:hAnsi="宋体"/>
          <w:sz w:val="24"/>
          <w:szCs w:val="24"/>
        </w:rPr>
        <w:t xml:space="preserve">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采购中心质疑接收部门为质疑处理科（快递运单上的收件人填写“质疑处理科”即可），联系地址：南京市汉中门大街145号省政务中心二期3楼南区3029室，联系电话：025-83668531。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5.1 内容不符合《政府采购质疑和投诉办法》第十二条规定的质疑。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5.2 超出政府采购法定期限的质疑。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5.3 以传真、电子邮件等方式递交的非原件形式的质疑。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ascii="宋体" w:hAnsi="宋体"/>
          <w:sz w:val="24"/>
          <w:szCs w:val="24"/>
        </w:rPr>
        <w:t xml:space="preserve">28.</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600"/>
        <w:keepLines/>
        <w:keepNext/>
        <w:spacing w:line="4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、中标通知书</w:t>
      </w:r>
      <w:r/>
    </w:p>
    <w:p>
      <w:pPr>
        <w:ind w:firstLine="600"/>
        <w:spacing w:line="400" w:lineRule="exact"/>
        <w:rPr>
          <w:rFonts w:hint="eastAsia" w:ascii="宋体" w:hAnsi="宋体"/>
          <w:sz w:val="24"/>
          <w:szCs w:val="24"/>
        </w:rPr>
      </w:pPr>
      <w:r>
        <w:rPr>
          <w:rFonts w:ascii="宋体" w:hAnsi="宋体"/>
          <w:sz w:val="24"/>
          <w:szCs w:val="24"/>
        </w:rPr>
        <w:t xml:space="preserve">29.</w:t>
      </w:r>
      <w:r>
        <w:rPr>
          <w:rFonts w:hint="eastAsia" w:ascii="宋体" w:hAnsi="宋体"/>
          <w:sz w:val="24"/>
          <w:szCs w:val="24"/>
        </w:rPr>
        <w:t xml:space="preserve">l中标结果确定后，采购中心将向中标供应商发出中标通知书。请中标供应商在中标结果公告届满之日起30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keepLines/>
        <w:keepNext/>
        <w:spacing w:before="156" w:after="156" w:line="400" w:lineRule="exact"/>
        <w:rPr>
          <w:b/>
          <w:bCs/>
          <w:sz w:val="32"/>
          <w:szCs w:val="32"/>
        </w:rPr>
        <w:outlineLvl w:val="2"/>
      </w:pPr>
      <w:r>
        <w:rPr>
          <w:rFonts w:hint="eastAsia"/>
          <w:b/>
          <w:bCs/>
          <w:sz w:val="32"/>
          <w:szCs w:val="32"/>
        </w:rPr>
        <w:t xml:space="preserve">七、授予合同</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、货物（包含与货物相关的服务）的追加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1政府采购合同履行中，采购人需追加与合同标的相同的货物（包含与货物相关的服务）的，在不改变合同其他条款的前提下，可以与中标供应商协商签订补充合同，但所有补充合同的采购金额不超过原合同金额10%。</w:t>
      </w:r>
      <w:r/>
    </w:p>
    <w:p>
      <w:pPr>
        <w:ind w:firstLine="600"/>
        <w:keepLines/>
        <w:keepNext/>
        <w:spacing w:line="4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、政府采购履约资金扶持政策</w:t>
      </w:r>
      <w:r/>
    </w:p>
    <w:p>
      <w:pPr>
        <w:ind w:firstLine="555"/>
        <w:spacing w:line="400" w:lineRule="exact"/>
        <w:rPr>
          <w:rFonts w:hint="eastAsia" w:ascii="宋体" w:hAnsi="宋体"/>
          <w:bCs/>
          <w:sz w:val="24"/>
          <w:szCs w:val="24"/>
        </w:rPr>
      </w:pPr>
      <w:r>
        <w:rPr>
          <w:rFonts w:hint="eastAsia" w:ascii="宋体" w:hAnsi="宋体"/>
          <w:bCs/>
          <w:sz w:val="24"/>
          <w:szCs w:val="24"/>
        </w:rPr>
        <w:t xml:space="preserve">中标供应商可凭政府采购合同办理融资贷款，详情请见江苏政府采购网“政采贷”专栏。</w:t>
      </w:r>
      <w:r/>
    </w:p>
    <w:p>
      <w:pPr>
        <w:ind w:firstLine="420"/>
        <w:spacing w:line="400" w:lineRule="exact"/>
        <w:rPr>
          <w:szCs w:val="21"/>
        </w:rPr>
      </w:pPr>
      <w:r/>
      <w:bookmarkStart w:id="55" w:name="_Toc20823314"/>
      <w:r/>
      <w:bookmarkStart w:id="56" w:name="_Toc120614221"/>
      <w:r/>
      <w:bookmarkStart w:id="57" w:name="_Toc513029242"/>
      <w:r/>
      <w:bookmarkStart w:id="58" w:name="_Toc479757207"/>
      <w:r/>
      <w:bookmarkStart w:id="59" w:name="_Toc16938558"/>
      <w:r/>
      <w:bookmarkEnd w:id="2"/>
      <w:r/>
      <w:bookmarkEnd w:id="3"/>
      <w:r/>
      <w:bookmarkEnd w:id="4"/>
      <w:r/>
      <w:bookmarkEnd w:id="5"/>
      <w:r/>
      <w:bookmarkEnd w:id="6"/>
      <w:r/>
      <w:r/>
    </w:p>
    <w:p>
      <w:pPr>
        <w:spacing w:line="500" w:lineRule="exact"/>
        <w:rPr>
          <w:rFonts w:hint="eastAsia" w:ascii="宋体" w:hAnsi="宋体"/>
          <w:bCs/>
          <w:sz w:val="24"/>
          <w:szCs w:val="24"/>
        </w:rPr>
      </w:pPr>
      <w:r>
        <w:rPr>
          <w:rFonts w:hint="eastAsia" w:ascii="宋体" w:hAnsi="宋体"/>
          <w:bCs/>
          <w:sz w:val="24"/>
          <w:szCs w:val="24"/>
        </w:rPr>
      </w:r>
      <w:r/>
    </w:p>
    <w:p>
      <w:pPr>
        <w:jc w:val="center"/>
        <w:keepNext/>
        <w:spacing w:line="400" w:lineRule="exact"/>
        <w:rPr>
          <w:rFonts w:ascii="方正黑体_GBK" w:hAnsi="方正黑体_GBK" w:eastAsia="方正黑体_GBK" w:cs="方正黑体_GBK"/>
          <w:bCs/>
          <w:sz w:val="28"/>
          <w:szCs w:val="28"/>
        </w:rPr>
        <w:outlineLvl w:val="0"/>
      </w:pPr>
      <w:r>
        <w:rPr>
          <w:rFonts w:hint="eastAsia" w:ascii="方正黑体_GBK" w:hAnsi="方正黑体_GBK" w:eastAsia="方正黑体_GBK" w:cs="方正黑体_GBK"/>
          <w:bCs/>
          <w:sz w:val="28"/>
          <w:szCs w:val="28"/>
        </w:rPr>
        <w:br w:type="page" w:clear="all"/>
      </w:r>
      <w:bookmarkStart w:id="60" w:name="_Toc233969287"/>
      <w:r>
        <w:rPr>
          <w:rFonts w:hint="eastAsia" w:ascii="方正黑体_GBK" w:hAnsi="方正黑体_GBK" w:eastAsia="方正黑体_GBK" w:cs="方正黑体_GBK"/>
          <w:sz w:val="28"/>
          <w:szCs w:val="28"/>
        </w:rPr>
        <w:t xml:space="preserve">第三章  合同</w:t>
      </w:r>
      <w:bookmarkEnd w:id="55"/>
      <w:r/>
      <w:bookmarkEnd w:id="56"/>
      <w:r/>
      <w:bookmarkEnd w:id="57"/>
      <w:r/>
      <w:bookmarkEnd w:id="58"/>
      <w:r/>
      <w:bookmarkEnd w:id="59"/>
      <w:r>
        <w:rPr>
          <w:rFonts w:hint="eastAsia" w:ascii="方正黑体_GBK" w:hAnsi="方正黑体_GBK" w:eastAsia="方正黑体_GBK" w:cs="方正黑体_GBK"/>
          <w:sz w:val="28"/>
          <w:szCs w:val="28"/>
        </w:rPr>
        <w:t xml:space="preserve">文本</w:t>
      </w:r>
      <w:bookmarkEnd w:id="60"/>
      <w:r/>
      <w:r/>
    </w:p>
    <w:p>
      <w:pPr>
        <w:spacing w:line="400" w:lineRule="exact"/>
        <w:rPr>
          <w:rFonts w:hint="eastAsia" w:ascii="宋体" w:hAnsi="宋体"/>
          <w:bCs/>
          <w:sz w:val="28"/>
          <w:szCs w:val="28"/>
        </w:rPr>
      </w:pPr>
      <w:r/>
      <w:bookmarkStart w:id="61" w:name="_Toc16938559"/>
      <w:r/>
      <w:bookmarkStart w:id="62" w:name="_Toc20823315"/>
      <w:r/>
      <w:bookmarkStart w:id="63" w:name="_Toc513029243"/>
      <w:r/>
      <w:bookmarkStart w:id="64" w:name="_Toc3995"/>
      <w:r/>
      <w:bookmarkStart w:id="65" w:name="_Hlt16619350"/>
      <w:r/>
      <w:bookmarkStart w:id="66" w:name="_Toc20823346"/>
      <w:r/>
      <w:bookmarkStart w:id="67" w:name="_Toc16938590"/>
      <w:r/>
      <w:bookmarkStart w:id="68" w:name="_Toc120614244"/>
      <w:r/>
      <w:bookmarkStart w:id="69" w:name="_Toc479757211"/>
      <w:r/>
      <w:bookmarkStart w:id="70" w:name="_Toc462564139"/>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r>
      <w:r/>
    </w:p>
    <w:p>
      <w:pPr>
        <w:spacing w:line="500" w:lineRule="exact"/>
        <w:rPr>
          <w:rFonts w:hint="eastAsia" w:ascii="宋体" w:hAnsi="宋体"/>
          <w:bCs/>
          <w:sz w:val="28"/>
          <w:szCs w:val="28"/>
        </w:rPr>
      </w:pPr>
      <w:r>
        <w:rPr>
          <w:rFonts w:hint="eastAsia" w:ascii="宋体" w:hAnsi="宋体"/>
          <w:bCs/>
          <w:sz w:val="28"/>
          <w:szCs w:val="28"/>
        </w:rPr>
      </w:r>
      <w:bookmarkEnd w:id="61"/>
      <w:bookmarkEnd w:id="62"/>
      <w:bookmarkEnd w:id="63"/>
      <w:bookmarkEnd w:id="64"/>
      <w:r/>
    </w:p>
    <w:p>
      <w:pPr>
        <w:pStyle w:val="985"/>
        <w:jc w:val="center"/>
        <w:rPr>
          <w:rFonts w:hint="eastAsia" w:ascii="宋体" w:hAnsi="宋体" w:eastAsia="宋体" w:cs="宋体"/>
          <w:b/>
          <w:bCs/>
          <w:spacing w:val="-20"/>
        </w:rPr>
      </w:pPr>
      <w:r>
        <w:rPr>
          <w:rFonts w:hint="eastAsia" w:ascii="宋体" w:hAnsi="宋体" w:eastAsia="宋体" w:cs="宋体"/>
          <w:b/>
          <w:bCs/>
          <w:spacing w:val="-20"/>
        </w:rPr>
      </w:r>
      <w:r/>
    </w:p>
    <w:p>
      <w:pPr>
        <w:pStyle w:val="985"/>
        <w:jc w:val="center"/>
        <w:rPr>
          <w:rFonts w:hint="eastAsia" w:ascii="宋体" w:hAnsi="宋体" w:eastAsia="宋体" w:cs="宋体"/>
          <w:spacing w:val="-20"/>
        </w:rPr>
      </w:pPr>
      <w:r>
        <w:rPr>
          <w:rFonts w:hint="eastAsia" w:ascii="宋体" w:hAnsi="宋体" w:eastAsia="宋体" w:cs="宋体"/>
          <w:spacing w:val="-20"/>
        </w:rPr>
      </w:r>
      <w:r/>
    </w:p>
    <w:p>
      <w:pPr>
        <w:pStyle w:val="985"/>
        <w:jc w:val="center"/>
        <w:spacing w:line="660" w:lineRule="exact"/>
        <w:rPr>
          <w:rFonts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财政部 政府采购货物买卖合同（试行）</w:t>
      </w:r>
      <w:r/>
    </w:p>
    <w:p>
      <w:pPr>
        <w:pStyle w:val="985"/>
        <w:jc w:val="center"/>
        <w:spacing w:line="660" w:lineRule="exact"/>
        <w:rPr>
          <w:rFonts w:ascii="方正黑体_GBK" w:hAnsi="方正黑体_GBK" w:eastAsia="方正黑体_GBK" w:cs="方正黑体_GBK"/>
          <w:spacing w:val="-20"/>
        </w:rPr>
      </w:pPr>
      <w:r>
        <w:rPr>
          <w:rFonts w:hint="eastAsia" w:ascii="方正黑体_GBK" w:hAnsi="方正黑体_GBK" w:eastAsia="方正黑体_GBK" w:cs="方正黑体_GBK"/>
          <w:spacing w:val="-20"/>
        </w:rPr>
        <w:t xml:space="preserve">范    本</w:t>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spacing w:line="660" w:lineRule="exact"/>
        <w:rPr>
          <w:rFonts w:hint="eastAsia" w:ascii="宋体" w:hAnsi="宋体" w:cs="宋体"/>
          <w:b/>
          <w:bCs/>
          <w:spacing w:val="-20"/>
          <w:sz w:val="28"/>
          <w:szCs w:val="28"/>
        </w:rPr>
      </w:pPr>
      <w:r>
        <w:rPr>
          <w:rFonts w:hint="eastAsia" w:ascii="宋体" w:hAnsi="宋体" w:cs="宋体"/>
          <w:b/>
          <w:bCs/>
          <w:spacing w:val="-20"/>
          <w:sz w:val="28"/>
          <w:szCs w:val="28"/>
        </w:rPr>
      </w:r>
      <w:r/>
    </w:p>
    <w:p>
      <w:pPr>
        <w:ind w:left="420"/>
        <w:spacing w:line="66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项目名称：</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合同编号：</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甲    方：</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u w:val="single"/>
        </w:rPr>
      </w:pPr>
      <w:r>
        <w:rPr>
          <w:rFonts w:hint="eastAsia" w:ascii="方正黑体_GBK" w:hAnsi="方正黑体_GBK" w:eastAsia="方正黑体_GBK" w:cs="方正黑体_GBK"/>
          <w:sz w:val="28"/>
          <w:szCs w:val="28"/>
        </w:rPr>
        <w:t xml:space="preserve">乙    方：</w:t>
      </w:r>
      <w:r>
        <w:rPr>
          <w:rFonts w:hint="eastAsia" w:ascii="方正黑体_GBK" w:hAnsi="方正黑体_GBK" w:eastAsia="方正黑体_GBK" w:cs="方正黑体_GBK"/>
          <w:sz w:val="28"/>
          <w:szCs w:val="28"/>
          <w:u w:val="single"/>
        </w:rPr>
        <w:t xml:space="preserve">                             </w:t>
      </w:r>
      <w:r/>
    </w:p>
    <w:p>
      <w:pPr>
        <w:ind w:left="420"/>
        <w:spacing w:line="66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签订时间：</w:t>
      </w:r>
      <w:r>
        <w:rPr>
          <w:rFonts w:hint="eastAsia" w:ascii="方正黑体_GBK" w:hAnsi="方正黑体_GBK" w:eastAsia="方正黑体_GBK" w:cs="方正黑体_GBK"/>
          <w:sz w:val="28"/>
          <w:szCs w:val="28"/>
          <w:u w:val="single"/>
        </w:rPr>
        <w:t xml:space="preserve">                             </w:t>
      </w:r>
      <w:r/>
    </w:p>
    <w:p>
      <w:pPr>
        <w:rPr>
          <w:sz w:val="28"/>
          <w:szCs w:val="28"/>
        </w:rPr>
      </w:pPr>
      <w:r>
        <w:rPr>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rPr>
          <w:rFonts w:eastAsia="黑体"/>
          <w:sz w:val="28"/>
          <w:szCs w:val="28"/>
        </w:rPr>
      </w:pPr>
      <w:r>
        <w:rPr>
          <w:rFonts w:eastAsia="黑体"/>
          <w:sz w:val="28"/>
          <w:szCs w:val="28"/>
        </w:rPr>
      </w:r>
      <w:r/>
    </w:p>
    <w:p>
      <w:pPr>
        <w:jc w:val="center"/>
        <w:spacing w:line="4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r>
      <w:r/>
    </w:p>
    <w:p>
      <w:pPr>
        <w:jc w:val="center"/>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使 用 说 明</w:t>
      </w:r>
      <w:r/>
    </w:p>
    <w:p>
      <w:pPr>
        <w:ind w:firstLine="560"/>
        <w:spacing w:line="400" w:lineRule="exact"/>
        <w:rPr>
          <w:rFonts w:ascii="仿宋_GB2312" w:hAnsi="仿宋_GB2312" w:eastAsia="仿宋_GB2312" w:cs="仿宋_GB2312"/>
          <w:sz w:val="28"/>
          <w:szCs w:val="28"/>
        </w:rPr>
      </w:pPr>
      <w:r>
        <w:rPr>
          <w:rFonts w:ascii="仿宋_GB2312" w:hAnsi="仿宋_GB2312" w:eastAsia="仿宋_GB2312" w:cs="仿宋_GB2312"/>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1.本合同标准文本适用于购买现成货物的采购项目，不包括需要供应商定制开发、创新研发的货物采购项目。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2.本合同标准文本为政府采购货物买卖合同编制提供参考，可以结合采购项目具体情况，对文本作必要的调整修订后使用。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3.本合同标准文本各条款中，如涉及填写多家供应商、制造商，多种采购标的、分包主要内容等信息的，可根据采购项目具体情况添加信息项。</w:t>
      </w:r>
      <w:r/>
    </w:p>
    <w:p>
      <w:pPr>
        <w:ind w:firstLine="560"/>
        <w:rPr>
          <w:rFonts w:eastAsia="黑体"/>
          <w:sz w:val="28"/>
          <w:szCs w:val="28"/>
        </w:rPr>
        <w:sectPr>
          <w:footerReference w:type="default" r:id="rId11"/>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sz w:val="28"/>
          <w:szCs w:val="28"/>
        </w:rPr>
      </w:r>
      <w:r/>
    </w:p>
    <w:p>
      <w:pPr>
        <w:pStyle w:val="957"/>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（采购人、受采购人委托签订合同的单位或采购文件约定的合同甲方）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乙方1（全称）: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（供应商）</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乙方2（全称）: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乙方3（全称）: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（联合体成员供应商或其他合同主体）（如有）</w:t>
      </w:r>
      <w:r/>
    </w:p>
    <w:p>
      <w:pPr>
        <w:pStyle w:val="987"/>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1.项目信息</w:t>
      </w:r>
      <w:r/>
    </w:p>
    <w:p>
      <w:pPr>
        <w:pStyle w:val="987"/>
        <w:numPr>
          <w:ilvl w:val="0"/>
          <w:numId w:val="4"/>
        </w:numPr>
        <w:ind w:left="0" w:firstLine="560"/>
        <w:spacing w:after="0"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采购项目名称：</w:t>
      </w:r>
      <w:r>
        <w:rPr>
          <w:rFonts w:hint="eastAsia" w:ascii="方正仿宋_GBK" w:hAnsi="方正仿宋_GBK" w:eastAsia="方正仿宋_GBK" w:cs="方正仿宋_GBK"/>
          <w:sz w:val="28"/>
          <w:szCs w:val="28"/>
          <w:u w:val="single"/>
        </w:rPr>
        <w:t xml:space="preserve">                                          </w:t>
      </w:r>
      <w:r/>
    </w:p>
    <w:p>
      <w:pPr>
        <w:pStyle w:val="987"/>
        <w:ind w:left="0" w:firstLine="560"/>
        <w:spacing w:after="0" w:line="400" w:lineRule="exact"/>
        <w:tabs>
          <w:tab w:val="left" w:pos="999"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采购项目编号：</w:t>
      </w:r>
      <w:r>
        <w:rPr>
          <w:rFonts w:hint="eastAsia" w:ascii="方正仿宋_GBK" w:hAnsi="方正仿宋_GBK" w:eastAsia="方正仿宋_GBK" w:cs="方正仿宋_GBK"/>
          <w:sz w:val="28"/>
          <w:szCs w:val="28"/>
          <w:u w:val="single"/>
        </w:rPr>
        <w:t xml:space="preserve">                                          </w:t>
      </w:r>
      <w:r/>
    </w:p>
    <w:p>
      <w:pPr>
        <w:pStyle w:val="987"/>
        <w:ind w:left="0" w:firstLine="560"/>
        <w:spacing w:after="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（2）采购计划编号：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（3）项目内容：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采购标的及数量（台/套</w:t>
      </w:r>
      <w:r>
        <w:rPr>
          <w:rFonts w:hint="eastAsia" w:ascii="方正仿宋_GBK" w:hAnsi="方正仿宋_GBK" w:eastAsia="方正仿宋_GBK" w:cs="方正仿宋_GBK"/>
          <w:sz w:val="28"/>
          <w:szCs w:val="28"/>
          <w:lang w:val="en"/>
        </w:rPr>
        <w:t xml:space="preserve">/个/架/组等</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lang w:val="en"/>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采购标的的技术要求、商务要求具体见附件。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①涉及信息类产品，请填写该产品关键部件的品牌、型号：</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关键部件：</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型号：</w:t>
      </w:r>
      <w:r>
        <w:rPr>
          <w:rFonts w:hint="eastAsia" w:ascii="方正仿宋_GBK" w:hAnsi="方正仿宋_GBK" w:eastAsia="方正仿宋_GBK" w:cs="方正仿宋_GBK"/>
          <w:sz w:val="28"/>
          <w:szCs w:val="28"/>
          <w:u w:val="single"/>
        </w:rPr>
        <w:t xml:space="preserve">       </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②涉及车辆采购，请填写是否属于新能源汽车：</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数量：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4</w:t>
      </w:r>
      <w:r>
        <w:rPr>
          <w:rFonts w:hint="eastAsia" w:ascii="方正仿宋_GBK" w:hAnsi="方正仿宋_GBK" w:eastAsia="方正仿宋_GBK" w:cs="方正仿宋_GBK"/>
          <w:sz w:val="28"/>
          <w:szCs w:val="28"/>
        </w:rPr>
        <w:t xml:space="preserve">）政府采购组织形式：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政府集中采购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部门集中采购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分散采购</w:t>
      </w:r>
      <w:r/>
    </w:p>
    <w:p>
      <w:pPr>
        <w:pStyle w:val="1061"/>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5</w:t>
      </w:r>
      <w:r>
        <w:rPr>
          <w:rFonts w:hint="eastAsia" w:ascii="方正仿宋_GBK" w:hAnsi="方正仿宋_GBK" w:eastAsia="方正仿宋_GBK" w:cs="方正仿宋_GBK"/>
          <w:sz w:val="28"/>
          <w:szCs w:val="28"/>
        </w:rPr>
        <w:t xml:space="preserve">）政府采购方式：</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公开招标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邀请招标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竞争性谈判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竞争性磋商</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询价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单一来源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框架协议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w:t>
      </w:r>
      <w:r>
        <w:rPr>
          <w:rFonts w:hint="eastAsia" w:ascii="方正仿宋_GBK" w:hAnsi="方正仿宋_GBK" w:eastAsia="方正仿宋_GBK" w:cs="方正仿宋_GBK"/>
          <w:sz w:val="28"/>
          <w:szCs w:val="28"/>
          <w:u w:val="single"/>
        </w:rPr>
        <w:t xml:space="preserve">          </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（注：在框架协议采购的第二阶段，可选择使用该合同文本）</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6</w:t>
      </w:r>
      <w:r>
        <w:rPr>
          <w:rFonts w:hint="eastAsia" w:ascii="方正仿宋_GBK" w:hAnsi="方正仿宋_GBK" w:eastAsia="方正仿宋_GBK" w:cs="方正仿宋_GBK"/>
          <w:sz w:val="28"/>
          <w:szCs w:val="28"/>
        </w:rPr>
        <w:t xml:space="preserve">）中标（成交）采购标的制造商是否为中小企业：</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本合同是否为专门面向中小企业的采购合同（中小企业预留合同）：</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若本项目不专门面向中小企业采购，是否给予小微企业评审优惠：</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中标（成交）采购标的制造商是否为残疾人福利性单位：</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中标（成交）采购标的制造商是否为监狱企业：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7</w:t>
      </w:r>
      <w:r>
        <w:rPr>
          <w:rFonts w:hint="eastAsia" w:ascii="方正仿宋_GBK" w:hAnsi="方正仿宋_GBK" w:eastAsia="方正仿宋_GBK" w:cs="方正仿宋_GBK"/>
          <w:sz w:val="28"/>
          <w:szCs w:val="28"/>
        </w:rPr>
        <w:t xml:space="preserve">）合同是否分包：</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分包主要内容：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分包供应商/制造商名称（如供应商和制造商不同，请分别填写）：</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分包供应商/制造商类型（如果供应商和制造商不同，只填写制造商类型）：</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大型企业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中型企业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小微型企业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残疾人福利性单位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监狱企业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其他</w:t>
      </w:r>
      <w:r/>
    </w:p>
    <w:p>
      <w:pPr>
        <w:ind w:firstLine="560"/>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8</w:t>
      </w:r>
      <w:r>
        <w:rPr>
          <w:rFonts w:hint="eastAsia" w:ascii="方正仿宋_GBK" w:hAnsi="方正仿宋_GBK" w:eastAsia="方正仿宋_GBK" w:cs="方正仿宋_GBK"/>
          <w:sz w:val="28"/>
          <w:szCs w:val="28"/>
        </w:rPr>
        <w:t xml:space="preserve">）中标（成交）供应商是否为外商投资企业：</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是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否</w:t>
      </w:r>
      <w:r/>
    </w:p>
    <w:p>
      <w:pPr>
        <w:pStyle w:val="1061"/>
        <w:ind w:firstLine="560"/>
        <w:tabs>
          <w:tab w:val="left" w:pos="134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外商投资企业类型：</w:t>
      </w:r>
      <w:r>
        <w:rPr>
          <w:rFonts w:ascii="Wingdings" w:hAnsi="Wingdings" w:eastAsia="Wingdings" w:cs="Wingdings"/>
          <w:iCs/>
          <w:sz w:val="28"/>
          <w:szCs w:val="28"/>
        </w:rPr>
        <w:t xml:space="preserve">¨</w:t>
      </w:r>
      <w:r>
        <w:rPr>
          <w:rFonts w:hint="eastAsia" w:ascii="方正仿宋_GBK" w:hAnsi="方正仿宋_GBK" w:eastAsia="方正仿宋_GBK" w:cs="方正仿宋_GBK"/>
          <w:sz w:val="28"/>
          <w:szCs w:val="28"/>
        </w:rPr>
        <w:t xml:space="preserve">全部由外国投资者投资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部分由外国投资者投资</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
        </w:rPr>
        <w:t xml:space="preserve">9</w:t>
      </w:r>
      <w:r>
        <w:rPr>
          <w:rFonts w:hint="eastAsia" w:ascii="方正仿宋_GBK" w:hAnsi="方正仿宋_GBK" w:eastAsia="方正仿宋_GBK" w:cs="方正仿宋_GBK"/>
          <w:sz w:val="28"/>
          <w:szCs w:val="28"/>
        </w:rPr>
        <w:t xml:space="preserve">）是否涉及进口产品：</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是，《政府采购品目分类目录》底级品目名称：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金额：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国别：</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品牌：</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规格型号：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0</w:t>
      </w:r>
      <w:r>
        <w:rPr>
          <w:rFonts w:hint="eastAsia" w:ascii="方正仿宋_GBK" w:hAnsi="方正仿宋_GBK" w:eastAsia="方正仿宋_GBK" w:cs="方正仿宋_GBK"/>
          <w:sz w:val="28"/>
          <w:szCs w:val="28"/>
        </w:rPr>
        <w:t xml:space="preserve">）是否涉及节能产品：</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是，《节能产品政府采购品目清单》的底级品目名称：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是否涉及环境标志产品：</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是，《环境标志产品政府采购品目清单》的底级品目名称：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iCs/>
          <w:sz w:val="28"/>
          <w:szCs w:val="28"/>
        </w:rPr>
        <w:t xml:space="preserve"> </w:t>
      </w:r>
      <w:r/>
    </w:p>
    <w:p>
      <w:pPr>
        <w:ind w:firstLine="560"/>
        <w:spacing w:line="400" w:lineRule="exact"/>
        <w:tabs>
          <w:tab w:val="left" w:pos="740" w:leader="none"/>
        </w:tabs>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ind w:firstLine="560"/>
        <w:spacing w:line="400" w:lineRule="exact"/>
        <w:tabs>
          <w:tab w:val="left" w:pos="74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是否涉及绿色产品： </w:t>
      </w:r>
      <w:r/>
    </w:p>
    <w:p>
      <w:pPr>
        <w:pStyle w:val="1061"/>
        <w:ind w:firstLine="560"/>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是，绿色产品政府采购相关政策确定的底级品目名称：</w:t>
      </w:r>
      <w:r>
        <w:rPr>
          <w:rFonts w:hint="eastAsia" w:ascii="方正仿宋_GBK" w:hAnsi="方正仿宋_GBK" w:eastAsia="方正仿宋_GBK" w:cs="方正仿宋_GBK"/>
          <w:sz w:val="28"/>
          <w:szCs w:val="28"/>
          <w:u w:val="single"/>
        </w:rPr>
        <w:t xml:space="preserve">         </w:t>
      </w:r>
      <w:r/>
    </w:p>
    <w:p>
      <w:pPr>
        <w:pStyle w:val="1061"/>
        <w:ind w:firstLine="560"/>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强制采购       </w:t>
      </w:r>
      <w:r>
        <w:rPr>
          <w:rFonts w:ascii="Wingdings" w:hAnsi="Wingdings" w:eastAsia="Wingdings" w:cs="Wingdings"/>
          <w:iCs/>
          <w:sz w:val="28"/>
          <w:szCs w:val="28"/>
        </w:rPr>
        <w:t xml:space="preserve">¨</w:t>
      </w:r>
      <w:r>
        <w:rPr>
          <w:rFonts w:hint="eastAsia" w:ascii="方正仿宋_GBK" w:hAnsi="方正仿宋_GBK" w:eastAsia="方正仿宋_GBK" w:cs="方正仿宋_GBK"/>
          <w:iCs/>
          <w:sz w:val="28"/>
          <w:szCs w:val="28"/>
        </w:rPr>
        <w:t xml:space="preserve">优先采购    </w:t>
      </w:r>
      <w:r/>
    </w:p>
    <w:p>
      <w:pPr>
        <w:pStyle w:val="1061"/>
        <w:ind w:firstLine="840"/>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（1</w:t>
      </w:r>
      <w:r>
        <w:rPr>
          <w:rFonts w:hint="eastAsia" w:ascii="方正仿宋_GBK" w:hAnsi="方正仿宋_GBK" w:eastAsia="方正仿宋_GBK" w:cs="方正仿宋_GBK"/>
          <w:sz w:val="28"/>
          <w:szCs w:val="28"/>
          <w:lang w:val="en"/>
        </w:rPr>
        <w:t xml:space="preserve">1</w:t>
      </w:r>
      <w:r>
        <w:rPr>
          <w:rFonts w:hint="eastAsia" w:ascii="方正仿宋_GBK" w:hAnsi="方正仿宋_GBK" w:eastAsia="方正仿宋_GBK" w:cs="方正仿宋_GBK"/>
          <w:sz w:val="28"/>
          <w:szCs w:val="28"/>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不涉及</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2.合同金额</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（1）合同金额小写：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分包金额（如有）小写：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 大写：</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（注：固定单价合同应填写单价和最高限价）</w:t>
      </w:r>
      <w:r/>
    </w:p>
    <w:p>
      <w:pPr>
        <w:ind w:left="42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合同定价方式（采用组合定价方式的，可以勾选多项）：</w:t>
      </w:r>
      <w:r/>
    </w:p>
    <w:p>
      <w:pPr>
        <w:ind w:firstLine="560"/>
        <w:spacing w:line="400" w:lineRule="exact"/>
        <w:rPr>
          <w:sz w:val="28"/>
          <w:szCs w:val="28"/>
        </w:rPr>
      </w:pPr>
      <w:r>
        <w:rPr>
          <w:rFonts w:hint="eastAsia" w:ascii="方正仿宋_GBK" w:hAnsi="方正仿宋_GBK" w:eastAsia="方正仿宋_GBK" w:cs="方正仿宋_GBK"/>
          <w:sz w:val="28"/>
          <w:szCs w:val="28"/>
        </w:rPr>
        <w:t xml:space="preserve">（2）</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固定总价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固定单价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固定费率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成本补偿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绩效激励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其他     </w:t>
      </w:r>
      <w:r>
        <w:rPr>
          <w:rFonts w:hint="eastAsia"/>
          <w:sz w:val="28"/>
          <w:szCs w:val="28"/>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（3）付款方式（按项目实际勾选填写）：</w:t>
      </w:r>
      <w:r/>
    </w:p>
    <w:p>
      <w:pPr>
        <w:ind w:firstLine="560"/>
        <w:spacing w:line="400" w:lineRule="exact"/>
        <w:rPr>
          <w:rFonts w:hint="eastAsia" w:ascii="方正仿宋_GBK" w:hAnsi="方正仿宋_GBK" w:eastAsia="方正仿宋_GBK" w:cs="方正仿宋_GBK"/>
          <w:bCs/>
          <w:sz w:val="28"/>
          <w:szCs w:val="28"/>
        </w:rPr>
      </w:pP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全额付款</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32"/>
          <w:szCs w:val="32"/>
          <w:u w:val="single"/>
        </w:rPr>
        <w:t xml:space="preserve"> （应明确一次性支付合同款项的条件）</w:t>
      </w:r>
      <w:r/>
    </w:p>
    <w:p>
      <w:pPr>
        <w:ind w:firstLine="560"/>
        <w:spacing w:line="400" w:lineRule="exact"/>
        <w:rPr>
          <w:rFonts w:hint="eastAsia" w:ascii="方正仿宋_GBK" w:hAnsi="方正仿宋_GBK" w:eastAsia="方正仿宋_GBK" w:cs="方正仿宋_GBK"/>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分期付款：</w:t>
      </w:r>
      <w:r>
        <w:rPr>
          <w:rFonts w:hint="eastAsia" w:ascii="方正仿宋_GBK" w:hAnsi="方正仿宋_GBK" w:eastAsia="方正仿宋_GBK" w:cs="方正仿宋_GBK"/>
          <w:sz w:val="28"/>
          <w:szCs w:val="28"/>
          <w:u w:val="single"/>
        </w:rPr>
        <w:t xml:space="preserve">   （应明确分期支付合同款项的各期比例和支付条件，各期支付条件应与分期履约验收情况挂钩） </w:t>
      </w:r>
      <w:r>
        <w:rPr>
          <w:rFonts w:hint="eastAsia" w:ascii="方正仿宋_GBK" w:hAnsi="方正仿宋_GBK" w:eastAsia="方正仿宋_GBK" w:cs="方正仿宋_GBK"/>
          <w:sz w:val="28"/>
          <w:szCs w:val="28"/>
        </w:rPr>
        <w:t xml:space="preserve">，其中涉及预付款的：</w:t>
      </w:r>
      <w:r>
        <w:rPr>
          <w:rFonts w:hint="eastAsia" w:ascii="方正仿宋_GBK" w:hAnsi="方正仿宋_GBK" w:eastAsia="方正仿宋_GBK" w:cs="方正仿宋_GBK"/>
          <w:sz w:val="28"/>
          <w:szCs w:val="28"/>
          <w:u w:val="single"/>
        </w:rPr>
        <w:t xml:space="preserve"> （应明确预付款的支付比例和支付条件） </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成本补偿：      （应明确按照成本补偿方式的支付方式和支付条件）   </w:t>
      </w:r>
      <w:r/>
    </w:p>
    <w:p>
      <w:pPr>
        <w:ind w:firstLine="560"/>
        <w:spacing w:line="400" w:lineRule="exact"/>
        <w:rPr>
          <w:rFonts w:hint="eastAsia" w:ascii="方正仿宋_GBK" w:hAnsi="方正仿宋_GBK" w:eastAsia="方正仿宋_GBK" w:cs="方正仿宋_GBK"/>
          <w:sz w:val="28"/>
          <w:szCs w:val="28"/>
          <w:u w:val="single"/>
        </w:rPr>
      </w:pPr>
      <w:r>
        <w:rPr>
          <w:rFonts w:ascii="Wingdings" w:hAnsi="Wingdings" w:eastAsia="Wingdings" w:cs="Wingdings"/>
          <w:sz w:val="28"/>
          <w:szCs w:val="28"/>
          <w:u w:val="single"/>
        </w:rPr>
        <w:t xml:space="preserve">¨</w:t>
      </w:r>
      <w:r>
        <w:rPr>
          <w:rFonts w:hint="eastAsia" w:ascii="方正仿宋_GBK" w:hAnsi="方正仿宋_GBK" w:eastAsia="方正仿宋_GBK" w:cs="方正仿宋_GBK"/>
          <w:sz w:val="28"/>
          <w:szCs w:val="28"/>
          <w:u w:val="single"/>
        </w:rPr>
        <w:t xml:space="preserve">绩效激励：      （应明确按照绩效激励方式的支付方式和支付条件）   </w:t>
      </w:r>
      <w:r/>
    </w:p>
    <w:p>
      <w:pPr>
        <w:ind w:firstLine="562"/>
        <w:spacing w:line="400" w:lineRule="exact"/>
        <w:rPr>
          <w:rFonts w:hint="eastAsia" w:ascii="方正仿宋_GBK" w:hAnsi="方正仿宋_GBK" w:eastAsia="方正仿宋_GBK" w:cs="方正仿宋_GBK"/>
          <w:b/>
          <w:sz w:val="28"/>
          <w:szCs w:val="28"/>
          <w:u w:val="single"/>
        </w:rPr>
      </w:pPr>
      <w:r>
        <w:rPr>
          <w:rFonts w:hint="eastAsia" w:ascii="方正仿宋_GBK" w:hAnsi="方正仿宋_GBK" w:eastAsia="方正仿宋_GBK" w:cs="方正仿宋_GBK"/>
          <w:b/>
          <w:sz w:val="28"/>
          <w:szCs w:val="28"/>
        </w:rPr>
        <w:t xml:space="preserve">3.合同履行</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（1）起始日期：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日，完成日期：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（2）履约地点</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（3）履约担保：</w:t>
      </w:r>
      <w:r>
        <w:rPr>
          <w:rFonts w:hint="eastAsia" w:ascii="方正仿宋_GBK" w:hAnsi="方正仿宋_GBK" w:eastAsia="方正仿宋_GBK" w:cs="方正仿宋_GBK"/>
          <w:sz w:val="28"/>
          <w:szCs w:val="28"/>
        </w:rPr>
        <w:t xml:space="preserve">是否收取履约保证金：</w:t>
      </w:r>
      <w:r>
        <w:rPr>
          <w:rFonts w:ascii="Wingdings 2" w:hAnsi="Wingdings 2" w:eastAsia="Wingdings 2" w:cs="Wingdings 2"/>
          <w:sz w:val="28"/>
          <w:szCs w:val="28"/>
        </w:rPr>
        <w:t xml:space="preserve">R</w:t>
      </w:r>
      <w:r>
        <w:rPr>
          <w:rFonts w:hint="eastAsia" w:ascii="方正仿宋_GBK" w:hAnsi="方正仿宋_GBK" w:eastAsia="方正仿宋_GBK" w:cs="方正仿宋_GBK"/>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sz w:val="28"/>
          <w:szCs w:val="28"/>
        </w:rPr>
        <w:t xml:space="preserve">否</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sz w:val="28"/>
          <w:szCs w:val="28"/>
        </w:rPr>
        <w:t xml:space="preserve">收取履约保证金形式：</w:t>
      </w:r>
      <w:r>
        <w:rPr>
          <w:rFonts w:hint="eastAsia" w:ascii="方正仿宋_GBK" w:hAnsi="方正仿宋_GBK" w:eastAsia="方正仿宋_GBK" w:cs="方正仿宋_GBK"/>
          <w:bCs/>
          <w:sz w:val="28"/>
          <w:szCs w:val="28"/>
          <w:u w:val="single"/>
        </w:rPr>
        <w:t xml:space="preserve">保函          </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收取履约保证金金额：</w:t>
      </w:r>
      <w:r>
        <w:rPr>
          <w:rFonts w:hint="eastAsia" w:ascii="方正仿宋_GBK" w:hAnsi="方正仿宋_GBK" w:eastAsia="方正仿宋_GBK" w:cs="方正仿宋_GBK"/>
          <w:bCs/>
          <w:sz w:val="28"/>
          <w:szCs w:val="28"/>
          <w:u w:val="single"/>
        </w:rPr>
        <w:t xml:space="preserve">   合同价款的10%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 履约担保期限：</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32"/>
          <w:szCs w:val="32"/>
          <w:u w:val="single"/>
        </w:rPr>
        <w:t xml:space="preserve">自该合同下的所有采购货物验收合格后一年</w:t>
      </w:r>
      <w:r>
        <w:rPr>
          <w:rFonts w:hint="eastAsia" w:ascii="方正仿宋_GBK" w:hAnsi="方正仿宋_GBK" w:eastAsia="方正仿宋_GBK" w:cs="方正仿宋_GBK"/>
          <w:bCs/>
          <w:sz w:val="28"/>
          <w:szCs w:val="28"/>
          <w:u w:val="single"/>
        </w:rPr>
        <w:t xml:space="preserve">       </w:t>
      </w:r>
      <w:r/>
    </w:p>
    <w:p>
      <w:pPr>
        <w:pStyle w:val="990"/>
        <w:ind w:left="0"/>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32"/>
          <w:szCs w:val="32"/>
        </w:rPr>
        <w:t xml:space="preserve">履约保证金退还方式：按照相关规定和流程无息退还</w:t>
      </w:r>
      <w:r/>
    </w:p>
    <w:p>
      <w:pPr>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履约保证金退还条件：该合同下的所有采购验收合格满一年后</w:t>
      </w:r>
      <w:r/>
    </w:p>
    <w:p>
      <w:pPr>
        <w:ind w:firstLine="640"/>
        <w:spacing w:line="560" w:lineRule="exact"/>
        <w:rPr>
          <w:rFonts w:hint="eastAsia" w:ascii="方正仿宋_GBK" w:hAnsi="方正仿宋_GBK" w:eastAsia="方正仿宋_GBK" w:cs="方正仿宋_GBK"/>
          <w:bCs/>
          <w:sz w:val="32"/>
          <w:szCs w:val="32"/>
        </w:rPr>
      </w:pPr>
      <w:r>
        <w:rPr>
          <w:rFonts w:hint="eastAsia" w:ascii="方正仿宋_GBK" w:hAnsi="方正仿宋_GBK" w:eastAsia="方正仿宋_GBK" w:cs="方正仿宋_GBK"/>
          <w:bCs/>
          <w:sz w:val="32"/>
          <w:szCs w:val="32"/>
        </w:rPr>
        <w:t xml:space="preserve">履约保证金不予退还的情形：未按合同要求履约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（4）分期履行要求：</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宋体" w:hAnsi="宋体" w:cs="宋体"/>
          <w:sz w:val="28"/>
          <w:szCs w:val="28"/>
          <w:u w:val="single"/>
        </w:rPr>
      </w:pPr>
      <w:r>
        <w:rPr>
          <w:rFonts w:hint="eastAsia" w:ascii="方正仿宋_GBK" w:hAnsi="方正仿宋_GBK" w:eastAsia="方正仿宋_GBK" w:cs="方正仿宋_GBK"/>
          <w:bCs/>
          <w:sz w:val="28"/>
          <w:szCs w:val="28"/>
        </w:rPr>
        <w:t xml:space="preserve">（5）风险处置措施和替代方案：</w:t>
      </w:r>
      <w:r>
        <w:rPr>
          <w:rFonts w:hint="eastAsia" w:ascii="方正仿宋_GBK" w:hAnsi="方正仿宋_GBK" w:eastAsia="方正仿宋_GBK" w:cs="方正仿宋_GBK"/>
          <w:sz w:val="28"/>
          <w:szCs w:val="28"/>
          <w:u w:val="single"/>
        </w:rPr>
        <w:t xml:space="preserve">                                               </w:t>
      </w:r>
      <w:r>
        <w:rPr>
          <w:rFonts w:hint="eastAsia" w:ascii="宋体" w:hAnsi="宋体" w:cs="宋体"/>
          <w:sz w:val="28"/>
          <w:szCs w:val="28"/>
          <w:u w:val="single"/>
        </w:rPr>
        <w:t xml:space="preserve"> </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4.合同验收</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（1）验收组织方式：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自行组织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委托第三方组织</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验收主体：</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是否邀请本项目的其他供应商参加验收：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是否邀请专家参加验收：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是否邀请服务对象参加验收：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是否邀请第三方检测机构参加验收：</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是否进行抽查检测：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是，抽查比例：</w:t>
      </w:r>
      <w:r>
        <w:rPr>
          <w:rFonts w:hint="eastAsia" w:ascii="方正仿宋_GBK" w:hAnsi="方正仿宋_GBK" w:eastAsia="方正仿宋_GBK" w:cs="方正仿宋_GBK"/>
          <w:bCs/>
          <w:sz w:val="28"/>
          <w:szCs w:val="28"/>
          <w:u w:val="single"/>
        </w:rPr>
        <w:t xml:space="preserve">        </w:t>
      </w:r>
      <w:r>
        <w:rPr>
          <w:rFonts w:hint="eastAsia" w:ascii="方正仿宋_GBK" w:hAnsi="方正仿宋_GBK" w:eastAsia="方正仿宋_GBK" w:cs="方正仿宋_GBK"/>
          <w:bCs/>
          <w:sz w:val="28"/>
          <w:szCs w:val="28"/>
        </w:rPr>
        <w:t xml:space="preserve">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是否存在破坏性检测：</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w:t>
      </w:r>
      <w:r>
        <w:rPr>
          <w:rFonts w:hint="eastAsia" w:ascii="方正仿宋_GBK" w:hAnsi="方正仿宋_GBK" w:eastAsia="方正仿宋_GBK" w:cs="方正仿宋_GBK"/>
          <w:bCs/>
          <w:sz w:val="28"/>
          <w:szCs w:val="28"/>
          <w:u w:val="single"/>
        </w:rPr>
        <w:t xml:space="preserve">（应明确对被破坏的检测产品的处理方式）</w:t>
      </w:r>
      <w:r/>
    </w:p>
    <w:p>
      <w:pPr>
        <w:ind w:firstLine="560"/>
        <w:spacing w:line="400" w:lineRule="exact"/>
        <w:rPr>
          <w:rFonts w:hint="eastAsia" w:ascii="方正仿宋_GBK" w:hAnsi="方正仿宋_GBK" w:eastAsia="方正仿宋_GBK" w:cs="方正仿宋_GBK"/>
          <w:bCs/>
          <w:sz w:val="28"/>
          <w:szCs w:val="28"/>
        </w:rPr>
      </w:pP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验收组织的其他事项：</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（2）履约验收时间：</w:t>
      </w:r>
      <w:r>
        <w:rPr>
          <w:rFonts w:hint="eastAsia" w:ascii="方正仿宋_GBK" w:hAnsi="方正仿宋_GBK" w:eastAsia="方正仿宋_GBK" w:cs="方正仿宋_GBK"/>
          <w:bCs/>
          <w:sz w:val="28"/>
          <w:szCs w:val="28"/>
          <w:u w:val="single"/>
        </w:rPr>
        <w:t xml:space="preserve">（计划于何时验收/供应商提出验收申请之日起   日内组织验收）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（3）履约验收方式：</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一次性验收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分期/分项验收：</w:t>
      </w:r>
      <w:r>
        <w:rPr>
          <w:rFonts w:hint="eastAsia" w:ascii="方正仿宋_GBK" w:hAnsi="方正仿宋_GBK" w:eastAsia="方正仿宋_GBK" w:cs="方正仿宋_GBK"/>
          <w:bCs/>
          <w:sz w:val="28"/>
          <w:szCs w:val="28"/>
          <w:u w:val="single"/>
        </w:rPr>
        <w:t xml:space="preserve"> （应明确分期</w:t>
      </w:r>
      <w:r>
        <w:rPr>
          <w:rFonts w:hint="eastAsia" w:ascii="方正仿宋_GBK" w:hAnsi="方正仿宋_GBK" w:eastAsia="方正仿宋_GBK" w:cs="方正仿宋_GBK"/>
          <w:bCs/>
          <w:sz w:val="28"/>
          <w:szCs w:val="28"/>
          <w:u w:val="single"/>
          <w:lang w:val="en"/>
        </w:rPr>
        <w:t xml:space="preserve">/分项验收的工作安排</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（4）履约验收程序：</w:t>
      </w:r>
      <w:r>
        <w:rPr>
          <w:rFonts w:hint="eastAsia" w:ascii="方正仿宋_GBK" w:hAnsi="方正仿宋_GBK" w:eastAsia="方正仿宋_GBK" w:cs="方正仿宋_GBK"/>
          <w:bCs/>
          <w:sz w:val="28"/>
          <w:szCs w:val="28"/>
          <w:u w:val="single"/>
        </w:rPr>
        <w:t xml:space="preserve">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（5）履约验收的内容：</w:t>
      </w:r>
      <w:r>
        <w:rPr>
          <w:rFonts w:hint="eastAsia" w:ascii="方正仿宋_GBK" w:hAnsi="方正仿宋_GBK" w:eastAsia="方正仿宋_GBK" w:cs="方正仿宋_GBK"/>
          <w:bCs/>
          <w:sz w:val="28"/>
          <w:szCs w:val="28"/>
          <w:u w:val="single"/>
        </w:rPr>
        <w:t xml:space="preserve"> （应当包括每一项技术和商务要求的履约</w:t>
      </w:r>
      <w:r>
        <w:rPr>
          <w:rFonts w:hint="eastAsia" w:ascii="方正仿宋_GBK" w:hAnsi="方正仿宋_GBK" w:eastAsia="方正仿宋_GBK" w:cs="方正仿宋_GBK"/>
          <w:bCs/>
          <w:sz w:val="28"/>
          <w:szCs w:val="28"/>
          <w:u w:val="single"/>
        </w:rPr>
        <w:t xml:space="preserve">情况，特别是落实政府采购扶持中小企业，支持绿色发展和乡村振兴等政策情况）                                      </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（6）履约验收标准：</w:t>
      </w:r>
      <w:r>
        <w:rPr>
          <w:rFonts w:hint="eastAsia" w:ascii="方正仿宋_GBK" w:hAnsi="方正仿宋_GBK" w:eastAsia="方正仿宋_GBK" w:cs="方正仿宋_GBK"/>
          <w:bCs/>
          <w:sz w:val="28"/>
          <w:szCs w:val="28"/>
          <w:u w:val="single"/>
        </w:rPr>
        <w:t xml:space="preserve">                                         </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（7）是否以采购活动中供应商提供的样品作为参考：</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是      </w:t>
      </w:r>
      <w:r>
        <w:rPr>
          <w:rFonts w:ascii="Wingdings" w:hAnsi="Wingdings" w:eastAsia="Wingdings" w:cs="Wingdings"/>
          <w:sz w:val="28"/>
          <w:szCs w:val="28"/>
        </w:rPr>
        <w:t xml:space="preserve">¨</w:t>
      </w:r>
      <w:r>
        <w:rPr>
          <w:rFonts w:hint="eastAsia" w:ascii="方正仿宋_GBK" w:hAnsi="方正仿宋_GBK" w:eastAsia="方正仿宋_GBK" w:cs="方正仿宋_GBK"/>
          <w:bCs/>
          <w:sz w:val="28"/>
          <w:szCs w:val="28"/>
        </w:rPr>
        <w:t xml:space="preserve">否</w:t>
      </w:r>
      <w:r/>
    </w:p>
    <w:p>
      <w:pPr>
        <w:ind w:firstLine="560"/>
        <w:spacing w:line="400" w:lineRule="exact"/>
        <w:rPr>
          <w:rFonts w:hint="eastAsia" w:ascii="方正仿宋_GBK" w:hAnsi="方正仿宋_GBK" w:eastAsia="方正仿宋_GBK" w:cs="方正仿宋_GBK"/>
          <w:bCs/>
          <w:sz w:val="28"/>
          <w:szCs w:val="28"/>
          <w:u w:val="single"/>
        </w:rPr>
      </w:pPr>
      <w:r>
        <w:rPr>
          <w:rFonts w:hint="eastAsia" w:ascii="方正仿宋_GBK" w:hAnsi="方正仿宋_GBK" w:eastAsia="方正仿宋_GBK" w:cs="方正仿宋_GBK"/>
          <w:bCs/>
          <w:sz w:val="28"/>
          <w:szCs w:val="28"/>
        </w:rPr>
        <w:t xml:space="preserve">（8）履约验收其他事项：</w:t>
      </w:r>
      <w:r>
        <w:rPr>
          <w:rFonts w:hint="eastAsia" w:ascii="方正仿宋_GBK" w:hAnsi="方正仿宋_GBK" w:eastAsia="方正仿宋_GBK" w:cs="方正仿宋_GBK"/>
          <w:bCs/>
          <w:sz w:val="28"/>
          <w:szCs w:val="28"/>
          <w:u w:val="single"/>
        </w:rPr>
        <w:t xml:space="preserve">      （产权过户登记等）          </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5.组成合同的文件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本协议书与下列文件一起构成合同文件，如下述文件之间有任何抵触、矛盾或歧义，应按以下顺序解释：</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（1）政府采购合同协议书及其变更、补充协议</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（2）政府采购合同专用条款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（3）政府采购合同通用条款</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（4）中标（成交）通知书</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（5）投标（响应）文件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（6）采购文件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（7）有关技术文件，图纸</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（8）国家法律、行政法规和规章制度规定或合同约定的作为合同组成部分的其他文件</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6.合同生效</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本合同自</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生效。</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7.合同份数</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本合同一式</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份，甲方执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份，乙方执</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份，均具有同等法律效力。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合同订立时间：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年</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月</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合同订立地点：</w:t>
      </w:r>
      <w:r>
        <w:rPr>
          <w:rFonts w:hint="eastAsia" w:ascii="方正仿宋_GBK" w:hAnsi="方正仿宋_GBK" w:eastAsia="方正仿宋_GBK" w:cs="方正仿宋_GBK"/>
          <w:sz w:val="28"/>
          <w:szCs w:val="28"/>
          <w:u w:val="single"/>
        </w:rPr>
        <w:t xml:space="preserve">                           </w:t>
      </w:r>
      <w:r/>
    </w:p>
    <w:p>
      <w:pPr>
        <w:ind w:firstLine="560"/>
        <w:spacing w:line="400" w:lineRule="exact"/>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sz w:val="28"/>
          <w:szCs w:val="28"/>
        </w:rPr>
        <w:t xml:space="preserve">附件：具体标的及其技术要求和商务要求、联合协议、分包意向协议等</w:t>
      </w:r>
      <w:r>
        <w:rPr>
          <w:rFonts w:hint="eastAsia" w:ascii="方正仿宋_GBK" w:hAnsi="方正仿宋_GBK" w:eastAsia="方正仿宋_GBK" w:cs="方正仿宋_GBK"/>
          <w:sz w:val="28"/>
          <w:szCs w:val="28"/>
          <w:lang w:val="en"/>
        </w:rPr>
        <w:t xml:space="preserve">   </w:t>
      </w:r>
      <w:r/>
    </w:p>
    <w:p>
      <w:pPr>
        <w:pStyle w:val="1028"/>
        <w:spacing w:line="400" w:lineRule="exact"/>
        <w:rPr>
          <w:sz w:val="28"/>
          <w:szCs w:val="28"/>
          <w:lang w:eastAsia="zh-CN"/>
        </w:rPr>
      </w:pPr>
      <w:r>
        <w:rPr>
          <w:sz w:val="28"/>
          <w:szCs w:val="28"/>
          <w:lang w:eastAsia="zh-CN"/>
        </w:rPr>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58"/>
        <w:gridCol w:w="2901"/>
        <w:gridCol w:w="1644"/>
        <w:gridCol w:w="2202"/>
      </w:tblGrid>
      <w:tr>
        <w:trPr>
          <w:trHeight w:val="490"/>
        </w:trPr>
        <w:tc>
          <w:tcPr>
            <w:gridSpan w:val="2"/>
            <w:tcBorders>
              <w:bottom w:val="single" w:color="000000" w:sz="2" w:space="0"/>
              <w:right w:val="single" w:color="000000" w:sz="2" w:space="0"/>
            </w:tcBorders>
            <w:tcW w:w="2791"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甲方（采购人、受采购人委托签订合同的单位或采购文件约定的合同甲方）</w:t>
            </w:r>
            <w:r/>
          </w:p>
        </w:tc>
        <w:tc>
          <w:tcPr>
            <w:gridSpan w:val="2"/>
            <w:tcBorders>
              <w:left w:val="single" w:color="000000" w:sz="2" w:space="0"/>
              <w:bottom w:val="single" w:color="000000" w:sz="2" w:space="0"/>
            </w:tcBorders>
            <w:tcW w:w="2208"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乙方（供应商）</w:t>
            </w:r>
            <w:r/>
          </w:p>
        </w:tc>
      </w:tr>
      <w:tr>
        <w:trPr>
          <w:trHeight w:val="917"/>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单位名称（公章或合同章）</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cantSplit/>
          <w:trHeight w:val="1171"/>
        </w:trPr>
        <w:tc>
          <w:tcPr>
            <w:tcBorders>
              <w:top w:val="single" w:color="000000" w:sz="2" w:space="0"/>
              <w:right w:val="single" w:color="000000" w:sz="2" w:space="0"/>
            </w:tcBorders>
            <w:tcW w:w="1125" w:type="pct"/>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ind w:firstLine="134"/>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000000" w:sz="2" w:space="0"/>
              <w:left w:val="single" w:color="000000" w:sz="2" w:space="0"/>
              <w:right w:val="single" w:color="000000" w:sz="2" w:space="0"/>
            </w:tcBorders>
            <w:tcW w:w="1666" w:type="pct"/>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法定代表人</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或其委托代理人（签章）</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83"/>
        </w:trPr>
        <w:tc>
          <w:tcPr>
            <w:tcBorders>
              <w:bottom w:val="single" w:color="000000" w:sz="2" w:space="0"/>
              <w:right w:val="single" w:color="000000" w:sz="2" w:space="0"/>
            </w:tcBorders>
            <w:tcW w:w="1125" w:type="pct"/>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left w:val="single" w:color="000000" w:sz="2" w:space="0"/>
              <w:bottom w:val="single" w:color="000000" w:sz="2" w:space="0"/>
              <w:right w:val="single" w:color="000000" w:sz="2" w:space="0"/>
            </w:tcBorders>
            <w:tcW w:w="1666" w:type="pct"/>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拥有者性别</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住  所</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 系 人</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通信地址</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邮政编码</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电子邮箱</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统一社会信用代码</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开户名称</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开户银行</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483"/>
        </w:trPr>
        <w:tc>
          <w:tcPr>
            <w:tcBorders>
              <w:top w:val="single" w:color="000000" w:sz="2" w:space="0"/>
              <w:bottom w:val="single" w:color="000000" w:sz="2" w:space="0"/>
              <w:right w:val="single" w:color="000000" w:sz="2" w:space="0"/>
            </w:tcBorders>
            <w:tcW w:w="1125"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1666"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Borders>
              <w:top w:val="single" w:color="000000" w:sz="2" w:space="0"/>
              <w:left w:val="single" w:color="000000" w:sz="2" w:space="0"/>
              <w:bottom w:val="single" w:color="000000" w:sz="2" w:space="0"/>
              <w:right w:val="single" w:color="000000" w:sz="2" w:space="0"/>
            </w:tcBorders>
            <w:tcW w:w="944" w:type="pct"/>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银行账号</w:t>
            </w:r>
            <w:r/>
          </w:p>
        </w:tc>
        <w:tc>
          <w:tcPr>
            <w:tcBorders>
              <w:top w:val="single" w:color="000000" w:sz="2" w:space="0"/>
              <w:left w:val="single" w:color="000000" w:sz="2" w:space="0"/>
              <w:bottom w:val="single" w:color="000000" w:sz="2" w:space="0"/>
            </w:tcBorders>
            <w:tcW w:w="1264" w:type="pct"/>
            <w:vAlign w:val="center"/>
            <w:textDirection w:val="lrTb"/>
            <w:noWrap w:val="false"/>
          </w:tcPr>
          <w:p>
            <w:pPr>
              <w:jc w:val="center"/>
              <w:spacing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pacing w:val="20"/>
                <w:sz w:val="28"/>
                <w:szCs w:val="28"/>
              </w:rPr>
            </w:r>
            <w:r/>
          </w:p>
        </w:tc>
      </w:tr>
      <w:tr>
        <w:trPr>
          <w:trHeight w:val="586"/>
        </w:trPr>
        <w:tc>
          <w:tcPr>
            <w:gridSpan w:val="4"/>
            <w:tcBorders>
              <w:top w:val="single" w:color="000000" w:sz="2" w:space="0"/>
            </w:tcBorders>
            <w:tcW w:w="5000" w:type="pct"/>
            <w:vAlign w:val="center"/>
            <w:textDirection w:val="lrTb"/>
            <w:noWrap w:val="false"/>
          </w:tcPr>
          <w:p>
            <w:pPr>
              <w:pStyle w:val="987"/>
              <w:ind w:left="0"/>
              <w:jc w:val="left"/>
              <w:spacing w:before="156" w:after="0" w:line="400" w:lineRule="exact"/>
              <w:rPr>
                <w:rFonts w:hint="eastAsia" w:ascii="方正仿宋_GBK" w:hAnsi="方正仿宋_GBK" w:eastAsia="方正仿宋_GBK" w:cs="方正仿宋_GBK"/>
                <w:spacing w:val="20"/>
                <w:sz w:val="28"/>
                <w:szCs w:val="28"/>
              </w:rPr>
            </w:pPr>
            <w:r>
              <w:rPr>
                <w:rFonts w:hint="eastAsia" w:ascii="方正仿宋_GBK" w:hAnsi="方正仿宋_GBK" w:eastAsia="方正仿宋_GBK" w:cs="方正仿宋_GBK"/>
                <w:sz w:val="28"/>
                <w:szCs w:val="28"/>
              </w:rPr>
              <w:t xml:space="preserve">注：涉及联合体或其他合同主体的信息应按上表格式加列。</w:t>
            </w:r>
            <w:r/>
          </w:p>
        </w:tc>
      </w:tr>
    </w:tbl>
    <w:p>
      <w:pPr>
        <w:pStyle w:val="957"/>
        <w:spacing w:line="400" w:lineRule="exact"/>
        <w:rPr>
          <w:rFonts w:hint="eastAsia" w:ascii="黑体" w:hAnsi="黑体" w:eastAsia="黑体"/>
          <w:sz w:val="28"/>
          <w:szCs w:val="28"/>
        </w:rPr>
      </w:pPr>
      <w:r>
        <w:rPr>
          <w:rFonts w:ascii="宋体" w:hAnsi="宋体"/>
          <w:sz w:val="28"/>
          <w:szCs w:val="28"/>
          <w:u w:val="single"/>
        </w:rPr>
        <w:br w:type="page" w:clear="all"/>
      </w:r>
      <w:r>
        <w:rPr>
          <w:rFonts w:hint="eastAsia" w:ascii="黑体" w:hAnsi="黑体" w:eastAsia="黑体"/>
          <w:b w:val="0"/>
          <w:bCs w:val="0"/>
          <w:sz w:val="28"/>
          <w:szCs w:val="28"/>
        </w:rPr>
        <w:t xml:space="preserve">第二节 政府采购合同通用条款</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 定义</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1.1合同当事人</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（1）采购人（以下称甲方）是指使用财政性资金，通过政府采购方式向供应商购买货物及其相关服务的国家机关、事业单位、团体组织。</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（2）供应商（以下称乙方）是指参加政府采购活动并且中标（成交），向采购人提供合同约定的货物及其相关服务的法人、非法人组织或者自然人。</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（3）其他合同主体是指除采购人和供应商以外，依法参与合同缔结或履行，享有权利、承担义务的合同当事人。</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1.2本合同下列术语应解释为：</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（2）“合同价款”系指根据本合同规定乙方在全面履行合同义务后甲方应支付给乙方的价款。</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技术资料和材料等。</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（4）“相关服务”系指根据合同规定，乙方应提供的与货物有关的技术、管理和</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义务。</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w:t>
      </w:r>
      <w:r>
        <w:rPr>
          <w:rFonts w:hint="eastAsia" w:ascii="方正仿宋_GBK" w:hAnsi="方正仿宋_GBK" w:eastAsia="方正仿宋_GBK" w:cs="方正仿宋_GBK"/>
          <w:sz w:val="28"/>
          <w:szCs w:val="28"/>
        </w:rPr>
        <w:t xml:space="preserve">作分工、权利、义务、责任，联合体各方应共同与甲方签订合同，就合同约定的事项对甲方承担连带责任。联合体具体要求见【政府采购合同专用条款】。</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（7）其他术语解释，见【政府采购合同专用条款】。</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合同标的及金额</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sz w:val="28"/>
          <w:szCs w:val="28"/>
          <w:lang w:val="en"/>
        </w:rPr>
        <w:t xml:space="preserve">其他</w:t>
      </w:r>
      <w:r>
        <w:rPr>
          <w:rFonts w:hint="eastAsia" w:ascii="方正仿宋_GBK" w:hAnsi="方正仿宋_GBK" w:eastAsia="方正仿宋_GBK" w:cs="方正仿宋_GBK"/>
          <w:sz w:val="28"/>
          <w:szCs w:val="28"/>
        </w:rPr>
        <w:t xml:space="preserve">任何费用。</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履行合同的时间、地点和方式</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 乙方应当在约定的时间、地点，按照约定方式履行合同。</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 甲方的权利和义务</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4.3 甲方有权要求乙方对缺陷部分予以修复，并按合同约定享有货物保修及其他合同约定的权利。</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4.5 甲方应当根据合同约定及时向乙方支付合同价款，不得以内部人员变更、履行内部付款流程等为由，拒绝或迟延支付。</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4.6 国家法律法规规定及【政府采购合同专用条款】约定应由甲方承担的其他义务和责任。</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 乙方的权利和义务</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签署合同后，乙方应确定项目负责人（或项目联系人），负责与本合同有关的事务。</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5.3乙方有权根据合同约定向甲方收取合同价款。</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5.4国家法律法规规定及【政府采购合同专用条款】约定应由乙方承担的其他义务和责任。</w:t>
      </w:r>
      <w:r/>
    </w:p>
    <w:p>
      <w:pPr>
        <w:pStyle w:val="1061"/>
        <w:numPr>
          <w:ilvl w:val="0"/>
          <w:numId w:val="5"/>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合同履行</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甲乙双方应当按照【政府采购合同专用条款】约定顺序履行合同义务；如果没有先后顺序的，应当同时履行。</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 货物包装、运输、保险和交付要求</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货物保险要求按【政府采购合同专用条款】规定执行。</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乙方在运输到达之前应提前通知甲方，并提示货物运输装卸的注意事项，甲方配合乙方做好货物的接收工作。</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7.6 如因包装、运输问题导致货物损毁、丢失或者品质下降，甲方有权要求降价、换货、拒收部分或整批货物，由此产生的费用和损失，均由乙方承担。</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 质量标准和保证</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8.1 质量标准</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w:t>
      </w:r>
      <w:r>
        <w:rPr>
          <w:rFonts w:hint="eastAsia" w:ascii="方正仿宋_GBK" w:hAnsi="方正仿宋_GBK" w:eastAsia="方正仿宋_GBK" w:cs="方正仿宋_GBK"/>
          <w:sz w:val="28"/>
          <w:szCs w:val="28"/>
        </w:rPr>
        <w:t xml:space="preserve">荐性国家标准的，按照行业标准履行；没有国家标准、行业标准的，按照通常标准或者符合合同目的的特定标准履行。</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（2）采用中华人民共和国法定计量单位。</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（3）乙方所提供的货物应符合国家有关安全、环保、卫生的规定。</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8.2 保证</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（2）在质量保证期内所发现的缺陷，甲方应尽快以书面形式通知乙方。</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（3）乙方收到通知后，应在【政府采购合同专用条款】规定的响应时间内以合理的速度免费维修或更换有缺陷的货物或部件。</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（5）乙方在约定的时间内未能弥补缺陷，甲方可采取必要的补救措施，但其风险和费用将由乙方承担，甲方根据合同约定对乙方行使的其他权利不受影响。</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 权利瑕疵担保</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9.1 乙方保证对其出售的货物享有合法的权利。</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9.2 乙方保证在交付的货物上不存在抵押权等担保物权。</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9.3 如甲方使用上述货物构成对第三人侵权的，则由乙方承担全部责任。</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 知识产权保护</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保密义务</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合同价款支付</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12.1 合同价款支付按照国库集中支付制度及财政管理相关规定执行。</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履约保证金</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13.1 乙方应当以支票、汇票、本票或者金融机构、担保机构出具的保函等非现金形式提交。</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售后服务</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14.1 除项目不涉及或采购活动中明确约定无须承担外，乙方还应提供下列服务：</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（1）货物的现场移动、安装、调试、启动监督及技术支持；</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（2）提供货物组装和维修所需的专用工具和辅助材料；</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（3）在【政府采购合同专用条款】约定的期限内对所有的货物实施运行监督、维修，但前提条件是该服务并不能免除乙方在质量保证期内所承担的义务；</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（4）在制造商所在地或指定现场就货物的安装、启动、运营、维护、废弃处置等对甲方操作人员进行培训；</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（6）【政府采购合同专用条款】规定由乙方提供的其他服务。</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14.2 乙方提供的售后服务的费用已包含在合同价款中，甲方不再另行支付。</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违约责任</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15.1质量瑕疵的违约责任</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15.2 迟延交货的违约责任</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15.3 迟延支付的违约责任</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甲方存在迟延支付乙方合同款项的，应当承担【政府采购合同专用条款】规定的逾期付款利息。</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15.4其他违约责任根据项目实际需要按【政府采购合同专用条款】规定执行。</w:t>
      </w:r>
      <w:r/>
    </w:p>
    <w:p>
      <w:pPr>
        <w:pStyle w:val="1061"/>
        <w:numPr>
          <w:ilvl w:val="0"/>
          <w:numId w:val="6"/>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合同变更、中止与终止</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16.1合同的变更</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政府采购合同履行中，在不改变合同其他条款的前提下，甲方可以在合同价款10%的范围内追加与合同标的相同的货物，并就此与乙方协商一致后签订补充协议。</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16.2合同的中止</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（1）合同履行过程中因供应商就采购文件、采购过程或结果提起投诉的，甲方认为有必要的，可以中止合同的履行。</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（4）甲方不得以行政区划调整、政府换届、机构或者职能调整以及相关责任人更替为由中止合同。</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16.3合同的终止</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（1）合同因有效期限届满而终止；</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（2）乙方未按合同约定履行，构成根本性违约的，甲方有权终止合同，并追究乙方的违约责任。</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16.4 涉及国家利益、社会公共利益的情形</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061"/>
        <w:numPr>
          <w:ilvl w:val="0"/>
          <w:numId w:val="7"/>
        </w:numPr>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合同分包</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17.1 乙方不得将合同转包给其他供应商。涉及合同分包的，乙方应根据采购文件和投标（响应）文件规定进行合同分包。</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17.2 乙方执行政府采购政策向中小企业依法分包的，乙方应当按采购文件和投标（响应）文件签订分包意向协议，分包意向协议属于本合同组成部分。</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 不可抗力</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18.1 不可抗力是指合同双方不能预见、不能避免且不能克服的客观情况。</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18.2 任何一方对由于不可抗力造成的部分或全部不能履行合同不承担违约责任。但迟延履行后发生不可抗力的，不能免除责任。</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 解决争议的方法</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19.3 如甲乙双方有争议的事项不影响合同其他部分的履行，在争议解决期间，合同其他部分应当继续履行。</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 政府采购政策</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20.1 </w:t>
      </w:r>
      <w:r>
        <w:rPr>
          <w:rFonts w:hint="eastAsia" w:ascii="方正仿宋_GBK" w:hAnsi="方正仿宋_GBK" w:eastAsia="方正仿宋_GBK" w:cs="方正仿宋_GBK"/>
          <w:sz w:val="28"/>
          <w:szCs w:val="28"/>
          <w:lang w:val="en-GB"/>
        </w:rPr>
        <w:t xml:space="preserve">本合同应当按照规定执行政府采购政策。</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sz w:val="28"/>
          <w:szCs w:val="28"/>
          <w:lang w:val="en-GB"/>
        </w:rPr>
        <w:t xml:space="preserve">未按规定要求执行政府采购政策造成损失的</w:t>
      </w:r>
      <w:r>
        <w:rPr>
          <w:rFonts w:hint="eastAsia" w:ascii="方正仿宋_GBK" w:hAnsi="方正仿宋_GBK" w:eastAsia="方正仿宋_GBK" w:cs="方正仿宋_GBK"/>
          <w:sz w:val="28"/>
          <w:szCs w:val="28"/>
        </w:rPr>
        <w:t xml:space="preserve">，有过错的一方应当承担赔偿责任，双方都有过错的，各自承担相应的责任。</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法律适用</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21.1 本合同的订立、生效、解释、履行及与本合同有关的争议解决，均适用法律、行政法规。</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21.2 本合同条款与法律、行政法规的强制性规定不一致的，双方当事人应按照法律、行政法规的强制性规定修改本合同的相关条款。</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 通知</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22.1 本合同任何一方向对方发出的通知、信件、数据电文等，应当发送至本合同第一部分《政府采购合同协议书》所约定的通讯地址、联系人、联系电话或电子邮箱。</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22.2 一方当事人变更名称、住所、联系人、联系电话或电子邮箱等信息的，应当在变更后3日内及时书面通知对方，对方实际收到变更通知前的送达仍为有效送达。</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22.3本合同一方给另一方的通知均应采用书面形式，传真或快递送到本合同中规定的对方的地址和办理签收手续。</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22.4通知以送达之日或通知书中规定的生效之日起生效，两者中以较迟之日为准。</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 合同未尽事项</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23.1合同未尽事项见【政府采购合同专用条款】。</w:t>
      </w:r>
      <w:r/>
    </w:p>
    <w:p>
      <w:pPr>
        <w:pStyle w:val="1061"/>
        <w:ind w:firstLine="560"/>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23.2合同附件与合同正文具有同等的法律效力。</w:t>
      </w:r>
      <w:r/>
    </w:p>
    <w:p>
      <w:pPr>
        <w:pStyle w:val="957"/>
        <w:spacing w:line="400" w:lineRule="exact"/>
        <w:rPr>
          <w:rFonts w:hint="eastAsia" w:ascii="黑体" w:hAnsi="华文中宋" w:eastAsia="黑体"/>
          <w:b w:val="0"/>
          <w:bCs w:val="0"/>
          <w:sz w:val="28"/>
          <w:szCs w:val="28"/>
        </w:rPr>
      </w:pPr>
      <w:r>
        <w:rPr>
          <w:rFonts w:hint="eastAsia" w:ascii="黑体" w:hAnsi="华文中宋" w:eastAsia="黑体"/>
          <w:sz w:val="28"/>
          <w:szCs w:val="28"/>
        </w:rPr>
        <w:br w:type="page" w:clear="all"/>
      </w:r>
      <w:r>
        <w:rPr>
          <w:rFonts w:hint="eastAsia" w:ascii="黑体" w:hAnsi="黑体" w:eastAsia="黑体"/>
          <w:b w:val="0"/>
          <w:bCs w:val="0"/>
          <w:sz w:val="28"/>
          <w:szCs w:val="28"/>
        </w:rPr>
        <w:t xml:space="preserve">第三节 政府采购合同专用条款</w:t>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第1.2（6）项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联合体具体要求</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0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第1.2（7）项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其他术语解释</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第4.4款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履约验收中甲方提出异议或作出说明的期限</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第4.6款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约定甲方承担的其他义务和责任</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第5.4款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约定乙方承担的其他义务和责任</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第6.1款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履行合同义务的顺序</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67"/>
        </w:trPr>
        <w:tc>
          <w:tcPr>
            <w:tcW w:w="2339" w:type="dxa"/>
            <w:vAlign w:val="center"/>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包装特殊要求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67"/>
        </w:trPr>
        <w:tc>
          <w:tcPr>
            <w:tcW w:w="2339" w:type="dxa"/>
            <w:vAlign w:val="center"/>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指定现场</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72"/>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运输特殊要求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6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第7.3款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保险要求</w:t>
            </w:r>
            <w:r/>
          </w:p>
        </w:tc>
        <w:tc>
          <w:tcPr>
            <w:tcW w:w="306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第8.2（1）项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质量保证期</w:t>
            </w:r>
            <w:r/>
          </w:p>
        </w:tc>
        <w:tc>
          <w:tcPr>
            <w:tcW w:w="3065" w:type="dxa"/>
            <w:vAlign w:val="center"/>
            <w:textDirection w:val="lrTb"/>
            <w:noWrap w:val="false"/>
          </w:tcPr>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第8.2（3）项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货物质量缺陷</w:t>
            </w:r>
            <w:r/>
          </w:p>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响应时间</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pStyle w:val="1061"/>
              <w:ind w:firstLine="0"/>
              <w:jc w:val="center"/>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第11.1款</w:t>
            </w:r>
            <w:r/>
          </w:p>
        </w:tc>
        <w:tc>
          <w:tcPr>
            <w:tcW w:w="3115"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其他应当保密的信息</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第12.2款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合同价款支付时间</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697"/>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第13.2款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履约保证金不予退还的情形</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第13.3款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履约保证金退还时间及逾期退还的违约金</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第14.1（3）项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运行监督、维修期限</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84"/>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第14.1（5）项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货物回收的约定</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第14.1（6）项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乙方提供的其他服务</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修理、重作、更换相关具体规定</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第15.2（2）项</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迟延交货赔偿费</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736"/>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第15.3款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逾期付款利息</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876"/>
        </w:trPr>
        <w:tc>
          <w:tcPr>
            <w:tcBorders>
              <w:bottom w:val="single" w:color="000000" w:sz="2" w:space="0"/>
              <w:right w:val="single" w:color="000000" w:sz="2" w:space="0"/>
            </w:tcBorders>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第15.4款</w:t>
            </w:r>
            <w:r/>
          </w:p>
        </w:tc>
        <w:tc>
          <w:tcPr>
            <w:tcBorders>
              <w:left w:val="single" w:color="000000" w:sz="2" w:space="0"/>
              <w:bottom w:val="single" w:color="000000" w:sz="2" w:space="0"/>
              <w:right w:val="single" w:color="000000" w:sz="2" w:space="0"/>
            </w:tcBorders>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其他违约责任</w:t>
            </w:r>
            <w:r/>
          </w:p>
        </w:tc>
        <w:tc>
          <w:tcPr>
            <w:tcBorders>
              <w:left w:val="single" w:color="000000" w:sz="2" w:space="0"/>
              <w:bottom w:val="single" w:color="000000" w:sz="2" w:space="0"/>
            </w:tcBorders>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r>
            <w:r/>
          </w:p>
        </w:tc>
      </w:tr>
      <w:tr>
        <w:trPr>
          <w:trHeight w:val="90"/>
        </w:trPr>
        <w:tc>
          <w:tcPr>
            <w:tcBorders>
              <w:top w:val="single" w:color="000000" w:sz="2" w:space="0"/>
              <w:right w:val="single" w:color="000000" w:sz="2" w:space="0"/>
            </w:tcBorders>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第19.2款</w:t>
            </w:r>
            <w:r/>
          </w:p>
        </w:tc>
        <w:tc>
          <w:tcPr>
            <w:tcBorders>
              <w:top w:val="single" w:color="000000" w:sz="2" w:space="0"/>
              <w:left w:val="single" w:color="000000" w:sz="2" w:space="0"/>
              <w:right w:val="single" w:color="000000" w:sz="2" w:space="0"/>
            </w:tcBorders>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解决争议的方法</w:t>
            </w:r>
            <w:r/>
          </w:p>
        </w:tc>
        <w:tc>
          <w:tcPr>
            <w:tcBorders>
              <w:top w:val="single" w:color="000000" w:sz="2" w:space="0"/>
              <w:left w:val="single" w:color="000000" w:sz="2" w:space="0"/>
            </w:tcBorders>
            <w:tcW w:w="3065" w:type="dxa"/>
            <w:vAlign w:val="center"/>
            <w:textDirection w:val="lrTb"/>
            <w:noWrap w:val="false"/>
          </w:tcPr>
          <w:p>
            <w:pPr>
              <w:jc w:val="left"/>
              <w:spacing w:line="400" w:lineRule="exact"/>
              <w:rPr>
                <w:rFonts w:hint="eastAsia" w:ascii="方正仿宋_GBK" w:hAnsi="方正仿宋_GBK" w:eastAsia="方正仿宋_GBK" w:cs="方正仿宋_GBK"/>
                <w:iCs/>
                <w:sz w:val="28"/>
                <w:szCs w:val="28"/>
              </w:rPr>
            </w:pPr>
            <w:r>
              <w:rPr>
                <w:rFonts w:hint="eastAsia" w:ascii="方正仿宋_GBK" w:hAnsi="方正仿宋_GBK" w:eastAsia="方正仿宋_GBK" w:cs="方正仿宋_GBK"/>
                <w:iCs/>
                <w:sz w:val="28"/>
                <w:szCs w:val="28"/>
              </w:rPr>
              <w:t xml:space="preserve">因本合同及合同有关事项发生的争议，按下列第</w:t>
            </w:r>
            <w:r>
              <w:rPr>
                <w:rFonts w:hint="eastAsia" w:ascii="方正仿宋_GBK" w:hAnsi="方正仿宋_GBK" w:eastAsia="方正仿宋_GBK" w:cs="方正仿宋_GBK"/>
                <w:iCs/>
                <w:sz w:val="28"/>
                <w:szCs w:val="28"/>
                <w:u w:val="single"/>
              </w:rPr>
              <w:t xml:space="preserve">（2）</w:t>
            </w:r>
            <w:r>
              <w:rPr>
                <w:rFonts w:hint="eastAsia" w:ascii="方正仿宋_GBK" w:hAnsi="方正仿宋_GBK" w:eastAsia="方正仿宋_GBK" w:cs="方正仿宋_GBK"/>
                <w:iCs/>
                <w:sz w:val="28"/>
                <w:szCs w:val="28"/>
              </w:rPr>
              <w:t xml:space="preserve">种方式解决：</w:t>
            </w:r>
            <w:r/>
          </w:p>
          <w:p>
            <w:pPr>
              <w:jc w:val="left"/>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iCs/>
                <w:sz w:val="28"/>
                <w:szCs w:val="28"/>
              </w:rPr>
              <w:t xml:space="preserve">（1）向</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仲裁委员会申请仲裁，仲裁地点为</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w:t>
            </w:r>
            <w:r>
              <w:rPr>
                <w:rFonts w:hint="eastAsia" w:ascii="方正仿宋_GBK" w:hAnsi="方正仿宋_GBK" w:eastAsia="方正仿宋_GBK" w:cs="方正仿宋_GBK"/>
                <w:iCs/>
                <w:sz w:val="28"/>
                <w:szCs w:val="28"/>
              </w:rPr>
              <w:t xml:space="preserve">（2</w:t>
            </w:r>
            <w:r>
              <w:rPr>
                <w:rFonts w:hint="eastAsia" w:ascii="方正仿宋_GBK" w:hAnsi="方正仿宋_GBK" w:eastAsia="方正仿宋_GBK" w:cs="方正仿宋_GBK"/>
                <w:iCs/>
                <w:sz w:val="28"/>
                <w:szCs w:val="28"/>
              </w:rPr>
              <w:t xml:space="preserve">）向</w:t>
            </w:r>
            <w:r>
              <w:rPr>
                <w:rFonts w:hint="eastAsia" w:ascii="方正仿宋_GBK" w:hAnsi="方正仿宋_GBK" w:eastAsia="方正仿宋_GBK" w:cs="方正仿宋_GBK"/>
                <w:iCs/>
                <w:sz w:val="28"/>
                <w:szCs w:val="28"/>
                <w:u w:val="single"/>
              </w:rPr>
              <w:t xml:space="preserve">  甲方所在地</w:t>
            </w:r>
            <w:r>
              <w:rPr>
                <w:rFonts w:hint="eastAsia" w:ascii="方正仿宋_GBK" w:hAnsi="方正仿宋_GBK" w:eastAsia="方正仿宋_GBK" w:cs="方正仿宋_GBK"/>
                <w:iCs/>
                <w:sz w:val="28"/>
                <w:szCs w:val="28"/>
                <w:u w:val="single"/>
              </w:rPr>
              <w:t xml:space="preserve"> </w:t>
            </w:r>
            <w:r>
              <w:rPr>
                <w:rFonts w:hint="eastAsia" w:ascii="方正仿宋_GBK" w:hAnsi="方正仿宋_GBK" w:eastAsia="方正仿宋_GBK" w:cs="方正仿宋_GBK"/>
                <w:iCs/>
                <w:sz w:val="28"/>
                <w:szCs w:val="28"/>
              </w:rPr>
              <w:t xml:space="preserve">人民法院起诉。</w:t>
            </w:r>
            <w:r/>
          </w:p>
        </w:tc>
      </w:tr>
      <w:tr>
        <w:trPr>
          <w:trHeight w:val="770"/>
        </w:trPr>
        <w:tc>
          <w:tcPr>
            <w:tcW w:w="233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第二节</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第23.1款</w:t>
            </w:r>
            <w:r/>
          </w:p>
        </w:tc>
        <w:tc>
          <w:tcPr>
            <w:tcW w:w="311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其他专用条款</w:t>
            </w:r>
            <w:r/>
          </w:p>
        </w:tc>
        <w:tc>
          <w:tcPr>
            <w:tcW w:w="306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985"/>
        <w:jc w:val="center"/>
        <w:rPr>
          <w:rFonts w:ascii="黑体" w:hAnsi="Courier New" w:eastAsia="黑体" w:cs="Courier New"/>
          <w:bCs/>
          <w:sz w:val="44"/>
          <w:szCs w:val="21"/>
        </w:rPr>
      </w:pPr>
      <w:r>
        <w:rPr>
          <w:rFonts w:ascii="黑体" w:hAnsi="Courier New" w:eastAsia="黑体" w:cs="Courier New"/>
          <w:bCs/>
          <w:sz w:val="44"/>
          <w:szCs w:val="21"/>
        </w:rPr>
      </w:r>
      <w:r/>
    </w:p>
    <w:p>
      <w:pPr>
        <w:pStyle w:val="985"/>
        <w:jc w:val="center"/>
        <w:rPr>
          <w:rFonts w:ascii="黑体" w:hAnsi="Courier New" w:eastAsia="黑体" w:cs="Courier New"/>
          <w:bCs/>
          <w:sz w:val="44"/>
          <w:szCs w:val="21"/>
        </w:rPr>
      </w:pPr>
      <w:r>
        <w:rPr>
          <w:rFonts w:ascii="黑体" w:hAnsi="Courier New" w:eastAsia="黑体" w:cs="Courier New"/>
          <w:bCs/>
          <w:sz w:val="44"/>
          <w:szCs w:val="21"/>
        </w:rPr>
        <w:br w:type="page" w:clear="all"/>
      </w:r>
      <w:r/>
    </w:p>
    <w:p>
      <w:pPr>
        <w:jc w:val="center"/>
        <w:keepNext/>
        <w:spacing w:line="400" w:lineRule="exact"/>
        <w:rPr>
          <w:rFonts w:ascii="方正黑体_GBK" w:hAnsi="方正黑体_GBK" w:eastAsia="方正黑体_GBK" w:cs="方正黑体_GBK"/>
          <w:sz w:val="28"/>
          <w:szCs w:val="28"/>
        </w:rPr>
        <w:outlineLvl w:val="0"/>
      </w:pPr>
      <w:r/>
      <w:bookmarkStart w:id="71" w:name="_Toc233969288"/>
      <w:r>
        <w:rPr>
          <w:rFonts w:hint="eastAsia" w:ascii="方正黑体_GBK" w:hAnsi="方正黑体_GBK" w:eastAsia="方正黑体_GBK" w:cs="方正黑体_GBK"/>
          <w:sz w:val="28"/>
          <w:szCs w:val="28"/>
        </w:rPr>
        <w:t xml:space="preserve">第</w:t>
      </w:r>
      <w:bookmarkEnd w:id="65"/>
      <w:r>
        <w:rPr>
          <w:rFonts w:hint="eastAsia" w:ascii="方正黑体_GBK" w:hAnsi="方正黑体_GBK" w:eastAsia="方正黑体_GBK" w:cs="方正黑体_GBK"/>
          <w:sz w:val="28"/>
          <w:szCs w:val="28"/>
        </w:rPr>
        <w:t xml:space="preserve">四章 采购需求</w:t>
      </w:r>
      <w:bookmarkEnd w:id="66"/>
      <w:r/>
      <w:bookmarkEnd w:id="67"/>
      <w:r/>
      <w:bookmarkEnd w:id="68"/>
      <w:r/>
      <w:bookmarkEnd w:id="71"/>
      <w:r/>
      <w:r/>
    </w:p>
    <w:p>
      <w:pPr>
        <w:pStyle w:val="957"/>
        <w:jc w:val="left"/>
        <w:spacing w:line="400" w:lineRule="exact"/>
        <w:rPr>
          <w:rFonts w:hint="eastAsia" w:ascii="黑体" w:hAnsi="黑体" w:eastAsia="黑体"/>
          <w:b w:val="0"/>
          <w:bCs w:val="0"/>
          <w:sz w:val="28"/>
          <w:szCs w:val="28"/>
        </w:rPr>
      </w:pPr>
      <w:r/>
      <w:bookmarkStart w:id="72" w:name="_Toc49090575"/>
      <w:r/>
      <w:bookmarkStart w:id="73" w:name="_Toc26554093"/>
      <w:r>
        <w:rPr>
          <w:rFonts w:hint="eastAsia" w:ascii="黑体" w:hAnsi="黑体" w:eastAsia="黑体"/>
          <w:b w:val="0"/>
          <w:bCs w:val="0"/>
          <w:sz w:val="28"/>
          <w:szCs w:val="28"/>
        </w:rPr>
        <w:t xml:space="preserve">一、采购标的清单</w:t>
      </w:r>
      <w:r/>
    </w:p>
    <w:tbl>
      <w:tblPr>
        <w:tblW w:w="93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42"/>
        <w:gridCol w:w="755"/>
        <w:gridCol w:w="2545"/>
        <w:gridCol w:w="1568"/>
        <w:gridCol w:w="1717"/>
        <w:gridCol w:w="1717"/>
      </w:tblGrid>
      <w:tr>
        <w:trPr>
          <w:cantSplit/>
          <w:jc w:val="center"/>
          <w:trHeight w:val="701"/>
        </w:trPr>
        <w:tc>
          <w:tcPr>
            <w:tcW w:w="104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75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2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156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71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单台限价（元）</w:t>
            </w:r>
            <w:r/>
          </w:p>
        </w:tc>
        <w:tc>
          <w:tcPr>
            <w:tcW w:w="171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1042" w:type="dxa"/>
            <w:vMerge w:val="restart"/>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1</w:t>
            </w:r>
            <w:r/>
          </w:p>
        </w:tc>
        <w:tc>
          <w:tcPr>
            <w:tcW w:w="75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545" w:type="dxa"/>
            <w:vAlign w:val="center"/>
            <w:textDirection w:val="lrTb"/>
            <w:noWrap w:val="false"/>
          </w:tcPr>
          <w:p>
            <w:pPr>
              <w:jc w:val="center"/>
              <w:spacing w:line="400" w:lineRule="exact"/>
              <w:rPr>
                <w:rFonts w:eastAsia="方正仿宋_GBK"/>
                <w:sz w:val="28"/>
                <w:szCs w:val="28"/>
              </w:rPr>
            </w:pPr>
            <w:r>
              <w:rPr>
                <w:rFonts w:hint="eastAsia" w:ascii="宋体" w:hAnsi="宋体"/>
                <w:b/>
                <w:bCs/>
                <w:iCs/>
                <w:sz w:val="24"/>
                <w:szCs w:val="24"/>
              </w:rPr>
              <w:t xml:space="preserve">普通</w:t>
            </w:r>
            <w:r>
              <w:rPr>
                <w:rFonts w:hint="eastAsia" w:ascii="宋体" w:hAnsi="宋体"/>
                <w:b/>
                <w:bCs/>
                <w:sz w:val="24"/>
              </w:rPr>
              <w:t xml:space="preserve">台式计算机</w:t>
            </w:r>
            <w:r/>
          </w:p>
        </w:tc>
        <w:tc>
          <w:tcPr>
            <w:tcW w:w="1568" w:type="dxa"/>
            <w:vAlign w:val="center"/>
            <w:textDirection w:val="lrTb"/>
            <w:noWrap w:val="false"/>
          </w:tcPr>
          <w:p>
            <w:pPr>
              <w:jc w:val="center"/>
              <w:spacing w:line="400" w:lineRule="exact"/>
              <w:rPr>
                <w:rFonts w:eastAsia="方正仿宋_GBK"/>
                <w:sz w:val="28"/>
                <w:szCs w:val="28"/>
              </w:rPr>
            </w:pPr>
            <w:r>
              <w:rPr>
                <w:rFonts w:hint="eastAsia" w:ascii="宋体" w:hAnsi="宋体"/>
                <w:b/>
                <w:bCs/>
                <w:sz w:val="24"/>
              </w:rPr>
              <w:t xml:space="preserve">60台</w:t>
            </w:r>
            <w:r/>
          </w:p>
        </w:tc>
        <w:tc>
          <w:tcPr>
            <w:tcW w:w="1717"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5000</w:t>
            </w:r>
            <w:r/>
          </w:p>
        </w:tc>
        <w:tc>
          <w:tcPr>
            <w:tcW w:w="1717"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工业</w:t>
            </w:r>
            <w:r/>
          </w:p>
        </w:tc>
      </w:tr>
      <w:tr>
        <w:trPr>
          <w:cantSplit/>
          <w:jc w:val="center"/>
          <w:trHeight w:val="222"/>
        </w:trPr>
        <w:tc>
          <w:tcPr>
            <w:tcW w:w="1042" w:type="dxa"/>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5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2545" w:type="dxa"/>
            <w:vAlign w:val="center"/>
            <w:textDirection w:val="lrTb"/>
            <w:noWrap w:val="false"/>
          </w:tcPr>
          <w:p>
            <w:pPr>
              <w:jc w:val="center"/>
              <w:spacing w:line="400" w:lineRule="exact"/>
              <w:rPr>
                <w:rFonts w:eastAsia="方正仿宋_GBK"/>
                <w:sz w:val="28"/>
                <w:szCs w:val="28"/>
              </w:rPr>
            </w:pPr>
            <w:r>
              <w:rPr>
                <w:rFonts w:hint="eastAsia" w:ascii="宋体" w:hAnsi="宋体"/>
                <w:b/>
                <w:bCs/>
                <w:iCs/>
                <w:sz w:val="24"/>
                <w:szCs w:val="24"/>
              </w:rPr>
              <w:t xml:space="preserve">高配</w:t>
            </w:r>
            <w:r>
              <w:rPr>
                <w:rFonts w:hint="eastAsia" w:ascii="宋体" w:hAnsi="宋体"/>
                <w:b/>
                <w:bCs/>
                <w:sz w:val="24"/>
              </w:rPr>
              <w:t xml:space="preserve">台式计算机</w:t>
            </w:r>
            <w:r/>
          </w:p>
        </w:tc>
        <w:tc>
          <w:tcPr>
            <w:tcW w:w="1568" w:type="dxa"/>
            <w:vAlign w:val="center"/>
            <w:textDirection w:val="lrTb"/>
            <w:noWrap w:val="false"/>
          </w:tcPr>
          <w:p>
            <w:pPr>
              <w:jc w:val="center"/>
              <w:spacing w:line="400" w:lineRule="exact"/>
              <w:rPr>
                <w:rFonts w:eastAsia="方正仿宋_GBK"/>
                <w:sz w:val="28"/>
                <w:szCs w:val="28"/>
              </w:rPr>
            </w:pPr>
            <w:r>
              <w:rPr>
                <w:rFonts w:hint="eastAsia" w:ascii="宋体" w:hAnsi="宋体"/>
                <w:b/>
                <w:bCs/>
                <w:sz w:val="24"/>
              </w:rPr>
              <w:t xml:space="preserve">1170台</w:t>
            </w:r>
            <w:r/>
          </w:p>
        </w:tc>
        <w:tc>
          <w:tcPr>
            <w:tcW w:w="1717"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6500</w:t>
            </w:r>
            <w:r/>
          </w:p>
        </w:tc>
        <w:tc>
          <w:tcPr>
            <w:tcW w:w="17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工业</w:t>
            </w:r>
            <w:r/>
          </w:p>
        </w:tc>
      </w:tr>
      <w:tr>
        <w:trPr>
          <w:cantSplit/>
          <w:jc w:val="center"/>
          <w:trHeight w:val="222"/>
        </w:trPr>
        <w:tc>
          <w:tcPr>
            <w:tcW w:w="1042" w:type="dxa"/>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5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2545" w:type="dxa"/>
            <w:vAlign w:val="center"/>
            <w:textDirection w:val="lrTb"/>
            <w:noWrap w:val="false"/>
          </w:tcPr>
          <w:p>
            <w:pPr>
              <w:jc w:val="center"/>
              <w:spacing w:line="400" w:lineRule="exact"/>
              <w:rPr>
                <w:rFonts w:eastAsia="方正仿宋_GBK"/>
                <w:sz w:val="28"/>
                <w:szCs w:val="28"/>
              </w:rPr>
            </w:pPr>
            <w:r>
              <w:rPr>
                <w:b/>
                <w:bCs/>
                <w:iCs/>
              </w:rPr>
              <w:t xml:space="preserve">一体式计算机</w:t>
            </w:r>
            <w:r/>
          </w:p>
        </w:tc>
        <w:tc>
          <w:tcPr>
            <w:tcW w:w="1568" w:type="dxa"/>
            <w:vAlign w:val="center"/>
            <w:textDirection w:val="lrTb"/>
            <w:noWrap w:val="false"/>
          </w:tcPr>
          <w:p>
            <w:pPr>
              <w:jc w:val="center"/>
              <w:spacing w:line="400" w:lineRule="exact"/>
              <w:rPr>
                <w:rFonts w:eastAsia="方正仿宋_GBK"/>
                <w:sz w:val="28"/>
                <w:szCs w:val="28"/>
              </w:rPr>
            </w:pPr>
            <w:r>
              <w:rPr>
                <w:b/>
                <w:bCs/>
              </w:rPr>
              <w:t xml:space="preserve">70</w:t>
            </w:r>
            <w:r>
              <w:rPr>
                <w:b/>
                <w:bCs/>
              </w:rPr>
              <w:t xml:space="preserve">台</w:t>
            </w:r>
            <w:r/>
          </w:p>
        </w:tc>
        <w:tc>
          <w:tcPr>
            <w:tcW w:w="1717"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6500</w:t>
            </w:r>
            <w:r/>
          </w:p>
        </w:tc>
        <w:tc>
          <w:tcPr>
            <w:tcW w:w="1717"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工业</w:t>
            </w:r>
            <w:r/>
          </w:p>
        </w:tc>
      </w:tr>
      <w:tr>
        <w:trPr>
          <w:cantSplit/>
          <w:jc w:val="center"/>
          <w:trHeight w:val="222"/>
        </w:trPr>
        <w:tc>
          <w:tcPr>
            <w:tcW w:w="1042" w:type="dxa"/>
            <w:vMerge w:val="continue"/>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5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2545" w:type="dxa"/>
            <w:vAlign w:val="center"/>
            <w:textDirection w:val="lrTb"/>
            <w:noWrap w:val="false"/>
          </w:tcPr>
          <w:p>
            <w:pPr>
              <w:jc w:val="center"/>
              <w:spacing w:line="400" w:lineRule="exact"/>
              <w:rPr>
                <w:rFonts w:eastAsia="方正仿宋_GBK"/>
                <w:sz w:val="28"/>
                <w:szCs w:val="28"/>
              </w:rPr>
            </w:pPr>
            <w:r>
              <w:rPr>
                <w:rFonts w:hint="eastAsia" w:ascii="宋体" w:hAnsi="宋体"/>
                <w:b/>
                <w:bCs/>
                <w:iCs/>
                <w:sz w:val="24"/>
                <w:szCs w:val="24"/>
              </w:rPr>
              <w:t xml:space="preserve">高性能</w:t>
            </w:r>
            <w:r>
              <w:rPr>
                <w:rFonts w:hint="eastAsia" w:ascii="宋体" w:hAnsi="宋体"/>
                <w:b/>
                <w:bCs/>
                <w:sz w:val="24"/>
              </w:rPr>
              <w:t xml:space="preserve">工作站计算机</w:t>
            </w:r>
            <w:r/>
          </w:p>
        </w:tc>
        <w:tc>
          <w:tcPr>
            <w:tcW w:w="1568" w:type="dxa"/>
            <w:vAlign w:val="center"/>
            <w:textDirection w:val="lrTb"/>
            <w:noWrap w:val="false"/>
          </w:tcPr>
          <w:p>
            <w:pPr>
              <w:jc w:val="center"/>
              <w:spacing w:line="400" w:lineRule="exact"/>
              <w:rPr>
                <w:rFonts w:eastAsia="方正仿宋_GBK"/>
                <w:sz w:val="28"/>
                <w:szCs w:val="28"/>
              </w:rPr>
            </w:pPr>
            <w:r>
              <w:rPr>
                <w:rFonts w:hint="eastAsia" w:ascii="宋体" w:hAnsi="宋体"/>
                <w:b/>
                <w:bCs/>
                <w:sz w:val="24"/>
              </w:rPr>
              <w:t xml:space="preserve">55台</w:t>
            </w:r>
            <w:r/>
          </w:p>
        </w:tc>
        <w:tc>
          <w:tcPr>
            <w:tcW w:w="1717"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20000</w:t>
            </w:r>
            <w:r/>
          </w:p>
        </w:tc>
        <w:tc>
          <w:tcPr>
            <w:tcW w:w="1717" w:type="dxa"/>
            <w:textDirection w:val="lrTb"/>
            <w:noWrap w:val="false"/>
          </w:tcPr>
          <w:p>
            <w:pPr>
              <w:jc w:val="center"/>
              <w:spacing w:line="400" w:lineRule="exact"/>
              <w:rPr>
                <w:rFonts w:eastAsia="方正仿宋_GBK"/>
                <w:sz w:val="28"/>
                <w:szCs w:val="28"/>
              </w:rPr>
            </w:pPr>
            <w:r>
              <w:rPr>
                <w:rFonts w:hint="eastAsia" w:eastAsia="方正仿宋_GBK"/>
                <w:sz w:val="28"/>
                <w:szCs w:val="28"/>
              </w:rPr>
              <w:t xml:space="preserve">工业</w:t>
            </w:r>
            <w:r/>
          </w:p>
        </w:tc>
      </w:tr>
    </w:tbl>
    <w:p>
      <w:pPr>
        <w:ind w:firstLine="482"/>
        <w:spacing w:line="460" w:lineRule="exact"/>
        <w:rPr>
          <w:rFonts w:hint="eastAsia" w:ascii="宋体" w:hAnsi="宋体" w:cs="宋体"/>
          <w:b/>
          <w:bCs/>
          <w:sz w:val="24"/>
          <w:szCs w:val="24"/>
        </w:rPr>
      </w:pPr>
      <w:r>
        <w:rPr>
          <w:rFonts w:hint="eastAsia" w:ascii="宋体" w:hAnsi="宋体" w:cs="宋体"/>
          <w:b/>
          <w:bCs/>
          <w:sz w:val="24"/>
          <w:szCs w:val="24"/>
        </w:rPr>
        <w:t xml:space="preserve">注：台式计算机和液晶显示器所报产品官网可查相关信息，具备3C认证。</w:t>
      </w:r>
      <w:r/>
    </w:p>
    <w:p>
      <w:pPr>
        <w:ind w:firstLine="482"/>
        <w:spacing w:line="460" w:lineRule="exact"/>
        <w:rPr>
          <w:rFonts w:hint="eastAsia" w:ascii="宋体" w:hAnsi="宋体" w:cs="宋体"/>
          <w:b/>
          <w:bCs/>
          <w:sz w:val="24"/>
          <w:szCs w:val="24"/>
        </w:rPr>
      </w:pPr>
      <w:r>
        <w:rPr>
          <w:rFonts w:hint="eastAsia" w:ascii="宋体" w:hAnsi="宋体" w:cs="宋体"/>
          <w:b/>
          <w:bCs/>
          <w:sz w:val="24"/>
          <w:szCs w:val="24"/>
        </w:rPr>
        <w:t xml:space="preserve">依据财政部、发展改革委发布的《节能产品政府采购品目清单》，本项目采购的台式计算机和液晶显示器为政府强制采购节能产品，报价人只能选择具有节能产品认证证书的产品进行报价；报价时须提供所报设备由国家确定的认证机构出具的、处于有效期之内的节能产品认证证书复印件（或扫描件）。</w:t>
      </w:r>
      <w:r/>
    </w:p>
    <w:p>
      <w:pPr>
        <w:pStyle w:val="957"/>
        <w:jc w:val="left"/>
        <w:spacing w:before="0" w:after="0" w:line="460" w:lineRule="exact"/>
        <w:rPr>
          <w:rFonts w:hint="eastAsia" w:ascii="黑体" w:hAnsi="黑体" w:eastAsia="黑体"/>
          <w:sz w:val="28"/>
          <w:szCs w:val="28"/>
        </w:rPr>
      </w:pPr>
      <w:r>
        <w:rPr>
          <w:rFonts w:hint="eastAsia" w:ascii="黑体" w:hAnsi="黑体" w:eastAsia="黑体"/>
          <w:sz w:val="28"/>
          <w:szCs w:val="28"/>
        </w:rPr>
        <w:t xml:space="preserve">二、政府采购中实施本国产品标准及相关政策</w:t>
      </w:r>
      <w:r/>
    </w:p>
    <w:p>
      <w:pPr>
        <w:ind w:firstLine="560"/>
        <w:spacing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spacing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57"/>
        <w:jc w:val="left"/>
        <w:spacing w:before="0" w:after="0" w:line="46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三、技术要求</w:t>
      </w:r>
      <w:r/>
    </w:p>
    <w:p>
      <w:pPr>
        <w:pStyle w:val="1064"/>
        <w:ind w:firstLine="482"/>
        <w:spacing w:beforeAutospacing="0" w:afterAutospacing="0" w:line="46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spacing w:line="0" w:lineRule="atLeast"/>
        <w:rPr>
          <w:rFonts w:hint="eastAsia" w:ascii="宋体" w:hAnsi="宋体"/>
          <w:b/>
          <w:bCs/>
          <w:sz w:val="24"/>
        </w:rPr>
      </w:pPr>
      <w:r>
        <w:rPr>
          <w:rFonts w:hint="eastAsia" w:ascii="宋体" w:hAnsi="宋体"/>
          <w:b/>
          <w:bCs/>
          <w:iCs/>
          <w:sz w:val="24"/>
          <w:szCs w:val="24"/>
        </w:rPr>
        <w:t xml:space="preserve">配置一：普通</w:t>
      </w:r>
      <w:r>
        <w:rPr>
          <w:rFonts w:hint="eastAsia" w:ascii="宋体" w:hAnsi="宋体"/>
          <w:b/>
          <w:bCs/>
          <w:sz w:val="24"/>
        </w:rPr>
        <w:t xml:space="preserve">台式计算机，采购数量：60台。</w:t>
      </w:r>
      <w:r/>
    </w:p>
    <w:tbl>
      <w:tblPr>
        <w:tblW w:w="5000" w:type="pct"/>
        <w:jc w:val="center"/>
        <w:tblLook w:val="04A0" w:firstRow="1" w:lastRow="0" w:firstColumn="1" w:lastColumn="0" w:noHBand="0" w:noVBand="1"/>
      </w:tblPr>
      <w:tblGrid>
        <w:gridCol w:w="551"/>
        <w:gridCol w:w="1256"/>
        <w:gridCol w:w="1258"/>
        <w:gridCol w:w="1707"/>
        <w:gridCol w:w="4062"/>
      </w:tblGrid>
      <w:tr>
        <w:trPr>
          <w:jc w:val="center"/>
          <w:trHeight w:val="600"/>
        </w:trPr>
        <w:tc>
          <w:tcPr>
            <w:shd w:val="clear" w:color="000000" w:fill="ffffff"/>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b/>
                <w:bCs/>
                <w:sz w:val="20"/>
                <w:szCs w:val="20"/>
              </w:rPr>
            </w:pPr>
            <w:r/>
            <w:bookmarkStart w:id="74" w:name="OLE_LINK32"/>
            <w:r>
              <w:rPr>
                <w:rFonts w:hint="eastAsia" w:ascii="宋体" w:hAnsi="宋体" w:cs="宋体"/>
                <w:b/>
                <w:bCs/>
                <w:sz w:val="20"/>
                <w:szCs w:val="20"/>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b/>
                <w:bCs/>
                <w:sz w:val="20"/>
                <w:szCs w:val="20"/>
              </w:rPr>
            </w:pPr>
            <w:r>
              <w:rPr>
                <w:rFonts w:hint="eastAsia" w:ascii="宋体" w:hAnsi="宋体" w:cs="宋体"/>
                <w:b/>
                <w:bCs/>
                <w:sz w:val="20"/>
                <w:szCs w:val="20"/>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b/>
                <w:bCs/>
                <w:sz w:val="20"/>
                <w:szCs w:val="20"/>
              </w:rPr>
            </w:pPr>
            <w:r>
              <w:rPr>
                <w:rFonts w:hint="eastAsia" w:ascii="宋体" w:hAnsi="宋体" w:cs="宋体"/>
                <w:b/>
                <w:bCs/>
                <w:sz w:val="20"/>
                <w:szCs w:val="20"/>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b/>
                <w:bCs/>
                <w:sz w:val="20"/>
                <w:szCs w:val="20"/>
              </w:rPr>
            </w:pPr>
            <w:r>
              <w:rPr>
                <w:rFonts w:hint="eastAsia" w:ascii="宋体" w:hAnsi="宋体" w:cs="宋体"/>
                <w:b/>
                <w:bCs/>
                <w:sz w:val="20"/>
                <w:szCs w:val="20"/>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b/>
                <w:bCs/>
                <w:sz w:val="20"/>
                <w:szCs w:val="20"/>
              </w:rPr>
            </w:pPr>
            <w:r>
              <w:rPr>
                <w:rFonts w:hint="eastAsia" w:ascii="宋体" w:hAnsi="宋体" w:cs="宋体"/>
                <w:b/>
                <w:bCs/>
                <w:sz w:val="20"/>
                <w:szCs w:val="20"/>
              </w:rPr>
              <w:t xml:space="preserve">招标要求</w:t>
            </w:r>
            <w:r/>
          </w:p>
        </w:tc>
      </w:tr>
      <w:tr>
        <w:trPr>
          <w:jc w:val="center"/>
          <w:trHeight w:val="282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 信息</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ascii="宋体" w:hAnsi="宋体" w:cs="宋体"/>
                <w:i/>
                <w:iCs/>
                <w:sz w:val="20"/>
                <w:szCs w:val="20"/>
                <w:u w:val="single"/>
              </w:rPr>
              <w:t xml:space="preserve">处理器采用板载设计，配置1颗国产CPU，每颗CPU物理核心数</w:t>
            </w:r>
            <w:r>
              <w:rPr>
                <w:rFonts w:hint="eastAsia" w:ascii="宋体" w:hAnsi="宋体" w:cs="宋体"/>
                <w:i/>
                <w:iCs/>
                <w:sz w:val="20"/>
                <w:szCs w:val="20"/>
                <w:u w:val="single"/>
              </w:rPr>
              <w:t xml:space="preserve">≥</w:t>
            </w:r>
            <w:r>
              <w:rPr>
                <w:rFonts w:ascii="宋体" w:hAnsi="宋体" w:cs="宋体"/>
                <w:i/>
                <w:iCs/>
                <w:sz w:val="20"/>
                <w:szCs w:val="20"/>
                <w:u w:val="single"/>
              </w:rPr>
              <w:t xml:space="preserve">8核，每个物理核心主频≥3.5GHz，最高加速频率智能频率可提升至≥3.6GHz，每颗CPU三级缓存≥32MB，线程数量≥8，TDP≤80W，投标所用CPU要明确型号并且是安全可靠测评公告内的，提供相应的证明材料</w:t>
            </w:r>
            <w:r/>
          </w:p>
        </w:tc>
      </w:tr>
      <w:tr>
        <w:trPr>
          <w:cantSplit/>
          <w:jc w:val="center"/>
          <w:trHeight w:val="57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内存配置容量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≥16GB</w:t>
            </w:r>
            <w:r/>
          </w:p>
        </w:tc>
      </w:tr>
      <w:tr>
        <w:trPr>
          <w:cantSplit/>
          <w:jc w:val="center"/>
          <w:trHeight w:val="672"/>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支持DDR4 及以上内存类型</w:t>
            </w:r>
            <w:r/>
          </w:p>
        </w:tc>
      </w:tr>
      <w:tr>
        <w:trPr>
          <w:cantSplit/>
          <w:jc w:val="center"/>
          <w:trHeight w:val="77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内存条配置数量（板载内存不涉及）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≥2</w:t>
            </w:r>
            <w:r/>
          </w:p>
        </w:tc>
      </w:tr>
      <w:tr>
        <w:trPr>
          <w:cantSplit/>
          <w:jc w:val="center"/>
          <w:trHeight w:val="1333"/>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主板集成模块</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集成资源扩展模块、计算处理模块、音频扩展模块等，主板的互联拓扑可</w:t>
            </w:r>
            <w:r>
              <w:rPr>
                <w:rFonts w:hint="eastAsia" w:ascii="宋体" w:hAnsi="宋体" w:cs="宋体"/>
                <w:i/>
                <w:iCs/>
                <w:sz w:val="20"/>
                <w:szCs w:val="20"/>
                <w:u w:val="single"/>
              </w:rPr>
              <w:br w:type="textWrapping" w:clear="all"/>
              <w:t xml:space="preserve">通过处理器或交换电路实现</w:t>
            </w:r>
            <w:r/>
          </w:p>
        </w:tc>
      </w:tr>
      <w:tr>
        <w:trPr>
          <w:cantSplit/>
          <w:jc w:val="center"/>
          <w:trHeight w:val="981"/>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主板支持的 CPU和内存情况</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主板支持国产CPU芯片*1和DDR4内存*2根</w:t>
            </w:r>
            <w:r/>
          </w:p>
        </w:tc>
      </w:tr>
      <w:tr>
        <w:trPr>
          <w:cantSplit/>
          <w:jc w:val="center"/>
          <w:trHeight w:val="918"/>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主板内置PCIe 插槽数量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支持数量≥3，其中至少包括1个 PCIex16 和1个PCIex8和1个</w:t>
            </w:r>
            <w:r>
              <w:rPr>
                <w:rFonts w:hint="eastAsia" w:ascii="宋体" w:hAnsi="宋体" w:cs="宋体"/>
                <w:i/>
                <w:iCs/>
                <w:sz w:val="20"/>
                <w:szCs w:val="20"/>
                <w:u w:val="single"/>
              </w:rPr>
              <w:t xml:space="preserve">pcle</w:t>
            </w:r>
            <w:r>
              <w:rPr>
                <w:rFonts w:hint="eastAsia" w:ascii="宋体" w:hAnsi="宋体" w:cs="宋体"/>
                <w:i/>
                <w:iCs/>
                <w:sz w:val="20"/>
                <w:szCs w:val="20"/>
                <w:u w:val="single"/>
              </w:rPr>
              <w:t xml:space="preserve"> x1</w:t>
            </w:r>
            <w:r/>
          </w:p>
        </w:tc>
      </w:tr>
      <w:tr>
        <w:trPr>
          <w:cantSplit/>
          <w:jc w:val="center"/>
          <w:trHeight w:val="2184"/>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w:t>
            </w:r>
            <w:r/>
          </w:p>
        </w:tc>
        <w:tc>
          <w:tcPr>
            <w:shd w:val="clear" w:color="000000" w:fill="ffffff"/>
            <w:tcBorders>
              <w:top w:val="non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特殊孔位及接口</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预留满足 USB3.0 数据传输规范的接口，工作电压 5V，最大过电流应不小于 3A；</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预留多功能导入装置板卡安装孔位，采用内置方式与主机一体化集成，容量不小于 145mm×125mm×16.5mm（长×宽×高）</w:t>
            </w:r>
            <w:r/>
          </w:p>
        </w:tc>
      </w:tr>
      <w:tr>
        <w:trPr>
          <w:cantSplit/>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主板其他内置接口</w:t>
            </w:r>
            <w:r/>
          </w:p>
        </w:tc>
        <w:tc>
          <w:tcPr>
            <w:shd w:val="clear" w:color="000000" w:fill="ffffff"/>
            <w:tcBorders>
              <w:top w:val="singl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支持&gt;</w:t>
            </w:r>
            <w:r>
              <w:rPr>
                <w:rFonts w:hint="eastAsia" w:ascii="宋体" w:hAnsi="宋体" w:cs="宋体"/>
                <w:i/>
                <w:iCs/>
                <w:sz w:val="20"/>
                <w:szCs w:val="20"/>
                <w:u w:val="single"/>
              </w:rPr>
              <w:t xml:space="preserve">1个SATA接口，1个M.2接口</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单内存插槽最大可支持容量（板载内存不涉及）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≥32GB</w:t>
            </w:r>
            <w:r/>
          </w:p>
        </w:tc>
      </w:tr>
      <w:tr>
        <w:trPr>
          <w:cantSplit/>
          <w:jc w:val="center"/>
          <w:trHeight w:val="54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内存插槽满配时提供的最高内存总容量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≥64GB</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固态盘数量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 个</w:t>
            </w:r>
            <w:r/>
          </w:p>
        </w:tc>
      </w:tr>
      <w:tr>
        <w:trPr>
          <w:cantSplit/>
          <w:jc w:val="center"/>
          <w:trHeight w:val="568"/>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固态存储容量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≥256GB SSD</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SATA/PCIe/</w:t>
            </w:r>
            <w:r>
              <w:rPr>
                <w:rFonts w:hint="eastAsia" w:ascii="宋体" w:hAnsi="宋体" w:cs="宋体"/>
                <w:i/>
                <w:iCs/>
                <w:sz w:val="20"/>
                <w:szCs w:val="20"/>
                <w:u w:val="single"/>
              </w:rPr>
              <w:t xml:space="preserve">NVMe</w:t>
            </w:r>
            <w:r>
              <w:rPr>
                <w:rFonts w:hint="eastAsia" w:ascii="宋体" w:hAnsi="宋体" w:cs="宋体"/>
                <w:i/>
                <w:iCs/>
                <w:sz w:val="20"/>
                <w:szCs w:val="20"/>
                <w:u w:val="single"/>
              </w:rPr>
              <w:t xml:space="preserve"> 等类型接口协议</w:t>
            </w:r>
            <w:r/>
          </w:p>
        </w:tc>
      </w:tr>
      <w:tr>
        <w:trPr>
          <w:cantSplit/>
          <w:jc w:val="center"/>
          <w:trHeight w:val="1128"/>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pStyle w:val="1069"/>
              <w:jc w:val="center"/>
              <w:spacing w:before="12"/>
              <w:rPr>
                <w:rFonts w:hint="eastAsia" w:ascii="宋体" w:hAnsi="宋体" w:eastAsia="宋体" w:cs="宋体"/>
                <w:i/>
                <w:iCs/>
                <w:sz w:val="20"/>
                <w:szCs w:val="20"/>
                <w:u w:val="single"/>
              </w:rPr>
            </w:pPr>
            <w:r>
              <w:rPr>
                <w:rFonts w:hint="eastAsia" w:ascii="宋体" w:hAnsi="宋体" w:eastAsia="宋体" w:cs="宋体"/>
                <w:i/>
                <w:iCs/>
                <w:sz w:val="20"/>
                <w:szCs w:val="20"/>
                <w:u w:val="single"/>
              </w:rPr>
              <w:t xml:space="preserve">采用符合M.2标准的插卡形态，</w:t>
            </w:r>
            <w:r>
              <w:rPr>
                <w:rFonts w:ascii="宋体" w:hAnsi="宋体" w:eastAsia="宋体" w:cs="宋体"/>
                <w:i/>
                <w:iCs/>
                <w:sz w:val="20"/>
                <w:szCs w:val="20"/>
                <w:u w:val="single"/>
              </w:rPr>
              <w:t xml:space="preserve">可选用符合M.2 或 2.5 寸 SATA 或mSATA 等标准的插卡形态</w:t>
            </w:r>
            <w:r/>
          </w:p>
        </w:tc>
      </w:tr>
      <w:tr>
        <w:trPr>
          <w:cantSplit/>
          <w:jc w:val="center"/>
          <w:trHeight w:val="1116"/>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存储设备扩展盘位</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最大扩展1个2.5寸SATA SSD+1个3.5寸 SATA HDD硬盘，硬盘最大支持数量≥3个</w:t>
            </w:r>
            <w:r/>
          </w:p>
        </w:tc>
      </w:tr>
      <w:tr>
        <w:trPr>
          <w:cantSplit/>
          <w:jc w:val="center"/>
          <w:trHeight w:val="1766"/>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存储设备其他参数要求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固态盘应符合 SJ/T 11654 相关规定；机械硬盘准备时间应不大于30s；侧面固定螺丝孔数量可为4 孔或6 孔；工作状态环境温度应满足5℃~55℃；其它参数应符合GB/T 12628 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single" w:color="000000" w:sz="4" w:space="0"/>
              <w:left w:val="singl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集成显卡</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singl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显示屏分辨率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≥1920×1080</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显示屏尺寸</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≥23.8 英寸</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显示屏屏幕比例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16:9</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显示器外观颜色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黑色</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外设规格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 个</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 个</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键盘按键数目</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104键全键盘</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键盘连接方式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USB有线</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键盘键程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2.3mm ~ 4.0mm</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键盘按键压力</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按键压力应在 0.54 N±0.14N</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≥1.5 米</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黑色</w:t>
            </w:r>
            <w:r/>
          </w:p>
        </w:tc>
      </w:tr>
      <w:tr>
        <w:trPr>
          <w:cantSplit/>
          <w:jc w:val="center"/>
          <w:trHeight w:val="1531"/>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键盘外观结构、连接方式、主要功能、安全、电磁兼容性、可靠性应符合 GB/T14081 的相关规定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有线</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≥1.5 米</w:t>
            </w:r>
            <w:r/>
          </w:p>
        </w:tc>
      </w:tr>
      <w:tr>
        <w:trPr>
          <w:cantSplit/>
          <w:jc w:val="center"/>
          <w:trHeight w:val="779"/>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鼠标DPI 分辨率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800~1600</w:t>
            </w:r>
            <w:r/>
          </w:p>
        </w:tc>
      </w:tr>
      <w:tr>
        <w:trPr>
          <w:cantSplit/>
          <w:jc w:val="center"/>
          <w:trHeight w:val="563"/>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黑色</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其它参数应符合 GB/T 26245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网络设备规格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w:t>
            </w:r>
            <w:r/>
          </w:p>
        </w:tc>
      </w:tr>
      <w:tr>
        <w:trPr>
          <w:cantSplit/>
          <w:jc w:val="center"/>
          <w:trHeight w:val="841"/>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USB 接口数量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≥6个USB</w:t>
            </w:r>
            <w:r/>
          </w:p>
        </w:tc>
      </w:tr>
      <w:tr>
        <w:trPr>
          <w:cantSplit/>
          <w:jc w:val="center"/>
          <w:trHeight w:val="1546"/>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USB 母座接口要求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机箱前面板额外预留2 个专用 USB 母座接口孔位和 1 个通用A 型 USB 母座接口孔位，采用横向排列中心间距应不小于27mm</w:t>
            </w:r>
            <w:r/>
          </w:p>
        </w:tc>
      </w:tr>
      <w:tr>
        <w:trPr>
          <w:cantSplit/>
          <w:jc w:val="center"/>
          <w:trHeight w:val="718"/>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w:t>
            </w:r>
            <w:r/>
          </w:p>
        </w:tc>
      </w:tr>
      <w:tr>
        <w:trPr>
          <w:cantSplit/>
          <w:jc w:val="center"/>
          <w:trHeight w:val="70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w:t>
            </w:r>
            <w:r/>
          </w:p>
        </w:tc>
      </w:tr>
      <w:tr>
        <w:trPr>
          <w:cantSplit/>
          <w:jc w:val="center"/>
          <w:trHeight w:val="197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42</w:t>
            </w:r>
            <w:r/>
          </w:p>
        </w:tc>
        <w:tc>
          <w:tcPr>
            <w:shd w:val="clear" w:color="000000" w:fill="ffffff"/>
            <w:tcBorders>
              <w:top w:val="non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整机基础规格</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整机外观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产品表面不应有凹痕、划伤、裂缝、变形和污染等。表面涂层均匀，不应起泡、龟裂、脱落和磨损，金属零部件无锈蚀及其它机械损伤；</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产品表面说明功能的文字、符号、标志，应清晰、端正、牢固；</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状态指示灯</w:t>
            </w:r>
            <w:r/>
          </w:p>
        </w:tc>
        <w:tc>
          <w:tcPr>
            <w:shd w:val="clear" w:color="000000" w:fill="ffffff"/>
            <w:tcBorders>
              <w:top w:val="singl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在产品显著位置提供状态指示功能，通过指示灯可查看机器运行状态或存储状态</w:t>
            </w:r>
            <w:r/>
          </w:p>
        </w:tc>
      </w:tr>
      <w:tr>
        <w:trPr>
          <w:cantSplit/>
          <w:jc w:val="center"/>
          <w:trHeight w:val="699"/>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44</w:t>
            </w:r>
            <w:r/>
          </w:p>
        </w:tc>
        <w:tc>
          <w:tcPr>
            <w:shd w:val="clear" w:color="000000" w:fill="ffffff"/>
            <w:tcBorders>
              <w:top w:val="non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整机结构</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机箱应符合 GB/T 4208、GB/T 26246的相关规定；</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产品内部结构应符合通用部件的安装需要；</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所有输入输出接口应符合相关国家或行业标准；</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产品零部件应紧固无松动，可插拔部件应可靠连接，开关、按钮和其它控制部件应灵活可靠，布局应方便使用；</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所有 I/O 连接器及需插接线缆的部位应预留用户操作空间，方便插拔解锁与插拔线缆；</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可插拔板卡插槽部位应预留安装、拆卸或更换板卡空间；</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拆装可能接触到的金属剪口或金属尖角部位应做防划伤处理，以保证安全；</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整机内部走线应规整，固线结构和位置要合理可靠并做防割线处理，需便于理线和插拔操作，走线应不影响系统各主要部件组装和拆卸；</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如需通过孔走线，过线孔应做防割线处理；</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各插头位置和插拔方向应合理，应做到插拔无障碍设计，具备防呆设计，有效避免误操作；</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各主要部件拆装无障碍，使用常规工具拆装，无特殊拆装工具需求；</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各主要部件拆装步骤要少，各自拆装需避免相互干扰；</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对于整机或零部件外表面为高亮面的，应粘贴保护膜，保护膜需粘贴牢固，运输、组装等过程不易脱落，撕下无残留；</w:t>
            </w:r>
            <w:r/>
          </w:p>
          <w:p>
            <w:pPr>
              <w:pStyle w:val="990"/>
              <w:ind w:left="0"/>
              <w:jc w:val="center"/>
            </w:pPr>
            <w:r>
              <w:rPr>
                <w:rFonts w:hint="eastAsia" w:ascii="宋体" w:hAnsi="宋体" w:cs="宋体"/>
                <w:i/>
                <w:iCs/>
                <w:sz w:val="20"/>
                <w:szCs w:val="20"/>
                <w:u w:val="single"/>
              </w:rPr>
              <w:t xml:space="preserve">其它要求应符合 GB/T 9813.1 的相关规定</w:t>
            </w:r>
            <w:r/>
          </w:p>
        </w:tc>
      </w:tr>
      <w:tr>
        <w:trPr>
          <w:cantSplit/>
          <w:jc w:val="center"/>
          <w:trHeight w:val="1208"/>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机箱防护要求</w:t>
            </w:r>
            <w:r/>
          </w:p>
        </w:tc>
        <w:tc>
          <w:tcPr>
            <w:shd w:val="clear" w:color="000000" w:fill="ffffff"/>
            <w:tcBorders>
              <w:top w:val="singl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机箱应符合 GB/T 4208 中 IP20 防护要求</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46</w:t>
            </w:r>
            <w:r/>
          </w:p>
        </w:tc>
        <w:tc>
          <w:tcPr>
            <w:shd w:val="clear" w:color="000000" w:fill="ffffff"/>
            <w:tcBorders>
              <w:top w:val="none" w:color="000000" w:sz="4" w:space="0"/>
              <w:left w:val="single" w:color="000000" w:sz="4" w:space="0"/>
              <w:bottom w:val="single" w:color="000000" w:sz="4" w:space="0"/>
              <w:right w:val="single" w:color="000000" w:sz="4" w:space="0"/>
            </w:tcBorders>
            <w:tcW w:w="711"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整机散热</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在环境温度25℃及处理器满载情况下，产品表面温度应符合下列要求：</w:t>
            </w:r>
            <w:r/>
          </w:p>
        </w:tc>
      </w:tr>
      <w:tr>
        <w:trPr>
          <w:cantSplit/>
          <w:jc w:val="center"/>
          <w:trHeight w:val="285"/>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47</w:t>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出风口在机箱后面板情况下，出风口温度不高于 55℃</w:t>
            </w:r>
            <w:r>
              <w:rPr>
                <w:rFonts w:hint="eastAsia" w:ascii="宋体" w:hAnsi="宋体" w:cs="宋体"/>
                <w:i/>
                <w:iCs/>
                <w:sz w:val="20"/>
                <w:szCs w:val="20"/>
                <w:u w:val="single"/>
              </w:rPr>
              <w:t xml:space="preserve"> ;</w:t>
            </w:r>
            <w:r/>
          </w:p>
        </w:tc>
      </w:tr>
      <w:tr>
        <w:trPr>
          <w:cantSplit/>
          <w:jc w:val="center"/>
          <w:trHeight w:val="285"/>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48</w:t>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可触及面温度不高于 45℃</w:t>
            </w:r>
            <w:r>
              <w:rPr>
                <w:rFonts w:hint="eastAsia" w:ascii="宋体" w:hAnsi="宋体" w:cs="宋体"/>
                <w:i/>
                <w:iCs/>
                <w:sz w:val="20"/>
                <w:szCs w:val="20"/>
                <w:u w:val="single"/>
              </w:rPr>
              <w:t xml:space="preserve"> ;</w:t>
            </w:r>
            <w:r/>
          </w:p>
        </w:tc>
      </w:tr>
      <w:tr>
        <w:trPr>
          <w:cantSplit/>
          <w:jc w:val="center"/>
          <w:trHeight w:val="1107"/>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49</w:t>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显示器表面温度：显示屏不高于 38℃</w:t>
            </w:r>
            <w:r>
              <w:rPr>
                <w:rFonts w:hint="eastAsia" w:ascii="宋体" w:hAnsi="宋体" w:cs="宋体"/>
                <w:i/>
                <w:iCs/>
                <w:sz w:val="20"/>
                <w:szCs w:val="20"/>
                <w:u w:val="single"/>
              </w:rPr>
              <w:t xml:space="preserve"> ,</w:t>
            </w:r>
            <w:r>
              <w:rPr>
                <w:rFonts w:hint="eastAsia" w:ascii="宋体" w:hAnsi="宋体" w:cs="宋体"/>
                <w:i/>
                <w:iCs/>
                <w:sz w:val="20"/>
                <w:szCs w:val="20"/>
                <w:u w:val="single"/>
              </w:rPr>
              <w:t xml:space="preserve"> 显示屏上下灯带位置温度（如涉及）不高于 40℃</w:t>
            </w:r>
            <w:r>
              <w:rPr>
                <w:rFonts w:hint="eastAsia" w:ascii="宋体" w:hAnsi="宋体" w:cs="宋体"/>
                <w:i/>
                <w:iCs/>
                <w:sz w:val="20"/>
                <w:szCs w:val="20"/>
                <w:u w:val="single"/>
              </w:rPr>
              <w:t xml:space="preserve"> ,</w:t>
            </w:r>
            <w:r>
              <w:rPr>
                <w:rFonts w:hint="eastAsia" w:ascii="宋体" w:hAnsi="宋体" w:cs="宋体"/>
                <w:i/>
                <w:iCs/>
                <w:sz w:val="20"/>
                <w:szCs w:val="20"/>
                <w:u w:val="single"/>
              </w:rPr>
              <w:t xml:space="preserve"> 出风口温度不高于 45℃</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产品能效限定值应达到 GB 28380-2012标准中能效等级 1级及以上</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金属</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52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黑色</w:t>
            </w:r>
            <w:r/>
          </w:p>
        </w:tc>
      </w:tr>
      <w:tr>
        <w:trPr>
          <w:cantSplit/>
          <w:jc w:val="center"/>
          <w:trHeight w:val="702"/>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53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机箱尺寸容量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≤15L</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shd w:val="clear" w:color="000000" w:fill="ffffff"/>
            <w:tcBorders>
              <w:top w:val="singl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 物理核数</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物理核心数≥8</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 主频</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≥3.5GHz</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 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≥32MB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≥3200MT/s</w:t>
            </w:r>
            <w:r/>
          </w:p>
        </w:tc>
      </w:tr>
      <w:tr>
        <w:trPr>
          <w:cantSplit/>
          <w:jc w:val="center"/>
          <w:trHeight w:val="589"/>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显示分辨率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≥1920×1080</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59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显卡可支持多屏同时显示数量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显卡应支持 2 块屏幕同时显示，分辨率应不低于 1920×1080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显示设备性能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显示屏其他参数</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显示屏采用IPS钢化玻璃屏，其它参数应符合 SJ/T 11292 的相关规定</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网络设备性能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最高速率不低于 1000Mbps，支持10Mbps、100Mbps、1000Mbps 速率自适应</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ascii="宋体" w:hAnsi="宋体"/>
                <w:spacing w:val="-4"/>
                <w:sz w:val="20"/>
                <w:szCs w:val="20"/>
              </w:rPr>
              <w:t xml:space="preserve">支持无线网络通信</w:t>
            </w:r>
            <w:r>
              <w:rPr>
                <w:rFonts w:ascii="宋体" w:hAnsi="宋体"/>
                <w:spacing w:val="-3"/>
                <w:sz w:val="20"/>
                <w:szCs w:val="20"/>
              </w:rPr>
              <w:t xml:space="preserve">技术协议</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ascii="宋体" w:hAnsi="宋体"/>
                <w:spacing w:val="-15"/>
                <w:sz w:val="20"/>
                <w:szCs w:val="20"/>
              </w:rPr>
              <w:t xml:space="preserve">支持 </w:t>
            </w:r>
            <w:r>
              <w:rPr>
                <w:rFonts w:ascii="宋体" w:hAnsi="宋体"/>
                <w:spacing w:val="-2"/>
                <w:sz w:val="20"/>
                <w:szCs w:val="20"/>
              </w:rPr>
              <w:t xml:space="preserve">WAPI</w:t>
            </w:r>
            <w:r>
              <w:rPr>
                <w:rFonts w:ascii="宋体" w:hAnsi="宋体"/>
                <w:spacing w:val="-27"/>
                <w:sz w:val="20"/>
                <w:szCs w:val="20"/>
              </w:rPr>
              <w:t xml:space="preserve"> 或 </w:t>
            </w:r>
            <w:r>
              <w:rPr>
                <w:rFonts w:ascii="宋体" w:hAnsi="宋体"/>
                <w:spacing w:val="-2"/>
                <w:sz w:val="20"/>
                <w:szCs w:val="20"/>
              </w:rPr>
              <w:t xml:space="preserve">WiFi5.0</w:t>
            </w:r>
            <w:r>
              <w:rPr>
                <w:rFonts w:ascii="宋体" w:hAnsi="宋体"/>
                <w:spacing w:val="-10"/>
                <w:sz w:val="20"/>
                <w:szCs w:val="20"/>
              </w:rPr>
              <w:t xml:space="preserve"> 及以上协议</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内存扩展接口</w:t>
            </w:r>
            <w:r>
              <w:rPr>
                <w:rFonts w:hint="eastAsia" w:ascii="宋体" w:hAnsi="宋体" w:cs="宋体"/>
                <w:sz w:val="20"/>
                <w:szCs w:val="20"/>
              </w:rPr>
              <w:t xml:space="preserve">(板载内存不涉及)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≥2个插槽</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存储扩展接口</w:t>
            </w:r>
            <w:r>
              <w:rPr>
                <w:rFonts w:hint="eastAsia" w:ascii="宋体" w:hAnsi="宋体" w:cs="宋体"/>
                <w:sz w:val="20"/>
                <w:szCs w:val="20"/>
              </w:rPr>
              <w:t xml:space="preserve">(板载存储不涉及)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支持存储设备扩展接口≥4 个，支持SATA3.0</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主板USB 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支持瞬间过流保护功能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支持防静电保护功能</w:t>
            </w:r>
            <w:r/>
          </w:p>
        </w:tc>
      </w:tr>
      <w:tr>
        <w:trPr>
          <w:cantSplit/>
          <w:jc w:val="center"/>
          <w:trHeight w:val="2413"/>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I/O 接口功能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提供基于标准 USB 接口外设连接功能、基于音频输入输出接口的音频扩展功能、基于 PCIe 接口板卡扩展功能、基于 HDMI/VGA/Type-C/DVI/DP 等接口外接显示器扩展功能、基于存储接口对产品进行增容功能等。产品 I/O 接口应具备外接标准 USB 设备、显示器、音频设备等内外部设备能力</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显示设备功能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显示器接口</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显示器应与显卡外接显示接口匹配</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提供显示器底座支架</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提供 OSD 选单按钮用于调节色彩、模式等；支持色温、亮度、对比度调节</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通过 SATA 固态存储/PCIe 固态存储/UFS 固态存储/SATA 硬磁盘等存储部件提供存储功能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72</w:t>
            </w:r>
            <w:r/>
          </w:p>
        </w:tc>
        <w:tc>
          <w:tcPr>
            <w:shd w:val="clear" w:color="000000" w:fill="ffffff"/>
            <w:tcBorders>
              <w:top w:val="none" w:color="000000" w:sz="4" w:space="0"/>
              <w:left w:val="single" w:color="000000" w:sz="4" w:space="0"/>
              <w:bottom w:val="single" w:color="000000" w:sz="4" w:space="0"/>
              <w:right w:val="single" w:color="000000" w:sz="4" w:space="0"/>
            </w:tcBorders>
            <w:tcW w:w="711"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网络设备功能</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网络功能</w:t>
            </w:r>
            <w:r/>
          </w:p>
        </w:tc>
        <w:tc>
          <w:tcPr>
            <w:shd w:val="clear" w:color="000000" w:fill="ffffff"/>
            <w:tcBorders>
              <w:top w:val="none" w:color="000000" w:sz="4" w:space="0"/>
              <w:left w:val="none" w:color="000000" w:sz="4" w:space="0"/>
              <w:right w:val="single" w:color="000000" w:sz="4" w:space="0"/>
            </w:tcBorders>
            <w:tcW w:w="2299" w:type="pct"/>
            <w:vAlign w:val="center"/>
            <w:vMerge w:val="restart"/>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支持网络连接、网络开启/关闭功能；</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支持访问网络和数据交换功能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73</w:t>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left w:val="none" w:color="000000" w:sz="4" w:space="0"/>
              <w:bottom w:val="single" w:color="000000" w:sz="4" w:space="0"/>
              <w:right w:val="single" w:color="000000" w:sz="4" w:space="0"/>
            </w:tcBorders>
            <w:tcW w:w="2299" w:type="pct"/>
            <w:vAlign w:val="center"/>
            <w:vMerge w:val="continue"/>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74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数据传输</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支持数据传输能力，并提供数据流量和异常日志记录功能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蓝牙协议</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支持蓝牙模块，蓝牙协议不低于 5.0 版本</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 RJ45 接口</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网络设备拆装</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网络设备应支持物理拆装，包括无线网卡和蓝牙模块等</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外部接口功能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 3.5mm 孔径 4 段式接口</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视频接口类型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i/>
                <w:iCs/>
                <w:spacing w:val="-5"/>
                <w:sz w:val="20"/>
                <w:szCs w:val="20"/>
                <w:u w:val="single"/>
              </w:rPr>
            </w:pPr>
            <w:r>
              <w:rPr>
                <w:rFonts w:ascii="宋体" w:hAnsi="宋体"/>
                <w:i/>
                <w:iCs/>
                <w:spacing w:val="-5"/>
                <w:sz w:val="20"/>
                <w:szCs w:val="20"/>
                <w:u w:val="single"/>
              </w:rPr>
              <w:t xml:space="preserve">至少支持 VGA、HDMI、DVI、DP、 Type-C 中 1 种显示接口</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HDMI、DP、Type-C显示接口要求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i/>
                <w:iCs/>
                <w:spacing w:val="-5"/>
                <w:sz w:val="20"/>
                <w:szCs w:val="20"/>
                <w:u w:val="single"/>
              </w:rPr>
            </w:pPr>
            <w:r>
              <w:rPr>
                <w:rFonts w:ascii="宋体" w:hAnsi="宋体"/>
                <w:i/>
                <w:iCs/>
                <w:spacing w:val="-5"/>
                <w:sz w:val="20"/>
                <w:szCs w:val="20"/>
                <w:u w:val="single"/>
              </w:rPr>
              <w:t xml:space="preserve">若提供HDMI 或DP 或 Type-C 作为显示接口，应支持音频和视频同步输出</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其他接口</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产品支持串行接口，可实现 GB/T 6107 的功能；产品支持并行接口，可实现 GB/T 18235.1 的功能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电源适配器电线组件符合 GB/T15934 的要求</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操作系统及软件功能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中文信息处理要求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 18030 的相关规定</w:t>
            </w:r>
            <w:r/>
          </w:p>
        </w:tc>
      </w:tr>
      <w:tr>
        <w:trPr>
          <w:cantSplit/>
          <w:jc w:val="center"/>
          <w:trHeight w:val="43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操作系统备份及还原功能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当操作系统分区损坏的情况下，支持操作系统还原到出厂状态</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支持备份及还原固件的功能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操作系统及驱动升级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支持在线升级能力可以提 升服务效率</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固件升级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支持通过网络、闪存盘等方式对固件进行升级</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BIOS 支持关闭通讯接口</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 BIOS 关闭以太网及 USB 接口</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固件查看信息</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支持查看固件版本、内存信息、主板信息、处理器信息和系统时间信息等功能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支持设置启动顺序功能，并按照设置的启动顺序启动</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支持设置口令、修改口令、验证口令功能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支持网络引导启动和关闭功能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TBW ≥ 80TB（条件：240GB 硬盘容量）</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通电时间≥5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9813.2 的要求</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外设可靠性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≥1000 万次</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≥500 万次</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键盘鼠标所用线材经±60 °弯折不低于 3000 次，功能、外观完好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≥4 万小时</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电磁兼容性要求的抗扰度</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9254.2 的规定</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环境条件要求的气候环境适应性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中规定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中规定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中规定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中规定</w:t>
            </w:r>
            <w:r/>
          </w:p>
        </w:tc>
      </w:tr>
      <w:tr>
        <w:trPr>
          <w:cantSplit/>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环境条件要求的运输包装件跌落适应性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中规定</w:t>
            </w:r>
            <w:r/>
          </w:p>
        </w:tc>
      </w:tr>
      <w:tr>
        <w:trPr>
          <w:cantSplit/>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MTBF测试标准</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MTBF</w:t>
            </w:r>
            <w:r>
              <w:rPr>
                <w:rFonts w:hint="eastAsia" w:ascii="宋体" w:hAnsi="宋体" w:cs="宋体"/>
                <w:sz w:val="20"/>
                <w:szCs w:val="20"/>
              </w:rPr>
              <w:t xml:space="preserve">(m1)</w:t>
            </w:r>
            <w:r>
              <w:rPr>
                <w:rFonts w:hint="eastAsia" w:ascii="宋体" w:hAnsi="宋体" w:cs="宋体"/>
                <w:sz w:val="20"/>
                <w:szCs w:val="20"/>
              </w:rPr>
              <w:t xml:space="preserve">≥100万小时</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数据库兼容</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 3 个及以上厂商的数据库产品</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中间件兼容</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 3 个及以上厂商中间件产品</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平台软件兼容</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 3 个及以上厂商云计算及大数据平台</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和商品包装政府采购需求标准的相关规定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配置检查工具</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供应商提供自检测试工具</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112</w:t>
            </w:r>
            <w:r/>
          </w:p>
        </w:tc>
        <w:tc>
          <w:tcPr>
            <w:shd w:val="clear" w:color="000000" w:fill="ffffff"/>
            <w:tcBorders>
              <w:top w:val="none" w:color="000000" w:sz="4" w:space="0"/>
              <w:left w:val="single" w:color="000000" w:sz="4" w:space="0"/>
              <w:bottom w:val="single" w:color="000000" w:sz="4" w:space="0"/>
              <w:right w:val="single" w:color="000000" w:sz="4" w:space="0"/>
            </w:tcBorders>
            <w:tcW w:w="711"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保修方式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提供免费上门点对点保修服务</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113</w:t>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服务响应</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服务周期内提供产品的维修、换件和升级服务</w:t>
            </w:r>
            <w:r/>
          </w:p>
        </w:tc>
      </w:tr>
      <w:tr>
        <w:trPr>
          <w:cantSplit/>
          <w:jc w:val="center"/>
          <w:trHeight w:val="72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服务周期</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供应商提供同城4h、异地12h 技术响应服务，2 个工作日解决问题，对于未能解决的问题和故障应提供可行的升级方案，并提供周转设备或更换设</w:t>
            </w:r>
            <w:r>
              <w:rPr>
                <w:rFonts w:hint="eastAsia" w:ascii="宋体" w:hAnsi="宋体" w:cs="宋体"/>
                <w:i/>
                <w:iCs/>
                <w:sz w:val="20"/>
                <w:szCs w:val="20"/>
                <w:u w:val="single"/>
              </w:rPr>
              <w:br w:type="textWrapping" w:clear="all"/>
              <w:t xml:space="preserve">备；</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预装操作系统</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预装正版操作系统，预装的操作系统符合《操作系统政府采购需求标准（2023 年版）》中桌面操作系统政府采购需求标准的所有加*指标要求</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供应商提供培训材料、产品手册、培训视频等培训相关内容</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典型问题解决手册</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供应商提供典型问题解决说明文档或视频</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供应商提供上门升级部件/软件与扩容的增值服务</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供应商提供产品合格证</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供应商提供开箱组装/使用指导</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供应商提供驱动光盘或下载方式</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供应商提供兼容适配软件下载渠道（光盘、网站）</w:t>
            </w:r>
            <w:r/>
          </w:p>
        </w:tc>
      </w:tr>
      <w:tr>
        <w:trPr>
          <w:cantSplit/>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能够支持跨架构平台应用兼容</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供应保障要求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供应链合规性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保障产品主要部件提供6年的备件服务能力</w:t>
            </w:r>
            <w:r>
              <w:rPr>
                <w:rFonts w:hint="eastAsia" w:ascii="宋体" w:hAnsi="宋体" w:cs="宋体"/>
                <w:sz w:val="20"/>
                <w:szCs w:val="20"/>
              </w:rPr>
              <w:t xml:space="preserve">(自购买之日起)</w:t>
            </w:r>
            <w:r>
              <w:rPr>
                <w:rFonts w:hint="eastAsia" w:ascii="宋体" w:hAnsi="宋体" w:cs="宋体"/>
                <w:sz w:val="20"/>
                <w:szCs w:val="20"/>
              </w:rPr>
              <w:t xml:space="preserve">，或提供可兼容原设备的升级换代产品</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供应保障要求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供应链质量</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当产品部件出现供应风险时，供应商通知采购人并提供风险应对方案确保产品的服务保障</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供应保障要求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供应商提供供应链稳定承诺书，确保产品的部件在产品服务周期内稳定供货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CPU和操作系统等关键部件应当符合安全可靠测评要求</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shd w:val="clear" w:color="000000" w:fill="ffffff"/>
            <w:tcBorders>
              <w:top w:val="none" w:color="000000" w:sz="4" w:space="0"/>
              <w:left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整机安全性要求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密码算法实现</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CPU芯片应符合GM/T 0008 的相关规定，或芯片密码模块符合 GB/T 37092 或GM/T 0028 的相关规定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USB 端口管控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 USB 端口管控</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支持安全物理锁</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应符合 GB/T 39276 的 5.2 的规定；</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生产厂商应建立漏洞跟踪表，保证产品版本涉及到的漏洞</w:t>
            </w:r>
            <w:r>
              <w:rPr>
                <w:rFonts w:hint="eastAsia" w:ascii="宋体" w:hAnsi="宋体" w:cs="宋体"/>
                <w:i/>
                <w:iCs/>
                <w:sz w:val="20"/>
                <w:szCs w:val="20"/>
                <w:u w:val="single"/>
              </w:rPr>
              <w:t xml:space="preserve">(如驱动程序等)</w:t>
            </w:r>
            <w:r>
              <w:rPr>
                <w:rFonts w:hint="eastAsia" w:ascii="宋体" w:hAnsi="宋体" w:cs="宋体"/>
                <w:i/>
                <w:iCs/>
                <w:sz w:val="20"/>
                <w:szCs w:val="20"/>
                <w:u w:val="single"/>
              </w:rPr>
              <w:t xml:space="preserve">可查；</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产品不得包含已知的恶意代码或漏洞，不存在未声明的指令、功能、接口</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固件安全启动</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支持固件安全启动功能，固件启动过程中只有通过启动校验才能正常启动</w:t>
            </w:r>
            <w:r/>
          </w:p>
        </w:tc>
      </w:tr>
      <w:tr>
        <w:trPr>
          <w:cantSplit/>
          <w:jc w:val="center"/>
          <w:trHeight w:val="604"/>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产品认证</w:t>
            </w:r>
            <w:r/>
          </w:p>
        </w:tc>
        <w:tc>
          <w:tcPr>
            <w:shd w:val="clear" w:color="000000" w:fill="ffffff"/>
            <w:tcBorders>
              <w:top w:val="single" w:color="000000" w:sz="4" w:space="0"/>
              <w:left w:val="singl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w:t>
            </w:r>
            <w:r>
              <w:rPr>
                <w:rFonts w:ascii="宋体" w:hAnsi="宋体" w:cs="宋体"/>
                <w:i/>
                <w:iCs/>
                <w:sz w:val="20"/>
                <w:szCs w:val="20"/>
                <w:u w:val="single"/>
              </w:rPr>
              <w:t xml:space="preserve">GB/T 26572 </w:t>
            </w:r>
            <w:r>
              <w:rPr>
                <w:rFonts w:hint="eastAsia" w:ascii="宋体" w:hAnsi="宋体" w:cs="宋体"/>
                <w:i/>
                <w:iCs/>
                <w:sz w:val="20"/>
                <w:szCs w:val="20"/>
                <w:u w:val="single"/>
              </w:rPr>
              <w:t xml:space="preserve">中规定</w:t>
            </w:r>
            <w:r/>
          </w:p>
        </w:tc>
      </w:tr>
      <w:tr>
        <w:trPr>
          <w:cantSplit/>
          <w:jc w:val="center"/>
          <w:trHeight w:val="493"/>
        </w:trPr>
        <w:tc>
          <w:tcPr>
            <w:shd w:val="clear" w:color="000000" w:fill="ffffff"/>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sz w:val="20"/>
                <w:szCs w:val="20"/>
              </w:rPr>
            </w:pPr>
            <w:r>
              <w:rPr>
                <w:rFonts w:hint="eastAsia" w:ascii="宋体" w:hAnsi="宋体"/>
                <w:sz w:val="20"/>
                <w:szCs w:val="20"/>
              </w:rPr>
              <w:t xml:space="preserve">136</w:t>
            </w:r>
            <w:r/>
          </w:p>
        </w:tc>
        <w:tc>
          <w:tcPr>
            <w:shd w:val="clear" w:color="000000" w:fill="ffffff"/>
            <w:tcBorders>
              <w:top w:val="singl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数据安全要求</w:t>
            </w:r>
            <w:r/>
          </w:p>
        </w:tc>
        <w:tc>
          <w:tcPr>
            <w:shd w:val="clear" w:color="000000" w:fill="ffffff"/>
            <w:tcBorders>
              <w:top w:val="single" w:color="000000" w:sz="4" w:space="0"/>
              <w:left w:val="singl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sz w:val="20"/>
                <w:szCs w:val="20"/>
              </w:rPr>
              <w:t xml:space="preserve">为了保证数据安全，保障数据恢复的安全性，投标人所投产品具备国家信息中心数据恢复服务，提供证明材料</w:t>
            </w:r>
            <w:bookmarkEnd w:id="74"/>
            <w:r/>
          </w:p>
        </w:tc>
      </w:tr>
    </w:tbl>
    <w:p>
      <w:pPr>
        <w:spacing w:line="0" w:lineRule="atLeast"/>
        <w:rPr>
          <w:rFonts w:hint="eastAsia" w:ascii="宋体" w:hAnsi="宋体"/>
          <w:b/>
          <w:bCs/>
          <w:iCs/>
          <w:sz w:val="24"/>
          <w:szCs w:val="24"/>
        </w:rPr>
      </w:pPr>
      <w:r>
        <w:rPr>
          <w:rFonts w:hint="eastAsia" w:ascii="宋体" w:hAnsi="宋体"/>
          <w:b/>
          <w:bCs/>
          <w:iCs/>
          <w:sz w:val="24"/>
          <w:szCs w:val="24"/>
        </w:rPr>
      </w:r>
      <w:r/>
    </w:p>
    <w:p>
      <w:pPr>
        <w:spacing w:line="0" w:lineRule="atLeast"/>
        <w:rPr>
          <w:rFonts w:hint="eastAsia" w:ascii="宋体" w:hAnsi="宋体"/>
          <w:b/>
          <w:bCs/>
          <w:iCs/>
          <w:sz w:val="24"/>
          <w:szCs w:val="24"/>
        </w:rPr>
      </w:pPr>
      <w:r>
        <w:rPr>
          <w:rFonts w:hint="eastAsia" w:ascii="宋体" w:hAnsi="宋体"/>
          <w:b/>
          <w:bCs/>
          <w:iCs/>
          <w:sz w:val="24"/>
          <w:szCs w:val="24"/>
        </w:rPr>
      </w:r>
      <w:r/>
    </w:p>
    <w:p>
      <w:pPr>
        <w:spacing w:line="0" w:lineRule="atLeast"/>
        <w:rPr>
          <w:rFonts w:hint="eastAsia" w:ascii="宋体" w:hAnsi="宋体"/>
          <w:b/>
          <w:bCs/>
          <w:iCs/>
          <w:sz w:val="24"/>
          <w:szCs w:val="24"/>
        </w:rPr>
      </w:pPr>
      <w:r>
        <w:rPr>
          <w:rFonts w:hint="eastAsia" w:ascii="宋体" w:hAnsi="宋体"/>
          <w:b/>
          <w:bCs/>
          <w:iCs/>
          <w:sz w:val="24"/>
          <w:szCs w:val="24"/>
        </w:rPr>
        <w:t xml:space="preserve">配置二：高配</w:t>
      </w:r>
      <w:r>
        <w:rPr>
          <w:rFonts w:hint="eastAsia" w:ascii="宋体" w:hAnsi="宋体"/>
          <w:b/>
          <w:bCs/>
          <w:sz w:val="24"/>
        </w:rPr>
        <w:t xml:space="preserve">台式计算机，采购数量：1170台。</w:t>
      </w:r>
      <w:r/>
    </w:p>
    <w:tbl>
      <w:tblPr>
        <w:tblW w:w="5000" w:type="pct"/>
        <w:jc w:val="center"/>
        <w:tblLook w:val="04A0" w:firstRow="1" w:lastRow="0" w:firstColumn="1" w:lastColumn="0" w:noHBand="0" w:noVBand="1"/>
      </w:tblPr>
      <w:tblGrid>
        <w:gridCol w:w="551"/>
        <w:gridCol w:w="1256"/>
        <w:gridCol w:w="1258"/>
        <w:gridCol w:w="1707"/>
        <w:gridCol w:w="4062"/>
      </w:tblGrid>
      <w:tr>
        <w:trPr>
          <w:jc w:val="center"/>
          <w:trHeight w:val="600"/>
        </w:trPr>
        <w:tc>
          <w:tcPr>
            <w:shd w:val="clear" w:color="000000" w:fill="ffffff"/>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b/>
                <w:bCs/>
                <w:sz w:val="20"/>
                <w:szCs w:val="20"/>
              </w:rPr>
            </w:pPr>
            <w:r>
              <w:rPr>
                <w:rFonts w:hint="eastAsia" w:ascii="宋体" w:hAnsi="宋体" w:cs="宋体"/>
                <w:b/>
                <w:bCs/>
                <w:sz w:val="20"/>
                <w:szCs w:val="20"/>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b/>
                <w:bCs/>
                <w:sz w:val="20"/>
                <w:szCs w:val="20"/>
              </w:rPr>
            </w:pPr>
            <w:r>
              <w:rPr>
                <w:rFonts w:hint="eastAsia" w:ascii="宋体" w:hAnsi="宋体" w:cs="宋体"/>
                <w:b/>
                <w:bCs/>
                <w:sz w:val="20"/>
                <w:szCs w:val="20"/>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b/>
                <w:bCs/>
                <w:sz w:val="20"/>
                <w:szCs w:val="20"/>
              </w:rPr>
            </w:pPr>
            <w:r>
              <w:rPr>
                <w:rFonts w:hint="eastAsia" w:ascii="宋体" w:hAnsi="宋体" w:cs="宋体"/>
                <w:b/>
                <w:bCs/>
                <w:sz w:val="20"/>
                <w:szCs w:val="20"/>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b/>
                <w:bCs/>
                <w:sz w:val="20"/>
                <w:szCs w:val="20"/>
              </w:rPr>
            </w:pPr>
            <w:r>
              <w:rPr>
                <w:rFonts w:hint="eastAsia" w:ascii="宋体" w:hAnsi="宋体" w:cs="宋体"/>
                <w:b/>
                <w:bCs/>
                <w:sz w:val="20"/>
                <w:szCs w:val="20"/>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b/>
                <w:bCs/>
                <w:sz w:val="20"/>
                <w:szCs w:val="20"/>
              </w:rPr>
            </w:pPr>
            <w:r>
              <w:rPr>
                <w:rFonts w:hint="eastAsia" w:ascii="宋体" w:hAnsi="宋体" w:cs="宋体"/>
                <w:b/>
                <w:bCs/>
                <w:sz w:val="20"/>
                <w:szCs w:val="20"/>
              </w:rPr>
              <w:t xml:space="preserve">招标要求</w:t>
            </w:r>
            <w:r/>
          </w:p>
        </w:tc>
      </w:tr>
      <w:tr>
        <w:trPr>
          <w:jc w:val="center"/>
          <w:trHeight w:val="2584"/>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 信息</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处理器采用板载设计，配置1颗国产CPU，每颗CPU物理核心数≥8核，每个物理核心主频≥3.0GHz，最高加速频率智能频率可提升至≥3.3GHz，每颗CPU三级缓存≥16MB，支持超线程技术，线程数量≥16，TDP≤65W，投标所用CPU要明确型号并且是安全可靠测评公告内的，提供相应的证明材料</w:t>
            </w:r>
            <w:r/>
          </w:p>
        </w:tc>
      </w:tr>
      <w:tr>
        <w:trPr>
          <w:cantSplit/>
          <w:jc w:val="center"/>
          <w:trHeight w:val="57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内存配置容量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≥16GB</w:t>
            </w:r>
            <w:r/>
          </w:p>
        </w:tc>
      </w:tr>
      <w:tr>
        <w:trPr>
          <w:cantSplit/>
          <w:jc w:val="center"/>
          <w:trHeight w:val="499"/>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支持DDR4 及以上内存类型</w:t>
            </w:r>
            <w:r/>
          </w:p>
        </w:tc>
      </w:tr>
      <w:tr>
        <w:trPr>
          <w:cantSplit/>
          <w:jc w:val="center"/>
          <w:trHeight w:val="77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内存条配置数量（板载内存不涉及）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≥2</w:t>
            </w:r>
            <w:r/>
          </w:p>
        </w:tc>
      </w:tr>
      <w:tr>
        <w:trPr>
          <w:cantSplit/>
          <w:jc w:val="center"/>
          <w:trHeight w:val="101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主板集成模块</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集成资源扩展模块、计算处理模块、音频扩展模块等，主板的互联拓扑可</w:t>
            </w:r>
            <w:r>
              <w:rPr>
                <w:rFonts w:hint="eastAsia" w:ascii="宋体" w:hAnsi="宋体" w:cs="宋体"/>
                <w:i/>
                <w:iCs/>
                <w:sz w:val="20"/>
                <w:szCs w:val="20"/>
                <w:u w:val="single"/>
              </w:rPr>
              <w:br w:type="textWrapping" w:clear="all"/>
              <w:t xml:space="preserve">通过处理器或交换电路实现</w:t>
            </w:r>
            <w:r/>
          </w:p>
        </w:tc>
      </w:tr>
      <w:tr>
        <w:trPr>
          <w:cantSplit/>
          <w:jc w:val="center"/>
          <w:trHeight w:val="846"/>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主板支持的 CPU和内存情况</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主板支持国产CPU芯片*1和DDR4内存*4根</w:t>
            </w:r>
            <w:r/>
          </w:p>
        </w:tc>
      </w:tr>
      <w:tr>
        <w:trPr>
          <w:cantSplit/>
          <w:jc w:val="center"/>
          <w:trHeight w:val="983"/>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主板内置PCIe 插槽数量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支持数量≥3，其中至少包括1个 PCIex16 和1个PCIex8和1个</w:t>
            </w:r>
            <w:r>
              <w:rPr>
                <w:rFonts w:hint="eastAsia" w:ascii="宋体" w:hAnsi="宋体" w:cs="宋体"/>
                <w:i/>
                <w:iCs/>
                <w:sz w:val="20"/>
                <w:szCs w:val="20"/>
                <w:u w:val="single"/>
              </w:rPr>
              <w:t xml:space="preserve">pcle</w:t>
            </w:r>
            <w:r>
              <w:rPr>
                <w:rFonts w:hint="eastAsia" w:ascii="宋体" w:hAnsi="宋体" w:cs="宋体"/>
                <w:i/>
                <w:iCs/>
                <w:sz w:val="20"/>
                <w:szCs w:val="20"/>
                <w:u w:val="single"/>
              </w:rPr>
              <w:t xml:space="preserve"> x1</w:t>
            </w:r>
            <w:r/>
          </w:p>
        </w:tc>
      </w:tr>
      <w:tr>
        <w:trPr>
          <w:cantSplit/>
          <w:jc w:val="center"/>
          <w:trHeight w:val="2273"/>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w:t>
            </w:r>
            <w:r/>
          </w:p>
        </w:tc>
        <w:tc>
          <w:tcPr>
            <w:shd w:val="clear" w:color="000000" w:fill="ffffff"/>
            <w:tcBorders>
              <w:top w:val="non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特殊孔位及接口</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预留满足 USB3.0 数据传输规范的接口，工作电压 5V，最大过电流应不小于 3A；</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预留多功能导入装置板卡安装孔位，采用内置方式与主机一体化集成，容量不小于 145mm×125mm×16.5mm（长×宽×高）</w:t>
            </w:r>
            <w:r/>
          </w:p>
        </w:tc>
      </w:tr>
      <w:tr>
        <w:trPr>
          <w:cantSplit/>
          <w:jc w:val="center"/>
          <w:trHeight w:val="75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主板其他内置接口</w:t>
            </w:r>
            <w:r/>
          </w:p>
        </w:tc>
        <w:tc>
          <w:tcPr>
            <w:shd w:val="clear" w:color="000000" w:fill="ffffff"/>
            <w:tcBorders>
              <w:top w:val="singl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bookmarkStart w:id="75" w:name="OLE_LINK1"/>
            <w:r>
              <w:rPr>
                <w:rFonts w:hint="eastAsia" w:ascii="宋体" w:hAnsi="宋体" w:cs="宋体"/>
                <w:i/>
                <w:iCs/>
                <w:sz w:val="20"/>
                <w:szCs w:val="20"/>
                <w:u w:val="single"/>
              </w:rPr>
              <w:t xml:space="preserve">支持&gt;</w:t>
            </w:r>
            <w:r>
              <w:rPr>
                <w:rFonts w:hint="eastAsia" w:ascii="宋体" w:hAnsi="宋体" w:cs="宋体"/>
                <w:i/>
                <w:iCs/>
                <w:sz w:val="20"/>
                <w:szCs w:val="20"/>
                <w:u w:val="single"/>
              </w:rPr>
              <w:t xml:space="preserve">1个SATA接口，1个M.2接口</w:t>
            </w:r>
            <w:bookmarkEnd w:id="75"/>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单内存插槽最大可支持容量（板载内存不涉及）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≥32GB</w:t>
            </w:r>
            <w:r/>
          </w:p>
        </w:tc>
      </w:tr>
      <w:tr>
        <w:trPr>
          <w:cantSplit/>
          <w:jc w:val="center"/>
          <w:trHeight w:val="54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内存插槽满配时提供的最高内存总容量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≥128GB</w:t>
            </w:r>
            <w:r/>
          </w:p>
        </w:tc>
      </w:tr>
      <w:tr>
        <w:trPr>
          <w:cantSplit/>
          <w:jc w:val="center"/>
          <w:trHeight w:val="587"/>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固态盘数量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 个</w:t>
            </w:r>
            <w:r/>
          </w:p>
        </w:tc>
      </w:tr>
      <w:tr>
        <w:trPr>
          <w:cantSplit/>
          <w:jc w:val="center"/>
          <w:trHeight w:val="568"/>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固态存储容量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≥512GB SSD</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UFS/SATA/PCIe/</w:t>
            </w:r>
            <w:r>
              <w:rPr>
                <w:rFonts w:hint="eastAsia" w:ascii="宋体" w:hAnsi="宋体" w:cs="宋体"/>
                <w:i/>
                <w:iCs/>
                <w:sz w:val="20"/>
                <w:szCs w:val="20"/>
                <w:u w:val="single"/>
              </w:rPr>
              <w:t xml:space="preserve">NVMe</w:t>
            </w:r>
            <w:r>
              <w:rPr>
                <w:rFonts w:hint="eastAsia" w:ascii="宋体" w:hAnsi="宋体" w:cs="宋体"/>
                <w:i/>
                <w:iCs/>
                <w:sz w:val="20"/>
                <w:szCs w:val="20"/>
                <w:u w:val="single"/>
              </w:rPr>
              <w:t xml:space="preserve"> 等类型接口协议</w:t>
            </w:r>
            <w:r/>
          </w:p>
        </w:tc>
      </w:tr>
      <w:tr>
        <w:trPr>
          <w:cantSplit/>
          <w:jc w:val="center"/>
          <w:trHeight w:val="1128"/>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pStyle w:val="1069"/>
              <w:jc w:val="center"/>
              <w:spacing w:before="12"/>
              <w:rPr>
                <w:rFonts w:hint="eastAsia" w:ascii="宋体" w:hAnsi="宋体" w:eastAsia="宋体" w:cs="宋体"/>
                <w:i/>
                <w:iCs/>
                <w:sz w:val="20"/>
                <w:szCs w:val="20"/>
                <w:u w:val="single"/>
              </w:rPr>
            </w:pPr>
            <w:r>
              <w:rPr>
                <w:rFonts w:hint="eastAsia" w:ascii="宋体" w:hAnsi="宋体" w:eastAsia="宋体" w:cs="宋体"/>
                <w:i/>
                <w:iCs/>
                <w:sz w:val="20"/>
                <w:szCs w:val="20"/>
                <w:u w:val="single"/>
              </w:rPr>
              <w:t xml:space="preserve">采用符合M.2标准的插卡形态</w:t>
            </w:r>
            <w:r/>
          </w:p>
        </w:tc>
      </w:tr>
      <w:tr>
        <w:trPr>
          <w:cantSplit/>
          <w:jc w:val="center"/>
          <w:trHeight w:val="1116"/>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存储设备扩展盘位</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最大扩展1个2.5寸SATA SSD+1个3.5寸 SATA HDD硬盘，硬盘最大支持数量≥3个</w:t>
            </w:r>
            <w:r/>
          </w:p>
        </w:tc>
      </w:tr>
      <w:tr>
        <w:trPr>
          <w:cantSplit/>
          <w:jc w:val="center"/>
          <w:trHeight w:val="2163"/>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存储设备其他参数要求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固态盘应符合 SJ/T 11654 相关规定；机械硬盘准备时间应不大于30s；侧面固定螺丝孔数量可为4 孔或6 孔；工作状态环境温度应满足5℃~55℃；其它参数应符合GB/T 12628 相关规定</w:t>
            </w:r>
            <w:r/>
          </w:p>
        </w:tc>
      </w:tr>
      <w:tr>
        <w:trPr>
          <w:cantSplit/>
          <w:jc w:val="center"/>
          <w:trHeight w:val="568"/>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独立显卡</w:t>
            </w:r>
            <w:r/>
          </w:p>
        </w:tc>
      </w:tr>
      <w:tr>
        <w:trPr>
          <w:cantSplit/>
          <w:jc w:val="center"/>
          <w:trHeight w:val="997"/>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独立显卡显存类型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显存类型为DDR4</w:t>
            </w:r>
            <w:r/>
          </w:p>
        </w:tc>
      </w:tr>
      <w:tr>
        <w:trPr>
          <w:cantSplit/>
          <w:jc w:val="center"/>
          <w:trHeight w:val="426"/>
        </w:trPr>
        <w:tc>
          <w:tcPr>
            <w:shd w:val="clear" w:color="000000" w:fill="ffffff"/>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20</w:t>
            </w:r>
            <w:r/>
          </w:p>
        </w:tc>
        <w:tc>
          <w:tcPr>
            <w:shd w:val="clear" w:color="000000" w:fill="ffffff"/>
            <w:tcBorders>
              <w:top w:val="singl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ascii="宋体" w:hAnsi="宋体"/>
                <w:spacing w:val="-4"/>
                <w:sz w:val="20"/>
                <w:szCs w:val="20"/>
              </w:rPr>
              <w:t xml:space="preserve">独立显卡显存容</w:t>
            </w:r>
            <w:r>
              <w:rPr>
                <w:rFonts w:ascii="宋体" w:hAnsi="宋体"/>
                <w:spacing w:val="-10"/>
                <w:sz w:val="20"/>
                <w:szCs w:val="20"/>
              </w:rPr>
              <w:t xml:space="preserve">量</w:t>
            </w:r>
            <w:r/>
          </w:p>
        </w:tc>
        <w:tc>
          <w:tcPr>
            <w:shd w:val="clear" w:color="000000" w:fill="ffffff"/>
            <w:tcBorders>
              <w:top w:val="singl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ascii="宋体" w:hAnsi="宋体"/>
                <w:spacing w:val="-1"/>
                <w:sz w:val="20"/>
                <w:szCs w:val="20"/>
              </w:rPr>
              <w:t xml:space="preserve">显存容量≥</w:t>
            </w:r>
            <w:r>
              <w:rPr>
                <w:rFonts w:hint="eastAsia" w:ascii="宋体" w:hAnsi="宋体"/>
                <w:spacing w:val="-4"/>
                <w:sz w:val="20"/>
                <w:szCs w:val="20"/>
              </w:rPr>
              <w:t xml:space="preserve">2</w:t>
            </w:r>
            <w:r>
              <w:rPr>
                <w:rFonts w:ascii="宋体" w:hAnsi="宋体"/>
                <w:spacing w:val="-4"/>
                <w:sz w:val="20"/>
                <w:szCs w:val="20"/>
              </w:rPr>
              <w:t xml:space="preserve">GB</w:t>
            </w:r>
            <w:r/>
          </w:p>
        </w:tc>
      </w:tr>
      <w:tr>
        <w:trPr>
          <w:cantSplit/>
          <w:jc w:val="center"/>
          <w:trHeight w:val="472"/>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显示屏分辨率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≥1920×1080</w:t>
            </w:r>
            <w:r/>
          </w:p>
        </w:tc>
      </w:tr>
      <w:tr>
        <w:trPr>
          <w:cantSplit/>
          <w:jc w:val="center"/>
          <w:trHeight w:val="56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显示屏尺寸</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≥23.8 英寸</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显示屏屏幕比例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16:9</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显示器外观颜色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黑色</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外设规格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 个</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 个</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键盘按键数目</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104键全键盘</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键盘连接方式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USB有线</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键盘键程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2.3mm ~ 4.0mm</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键盘按键压力</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按键压力应在 0.54 N±0.14N</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≥1.5 米</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黑色</w:t>
            </w:r>
            <w:r/>
          </w:p>
        </w:tc>
      </w:tr>
      <w:tr>
        <w:trPr>
          <w:cantSplit/>
          <w:jc w:val="center"/>
          <w:trHeight w:val="1531"/>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键盘外观结构、连接方式、主要功能、安全、电磁兼容性、可靠性应符合 GB/T14081 的相关规定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有线</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≥1.5 米</w:t>
            </w:r>
            <w:r/>
          </w:p>
        </w:tc>
      </w:tr>
      <w:tr>
        <w:trPr>
          <w:cantSplit/>
          <w:jc w:val="center"/>
          <w:trHeight w:val="779"/>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鼠标DPI 分辨率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800~1600</w:t>
            </w:r>
            <w:r/>
          </w:p>
        </w:tc>
      </w:tr>
      <w:tr>
        <w:trPr>
          <w:cantSplit/>
          <w:jc w:val="center"/>
          <w:trHeight w:val="563"/>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黑色</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其它参数应符合 GB/T 26245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网络设备规格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w:t>
            </w:r>
            <w:r/>
          </w:p>
        </w:tc>
      </w:tr>
      <w:tr>
        <w:trPr>
          <w:cantSplit/>
          <w:jc w:val="center"/>
          <w:trHeight w:val="717"/>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USB 接口数量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≥6个USB</w:t>
            </w:r>
            <w:r/>
          </w:p>
        </w:tc>
      </w:tr>
      <w:tr>
        <w:trPr>
          <w:cantSplit/>
          <w:jc w:val="center"/>
          <w:trHeight w:val="197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USB 母座接口要求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机箱前面板额外预留2 个专用 USB 母座接口孔位和 1 个通用A 型 USB 母座接口孔位，采用横向排列中心间距应不小于27mm</w:t>
            </w:r>
            <w:r/>
          </w:p>
        </w:tc>
      </w:tr>
      <w:tr>
        <w:trPr>
          <w:cantSplit/>
          <w:jc w:val="center"/>
          <w:trHeight w:val="852"/>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w:t>
            </w:r>
            <w:r/>
          </w:p>
        </w:tc>
      </w:tr>
      <w:tr>
        <w:trPr>
          <w:cantSplit/>
          <w:jc w:val="center"/>
          <w:trHeight w:val="833"/>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w:t>
            </w:r>
            <w:r/>
          </w:p>
        </w:tc>
      </w:tr>
      <w:tr>
        <w:trPr>
          <w:cantSplit/>
          <w:jc w:val="center"/>
          <w:trHeight w:val="2692"/>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44</w:t>
            </w:r>
            <w:r/>
          </w:p>
        </w:tc>
        <w:tc>
          <w:tcPr>
            <w:shd w:val="clear" w:color="000000" w:fill="ffffff"/>
            <w:tcBorders>
              <w:top w:val="non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整机基础规格</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整机外观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产品表面不应有凹痕、划伤、裂缝、变形和污染等。表面涂层均匀，不应起泡、龟裂、脱落和磨损，金属零部件无锈蚀及其它机械损伤；</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产品表面说明功能的文字、符号、标志，应清晰、端正、牢固；</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状态指示灯</w:t>
            </w:r>
            <w:r/>
          </w:p>
        </w:tc>
        <w:tc>
          <w:tcPr>
            <w:shd w:val="clear" w:color="000000" w:fill="ffffff"/>
            <w:tcBorders>
              <w:top w:val="singl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在产品显著位置提供状态指示功能，通过指示灯可查看机器运行状态或存储状态</w:t>
            </w:r>
            <w:r/>
          </w:p>
        </w:tc>
      </w:tr>
      <w:tr>
        <w:trPr>
          <w:cantSplit/>
          <w:jc w:val="center"/>
          <w:trHeight w:val="10622"/>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46</w:t>
            </w:r>
            <w:r/>
          </w:p>
        </w:tc>
        <w:tc>
          <w:tcPr>
            <w:shd w:val="clear" w:color="000000" w:fill="ffffff"/>
            <w:tcBorders>
              <w:top w:val="none" w:color="000000" w:sz="4" w:space="0"/>
              <w:left w:val="singl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整机结构</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机箱应符合 GB/T 4208、GB/T 26246的相关规定；</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产品内部结构应符合通用部件的安装需要；</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所有输入输出接口应符合相关国家或行业标准；</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产品零部件应紧固无松动，可插拔部件应可靠连接，开关、按钮和其它控制部件应灵活可靠，布局应方便使用；</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所有 I/O 连接器及需插接线缆的部位应预留用户操作空间，方便插拔解锁与插拔线缆；</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可插拔板卡插槽部位应预留安装、拆卸或更换板卡空间；</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拆装可能接触到的金属剪口或金属尖角部位应做防划伤处理，以保证安全；</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整机内部走线应规整，固线结构和位置要合理可靠并做防割线处理，需便于理线和插拔操作，走线应不影响系统各主要部件组装和拆卸；</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如需通过孔走线，过线孔应做防割线处理；</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各插头位置和插拔方向应合理，应做到插拔无障碍设计，具备防呆设计，有效避免误操作；</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各主要部件拆装无障碍，使用常规工具拆装，无特殊拆装工具需求；</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各主要部件拆装步骤要少，各自拆装需避免相互干扰；</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对于整机或零部件外表面为高亮面的，应粘贴保护膜，保护膜需粘贴牢固，运输、组装等过程不易脱落，撕下无残留；</w:t>
            </w:r>
            <w:r/>
          </w:p>
        </w:tc>
      </w:tr>
      <w:tr>
        <w:trPr>
          <w:cantSplit/>
          <w:jc w:val="center"/>
          <w:trHeight w:val="1208"/>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机箱防护要求</w:t>
            </w:r>
            <w:r/>
          </w:p>
        </w:tc>
        <w:tc>
          <w:tcPr>
            <w:shd w:val="clear" w:color="000000" w:fill="ffffff"/>
            <w:tcBorders>
              <w:top w:val="singl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机箱应符合 GB/T 4208 中 IP20 防护要求</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48</w:t>
            </w:r>
            <w:r/>
          </w:p>
        </w:tc>
        <w:tc>
          <w:tcPr>
            <w:shd w:val="clear" w:color="000000" w:fill="ffffff"/>
            <w:tcBorders>
              <w:top w:val="none" w:color="000000" w:sz="4" w:space="0"/>
              <w:left w:val="single" w:color="000000" w:sz="4" w:space="0"/>
              <w:bottom w:val="single" w:color="000000" w:sz="4" w:space="0"/>
              <w:right w:val="single" w:color="000000" w:sz="4" w:space="0"/>
            </w:tcBorders>
            <w:tcW w:w="711"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整机散热</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在环境温度25℃及处理器满载情况下，产品表面温度应符合下列要求：</w:t>
            </w:r>
            <w:r/>
          </w:p>
        </w:tc>
      </w:tr>
      <w:tr>
        <w:trPr>
          <w:cantSplit/>
          <w:jc w:val="center"/>
          <w:trHeight w:val="285"/>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49</w:t>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出风口在机箱后面板情况下，出风口温度不高于 55℃</w:t>
            </w:r>
            <w:r>
              <w:rPr>
                <w:rFonts w:hint="eastAsia" w:ascii="宋体" w:hAnsi="宋体" w:cs="宋体"/>
                <w:i/>
                <w:iCs/>
                <w:sz w:val="20"/>
                <w:szCs w:val="20"/>
                <w:u w:val="single"/>
              </w:rPr>
              <w:t xml:space="preserve"> ;</w:t>
            </w:r>
            <w:r/>
          </w:p>
        </w:tc>
      </w:tr>
      <w:tr>
        <w:trPr>
          <w:cantSplit/>
          <w:jc w:val="center"/>
          <w:trHeight w:val="285"/>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50</w:t>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可触及面温度不高于 45℃</w:t>
            </w:r>
            <w:r>
              <w:rPr>
                <w:rFonts w:hint="eastAsia" w:ascii="宋体" w:hAnsi="宋体" w:cs="宋体"/>
                <w:i/>
                <w:iCs/>
                <w:sz w:val="20"/>
                <w:szCs w:val="20"/>
                <w:u w:val="single"/>
              </w:rPr>
              <w:t xml:space="preserve"> ;</w:t>
            </w:r>
            <w:r/>
          </w:p>
        </w:tc>
      </w:tr>
      <w:tr>
        <w:trPr>
          <w:cantSplit/>
          <w:jc w:val="center"/>
          <w:trHeight w:val="1107"/>
        </w:trPr>
        <w:tc>
          <w:tcPr>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51</w:t>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显示器表面温度：显示屏不高于 38℃</w:t>
            </w:r>
            <w:r>
              <w:rPr>
                <w:rFonts w:hint="eastAsia" w:ascii="宋体" w:hAnsi="宋体" w:cs="宋体"/>
                <w:i/>
                <w:iCs/>
                <w:sz w:val="20"/>
                <w:szCs w:val="20"/>
                <w:u w:val="single"/>
              </w:rPr>
              <w:t xml:space="preserve"> ,</w:t>
            </w:r>
            <w:r>
              <w:rPr>
                <w:rFonts w:hint="eastAsia" w:ascii="宋体" w:hAnsi="宋体" w:cs="宋体"/>
                <w:i/>
                <w:iCs/>
                <w:sz w:val="20"/>
                <w:szCs w:val="20"/>
                <w:u w:val="single"/>
              </w:rPr>
              <w:t xml:space="preserve"> 显示屏上下灯带位置温度（如涉及）不高于 40℃</w:t>
            </w:r>
            <w:r>
              <w:rPr>
                <w:rFonts w:hint="eastAsia" w:ascii="宋体" w:hAnsi="宋体" w:cs="宋体"/>
                <w:i/>
                <w:iCs/>
                <w:sz w:val="20"/>
                <w:szCs w:val="20"/>
                <w:u w:val="single"/>
              </w:rPr>
              <w:t xml:space="preserve"> ,</w:t>
            </w:r>
            <w:r>
              <w:rPr>
                <w:rFonts w:hint="eastAsia" w:ascii="宋体" w:hAnsi="宋体" w:cs="宋体"/>
                <w:i/>
                <w:iCs/>
                <w:sz w:val="20"/>
                <w:szCs w:val="20"/>
                <w:u w:val="single"/>
              </w:rPr>
              <w:t xml:space="preserve"> 出风口温度不高于 45℃</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整机能效限定值</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产品能效限定值应达到 GB 28380-2012标准中能效等级 1级及以上</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53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金属</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黑色</w:t>
            </w:r>
            <w:r/>
          </w:p>
        </w:tc>
      </w:tr>
      <w:tr>
        <w:trPr>
          <w:cantSplit/>
          <w:jc w:val="center"/>
          <w:trHeight w:val="702"/>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机箱尺寸容量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≤15L</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shd w:val="clear" w:color="000000" w:fill="ffffff"/>
            <w:tcBorders>
              <w:top w:val="singl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 物理核数</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≥8核</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 主频</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≥3.0GHz</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 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≥16MB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59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≥3200MT/s</w:t>
            </w:r>
            <w:r/>
          </w:p>
        </w:tc>
      </w:tr>
      <w:tr>
        <w:trPr>
          <w:cantSplit/>
          <w:jc w:val="center"/>
          <w:trHeight w:val="589"/>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显示分辨率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≥1920×1080</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显卡可支持多屏同时显示数量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显卡应支持 2 块屏幕同时显示，分辨率应不低于 1920×1080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显示设备性能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显示屏其他参数</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显示屏采用IPS钢化玻璃屏，其它参数应符合 SJ/T 11292 的相关规定</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网络设备性能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最高速率不低于 1000Mbps，支持10Mbps、100Mbps、1000Mbps 速率自适应</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ascii="宋体" w:hAnsi="宋体"/>
                <w:spacing w:val="-4"/>
                <w:sz w:val="20"/>
                <w:szCs w:val="20"/>
              </w:rPr>
              <w:t xml:space="preserve">支持无线网络通信</w:t>
            </w:r>
            <w:r>
              <w:rPr>
                <w:rFonts w:ascii="宋体" w:hAnsi="宋体"/>
                <w:spacing w:val="-3"/>
                <w:sz w:val="20"/>
                <w:szCs w:val="20"/>
              </w:rPr>
              <w:t xml:space="preserve">技术协议</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ascii="宋体" w:hAnsi="宋体"/>
                <w:spacing w:val="-15"/>
                <w:sz w:val="20"/>
                <w:szCs w:val="20"/>
              </w:rPr>
              <w:t xml:space="preserve">支持 </w:t>
            </w:r>
            <w:r>
              <w:rPr>
                <w:rFonts w:ascii="宋体" w:hAnsi="宋体"/>
                <w:spacing w:val="-2"/>
                <w:sz w:val="20"/>
                <w:szCs w:val="20"/>
              </w:rPr>
              <w:t xml:space="preserve">WAPI</w:t>
            </w:r>
            <w:r>
              <w:rPr>
                <w:rFonts w:ascii="宋体" w:hAnsi="宋体"/>
                <w:spacing w:val="-27"/>
                <w:sz w:val="20"/>
                <w:szCs w:val="20"/>
              </w:rPr>
              <w:t xml:space="preserve"> 或 </w:t>
            </w:r>
            <w:r>
              <w:rPr>
                <w:rFonts w:ascii="宋体" w:hAnsi="宋体"/>
                <w:spacing w:val="-2"/>
                <w:sz w:val="20"/>
                <w:szCs w:val="20"/>
              </w:rPr>
              <w:t xml:space="preserve">WiFi5.0</w:t>
            </w:r>
            <w:r>
              <w:rPr>
                <w:rFonts w:ascii="宋体" w:hAnsi="宋体"/>
                <w:spacing w:val="-10"/>
                <w:sz w:val="20"/>
                <w:szCs w:val="20"/>
              </w:rPr>
              <w:t xml:space="preserve"> 及以上协议</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内存扩展接口</w:t>
            </w:r>
            <w:r>
              <w:rPr>
                <w:rFonts w:hint="eastAsia" w:ascii="宋体" w:hAnsi="宋体" w:cs="宋体"/>
                <w:sz w:val="20"/>
                <w:szCs w:val="20"/>
              </w:rPr>
              <w:t xml:space="preserve">(板载内存不涉及)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≥4个插槽</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存储扩展接口</w:t>
            </w:r>
            <w:r>
              <w:rPr>
                <w:rFonts w:hint="eastAsia" w:ascii="宋体" w:hAnsi="宋体" w:cs="宋体"/>
                <w:sz w:val="20"/>
                <w:szCs w:val="20"/>
              </w:rPr>
              <w:t xml:space="preserve">(板载存储不涉及)</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支持存储设备扩展接口≥4 个，支持SATA3.0</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主板USB 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支持瞬间过流保护功能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支持防静电保护功能</w:t>
            </w:r>
            <w:r/>
          </w:p>
        </w:tc>
      </w:tr>
      <w:tr>
        <w:trPr>
          <w:cantSplit/>
          <w:jc w:val="center"/>
          <w:trHeight w:val="2413"/>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I/O 接口功能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提供基于标准 USB 接口外设连接功能、基于音频输入输出接口的音频扩展功能、基于 PCIe 接口板卡扩展功能、基于 HDMI/VGA/Type-C/DVI/DP 等接口外接显示器扩展功能、基于存储接口对产品进行增容功能等。产品 I/O 接口应具备外接标准 USB 设备、显示器、音频设备等内外部设备能力</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显卡外接显示接口</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ascii="宋体" w:hAnsi="宋体"/>
                <w:i/>
                <w:iCs/>
                <w:spacing w:val="-5"/>
                <w:sz w:val="20"/>
                <w:szCs w:val="20"/>
                <w:u w:val="single"/>
              </w:rPr>
              <w:t xml:space="preserve">显卡至少支持 </w:t>
            </w:r>
            <w:r>
              <w:rPr>
                <w:rFonts w:ascii="宋体" w:hAnsi="宋体"/>
                <w:i/>
                <w:iCs/>
                <w:spacing w:val="-2"/>
                <w:sz w:val="20"/>
                <w:szCs w:val="20"/>
                <w:u w:val="single"/>
              </w:rPr>
              <w:t xml:space="preserve">VGA、HDMI、DVI、DP、 </w:t>
            </w:r>
            <w:r>
              <w:rPr>
                <w:rFonts w:ascii="宋体" w:hAnsi="宋体"/>
                <w:i/>
                <w:iCs/>
                <w:spacing w:val="-6"/>
                <w:sz w:val="20"/>
                <w:szCs w:val="20"/>
                <w:u w:val="single"/>
              </w:rPr>
              <w:t xml:space="preserve">Type-C</w:t>
            </w:r>
            <w:r>
              <w:rPr>
                <w:rFonts w:ascii="宋体" w:hAnsi="宋体"/>
                <w:i/>
                <w:iCs/>
                <w:spacing w:val="-14"/>
                <w:sz w:val="20"/>
                <w:szCs w:val="20"/>
                <w:u w:val="single"/>
              </w:rPr>
              <w:t xml:space="preserve"> 中 </w:t>
            </w:r>
            <w:r>
              <w:rPr>
                <w:rFonts w:ascii="宋体" w:hAnsi="宋体"/>
                <w:i/>
                <w:iCs/>
                <w:spacing w:val="-6"/>
                <w:sz w:val="20"/>
                <w:szCs w:val="20"/>
                <w:u w:val="single"/>
              </w:rPr>
              <w:t xml:space="preserve">1</w:t>
            </w:r>
            <w:r>
              <w:rPr>
                <w:rFonts w:ascii="宋体" w:hAnsi="宋体"/>
                <w:i/>
                <w:iCs/>
                <w:spacing w:val="-9"/>
                <w:sz w:val="20"/>
                <w:szCs w:val="20"/>
                <w:u w:val="single"/>
              </w:rPr>
              <w:t xml:space="preserve"> 种显示接口，并与显示器</w:t>
            </w:r>
            <w:r>
              <w:rPr>
                <w:rFonts w:ascii="宋体" w:hAnsi="宋体"/>
                <w:i/>
                <w:iCs/>
                <w:spacing w:val="-2"/>
                <w:sz w:val="20"/>
                <w:szCs w:val="20"/>
                <w:u w:val="single"/>
              </w:rPr>
              <w:t xml:space="preserve">接口相匹配</w:t>
            </w:r>
            <w:r/>
          </w:p>
        </w:tc>
      </w:tr>
      <w:tr>
        <w:trPr>
          <w:cantSplit/>
          <w:jc w:val="center"/>
          <w:trHeight w:val="379"/>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独立显卡数量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显示设备功</w:t>
            </w:r>
            <w:r>
              <w:rPr>
                <w:rFonts w:hint="eastAsia" w:ascii="宋体" w:hAnsi="宋体" w:cs="宋体"/>
                <w:sz w:val="20"/>
                <w:szCs w:val="20"/>
              </w:rPr>
              <w:t xml:space="preserve">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显示器接口</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显示器应与显卡外接显示接口匹配</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提供显示器底座支架</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提供 OSD 选单按钮用于调节色彩、模式等；支持色温、亮度、对比度调节</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通过 SATA 固态存储/PCIe 固态存储/UFS 固态存储/SATA 硬磁盘等存储部件提供存储功能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79</w:t>
            </w:r>
            <w:r/>
          </w:p>
        </w:tc>
        <w:tc>
          <w:tcPr>
            <w:shd w:val="clear" w:color="000000" w:fill="ffffff"/>
            <w:tcBorders>
              <w:top w:val="none" w:color="000000" w:sz="4" w:space="0"/>
              <w:left w:val="single" w:color="000000" w:sz="4" w:space="0"/>
              <w:bottom w:val="single" w:color="000000" w:sz="4" w:space="0"/>
              <w:right w:val="single" w:color="000000" w:sz="4" w:space="0"/>
            </w:tcBorders>
            <w:tcW w:w="711"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网络设备功能</w:t>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网络功能</w:t>
            </w:r>
            <w:r/>
          </w:p>
        </w:tc>
        <w:tc>
          <w:tcPr>
            <w:shd w:val="clear" w:color="000000" w:fill="ffffff"/>
            <w:tcBorders>
              <w:top w:val="none" w:color="000000" w:sz="4" w:space="0"/>
              <w:left w:val="none" w:color="000000" w:sz="4" w:space="0"/>
              <w:right w:val="single" w:color="000000" w:sz="4" w:space="0"/>
            </w:tcBorders>
            <w:tcW w:w="2299" w:type="pct"/>
            <w:vAlign w:val="center"/>
            <w:vMerge w:val="restart"/>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支持网络连接、网络开启/关闭功能；</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支持访问网络和数据交换功能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80</w:t>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left w:val="none" w:color="000000" w:sz="4" w:space="0"/>
              <w:bottom w:val="single" w:color="000000" w:sz="4" w:space="0"/>
              <w:right w:val="single" w:color="000000" w:sz="4" w:space="0"/>
            </w:tcBorders>
            <w:tcW w:w="2299" w:type="pct"/>
            <w:vAlign w:val="center"/>
            <w:vMerge w:val="continue"/>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数据传输</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支持数据传输能力，并提供数据流量和异常日志记录功能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蓝牙协议</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支持蓝牙模块，蓝牙协议不低于 5.0 版本</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 RJ45 接口</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网络设备拆装</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网络设备应支持物理拆装，包括无线网卡和蓝牙模块等</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外部接口功能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 3.5mm 孔径 4 段式接口</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视频接口类型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i/>
                <w:iCs/>
                <w:spacing w:val="-5"/>
                <w:sz w:val="20"/>
                <w:szCs w:val="20"/>
                <w:u w:val="single"/>
              </w:rPr>
            </w:pPr>
            <w:r>
              <w:rPr>
                <w:rFonts w:ascii="宋体" w:hAnsi="宋体"/>
                <w:i/>
                <w:iCs/>
                <w:spacing w:val="-5"/>
                <w:sz w:val="20"/>
                <w:szCs w:val="20"/>
                <w:u w:val="single"/>
              </w:rPr>
              <w:t xml:space="preserve">至少支持 VGA、HDMI、DVI、DP、 Type-C 中 1 种显示接口</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HDMI、DP、Type-C显示接口要求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i/>
                <w:iCs/>
                <w:spacing w:val="-5"/>
                <w:sz w:val="20"/>
                <w:szCs w:val="20"/>
                <w:u w:val="single"/>
              </w:rPr>
            </w:pPr>
            <w:r>
              <w:rPr>
                <w:rFonts w:ascii="宋体" w:hAnsi="宋体"/>
                <w:i/>
                <w:iCs/>
                <w:spacing w:val="-5"/>
                <w:sz w:val="20"/>
                <w:szCs w:val="20"/>
                <w:u w:val="single"/>
              </w:rPr>
              <w:t xml:space="preserve">若提供HDMI 或DP 或 Type-C 作为显示接口，应支持音频和视频同步输出</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其他接口</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产品支持串行接口，可实现 GB/T 6107 的功能；产品支持并行接口，可实现 GB/T 18235.1 的功能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电源适配器电线组件符合 GB/T15934 的要求</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操作系统及软件功能</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中文信息处理要求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 18030 的相关规定</w:t>
            </w:r>
            <w:r/>
          </w:p>
        </w:tc>
      </w:tr>
      <w:tr>
        <w:trPr>
          <w:cantSplit/>
          <w:jc w:val="center"/>
          <w:trHeight w:val="43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操作系统备份及还原功能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当操作系统分区损坏的情况下，支持操作系统还原到出厂状态</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支持备份及还原固件的功能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操作系统及驱动升级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支持在线升级能力可以提 升服务效率</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固件升级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支持通过网络、闪存盘等方式对固件进行升级</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BIOS 支持关闭通讯接口</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 BIOS 关闭以太网及 USB 接口</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固件查看信息</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支持查看固件版本、内存信息、主板信息、处理器信息和系统时间信息等功能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支持设置启动顺序功能，并按照设置的启动顺序启动</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支持设置口令、修改口令、验证口令功能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支持网络引导启动和关闭功能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TBW ≥ 80TB（条件：240GB 硬盘容量）</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通电时间≥5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9813.2 的要求</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外设可靠性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≥1000 万次</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≥500 万次</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键盘鼠标所用线材经±60 °弯折不低于 3000 次，功能、外观完好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≥4 万小时</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电磁兼容性要求的抗扰度</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9254.2 的规定</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环境条件要求的气候环境适应性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中规定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中规定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中规定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中规定</w:t>
            </w:r>
            <w:r/>
          </w:p>
        </w:tc>
      </w:tr>
      <w:tr>
        <w:trPr>
          <w:cantSplit/>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环境条件要求的运输包装件跌落适应性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中规定</w:t>
            </w:r>
            <w:r/>
          </w:p>
        </w:tc>
      </w:tr>
      <w:tr>
        <w:trPr>
          <w:cantSplit/>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MTBF测试标准</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MTBF</w:t>
            </w:r>
            <w:r>
              <w:rPr>
                <w:rFonts w:hint="eastAsia" w:ascii="宋体" w:hAnsi="宋体" w:cs="宋体"/>
                <w:sz w:val="20"/>
                <w:szCs w:val="20"/>
              </w:rPr>
              <w:t xml:space="preserve">(m1)</w:t>
            </w:r>
            <w:r>
              <w:rPr>
                <w:rFonts w:hint="eastAsia" w:ascii="宋体" w:hAnsi="宋体" w:cs="宋体"/>
                <w:sz w:val="20"/>
                <w:szCs w:val="20"/>
              </w:rPr>
              <w:t xml:space="preserve">≥100万小时</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数据库兼容</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 3 个及以上厂商的数据库产品</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中间件兼容</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 3 个及以上厂商中间件产品</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平台软件兼容</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 3 个及以上厂商云计算及大数据平台</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和商品包装政府采购需求标准的相关规定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配置检查工具</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供应商提供自检测试工具</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119</w:t>
            </w:r>
            <w:r/>
          </w:p>
        </w:tc>
        <w:tc>
          <w:tcPr>
            <w:shd w:val="clear" w:color="000000" w:fill="ffffff"/>
            <w:tcBorders>
              <w:top w:val="none" w:color="000000" w:sz="4" w:space="0"/>
              <w:left w:val="single" w:color="000000" w:sz="4" w:space="0"/>
              <w:bottom w:val="single" w:color="000000" w:sz="4" w:space="0"/>
              <w:right w:val="single" w:color="000000" w:sz="4" w:space="0"/>
            </w:tcBorders>
            <w:tcW w:w="711"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1646"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保修方式</w:t>
            </w:r>
            <w:r/>
          </w:p>
        </w:tc>
        <w:tc>
          <w:tcPr>
            <w:shd w:val="clear" w:color="000000" w:fill="ffffff"/>
            <w:tcBorders>
              <w:top w:val="none" w:color="000000" w:sz="4" w:space="0"/>
              <w:left w:val="none" w:color="000000" w:sz="4" w:space="0"/>
              <w:bottom w:val="single" w:color="000000" w:sz="4" w:space="0"/>
              <w:right w:val="single" w:color="000000" w:sz="4" w:space="0"/>
            </w:tcBorders>
            <w:tcW w:w="3918" w:type="dxa"/>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提供免费上门点对点保修服务</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120</w:t>
            </w:r>
            <w:r/>
          </w:p>
        </w:tc>
        <w:tc>
          <w:tcPr>
            <w:tcBorders>
              <w:top w:val="none" w:color="000000" w:sz="4" w:space="0"/>
              <w:left w:val="single" w:color="000000" w:sz="4" w:space="0"/>
              <w:bottom w:val="single" w:color="000000" w:sz="4" w:space="0"/>
              <w:right w:val="single" w:color="000000" w:sz="4" w:space="0"/>
            </w:tcBorders>
            <w:tcW w:w="711"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服务响应</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服务周期内提供产品的维修、换件和升级服务</w:t>
            </w:r>
            <w:r/>
          </w:p>
        </w:tc>
      </w:tr>
      <w:tr>
        <w:trPr>
          <w:cantSplit/>
          <w:jc w:val="center"/>
          <w:trHeight w:val="72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服务周期</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供应商提供同城4h、异地12h 技术响应服务，2 个工作日解决问题，对于未能解决的问题和故障应提供可行的升级方案，并提供周转设备或更换设</w:t>
            </w:r>
            <w:r>
              <w:rPr>
                <w:rFonts w:hint="eastAsia" w:ascii="宋体" w:hAnsi="宋体" w:cs="宋体"/>
                <w:i/>
                <w:iCs/>
                <w:sz w:val="20"/>
                <w:szCs w:val="20"/>
                <w:u w:val="single"/>
              </w:rPr>
              <w:br w:type="textWrapping" w:clear="all"/>
              <w:t xml:space="preserve">备；</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预装操作系统</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预装正版操作系统，预装的操作系统符合《操作系统政府采购需求标准（2023 年版）》中桌面操作系统政府采购需求标准的所有加*指标要求</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供应商提供培训材料、产品手册、培训视频等培训相关内容</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典型问题解决手册</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供应商提供典型问题解决说明文档或视频</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供应商提供上门升级部件/软件与扩容的增值服务</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供应商提供产品合格证</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供应商提供开箱组装/使用指导</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供应商提供驱动光盘或下载方式</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供应商提供兼容适配软件下载渠道（光盘、网站）</w:t>
            </w:r>
            <w:r/>
          </w:p>
        </w:tc>
      </w:tr>
      <w:tr>
        <w:trPr>
          <w:cantSplit/>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能够支持跨架构平台应用兼容</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供应保障要求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供应链合规性</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保障产品主要部件提供 6年的备件服务能力</w:t>
            </w:r>
            <w:r>
              <w:rPr>
                <w:rFonts w:hint="eastAsia" w:ascii="宋体" w:hAnsi="宋体" w:cs="宋体"/>
                <w:sz w:val="20"/>
                <w:szCs w:val="20"/>
              </w:rPr>
              <w:t xml:space="preserve">(自购买之日起)</w:t>
            </w:r>
            <w:r>
              <w:rPr>
                <w:rFonts w:hint="eastAsia" w:ascii="宋体" w:hAnsi="宋体" w:cs="宋体"/>
                <w:sz w:val="20"/>
                <w:szCs w:val="20"/>
              </w:rPr>
              <w:t xml:space="preserve">，或提供可兼容原设备的升级换代产品</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供应保障要求</w:t>
            </w:r>
            <w:r/>
          </w:p>
        </w:tc>
        <w:tc>
          <w:tcPr>
            <w:shd w:val="clear" w:color="000000" w:fill="ffffff"/>
            <w:tcBorders>
              <w:top w:val="none" w:color="000000" w:sz="4" w:space="0"/>
              <w:left w:val="single" w:color="000000" w:sz="4" w:space="0"/>
              <w:bottom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供应链质量</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当产品部件出现供应风险时，供应商通知采购人并提供风险应对方案确保产品的服务保障</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133</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供应保障要求</w:t>
            </w:r>
            <w:r/>
          </w:p>
        </w:tc>
        <w:tc>
          <w:tcPr>
            <w:tcBorders>
              <w:top w:val="none" w:color="000000" w:sz="4" w:space="0"/>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供应商提供供应链稳定承诺书，确保产品的部件在产品服务周期内稳定供货</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134</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71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CPU和操作系统等关键部件应当符合安全可靠测评要求</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135</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shd w:val="clear" w:color="000000" w:fill="ffffff"/>
            <w:tcBorders>
              <w:top w:val="none" w:color="000000" w:sz="4" w:space="0"/>
              <w:left w:val="single" w:color="000000" w:sz="4" w:space="0"/>
              <w:right w:val="single" w:color="000000" w:sz="4" w:space="0"/>
            </w:tcBorders>
            <w:tcW w:w="71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整机安全性要求</w:t>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密码算法实现</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CPU芯片应符合GM/T 0008 的相关规定，或芯片密码模块符合 GB/T 37092 或GM/T 0028 的相关规定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136</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USB 端口管控</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 USB 端口管控</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137</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支持安全物理锁</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138</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6"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应符合 GB/T 39276 的 5.2 的规定；</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139</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生产厂商应建立漏洞跟踪表，保证产品版本涉及到的漏洞</w:t>
            </w:r>
            <w:r>
              <w:rPr>
                <w:rFonts w:hint="eastAsia" w:ascii="宋体" w:hAnsi="宋体" w:cs="宋体"/>
                <w:i/>
                <w:iCs/>
                <w:sz w:val="20"/>
                <w:szCs w:val="20"/>
                <w:u w:val="single"/>
              </w:rPr>
              <w:t xml:space="preserve">(如驱动程序等)</w:t>
            </w:r>
            <w:r>
              <w:rPr>
                <w:rFonts w:hint="eastAsia" w:ascii="宋体" w:hAnsi="宋体" w:cs="宋体"/>
                <w:i/>
                <w:iCs/>
                <w:sz w:val="20"/>
                <w:szCs w:val="20"/>
                <w:u w:val="single"/>
              </w:rPr>
              <w:t xml:space="preserve">可查；</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140</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66"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产品不得包含已知的恶意代码或漏洞，不存在未声明的指令、功能、接口</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141</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固件安全启动</w:t>
            </w:r>
            <w:r/>
          </w:p>
        </w:tc>
        <w:tc>
          <w:tcPr>
            <w:shd w:val="clear" w:color="000000" w:fill="ffffff"/>
            <w:tcBorders>
              <w:top w:val="none" w:color="000000" w:sz="4" w:space="0"/>
              <w:left w:val="non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支持固件安全启动功能，固件启动过程中只有通过启动校验才能正常启动</w:t>
            </w:r>
            <w:r/>
          </w:p>
        </w:tc>
      </w:tr>
      <w:tr>
        <w:trPr>
          <w:cantSplit/>
          <w:jc w:val="center"/>
          <w:trHeight w:val="811"/>
        </w:trPr>
        <w:tc>
          <w:tcPr>
            <w:shd w:val="clear" w:color="000000" w:fill="ffffff"/>
            <w:tcBorders>
              <w:top w:val="non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142</w:t>
            </w:r>
            <w:r/>
          </w:p>
        </w:tc>
        <w:tc>
          <w:tcPr>
            <w:shd w:val="clear" w:color="000000" w:fill="ffffff"/>
            <w:tcBorders>
              <w:top w:val="non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产品认证</w:t>
            </w:r>
            <w:r/>
          </w:p>
        </w:tc>
        <w:tc>
          <w:tcPr>
            <w:shd w:val="clear" w:color="000000" w:fill="ffffff"/>
            <w:tcBorders>
              <w:top w:val="single" w:color="000000" w:sz="4" w:space="0"/>
              <w:left w:val="singl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w:t>
            </w:r>
            <w:r>
              <w:rPr>
                <w:rFonts w:ascii="宋体" w:hAnsi="宋体" w:cs="宋体"/>
                <w:i/>
                <w:iCs/>
                <w:sz w:val="20"/>
                <w:szCs w:val="20"/>
                <w:u w:val="single"/>
              </w:rPr>
              <w:t xml:space="preserve">GB/T 26572 </w:t>
            </w:r>
            <w:r>
              <w:rPr>
                <w:rFonts w:hint="eastAsia" w:ascii="宋体" w:hAnsi="宋体" w:cs="宋体"/>
                <w:i/>
                <w:iCs/>
                <w:sz w:val="20"/>
                <w:szCs w:val="20"/>
                <w:u w:val="single"/>
              </w:rPr>
              <w:t xml:space="preserve">中规定</w:t>
            </w:r>
            <w:r/>
          </w:p>
        </w:tc>
      </w:tr>
      <w:tr>
        <w:trPr>
          <w:cantSplit/>
          <w:jc w:val="center"/>
          <w:trHeight w:val="474"/>
        </w:trPr>
        <w:tc>
          <w:tcPr>
            <w:shd w:val="clear" w:color="000000" w:fill="ffffff"/>
            <w:tcBorders>
              <w:top w:val="single" w:color="000000" w:sz="4" w:space="0"/>
              <w:left w:val="single" w:color="000000" w:sz="4" w:space="0"/>
              <w:bottom w:val="single" w:color="000000" w:sz="4" w:space="0"/>
              <w:right w:val="single" w:color="000000" w:sz="4" w:space="0"/>
            </w:tcBorders>
            <w:tcW w:w="312" w:type="pct"/>
            <w:vAlign w:val="center"/>
            <w:textDirection w:val="lrTb"/>
            <w:noWrap w:val="false"/>
          </w:tcPr>
          <w:p>
            <w:pPr>
              <w:jc w:val="center"/>
              <w:rPr>
                <w:rFonts w:hint="eastAsia" w:ascii="宋体" w:hAnsi="宋体"/>
                <w:sz w:val="20"/>
                <w:szCs w:val="20"/>
              </w:rPr>
            </w:pPr>
            <w:r>
              <w:rPr>
                <w:rFonts w:hint="eastAsia" w:ascii="宋体" w:hAnsi="宋体"/>
                <w:sz w:val="20"/>
                <w:szCs w:val="20"/>
              </w:rPr>
              <w:t xml:space="preserve">143</w:t>
            </w:r>
            <w:r/>
          </w:p>
        </w:tc>
        <w:tc>
          <w:tcPr>
            <w:shd w:val="clear" w:color="000000" w:fill="ffffff"/>
            <w:tcBorders>
              <w:top w:val="single" w:color="000000" w:sz="4" w:space="0"/>
              <w:left w:val="none" w:color="000000" w:sz="4" w:space="0"/>
              <w:bottom w:val="single" w:color="000000" w:sz="4" w:space="0"/>
              <w:right w:val="single" w:color="000000" w:sz="4" w:space="0"/>
            </w:tcBorders>
            <w:tcW w:w="71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bottom w:val="single" w:color="000000" w:sz="4" w:space="0"/>
              <w:right w:val="single" w:color="000000" w:sz="4" w:space="0"/>
            </w:tcBorders>
            <w:tcW w:w="71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single" w:color="000000" w:sz="4" w:space="0"/>
              <w:left w:val="single" w:color="000000" w:sz="4" w:space="0"/>
              <w:bottom w:val="single" w:color="000000" w:sz="4" w:space="0"/>
              <w:right w:val="single" w:color="000000" w:sz="4" w:space="0"/>
            </w:tcBorders>
            <w:tcW w:w="966"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数据安全要求</w:t>
            </w:r>
            <w:r/>
          </w:p>
        </w:tc>
        <w:tc>
          <w:tcPr>
            <w:shd w:val="clear" w:color="000000" w:fill="ffffff"/>
            <w:tcBorders>
              <w:top w:val="single" w:color="000000" w:sz="4" w:space="0"/>
              <w:left w:val="single" w:color="000000" w:sz="4" w:space="0"/>
              <w:bottom w:val="single" w:color="000000" w:sz="4" w:space="0"/>
              <w:right w:val="single" w:color="000000" w:sz="4" w:space="0"/>
            </w:tcBorders>
            <w:tcW w:w="2299"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sz w:val="20"/>
                <w:szCs w:val="20"/>
              </w:rPr>
              <w:t xml:space="preserve">为了保证数据安全，保障数据恢复的安全性，投标人所投产品具备国家信息中心数据恢复服务，提供证明材料</w:t>
            </w:r>
            <w:r/>
          </w:p>
        </w:tc>
      </w:tr>
    </w:tbl>
    <w:p>
      <w:pPr>
        <w:pStyle w:val="990"/>
        <w:ind w:left="0"/>
        <w:jc w:val="center"/>
      </w:pPr>
      <w:r/>
      <w:r/>
    </w:p>
    <w:p>
      <w:pPr>
        <w:rPr>
          <w:b/>
          <w:bCs/>
        </w:rPr>
      </w:pPr>
      <w:r>
        <w:rPr>
          <w:b/>
          <w:bCs/>
          <w:iCs/>
        </w:rPr>
        <w:t xml:space="preserve">配置三：一体式计算机</w:t>
      </w:r>
      <w:r>
        <w:rPr>
          <w:b/>
          <w:bCs/>
        </w:rPr>
        <w:t xml:space="preserve">，采购数量：</w:t>
      </w:r>
      <w:r>
        <w:rPr>
          <w:b/>
          <w:bCs/>
        </w:rPr>
        <w:t xml:space="preserve">70</w:t>
      </w:r>
      <w:r>
        <w:rPr>
          <w:b/>
          <w:bCs/>
        </w:rPr>
        <w:t xml:space="preserve">台。</w:t>
      </w:r>
      <w:r/>
    </w:p>
    <w:tbl>
      <w:tblPr>
        <w:tblpPr w:horzAnchor="page" w:tblpX="1313" w:vertAnchor="text" w:tblpY="320" w:leftFromText="180" w:topFromText="0" w:rightFromText="180" w:bottomFromText="0"/>
        <w:tblW w:w="7298" w:type="pct"/>
        <w:tblLook w:val="04A0" w:firstRow="1" w:lastRow="0" w:firstColumn="1" w:lastColumn="0" w:noHBand="0" w:noVBand="1"/>
      </w:tblPr>
      <w:tblGrid>
        <w:gridCol w:w="548"/>
        <w:gridCol w:w="1257"/>
        <w:gridCol w:w="1256"/>
        <w:gridCol w:w="1705"/>
        <w:gridCol w:w="4064"/>
        <w:gridCol w:w="4064"/>
      </w:tblGrid>
      <w:tr>
        <w:trPr>
          <w:gridAfter w:val="1"/>
          <w:trHeight w:val="600"/>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b/>
                <w:bCs/>
                <w:sz w:val="20"/>
                <w:szCs w:val="20"/>
              </w:rPr>
            </w:pPr>
            <w:r>
              <w:rPr>
                <w:rFonts w:ascii="宋体" w:hAnsi="宋体"/>
                <w:b/>
                <w:bCs/>
                <w:sz w:val="20"/>
                <w:szCs w:val="20"/>
              </w:rPr>
              <w:t xml:space="preserve">序号</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b/>
                <w:bCs/>
                <w:sz w:val="20"/>
                <w:szCs w:val="20"/>
              </w:rPr>
            </w:pPr>
            <w:r>
              <w:rPr>
                <w:rFonts w:ascii="宋体" w:hAnsi="宋体"/>
                <w:b/>
                <w:bCs/>
                <w:sz w:val="20"/>
                <w:szCs w:val="20"/>
              </w:rPr>
              <w:t xml:space="preserve">指标分类</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b/>
                <w:bCs/>
                <w:sz w:val="20"/>
                <w:szCs w:val="20"/>
              </w:rPr>
            </w:pPr>
            <w:r>
              <w:rPr>
                <w:rFonts w:ascii="宋体" w:hAnsi="宋体"/>
                <w:b/>
                <w:bCs/>
                <w:sz w:val="20"/>
                <w:szCs w:val="20"/>
              </w:rPr>
              <w:t xml:space="preserve">一级指标</w:t>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b/>
                <w:bCs/>
                <w:sz w:val="20"/>
                <w:szCs w:val="20"/>
              </w:rPr>
            </w:pPr>
            <w:r>
              <w:rPr>
                <w:rFonts w:ascii="宋体" w:hAnsi="宋体"/>
                <w:b/>
                <w:bCs/>
                <w:sz w:val="20"/>
                <w:szCs w:val="20"/>
              </w:rPr>
              <w:t xml:space="preserve">二级指标</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b/>
                <w:bCs/>
                <w:sz w:val="20"/>
                <w:szCs w:val="20"/>
              </w:rPr>
            </w:pPr>
            <w:r>
              <w:rPr>
                <w:rFonts w:ascii="宋体" w:hAnsi="宋体"/>
                <w:b/>
                <w:bCs/>
                <w:sz w:val="20"/>
                <w:szCs w:val="20"/>
              </w:rPr>
              <w:t xml:space="preserve">招标要求</w:t>
            </w:r>
            <w:r/>
          </w:p>
        </w:tc>
      </w:tr>
      <w:tr>
        <w:trPr>
          <w:gridAfter w:val="1"/>
          <w:trHeight w:val="2584"/>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CPU规格</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CPU 信息</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处</w:t>
            </w:r>
            <w:r>
              <w:rPr>
                <w:rFonts w:ascii="宋体" w:hAnsi="宋体" w:cs="宋体"/>
                <w:i/>
                <w:iCs/>
                <w:sz w:val="20"/>
                <w:szCs w:val="20"/>
                <w:u w:val="single"/>
              </w:rPr>
              <w:t xml:space="preserve">理器采用板载设计，配置1颗国产CPU，每颗CPU物理核心数≥8核，每个物理核心主频≥3.5GHz，最高加速频率智能频率可提升至≥3.6GHz，每颗CPU三级缓存≥32MB，线程数量≥8，TDP≤80W，投标所用CPU要明确型号并且是安全可靠测评公告内的，提供相应的证明材料</w:t>
            </w:r>
            <w:r/>
          </w:p>
        </w:tc>
      </w:tr>
      <w:tr>
        <w:trPr>
          <w:cantSplit/>
          <w:gridAfter w:val="1"/>
          <w:trHeight w:val="57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2</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内存规格</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内存配置容量</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cs="宋体"/>
                <w:i/>
                <w:iCs/>
                <w:sz w:val="20"/>
                <w:szCs w:val="20"/>
                <w:u w:val="single"/>
              </w:rPr>
            </w:pPr>
            <w:r>
              <w:rPr>
                <w:rFonts w:ascii="宋体" w:hAnsi="宋体" w:cs="宋体"/>
                <w:i/>
                <w:iCs/>
                <w:sz w:val="20"/>
                <w:szCs w:val="20"/>
                <w:u w:val="single"/>
              </w:rPr>
              <w:t xml:space="preserve">≥16GB</w:t>
            </w:r>
            <w:r/>
          </w:p>
        </w:tc>
      </w:tr>
      <w:tr>
        <w:trPr>
          <w:cantSplit/>
          <w:gridAfter w:val="1"/>
          <w:trHeight w:val="499"/>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3</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内存类型</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cs="宋体"/>
                <w:i/>
                <w:iCs/>
                <w:sz w:val="20"/>
                <w:szCs w:val="20"/>
                <w:u w:val="single"/>
              </w:rPr>
            </w:pPr>
            <w:r>
              <w:rPr>
                <w:rFonts w:ascii="宋体" w:hAnsi="宋体" w:cs="宋体"/>
                <w:i/>
                <w:iCs/>
                <w:sz w:val="20"/>
                <w:szCs w:val="20"/>
                <w:u w:val="single"/>
              </w:rPr>
              <w:t xml:space="preserve">支持DDR5 及以上内存类型</w:t>
            </w:r>
            <w:r/>
          </w:p>
        </w:tc>
      </w:tr>
      <w:tr>
        <w:trPr>
          <w:cantSplit/>
          <w:gridAfter w:val="1"/>
          <w:trHeight w:val="77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4</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内存条配置数量（板载内存不涉及）</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cs="宋体"/>
                <w:i/>
                <w:iCs/>
                <w:sz w:val="20"/>
                <w:szCs w:val="20"/>
                <w:u w:val="single"/>
              </w:rPr>
            </w:pPr>
            <w:r>
              <w:rPr>
                <w:rFonts w:ascii="宋体" w:hAnsi="宋体" w:cs="宋体"/>
                <w:i/>
                <w:iCs/>
                <w:sz w:val="20"/>
                <w:szCs w:val="20"/>
                <w:u w:val="single"/>
              </w:rPr>
              <w:t xml:space="preserve">≥1</w:t>
            </w:r>
            <w:r/>
          </w:p>
        </w:tc>
      </w:tr>
      <w:tr>
        <w:trPr>
          <w:cantSplit/>
          <w:gridAfter w:val="1"/>
          <w:trHeight w:val="101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5</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主板规格</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主板集成模块</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集成资源扩展模块、计算处理模块、音频扩展模块等，主板的互联拓扑可</w:t>
            </w:r>
            <w:r>
              <w:rPr>
                <w:rFonts w:hint="eastAsia" w:ascii="宋体" w:hAnsi="宋体" w:cs="宋体"/>
                <w:i/>
                <w:iCs/>
                <w:sz w:val="20"/>
                <w:szCs w:val="20"/>
                <w:u w:val="single"/>
              </w:rPr>
              <w:br w:type="textWrapping" w:clear="all"/>
              <w:t xml:space="preserve">通过处理器或交换电路实现</w:t>
            </w:r>
            <w:r/>
          </w:p>
        </w:tc>
      </w:tr>
      <w:tr>
        <w:trPr>
          <w:cantSplit/>
          <w:gridAfter w:val="1"/>
          <w:trHeight w:val="846"/>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6</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主板支持的 CPU和内存情况</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主板支持国产CPU芯片*1和DDR5内存*1根</w:t>
            </w:r>
            <w:r/>
          </w:p>
        </w:tc>
      </w:tr>
      <w:tr>
        <w:trPr>
          <w:cantSplit/>
          <w:gridAfter w:val="1"/>
          <w:trHeight w:val="1858"/>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hint="eastAsia" w:ascii="宋体" w:hAnsi="宋体"/>
                <w:sz w:val="20"/>
                <w:szCs w:val="20"/>
              </w:rPr>
              <w:t xml:space="preserve">7</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特殊孔位及接口</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支持安装多功能导入装置板卡，或预留相应孔位及接口</w:t>
            </w:r>
            <w:r/>
          </w:p>
        </w:tc>
      </w:tr>
      <w:tr>
        <w:trPr>
          <w:cantSplit/>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8</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单内存插槽最大可支持容量（板载内存不涉及）</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sz w:val="20"/>
                <w:szCs w:val="20"/>
              </w:rPr>
            </w:pPr>
            <w:r>
              <w:rPr>
                <w:rFonts w:ascii="宋体" w:hAnsi="宋体"/>
                <w:sz w:val="20"/>
                <w:szCs w:val="20"/>
              </w:rPr>
              <w:t xml:space="preserve">≥32GB</w:t>
            </w:r>
            <w:r/>
          </w:p>
        </w:tc>
      </w:tr>
      <w:tr>
        <w:trPr>
          <w:cantSplit/>
          <w:gridAfter w:val="1"/>
          <w:trHeight w:val="54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9</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内存插槽满配时提供的最高内存总容量</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sz w:val="20"/>
                <w:szCs w:val="20"/>
              </w:rPr>
            </w:pPr>
            <w:r>
              <w:rPr>
                <w:rFonts w:ascii="宋体" w:hAnsi="宋体"/>
                <w:sz w:val="20"/>
                <w:szCs w:val="20"/>
              </w:rPr>
              <w:t xml:space="preserve">≥64GB</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10</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存储设备规格</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固态盘数量</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 个</w:t>
            </w:r>
            <w:r/>
          </w:p>
        </w:tc>
      </w:tr>
      <w:tr>
        <w:trPr>
          <w:cantSplit/>
          <w:gridAfter w:val="1"/>
          <w:trHeight w:val="568"/>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11</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固态存储容量</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sz w:val="20"/>
                <w:szCs w:val="20"/>
              </w:rPr>
            </w:pPr>
            <w:r>
              <w:rPr>
                <w:rFonts w:ascii="宋体" w:hAnsi="宋体"/>
                <w:sz w:val="20"/>
                <w:szCs w:val="20"/>
              </w:rPr>
              <w:t xml:space="preserve">≥512GB SSD</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12</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固态存储接口协议</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PCIe类型接口协议</w:t>
            </w:r>
            <w:r/>
          </w:p>
        </w:tc>
      </w:tr>
      <w:tr>
        <w:trPr>
          <w:cantSplit/>
          <w:gridAfter w:val="1"/>
          <w:trHeight w:val="1128"/>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13</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固态存储形态</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采用符合M.2标准的插卡形态</w:t>
            </w:r>
            <w:r/>
          </w:p>
        </w:tc>
      </w:tr>
      <w:tr>
        <w:trPr>
          <w:cantSplit/>
          <w:gridAfter w:val="1"/>
          <w:trHeight w:val="1766"/>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14</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存储设备其他参数要求</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固态盘应符合 SJ/T 11654 相关规定；机械硬盘准备时间应不大于30s；侧面固定螺丝孔数量可为4 孔或6 孔；工作状态环境温度应满足5℃~55℃；其它参数应符合GB/T 12628 相关规定</w:t>
            </w:r>
            <w:r/>
          </w:p>
        </w:tc>
      </w:tr>
      <w:tr>
        <w:trPr>
          <w:gridAfter w:val="1"/>
          <w:trHeight w:val="418"/>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15</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shd w:val="clear" w:color="auto" w:fill="ffffff"/>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显卡规格</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显卡类型</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sz w:val="20"/>
                <w:szCs w:val="20"/>
              </w:rPr>
            </w:pPr>
            <w:r>
              <w:rPr>
                <w:rFonts w:ascii="宋体" w:hAnsi="宋体"/>
                <w:sz w:val="20"/>
                <w:szCs w:val="20"/>
              </w:rPr>
              <w:t xml:space="preserve">集成显卡</w:t>
            </w:r>
            <w:r/>
          </w:p>
        </w:tc>
      </w:tr>
      <w:tr>
        <w:trPr>
          <w:cantSplit/>
          <w:gridAfter w:val="1"/>
          <w:trHeight w:val="285"/>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16</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shd w:val="clear" w:color="auto" w:fill="ffffff"/>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显示设备规格</w:t>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显示屏屏占比</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≥80%</w:t>
            </w:r>
            <w:r/>
          </w:p>
        </w:tc>
      </w:tr>
      <w:tr>
        <w:trPr>
          <w:cantSplit/>
          <w:gridAfter w:val="1"/>
          <w:trHeight w:val="116"/>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17</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显示屏分辨率</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≥1920×1080</w:t>
            </w:r>
            <w:r/>
          </w:p>
        </w:tc>
      </w:tr>
      <w:tr>
        <w:trPr>
          <w:cantSplit/>
          <w:gridAfter w:val="1"/>
          <w:trHeight w:val="184"/>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18</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显示屏像素密度</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≥85 像素/英寸</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19</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显示屏可视角度</w:t>
            </w:r>
            <w:r/>
          </w:p>
        </w:tc>
        <w:tc>
          <w:tcPr>
            <w:shd w:val="clear" w:color="auto" w:fill="ffffff"/>
            <w:tcBorders>
              <w:top w:val="non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水平≥170°</w:t>
            </w:r>
            <w:r/>
          </w:p>
        </w:tc>
      </w:tr>
      <w:tr>
        <w:trPr>
          <w:cantSplit/>
          <w:gridAfter w:val="1"/>
          <w:trHeight w:val="19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20</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显示屏尺寸</w:t>
            </w:r>
            <w:r/>
          </w:p>
        </w:tc>
        <w:tc>
          <w:tcPr>
            <w:shd w:val="clear" w:color="auto" w:fill="ffffff"/>
            <w:tcBorders>
              <w:top w:val="non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≥23 英寸</w:t>
            </w:r>
            <w:r/>
          </w:p>
        </w:tc>
      </w:tr>
      <w:tr>
        <w:trPr>
          <w:cantSplit/>
          <w:gridAfter w:val="1"/>
          <w:trHeight w:val="497"/>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21</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显示屏屏幕比例</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16:9</w:t>
            </w:r>
            <w:r/>
          </w:p>
        </w:tc>
      </w:tr>
      <w:tr>
        <w:trPr>
          <w:cantSplit/>
          <w:gridAfter w:val="1"/>
          <w:trHeight w:val="253"/>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22</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显示器边框颜色</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黑色</w:t>
            </w:r>
            <w:r/>
          </w:p>
        </w:tc>
      </w:tr>
      <w:tr>
        <w:trPr>
          <w:cantSplit/>
          <w:gridAfter w:val="1"/>
          <w:trHeight w:val="1125"/>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23</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显示屏防蓝光</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支持防蓝光模式，蓝光加权辐射亮度比应≤0.0012W/</w:t>
            </w:r>
            <w:r>
              <w:rPr>
                <w:rFonts w:ascii="宋体" w:hAnsi="宋体"/>
                <w:i/>
                <w:iCs/>
                <w:sz w:val="20"/>
                <w:szCs w:val="20"/>
                <w:u w:val="single"/>
              </w:rPr>
              <w:t xml:space="preserve">(·</w:t>
            </w:r>
            <w:r>
              <w:rPr>
                <w:rFonts w:ascii="宋体" w:hAnsi="宋体"/>
                <w:i/>
                <w:iCs/>
                <w:sz w:val="20"/>
                <w:szCs w:val="20"/>
                <w:u w:val="single"/>
              </w:rPr>
              <w:t xml:space="preserve">cd·sr</w:t>
            </w:r>
            <w:r>
              <w:rPr>
                <w:rFonts w:ascii="宋体" w:hAnsi="宋体"/>
                <w:i/>
                <w:iCs/>
                <w:sz w:val="20"/>
                <w:szCs w:val="20"/>
                <w:u w:val="single"/>
              </w:rPr>
              <w:t xml:space="preserve">)</w:t>
            </w:r>
            <w:r>
              <w:rPr>
                <w:rFonts w:ascii="宋体" w:hAnsi="宋体"/>
                <w:i/>
                <w:iCs/>
                <w:sz w:val="20"/>
                <w:szCs w:val="20"/>
                <w:u w:val="single"/>
              </w:rPr>
              <w:t xml:space="preserve">（瓦每坎特拉每球面度）</w:t>
            </w:r>
            <w:r/>
          </w:p>
        </w:tc>
      </w:tr>
      <w:tr>
        <w:trPr>
          <w:cantSplit/>
          <w:gridAfter w:val="1"/>
          <w:trHeight w:val="560"/>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24</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显示屏低频闪</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显示屏应支持低频闪≤-35dB</w:t>
            </w:r>
            <w:r/>
          </w:p>
        </w:tc>
      </w:tr>
      <w:tr>
        <w:trPr>
          <w:cantSplit/>
          <w:gridAfter w:val="1"/>
          <w:trHeight w:val="552"/>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25</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显示屏防炫目</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显示器镜面反射率≤10%</w:t>
            </w:r>
            <w:r/>
          </w:p>
        </w:tc>
      </w:tr>
      <w:tr>
        <w:trPr>
          <w:cantSplit/>
          <w:gridAfter w:val="1"/>
          <w:trHeight w:val="419"/>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26</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外设规格</w:t>
            </w:r>
            <w:r/>
          </w:p>
        </w:tc>
        <w:tc>
          <w:tcPr>
            <w:shd w:val="clear" w:color="auto" w:fill="ffffff"/>
            <w:tcBorders>
              <w:top w:val="non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传声器数量</w:t>
            </w:r>
            <w:r/>
          </w:p>
        </w:tc>
        <w:tc>
          <w:tcPr>
            <w:shd w:val="clear" w:color="auto" w:fill="ffffff"/>
            <w:tcBorders>
              <w:top w:val="non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 个</w:t>
            </w:r>
            <w:r/>
          </w:p>
        </w:tc>
      </w:tr>
      <w:tr>
        <w:trPr>
          <w:cantSplit/>
          <w:gridAfter w:val="1"/>
          <w:trHeight w:val="151"/>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rPr>
                <w:rFonts w:hint="eastAsia" w:ascii="宋体" w:hAnsi="宋体"/>
                <w:sz w:val="20"/>
                <w:szCs w:val="20"/>
              </w:rPr>
            </w:pPr>
            <w:r>
              <w:rPr>
                <w:rFonts w:hint="eastAsia" w:ascii="宋体" w:hAnsi="宋体"/>
                <w:sz w:val="20"/>
                <w:szCs w:val="20"/>
              </w:rPr>
              <w:t xml:space="preserve">27</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扬声器数量</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≥2 个</w:t>
            </w:r>
            <w:r/>
          </w:p>
        </w:tc>
      </w:tr>
      <w:tr>
        <w:trPr>
          <w:cantSplit/>
          <w:gridAfter w:val="1"/>
          <w:trHeight w:val="151"/>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hint="eastAsia" w:ascii="宋体" w:hAnsi="宋体"/>
                <w:sz w:val="20"/>
                <w:szCs w:val="20"/>
              </w:rPr>
              <w:t xml:space="preserve">28</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鼠标数量</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 个</w:t>
            </w:r>
            <w:r/>
          </w:p>
        </w:tc>
      </w:tr>
      <w:tr>
        <w:trPr>
          <w:cantSplit/>
          <w:gridAfter w:val="1"/>
          <w:trHeight w:val="806"/>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29</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键盘数量</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 个</w:t>
            </w:r>
            <w:r/>
          </w:p>
        </w:tc>
      </w:tr>
      <w:tr>
        <w:trPr>
          <w:cantSplit/>
          <w:gridAfter w:val="1"/>
          <w:trHeight w:val="605"/>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30</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摄像头数量</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 个</w:t>
            </w:r>
            <w:r/>
          </w:p>
        </w:tc>
      </w:tr>
      <w:tr>
        <w:trPr>
          <w:cantSplit/>
          <w:gridAfter w:val="1"/>
          <w:trHeight w:val="541"/>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31</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bookmarkStart w:id="76" w:name="OLE_LINK2"/>
            <w:r>
              <w:rPr>
                <w:rFonts w:ascii="宋体" w:hAnsi="宋体"/>
                <w:sz w:val="20"/>
                <w:szCs w:val="20"/>
              </w:rPr>
              <w:t xml:space="preserve">产品规格</w:t>
            </w:r>
            <w:bookmarkEnd w:id="76"/>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键盘按键数目</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104键全键盘</w:t>
            </w:r>
            <w:r/>
          </w:p>
        </w:tc>
      </w:tr>
      <w:tr>
        <w:trPr>
          <w:cantSplit/>
          <w:gridAfter w:val="1"/>
          <w:trHeight w:val="806"/>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32</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摄像头像素</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≥200万</w:t>
            </w:r>
            <w:r/>
          </w:p>
        </w:tc>
      </w:tr>
      <w:tr>
        <w:trPr>
          <w:cantSplit/>
          <w:gridAfter w:val="1"/>
          <w:trHeight w:val="523"/>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33</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摄像头分辨率</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≥1920x1080</w:t>
            </w:r>
            <w:r/>
          </w:p>
        </w:tc>
      </w:tr>
      <w:tr>
        <w:trPr>
          <w:cantSplit/>
          <w:gridAfter w:val="1"/>
          <w:trHeight w:val="626"/>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34</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扬声器功率</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 瓦/个</w:t>
            </w:r>
            <w:r/>
          </w:p>
        </w:tc>
      </w:tr>
      <w:tr>
        <w:trPr>
          <w:cantSplit/>
          <w:gridAfter w:val="1"/>
          <w:trHeight w:val="1014"/>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35</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扬声器频率范围</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100Hz-20kHz，其中 100Hz-200Hz：</w:t>
            </w:r>
            <w:r/>
          </w:p>
          <w:p>
            <w:pPr>
              <w:jc w:val="center"/>
              <w:rPr>
                <w:rFonts w:hint="eastAsia" w:ascii="宋体" w:hAnsi="宋体"/>
                <w:i/>
                <w:iCs/>
                <w:sz w:val="20"/>
                <w:szCs w:val="20"/>
                <w:u w:val="single"/>
              </w:rPr>
            </w:pPr>
            <w:r>
              <w:rPr>
                <w:rFonts w:ascii="宋体" w:hAnsi="宋体"/>
                <w:i/>
                <w:iCs/>
                <w:sz w:val="20"/>
                <w:szCs w:val="20"/>
                <w:u w:val="single"/>
              </w:rPr>
              <w:t xml:space="preserve">35dB 及以上；200Hz-12kHz：55dB及以上，12kHz-18kHz：35dB 及以上</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36</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键盘连接方式</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USB有线</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37</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键盘键程</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2.3mm ~ 4.0mm</w:t>
            </w:r>
            <w:r/>
          </w:p>
        </w:tc>
      </w:tr>
      <w:tr>
        <w:trPr>
          <w:cantSplit/>
          <w:gridAfter w:val="1"/>
          <w:trHeight w:val="558"/>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38</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键盘按键压力</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按键压力应在 0.54 N±0.14N</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39</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有线键盘连接线</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≥1.5 米</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40</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键盘颜色</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黑色</w:t>
            </w:r>
            <w:r/>
          </w:p>
        </w:tc>
      </w:tr>
      <w:tr>
        <w:trPr>
          <w:cantSplit/>
          <w:gridAfter w:val="1"/>
          <w:trHeight w:val="127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41</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键盘其他要求</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键盘外观结构、连接方式、主要功能、安全、电磁兼容性、可靠性应符合 GB/T14081 的相关规定</w:t>
            </w:r>
            <w:r/>
          </w:p>
        </w:tc>
      </w:tr>
      <w:tr>
        <w:trPr>
          <w:cantSplit/>
          <w:gridAfter w:val="1"/>
          <w:trHeight w:val="42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42</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鼠标连接方式</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有线</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43</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有线鼠标连接线</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≥1.5 米</w:t>
            </w:r>
            <w:r/>
          </w:p>
        </w:tc>
      </w:tr>
      <w:tr>
        <w:trPr>
          <w:cantSplit/>
          <w:gridAfter w:val="1"/>
          <w:trHeight w:val="779"/>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44</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鼠标DPI 分辨率</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800~1600</w:t>
            </w:r>
            <w:r/>
          </w:p>
        </w:tc>
      </w:tr>
      <w:tr>
        <w:trPr>
          <w:cantSplit/>
          <w:gridAfter w:val="1"/>
          <w:trHeight w:val="563"/>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45</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鼠标颜色</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黑色</w:t>
            </w:r>
            <w:r/>
          </w:p>
        </w:tc>
      </w:tr>
      <w:tr>
        <w:trPr>
          <w:cantSplit/>
          <w:gridAfter w:val="1"/>
          <w:trHeight w:val="826"/>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46</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鼠标其他要求</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其它参数应符合 GB/T 26245 的相关规定</w:t>
            </w:r>
            <w:r/>
          </w:p>
        </w:tc>
      </w:tr>
      <w:tr>
        <w:trPr>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47</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网络设备规格</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有线网卡数量</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w:t>
            </w:r>
            <w:r/>
          </w:p>
        </w:tc>
      </w:tr>
      <w:tr>
        <w:trPr>
          <w:cantSplit/>
          <w:gridAfter w:val="1"/>
          <w:trHeight w:val="841"/>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48</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外部接口规格</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USB 接口数量</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≥4个USB3.2</w:t>
            </w:r>
            <w:r/>
          </w:p>
        </w:tc>
      </w:tr>
      <w:tr>
        <w:trPr>
          <w:cantSplit/>
          <w:gridAfter w:val="1"/>
          <w:trHeight w:val="718"/>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49</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视频接口数量</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w:t>
            </w:r>
            <w:r/>
          </w:p>
        </w:tc>
      </w:tr>
      <w:tr>
        <w:trPr>
          <w:cantSplit/>
          <w:gridAfter w:val="1"/>
          <w:trHeight w:val="70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50</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音频接口数量</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w:t>
            </w:r>
            <w:r/>
          </w:p>
        </w:tc>
      </w:tr>
      <w:tr>
        <w:trPr>
          <w:cantSplit/>
          <w:gridAfter w:val="1"/>
          <w:trHeight w:val="2242"/>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51</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shd w:val="clear" w:color="auto" w:fill="ffffff"/>
            <w:tcBorders>
              <w:top w:val="none" w:color="000000" w:sz="4" w:space="0"/>
              <w:left w:val="single" w:color="000000" w:sz="4" w:space="0"/>
              <w:bottom w:val="non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整机基础规格</w:t>
            </w:r>
            <w:r/>
          </w:p>
        </w:tc>
        <w:tc>
          <w:tcPr>
            <w:shd w:val="clear" w:color="auto" w:fill="ffffff"/>
            <w:tcBorders>
              <w:top w:val="non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整机外观</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产品表面不应有凹痕、划伤、裂缝、变形和污染等。表面涂层均匀，不应起泡、龟裂、脱落和磨损，金属零部件无锈蚀及其它机械损伤；</w:t>
            </w:r>
            <w:r/>
          </w:p>
          <w:p>
            <w:pPr>
              <w:jc w:val="center"/>
              <w:rPr>
                <w:rFonts w:hint="eastAsia" w:ascii="宋体" w:hAnsi="宋体"/>
                <w:i/>
                <w:iCs/>
                <w:sz w:val="20"/>
                <w:szCs w:val="20"/>
                <w:u w:val="single"/>
              </w:rPr>
            </w:pPr>
            <w:r>
              <w:rPr>
                <w:rFonts w:ascii="宋体" w:hAnsi="宋体"/>
                <w:i/>
                <w:iCs/>
                <w:sz w:val="20"/>
                <w:szCs w:val="20"/>
                <w:u w:val="single"/>
              </w:rPr>
              <w:t xml:space="preserve">产品表面说明功能的文字、符号、标志，应清晰、端正、牢固；</w:t>
            </w:r>
            <w:r/>
          </w:p>
          <w:p>
            <w:pPr>
              <w:jc w:val="center"/>
              <w:rPr>
                <w:rFonts w:hint="eastAsia" w:ascii="宋体" w:hAnsi="宋体"/>
                <w:sz w:val="20"/>
                <w:szCs w:val="20"/>
              </w:rPr>
            </w:pPr>
            <w:r>
              <w:rPr>
                <w:rFonts w:ascii="宋体" w:hAnsi="宋体"/>
                <w:i/>
                <w:iCs/>
                <w:sz w:val="20"/>
                <w:szCs w:val="20"/>
                <w:u w:val="single"/>
              </w:rPr>
              <w:t xml:space="preserve">宜在产品显著位置提供运行状态指示功能，并由生产厂商提供详细参数</w:t>
            </w:r>
            <w:r/>
          </w:p>
        </w:tc>
      </w:tr>
      <w:tr>
        <w:trPr>
          <w:cantSplit/>
          <w:gridAfter w:val="1"/>
          <w:trHeight w:val="10622"/>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52</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整机结构</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机箱应符合 GB/T 4208、GB/T 26246的相关规定；</w:t>
            </w:r>
            <w:r/>
          </w:p>
          <w:p>
            <w:pPr>
              <w:jc w:val="center"/>
              <w:rPr>
                <w:rFonts w:hint="eastAsia" w:ascii="宋体" w:hAnsi="宋体"/>
                <w:i/>
                <w:iCs/>
                <w:sz w:val="20"/>
                <w:szCs w:val="20"/>
                <w:u w:val="single"/>
              </w:rPr>
            </w:pPr>
            <w:r>
              <w:rPr>
                <w:rFonts w:ascii="宋体" w:hAnsi="宋体"/>
                <w:i/>
                <w:iCs/>
                <w:sz w:val="20"/>
                <w:szCs w:val="20"/>
                <w:u w:val="single"/>
              </w:rPr>
              <w:t xml:space="preserve">产品内部结构应符合通用部件的安装需要；</w:t>
            </w:r>
            <w:r/>
          </w:p>
          <w:p>
            <w:pPr>
              <w:jc w:val="center"/>
              <w:rPr>
                <w:rFonts w:hint="eastAsia" w:ascii="宋体" w:hAnsi="宋体"/>
                <w:i/>
                <w:iCs/>
                <w:sz w:val="20"/>
                <w:szCs w:val="20"/>
                <w:u w:val="single"/>
              </w:rPr>
            </w:pPr>
            <w:r>
              <w:rPr>
                <w:rFonts w:ascii="宋体" w:hAnsi="宋体"/>
                <w:i/>
                <w:iCs/>
                <w:sz w:val="20"/>
                <w:szCs w:val="20"/>
                <w:u w:val="single"/>
              </w:rPr>
              <w:t xml:space="preserve">所有输入输出接口应符合相关国家或行业标准；</w:t>
            </w:r>
            <w:r/>
          </w:p>
          <w:p>
            <w:pPr>
              <w:jc w:val="center"/>
              <w:rPr>
                <w:rFonts w:hint="eastAsia" w:ascii="宋体" w:hAnsi="宋体"/>
                <w:i/>
                <w:iCs/>
                <w:sz w:val="20"/>
                <w:szCs w:val="20"/>
                <w:u w:val="single"/>
              </w:rPr>
            </w:pPr>
            <w:r>
              <w:rPr>
                <w:rFonts w:ascii="宋体" w:hAnsi="宋体"/>
                <w:i/>
                <w:iCs/>
                <w:sz w:val="20"/>
                <w:szCs w:val="20"/>
                <w:u w:val="single"/>
              </w:rPr>
              <w:t xml:space="preserve">产品零部件应紧固无松动，可插拔部件应可靠连接，开关、按钮和其它控制部件应灵活可靠，布局应方便使用；</w:t>
            </w:r>
            <w:r/>
          </w:p>
          <w:p>
            <w:pPr>
              <w:jc w:val="center"/>
              <w:rPr>
                <w:rFonts w:hint="eastAsia" w:ascii="宋体" w:hAnsi="宋体"/>
                <w:i/>
                <w:iCs/>
                <w:sz w:val="20"/>
                <w:szCs w:val="20"/>
                <w:u w:val="single"/>
              </w:rPr>
            </w:pPr>
            <w:r>
              <w:rPr>
                <w:rFonts w:ascii="宋体" w:hAnsi="宋体"/>
                <w:i/>
                <w:iCs/>
                <w:sz w:val="20"/>
                <w:szCs w:val="20"/>
                <w:u w:val="single"/>
              </w:rPr>
              <w:t xml:space="preserve">所有 I/O 连接器及需插接线缆的部位应预留用户操作空间，方便插拔解锁与插拔线缆；</w:t>
            </w:r>
            <w:r/>
          </w:p>
          <w:p>
            <w:pPr>
              <w:jc w:val="center"/>
              <w:rPr>
                <w:rFonts w:hint="eastAsia" w:ascii="宋体" w:hAnsi="宋体"/>
                <w:i/>
                <w:iCs/>
                <w:sz w:val="20"/>
                <w:szCs w:val="20"/>
                <w:u w:val="single"/>
              </w:rPr>
            </w:pPr>
            <w:r>
              <w:rPr>
                <w:rFonts w:ascii="宋体" w:hAnsi="宋体"/>
                <w:i/>
                <w:iCs/>
                <w:sz w:val="20"/>
                <w:szCs w:val="20"/>
                <w:u w:val="single"/>
              </w:rPr>
              <w:t xml:space="preserve">可插拔板卡插槽部位应预留安装、拆卸或更换板卡空间；</w:t>
            </w:r>
            <w:r/>
          </w:p>
          <w:p>
            <w:pPr>
              <w:jc w:val="center"/>
              <w:rPr>
                <w:rFonts w:hint="eastAsia" w:ascii="宋体" w:hAnsi="宋体"/>
                <w:i/>
                <w:iCs/>
                <w:sz w:val="20"/>
                <w:szCs w:val="20"/>
                <w:u w:val="single"/>
              </w:rPr>
            </w:pPr>
            <w:r>
              <w:rPr>
                <w:rFonts w:ascii="宋体" w:hAnsi="宋体"/>
                <w:i/>
                <w:iCs/>
                <w:sz w:val="20"/>
                <w:szCs w:val="20"/>
                <w:u w:val="single"/>
              </w:rPr>
              <w:t xml:space="preserve">拆装可能接触到的金属剪口或金属尖角部位应做防划伤处理，以保证安全；</w:t>
            </w:r>
            <w:r/>
          </w:p>
          <w:p>
            <w:pPr>
              <w:jc w:val="center"/>
              <w:rPr>
                <w:rFonts w:hint="eastAsia" w:ascii="宋体" w:hAnsi="宋体"/>
                <w:i/>
                <w:iCs/>
                <w:sz w:val="20"/>
                <w:szCs w:val="20"/>
                <w:u w:val="single"/>
              </w:rPr>
            </w:pPr>
            <w:r>
              <w:rPr>
                <w:rFonts w:ascii="宋体" w:hAnsi="宋体"/>
                <w:i/>
                <w:iCs/>
                <w:sz w:val="20"/>
                <w:szCs w:val="20"/>
                <w:u w:val="single"/>
              </w:rPr>
              <w:t xml:space="preserve">整机内部走线应规整，固线结构和位置要合理可靠并做防割线处理，需便于理线和插拔操作，走线应不影响系统各主要部件组装和拆卸；</w:t>
            </w:r>
            <w:r/>
          </w:p>
          <w:p>
            <w:pPr>
              <w:jc w:val="center"/>
              <w:rPr>
                <w:rFonts w:hint="eastAsia" w:ascii="宋体" w:hAnsi="宋体"/>
                <w:i/>
                <w:iCs/>
                <w:sz w:val="20"/>
                <w:szCs w:val="20"/>
                <w:u w:val="single"/>
              </w:rPr>
            </w:pPr>
            <w:r>
              <w:rPr>
                <w:rFonts w:ascii="宋体" w:hAnsi="宋体"/>
                <w:i/>
                <w:iCs/>
                <w:sz w:val="20"/>
                <w:szCs w:val="20"/>
                <w:u w:val="single"/>
              </w:rPr>
              <w:t xml:space="preserve">如需通过孔走线，过线孔应做防割线处理；</w:t>
            </w:r>
            <w:r/>
          </w:p>
          <w:p>
            <w:pPr>
              <w:jc w:val="center"/>
              <w:rPr>
                <w:rFonts w:hint="eastAsia" w:ascii="宋体" w:hAnsi="宋体"/>
                <w:i/>
                <w:iCs/>
                <w:sz w:val="20"/>
                <w:szCs w:val="20"/>
                <w:u w:val="single"/>
              </w:rPr>
            </w:pPr>
            <w:r>
              <w:rPr>
                <w:rFonts w:ascii="宋体" w:hAnsi="宋体"/>
                <w:i/>
                <w:iCs/>
                <w:sz w:val="20"/>
                <w:szCs w:val="20"/>
                <w:u w:val="single"/>
              </w:rPr>
              <w:t xml:space="preserve">各插头位置和插拔方向应合理，应做到插拔无障碍设计，具备防呆设计，有效避免误操作；</w:t>
            </w:r>
            <w:r/>
          </w:p>
          <w:p>
            <w:pPr>
              <w:jc w:val="center"/>
              <w:rPr>
                <w:rFonts w:hint="eastAsia" w:ascii="宋体" w:hAnsi="宋体"/>
                <w:i/>
                <w:iCs/>
                <w:sz w:val="20"/>
                <w:szCs w:val="20"/>
                <w:u w:val="single"/>
              </w:rPr>
            </w:pPr>
            <w:r>
              <w:rPr>
                <w:rFonts w:ascii="宋体" w:hAnsi="宋体"/>
                <w:i/>
                <w:iCs/>
                <w:sz w:val="20"/>
                <w:szCs w:val="20"/>
                <w:u w:val="single"/>
              </w:rPr>
              <w:t xml:space="preserve">各主要部件拆装无障碍，使用常规工具拆装，无特殊拆装工具需求；</w:t>
            </w:r>
            <w:r/>
          </w:p>
          <w:p>
            <w:pPr>
              <w:jc w:val="center"/>
              <w:rPr>
                <w:rFonts w:hint="eastAsia" w:ascii="宋体" w:hAnsi="宋体"/>
                <w:i/>
                <w:iCs/>
                <w:sz w:val="20"/>
                <w:szCs w:val="20"/>
                <w:u w:val="single"/>
              </w:rPr>
            </w:pPr>
            <w:r>
              <w:rPr>
                <w:rFonts w:ascii="宋体" w:hAnsi="宋体"/>
                <w:i/>
                <w:iCs/>
                <w:sz w:val="20"/>
                <w:szCs w:val="20"/>
                <w:u w:val="single"/>
              </w:rPr>
              <w:t xml:space="preserve">各主要部件拆装步骤要少，各自拆装需避免相互干扰；</w:t>
            </w:r>
            <w:r/>
          </w:p>
          <w:p>
            <w:pPr>
              <w:jc w:val="center"/>
              <w:rPr>
                <w:rFonts w:hint="eastAsia" w:ascii="宋体" w:hAnsi="宋体"/>
                <w:i/>
                <w:iCs/>
                <w:sz w:val="20"/>
                <w:szCs w:val="20"/>
                <w:u w:val="single"/>
              </w:rPr>
            </w:pPr>
            <w:r>
              <w:rPr>
                <w:rFonts w:ascii="宋体" w:hAnsi="宋体"/>
                <w:i/>
                <w:iCs/>
                <w:sz w:val="20"/>
                <w:szCs w:val="20"/>
                <w:u w:val="single"/>
              </w:rPr>
              <w:t xml:space="preserve">对于整机或零部件外表面为高亮面的，应粘贴保护膜，保护膜需粘贴牢固，运输、组装等过程不易脱落，撕下无残留；</w:t>
            </w:r>
            <w:r/>
          </w:p>
          <w:p>
            <w:pPr>
              <w:jc w:val="center"/>
              <w:rPr>
                <w:rFonts w:hint="eastAsia" w:ascii="宋体" w:hAnsi="宋体"/>
                <w:sz w:val="20"/>
                <w:szCs w:val="20"/>
              </w:rPr>
            </w:pPr>
            <w:r>
              <w:rPr>
                <w:rFonts w:ascii="宋体" w:hAnsi="宋体"/>
                <w:i/>
                <w:iCs/>
                <w:sz w:val="20"/>
                <w:szCs w:val="20"/>
                <w:u w:val="single"/>
              </w:rPr>
              <w:t xml:space="preserve">其它要求应符合 GB/T 9813.1 的相关规定</w:t>
            </w:r>
            <w:r/>
          </w:p>
        </w:tc>
      </w:tr>
      <w:tr>
        <w:trPr>
          <w:cantSplit/>
          <w:gridAfter w:val="1"/>
          <w:trHeight w:val="1208"/>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53</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机箱防护要求</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机箱应符合 GB/T 4208 中 IP20 防护要求</w:t>
            </w:r>
            <w:r/>
          </w:p>
        </w:tc>
      </w:tr>
      <w:tr>
        <w:trPr>
          <w:cantSplit/>
          <w:gridAfter w:val="1"/>
          <w:trHeight w:val="1027"/>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54</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整机噪音</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产品工作在空闲状态下，产品的声 功率级应不超过 4.5 Bel</w:t>
            </w:r>
            <w:r/>
          </w:p>
        </w:tc>
      </w:tr>
      <w:tr>
        <w:trPr>
          <w:cantSplit/>
          <w:gridAfter w:val="1"/>
          <w:trHeight w:val="2184"/>
        </w:trPr>
        <w:tc>
          <w:tcPr>
            <w:shd w:val="clear" w:color="auto" w:fill="ffffff"/>
            <w:tcBorders>
              <w:top w:val="single" w:color="000000" w:sz="4" w:space="0"/>
              <w:left w:val="single" w:color="000000" w:sz="4" w:space="0"/>
              <w:bottom w:val="non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55</w:t>
            </w:r>
            <w:r/>
          </w:p>
        </w:tc>
        <w:tc>
          <w:tcPr>
            <w:shd w:val="clear" w:color="auto" w:fill="ffffff"/>
            <w:tcBorders>
              <w:top w:val="singl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整机散热</w:t>
            </w:r>
            <w:r/>
          </w:p>
        </w:tc>
        <w:tc>
          <w:tcPr>
            <w:shd w:val="clear" w:color="auto" w:fill="ffffff"/>
            <w:tcBorders>
              <w:top w:val="single" w:color="000000" w:sz="4" w:space="0"/>
              <w:left w:val="none" w:color="000000" w:sz="4" w:space="0"/>
              <w:bottom w:val="non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在环境温度25℃及处理器满载情况下，产品表面温度应符合下列要求：</w:t>
            </w:r>
            <w:r/>
          </w:p>
          <w:p>
            <w:pPr>
              <w:jc w:val="center"/>
              <w:rPr>
                <w:rFonts w:hint="eastAsia" w:ascii="宋体" w:hAnsi="宋体"/>
                <w:i/>
                <w:iCs/>
                <w:sz w:val="20"/>
                <w:szCs w:val="20"/>
                <w:u w:val="single"/>
              </w:rPr>
            </w:pPr>
            <w:r>
              <w:rPr>
                <w:rFonts w:ascii="宋体" w:hAnsi="宋体"/>
                <w:i/>
                <w:iCs/>
                <w:sz w:val="20"/>
                <w:szCs w:val="20"/>
                <w:u w:val="single"/>
              </w:rPr>
              <w:t xml:space="preserve">可触及面温度范围内小于 45℃；</w:t>
            </w:r>
            <w:r/>
          </w:p>
          <w:p>
            <w:pPr>
              <w:jc w:val="center"/>
              <w:rPr>
                <w:rFonts w:hint="eastAsia" w:ascii="宋体" w:hAnsi="宋体"/>
                <w:i/>
                <w:iCs/>
                <w:sz w:val="20"/>
                <w:szCs w:val="20"/>
                <w:u w:val="single"/>
              </w:rPr>
            </w:pPr>
            <w:r>
              <w:rPr>
                <w:rFonts w:ascii="宋体" w:hAnsi="宋体"/>
                <w:i/>
                <w:iCs/>
                <w:sz w:val="20"/>
                <w:szCs w:val="20"/>
                <w:u w:val="single"/>
              </w:rPr>
              <w:t xml:space="preserve">显示器表面温度：显示屏温度 不高于 38℃，显示屏上下灯带位置 温度（如涉及）不高于 40℃，出风 口温度不高于 55℃</w:t>
            </w:r>
            <w:r/>
          </w:p>
        </w:tc>
      </w:tr>
      <w:tr>
        <w:trPr>
          <w:cantSplit/>
          <w:gridAfter w:val="1"/>
          <w:trHeight w:val="285"/>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56</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整机能效限定值</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产品能效限定值应达到 GB 28380-2012标准中能效等级 1级及以上</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57</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机身材质</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金属</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58</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机身颜色</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黑色</w:t>
            </w:r>
            <w:r/>
          </w:p>
        </w:tc>
      </w:tr>
      <w:tr>
        <w:trPr>
          <w:cantSplit/>
          <w:gridAfter w:val="1"/>
          <w:trHeight w:val="702"/>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59</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产品规格</w:t>
            </w:r>
            <w:r/>
          </w:p>
        </w:tc>
        <w:tc>
          <w:tcPr>
            <w:tcBorders>
              <w:top w:val="none" w:color="000000" w:sz="4" w:space="0"/>
              <w:left w:val="single" w:color="000000" w:sz="4" w:space="0"/>
              <w:bottom w:val="non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机箱尺寸容量</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供应商给出物理尺寸（长度、宽度和高度）信息</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60</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shd w:val="clear" w:color="auto" w:fill="ffffff"/>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CPU性能</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CPU 物理核数</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物理核心数≥8</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61</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CPU 主频</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≥3.6GHz</w:t>
            </w:r>
            <w:r/>
          </w:p>
        </w:tc>
      </w:tr>
      <w:tr>
        <w:trPr>
          <w:cantSplit/>
          <w:gridAfter w:val="1"/>
          <w:trHeight w:val="518"/>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62</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CPU 末级缓存容量</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≥32MB</w:t>
            </w:r>
            <w:r/>
          </w:p>
        </w:tc>
      </w:tr>
      <w:tr>
        <w:trPr>
          <w:cantSplit/>
          <w:gridAfter w:val="1"/>
          <w:trHeight w:val="94"/>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63</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CPU 支持的内存最高速率</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≥4800MT/s</w:t>
            </w:r>
            <w:r/>
          </w:p>
        </w:tc>
      </w:tr>
      <w:tr>
        <w:trPr>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64</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内存性能</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内存读写速率</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≥4800MT/s</w:t>
            </w:r>
            <w:r/>
          </w:p>
        </w:tc>
      </w:tr>
      <w:tr>
        <w:trPr>
          <w:cantSplit/>
          <w:gridAfter w:val="1"/>
          <w:trHeight w:val="472"/>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65</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显卡性能</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显示分辨率</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≥1920×1080</w:t>
            </w:r>
            <w:r/>
          </w:p>
        </w:tc>
      </w:tr>
      <w:tr>
        <w:trPr>
          <w:cantSplit/>
          <w:gridAfter w:val="1"/>
          <w:trHeight w:val="172"/>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66</w:t>
            </w:r>
            <w:r/>
          </w:p>
        </w:tc>
        <w:tc>
          <w:tcPr>
            <w:shd w:val="clear" w:color="auto" w:fill="ffffff"/>
            <w:tcBorders>
              <w:top w:val="single" w:color="000000" w:sz="4" w:space="0"/>
              <w:left w:val="none" w:color="000000" w:sz="4" w:space="0"/>
              <w:bottom w:val="single" w:color="000000" w:sz="4" w:space="0"/>
              <w:right w:val="single" w:color="000000" w:sz="4" w:space="0"/>
            </w:tcBorders>
            <w:tcW w:w="487" w:type="pct"/>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显卡显示芯片核心频率</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≥300MHz</w:t>
            </w:r>
            <w:r/>
          </w:p>
        </w:tc>
      </w:tr>
      <w:tr>
        <w:trPr>
          <w:cantSplit/>
          <w:gridAfter w:val="1"/>
          <w:trHeight w:val="128"/>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67</w:t>
            </w:r>
            <w:r/>
          </w:p>
        </w:tc>
        <w:tc>
          <w:tcPr>
            <w:shd w:val="clear" w:color="auto" w:fill="ffffff"/>
            <w:tcBorders>
              <w:top w:val="single" w:color="000000" w:sz="4" w:space="0"/>
              <w:left w:val="none" w:color="000000" w:sz="4" w:space="0"/>
              <w:bottom w:val="single" w:color="000000" w:sz="4" w:space="0"/>
              <w:right w:val="single" w:color="000000" w:sz="4" w:space="0"/>
            </w:tcBorders>
            <w:tcW w:w="487" w:type="pct"/>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显存等效频率</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≥1000MT/s</w:t>
            </w:r>
            <w:r/>
          </w:p>
        </w:tc>
      </w:tr>
      <w:tr>
        <w:trPr>
          <w:cantSplit/>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68</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显卡可支持多屏同时显示数量</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显卡应支持 2 块屏幕同时显示，分辨率应不低于 1920×1080</w:t>
            </w:r>
            <w:r/>
          </w:p>
        </w:tc>
      </w:tr>
      <w:tr>
        <w:trPr>
          <w:cantSplit/>
          <w:gridAfter w:val="1"/>
          <w:trHeight w:val="25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69</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显示设备</w:t>
            </w:r>
            <w:r/>
          </w:p>
          <w:p>
            <w:pPr>
              <w:jc w:val="center"/>
              <w:rPr>
                <w:rFonts w:hint="eastAsia" w:ascii="宋体" w:hAnsi="宋体"/>
                <w:sz w:val="20"/>
                <w:szCs w:val="20"/>
              </w:rPr>
            </w:pPr>
            <w:r>
              <w:rPr>
                <w:rFonts w:ascii="宋体" w:hAnsi="宋体"/>
                <w:sz w:val="20"/>
                <w:szCs w:val="20"/>
              </w:rPr>
              <w:t xml:space="preserve">性能</w:t>
            </w:r>
            <w:r/>
          </w:p>
        </w:tc>
        <w:tc>
          <w:tcPr>
            <w:shd w:val="clear" w:color="auto" w:fill="ffffff"/>
            <w:tcBorders>
              <w:top w:val="non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显示屏刷新率</w:t>
            </w:r>
            <w:r/>
          </w:p>
        </w:tc>
        <w:tc>
          <w:tcPr>
            <w:shd w:val="clear" w:color="auto" w:fill="ffffff"/>
            <w:tcBorders>
              <w:top w:val="non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≥60Hz</w:t>
            </w:r>
            <w:r/>
          </w:p>
        </w:tc>
      </w:tr>
      <w:tr>
        <w:trPr>
          <w:cantSplit/>
          <w:gridAfter w:val="1"/>
          <w:trHeight w:val="161"/>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70</w:t>
            </w:r>
            <w:r/>
          </w:p>
        </w:tc>
        <w:tc>
          <w:tcPr>
            <w:shd w:val="clear" w:color="auto" w:fill="ffffff"/>
            <w:tcBorders>
              <w:top w:val="single" w:color="000000" w:sz="4" w:space="0"/>
              <w:left w:val="none" w:color="000000" w:sz="4" w:space="0"/>
              <w:bottom w:val="single" w:color="000000" w:sz="4" w:space="0"/>
              <w:right w:val="single" w:color="000000" w:sz="4" w:space="0"/>
            </w:tcBorders>
            <w:tcW w:w="487" w:type="pct"/>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none" w:color="000000" w:sz="4" w:space="0"/>
              <w:left w:val="non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显示屏位深</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≥8 位</w:t>
            </w:r>
            <w:r/>
          </w:p>
        </w:tc>
      </w:tr>
      <w:tr>
        <w:trPr>
          <w:cantSplit/>
          <w:gridAfter w:val="1"/>
          <w:trHeight w:val="149"/>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71</w:t>
            </w:r>
            <w:r/>
          </w:p>
        </w:tc>
        <w:tc>
          <w:tcPr>
            <w:shd w:val="clear" w:color="auto" w:fill="ffffff"/>
            <w:tcBorders>
              <w:top w:val="single" w:color="000000" w:sz="4" w:space="0"/>
              <w:left w:val="none" w:color="000000" w:sz="4" w:space="0"/>
              <w:bottom w:val="single" w:color="000000" w:sz="4" w:space="0"/>
              <w:right w:val="single" w:color="000000" w:sz="4" w:space="0"/>
            </w:tcBorders>
            <w:tcW w:w="487" w:type="pct"/>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none" w:color="000000" w:sz="4" w:space="0"/>
              <w:left w:val="non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显示屏色域</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≥99% sRGB</w:t>
            </w:r>
            <w:r/>
          </w:p>
        </w:tc>
      </w:tr>
      <w:tr>
        <w:trPr>
          <w:cantSplit/>
          <w:gridAfter w:val="1"/>
          <w:trHeight w:val="149"/>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72</w:t>
            </w:r>
            <w:r/>
          </w:p>
        </w:tc>
        <w:tc>
          <w:tcPr>
            <w:shd w:val="clear" w:color="auto" w:fill="ffffff"/>
            <w:tcBorders>
              <w:top w:val="single" w:color="000000" w:sz="4" w:space="0"/>
              <w:left w:val="none" w:color="000000" w:sz="4" w:space="0"/>
              <w:bottom w:val="single" w:color="000000" w:sz="4" w:space="0"/>
              <w:right w:val="single" w:color="000000" w:sz="4" w:space="0"/>
            </w:tcBorders>
            <w:tcW w:w="487" w:type="pct"/>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none" w:color="000000" w:sz="4" w:space="0"/>
              <w:left w:val="non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显示屏色准</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cs="Cambria Math"/>
                <w:i/>
                <w:iCs/>
                <w:sz w:val="20"/>
                <w:szCs w:val="20"/>
                <w:u w:val="single"/>
              </w:rPr>
              <w:t xml:space="preserve">△</w:t>
            </w:r>
            <w:r>
              <w:rPr>
                <w:rFonts w:ascii="宋体" w:hAnsi="宋体"/>
                <w:i/>
                <w:iCs/>
                <w:sz w:val="20"/>
                <w:szCs w:val="20"/>
                <w:u w:val="single"/>
              </w:rPr>
              <w:t xml:space="preserve">E ≤ 4</w:t>
            </w:r>
            <w:r/>
          </w:p>
        </w:tc>
      </w:tr>
      <w:tr>
        <w:trPr>
          <w:cantSplit/>
          <w:gridAfter w:val="1"/>
          <w:trHeight w:val="151"/>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73</w:t>
            </w:r>
            <w:r/>
          </w:p>
        </w:tc>
        <w:tc>
          <w:tcPr>
            <w:shd w:val="clear" w:color="auto" w:fill="ffffff"/>
            <w:tcBorders>
              <w:top w:val="single" w:color="000000" w:sz="4" w:space="0"/>
              <w:left w:val="none" w:color="000000" w:sz="4" w:space="0"/>
              <w:bottom w:val="single" w:color="000000" w:sz="4" w:space="0"/>
              <w:right w:val="single" w:color="000000" w:sz="4" w:space="0"/>
            </w:tcBorders>
            <w:tcW w:w="487" w:type="pct"/>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none" w:color="000000" w:sz="4" w:space="0"/>
              <w:left w:val="non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显示屏响应时间</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≤22ms</w:t>
            </w:r>
            <w:r/>
          </w:p>
        </w:tc>
      </w:tr>
      <w:tr>
        <w:trPr>
          <w:cantSplit/>
          <w:gridAfter w:val="1"/>
          <w:trHeight w:val="139"/>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74</w:t>
            </w:r>
            <w:r/>
          </w:p>
        </w:tc>
        <w:tc>
          <w:tcPr>
            <w:shd w:val="clear" w:color="auto" w:fill="ffffff"/>
            <w:tcBorders>
              <w:top w:val="single" w:color="000000" w:sz="4" w:space="0"/>
              <w:left w:val="none" w:color="000000" w:sz="4" w:space="0"/>
              <w:bottom w:val="single" w:color="000000" w:sz="4" w:space="0"/>
              <w:right w:val="single" w:color="000000" w:sz="4" w:space="0"/>
            </w:tcBorders>
            <w:tcW w:w="487" w:type="pct"/>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none" w:color="000000" w:sz="4" w:space="0"/>
              <w:left w:val="non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显示屏亮度</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≥250 尼特</w:t>
            </w:r>
            <w:r/>
          </w:p>
        </w:tc>
      </w:tr>
      <w:tr>
        <w:trPr>
          <w:cantSplit/>
          <w:gridAfter w:val="1"/>
          <w:trHeight w:val="161"/>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75</w:t>
            </w:r>
            <w:r/>
          </w:p>
        </w:tc>
        <w:tc>
          <w:tcPr>
            <w:shd w:val="clear" w:color="auto" w:fill="ffffff"/>
            <w:tcBorders>
              <w:top w:val="single" w:color="000000" w:sz="4" w:space="0"/>
              <w:left w:val="none" w:color="000000" w:sz="4" w:space="0"/>
              <w:bottom w:val="single" w:color="000000" w:sz="4" w:space="0"/>
              <w:right w:val="single" w:color="000000" w:sz="4" w:space="0"/>
            </w:tcBorders>
            <w:tcW w:w="487" w:type="pct"/>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none" w:color="000000" w:sz="4" w:space="0"/>
              <w:left w:val="non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显示屏亮度一致性</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≥70%</w:t>
            </w:r>
            <w:r/>
          </w:p>
        </w:tc>
      </w:tr>
      <w:tr>
        <w:trPr>
          <w:cantSplit/>
          <w:gridAfter w:val="1"/>
          <w:trHeight w:val="207"/>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76</w:t>
            </w:r>
            <w:r/>
          </w:p>
        </w:tc>
        <w:tc>
          <w:tcPr>
            <w:shd w:val="clear" w:color="auto" w:fill="ffffff"/>
            <w:tcBorders>
              <w:top w:val="single" w:color="000000" w:sz="4" w:space="0"/>
              <w:left w:val="none" w:color="000000" w:sz="4" w:space="0"/>
              <w:bottom w:val="single" w:color="000000" w:sz="4" w:space="0"/>
              <w:right w:val="single" w:color="000000" w:sz="4" w:space="0"/>
            </w:tcBorders>
            <w:tcW w:w="487" w:type="pct"/>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none" w:color="000000" w:sz="4" w:space="0"/>
              <w:left w:val="non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显示屏对比度</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≥1000：1</w:t>
            </w:r>
            <w:r/>
          </w:p>
        </w:tc>
      </w:tr>
      <w:tr>
        <w:trPr>
          <w:cantSplit/>
          <w:gridAfter w:val="1"/>
          <w:trHeight w:val="161"/>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77</w:t>
            </w:r>
            <w:r/>
          </w:p>
        </w:tc>
        <w:tc>
          <w:tcPr>
            <w:shd w:val="clear" w:color="auto" w:fill="ffffff"/>
            <w:tcBorders>
              <w:top w:val="single" w:color="000000" w:sz="4" w:space="0"/>
              <w:left w:val="none" w:color="000000" w:sz="4" w:space="0"/>
              <w:bottom w:val="single" w:color="000000" w:sz="4" w:space="0"/>
              <w:right w:val="single" w:color="000000" w:sz="4" w:space="0"/>
            </w:tcBorders>
            <w:tcW w:w="487" w:type="pct"/>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none" w:color="000000" w:sz="4" w:space="0"/>
              <w:left w:val="non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textDirection w:val="lrTb"/>
            <w:noWrap w:val="false"/>
          </w:tcPr>
          <w:p>
            <w:pPr>
              <w:jc w:val="center"/>
              <w:rPr>
                <w:rFonts w:hint="eastAsia" w:ascii="宋体" w:hAnsi="宋体"/>
                <w:sz w:val="20"/>
                <w:szCs w:val="20"/>
              </w:rPr>
            </w:pPr>
            <w:r>
              <w:rPr>
                <w:rFonts w:ascii="宋体" w:hAnsi="宋体"/>
                <w:sz w:val="20"/>
                <w:szCs w:val="20"/>
              </w:rPr>
              <w:t xml:space="preserve">显示屏其他参数</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其它参数应符合SJ/T 11292 的相关规定</w:t>
            </w:r>
            <w:r/>
          </w:p>
        </w:tc>
      </w:tr>
      <w:tr>
        <w:trPr>
          <w:cantSplit/>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78</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网络设备性能</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有线网卡速率</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最高速率不低于 1000Mbps，支持10Mbps、100Mbps、1000Mbps 速率自适应</w:t>
            </w:r>
            <w:r/>
          </w:p>
        </w:tc>
      </w:tr>
      <w:tr>
        <w:trPr>
          <w:cantSplit/>
          <w:gridAfter w:val="1"/>
          <w:trHeight w:val="84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79</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支持无线网络通信技术协议</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sz w:val="20"/>
                <w:szCs w:val="20"/>
              </w:rPr>
            </w:pPr>
            <w:r>
              <w:rPr>
                <w:rFonts w:ascii="宋体" w:hAnsi="宋体"/>
                <w:sz w:val="20"/>
                <w:szCs w:val="20"/>
              </w:rPr>
              <w:t xml:space="preserve">支持WiFi5.0 及以上协议</w:t>
            </w:r>
            <w:r/>
          </w:p>
        </w:tc>
      </w:tr>
      <w:tr>
        <w:trPr>
          <w:gridAfter w:val="1"/>
          <w:trHeight w:val="276"/>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80</w:t>
            </w:r>
            <w:r/>
          </w:p>
        </w:tc>
        <w:tc>
          <w:tcPr>
            <w:shd w:val="clear" w:color="auto" w:fill="ffffff"/>
            <w:tcBorders>
              <w:top w:val="single" w:color="000000" w:sz="4" w:space="0"/>
              <w:left w:val="none" w:color="000000" w:sz="4" w:space="0"/>
              <w:bottom w:val="single" w:color="000000" w:sz="4" w:space="0"/>
              <w:right w:val="single" w:color="000000" w:sz="4" w:space="0"/>
            </w:tcBorders>
            <w:tcW w:w="487" w:type="pct"/>
            <w:textDirection w:val="lrTb"/>
            <w:noWrap w:val="false"/>
          </w:tcPr>
          <w:p>
            <w:pPr>
              <w:jc w:val="center"/>
              <w:rPr>
                <w:rFonts w:hint="eastAsia" w:ascii="宋体" w:hAnsi="宋体"/>
                <w:sz w:val="20"/>
                <w:szCs w:val="20"/>
              </w:rPr>
            </w:pPr>
            <w:r>
              <w:rPr>
                <w:rFonts w:ascii="宋体" w:hAnsi="宋体"/>
                <w:sz w:val="20"/>
                <w:szCs w:val="20"/>
              </w:rPr>
              <w:t xml:space="preserve">性能要求</w:t>
            </w:r>
            <w:r/>
          </w:p>
        </w:tc>
        <w:tc>
          <w:tcPr>
            <w:tcBorders>
              <w:top w:val="single" w:color="000000" w:sz="4" w:space="0"/>
              <w:left w:val="single" w:color="000000" w:sz="4" w:space="0"/>
              <w:bottom w:val="single" w:color="000000" w:sz="4" w:space="0"/>
              <w:right w:val="single" w:color="000000" w:sz="4" w:space="0"/>
            </w:tcBorders>
            <w:tcW w:w="487" w:type="pct"/>
            <w:textDirection w:val="lrTb"/>
            <w:noWrap w:val="false"/>
          </w:tcPr>
          <w:p>
            <w:pPr>
              <w:jc w:val="center"/>
              <w:rPr>
                <w:rFonts w:hint="eastAsia" w:ascii="宋体" w:hAnsi="宋体"/>
                <w:sz w:val="20"/>
                <w:szCs w:val="20"/>
              </w:rPr>
            </w:pPr>
            <w:r>
              <w:rPr>
                <w:rFonts w:ascii="宋体" w:hAnsi="宋体"/>
                <w:sz w:val="20"/>
                <w:szCs w:val="20"/>
              </w:rPr>
              <w:t xml:space="preserve">电源适配器性能</w:t>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电源适配器电源效率</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在 20%/50%/100%负载下效率均应不低于 87%</w:t>
            </w:r>
            <w:r/>
          </w:p>
        </w:tc>
      </w:tr>
      <w:tr>
        <w:trPr>
          <w:cantSplit/>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81</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主板功能</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内存扩展接口</w:t>
            </w:r>
            <w:r>
              <w:rPr>
                <w:rFonts w:ascii="宋体" w:hAnsi="宋体"/>
                <w:sz w:val="20"/>
                <w:szCs w:val="20"/>
              </w:rPr>
              <w:t xml:space="preserve">(板载内存不涉及)</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≥1个插槽</w:t>
            </w:r>
            <w:r/>
          </w:p>
        </w:tc>
      </w:tr>
      <w:tr>
        <w:trPr>
          <w:cantSplit/>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82</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存储扩展接口</w:t>
            </w:r>
            <w:r>
              <w:rPr>
                <w:rFonts w:ascii="宋体" w:hAnsi="宋体"/>
                <w:sz w:val="20"/>
                <w:szCs w:val="20"/>
              </w:rPr>
              <w:t xml:space="preserve">(板载存储不涉及)</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支持M.2接口</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83</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主板USB 瞬间过流保护</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支持瞬间过流保护功能</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84</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主板防静电保护</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支持防静电保护功能</w:t>
            </w:r>
            <w:r/>
          </w:p>
        </w:tc>
      </w:tr>
      <w:tr>
        <w:trPr>
          <w:cantSplit/>
          <w:gridAfter w:val="1"/>
          <w:trHeight w:val="1459"/>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85</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I/O 接口功能</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内置或通过扩展坞支持数据传输 接口、视频接口、音频接口、网络接口、电源接口等各类标准接口，具备接入键盘、鼠标、写字板等外设的能力</w:t>
            </w:r>
            <w:r/>
          </w:p>
        </w:tc>
      </w:tr>
      <w:tr>
        <w:trPr>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86</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显卡功能</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显卡外接显示接口</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显卡至少支持 VGA、HDMI、DVI、DP、 Type-C 中 1 种显示接口</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87</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显示设备功能</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显示器支架</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提供显示器支架</w:t>
            </w:r>
            <w:r/>
          </w:p>
        </w:tc>
      </w:tr>
      <w:tr>
        <w:trPr>
          <w:cantSplit/>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88</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显示器参数调节</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sz w:val="20"/>
                <w:szCs w:val="20"/>
              </w:rPr>
            </w:pPr>
            <w:r>
              <w:rPr>
                <w:rFonts w:ascii="宋体" w:hAnsi="宋体"/>
                <w:sz w:val="20"/>
                <w:szCs w:val="20"/>
              </w:rPr>
              <w:t xml:space="preserve">支持色温、亮度、对比度等显示参数调节</w:t>
            </w:r>
            <w:r/>
          </w:p>
        </w:tc>
      </w:tr>
      <w:tr>
        <w:trPr>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89</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存储功能</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存储功能</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支持信息存储功能，包括支持易失性存储功能和非易失性存储功能。为提升存储性能和降低存储功耗，非易失性存储宜支持固态存储设 备，如 SSD/UFS。 产品应支持外出接口可以与独立 的存储设备进行数据交互</w:t>
            </w:r>
            <w:r/>
          </w:p>
        </w:tc>
      </w:tr>
      <w:tr>
        <w:trPr>
          <w:cantSplit/>
          <w:gridAfter w:val="1"/>
          <w:trHeight w:val="624"/>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90</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网络设备功能</w:t>
            </w:r>
            <w:r/>
          </w:p>
        </w:tc>
        <w:tc>
          <w:tcPr>
            <w:shd w:val="clear" w:color="auto" w:fill="ffffff"/>
            <w:tcBorders>
              <w:top w:val="non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网络功能</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支持网络连接、网络开启/关闭功能；</w:t>
            </w:r>
            <w:r/>
          </w:p>
          <w:p>
            <w:pPr>
              <w:jc w:val="center"/>
              <w:rPr>
                <w:rFonts w:hint="eastAsia" w:ascii="宋体" w:hAnsi="宋体"/>
                <w:i/>
                <w:iCs/>
                <w:sz w:val="20"/>
                <w:szCs w:val="20"/>
                <w:u w:val="single"/>
              </w:rPr>
            </w:pPr>
            <w:r>
              <w:rPr>
                <w:rFonts w:ascii="宋体" w:hAnsi="宋体"/>
                <w:i/>
                <w:iCs/>
                <w:sz w:val="20"/>
                <w:szCs w:val="20"/>
                <w:u w:val="single"/>
              </w:rPr>
              <w:t xml:space="preserve">支持访问网络和数据交换功能</w:t>
            </w:r>
            <w:r/>
          </w:p>
        </w:tc>
      </w:tr>
      <w:tr>
        <w:trPr>
          <w:cantSplit/>
          <w:gridAfter w:val="1"/>
          <w:trHeight w:val="285"/>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91</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数据传输</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支持数据传输能力，并提供数据流量和异常日志记录功能</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92</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蓝牙协议</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支持蓝牙模块，蓝牙协议不低于 5.0 版本</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93</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有线网卡接口类型</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 RJ45 接口</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94</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网络设备拆装</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网络设备应支持物理拆装，包括无线网卡和蓝牙模块等</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95</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外部接口功能</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音频接口类型</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 3.5mm 孔径 4 段式接口</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96</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视频接口类型</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至少支持 VGA、HDMI、DVI、DP、 Type-C 中 1 种显示接口</w:t>
            </w:r>
            <w:r/>
          </w:p>
        </w:tc>
      </w:tr>
      <w:tr>
        <w:trPr>
          <w:cantSplit/>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97</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HDMI、DP、Type-C显示接口要求</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若提供HDMI 或DP 或 Type-C 作为显示接口，应支持音频和视频同步输出</w:t>
            </w:r>
            <w:r/>
          </w:p>
        </w:tc>
      </w:tr>
      <w:tr>
        <w:trPr>
          <w:cantSplit/>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98</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其他接口</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产品支持COM口</w:t>
            </w:r>
            <w:r/>
          </w:p>
        </w:tc>
      </w:tr>
      <w:tr>
        <w:trPr>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99</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电源功能</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电源线适配能力</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符合GB 15934-2008</w:t>
            </w:r>
            <w:r/>
          </w:p>
          <w:p>
            <w:pPr>
              <w:jc w:val="center"/>
              <w:rPr>
                <w:rFonts w:hint="eastAsia" w:ascii="宋体" w:hAnsi="宋体"/>
                <w:i/>
                <w:iCs/>
                <w:sz w:val="20"/>
                <w:szCs w:val="20"/>
                <w:u w:val="single"/>
              </w:rPr>
            </w:pPr>
            <w:r>
              <w:rPr>
                <w:rFonts w:ascii="宋体" w:hAnsi="宋体"/>
                <w:i/>
                <w:iCs/>
                <w:sz w:val="20"/>
                <w:szCs w:val="20"/>
                <w:u w:val="single"/>
              </w:rPr>
              <w:t xml:space="preserve">对于可拆线插头GB15934 不做要求</w:t>
            </w:r>
            <w:r/>
          </w:p>
        </w:tc>
      </w:tr>
      <w:tr>
        <w:trPr>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100</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中文信息处理</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中文信息处理要求</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符合 GB 18030 的相关规定</w:t>
            </w:r>
            <w:r/>
          </w:p>
        </w:tc>
      </w:tr>
      <w:tr>
        <w:trPr>
          <w:cantSplit/>
          <w:gridAfter w:val="1"/>
          <w:trHeight w:val="43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101</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操作系统及软件功能</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操作系统备份及还原功能</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支持操作系统备份及还原功能</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102</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固件备份还原能力</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支持备份及还原固件的功能</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103</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操作系统及驱动升级</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支持通过网络、闪存盘等方式对操作系统、驱动进行升级</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104</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固件升级</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支持通过网络、闪存盘等方式对固件进行升</w:t>
            </w:r>
            <w:r>
              <w:rPr>
                <w:rFonts w:ascii="宋体" w:hAnsi="宋体"/>
                <w:i/>
                <w:iCs/>
                <w:sz w:val="20"/>
                <w:szCs w:val="20"/>
                <w:u w:val="single"/>
              </w:rPr>
              <w:t xml:space="preserve">级</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105</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BIOS 支持关闭通讯接口</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 BIOS 关闭以太网及 USB 接口</w:t>
            </w:r>
            <w:r/>
          </w:p>
        </w:tc>
      </w:tr>
      <w:tr>
        <w:trPr>
          <w:cantSplit/>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106</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固件查看信息</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支持查看固件版本、内存信息、主板信息、处理器信息和系统时间信息等功能</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107</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固件设置启动顺序</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支持设置启动顺序功能，并按照设置的启动顺序启动</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108</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固件设置口令</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支持设置口令、修改口令、验证口令功能</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109</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功能要求</w:t>
            </w:r>
            <w:r/>
          </w:p>
        </w:tc>
        <w:tc>
          <w:tcPr>
            <w:tcBorders>
              <w:top w:val="singl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固件设置网络引导</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支持网络引导启动和关闭功能</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110</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可靠性要求</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存储设备可靠性</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固态存储寿命</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sz w:val="20"/>
                <w:szCs w:val="20"/>
              </w:rPr>
            </w:pPr>
            <w:r>
              <w:rPr>
                <w:rFonts w:ascii="宋体" w:hAnsi="宋体"/>
                <w:sz w:val="20"/>
                <w:szCs w:val="20"/>
              </w:rPr>
              <w:t xml:space="preserve">TBW ≥ 80TB（条件：240GB 硬盘容量）</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111</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机械硬盘寿命</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sz w:val="20"/>
                <w:szCs w:val="20"/>
              </w:rPr>
            </w:pPr>
            <w:r>
              <w:rPr>
                <w:rFonts w:ascii="宋体" w:hAnsi="宋体"/>
                <w:sz w:val="20"/>
                <w:szCs w:val="20"/>
              </w:rPr>
              <w:t xml:space="preserve">通电时间≥5 万小时</w:t>
            </w:r>
            <w:r/>
          </w:p>
        </w:tc>
      </w:tr>
      <w:tr>
        <w:trPr>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112</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可靠性要求</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显示设备可靠性</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显示屏屏幕失效点</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符合 GB/T 9813.2 的要求</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113</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可靠性要求</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外设可靠性</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键盘按键寿命</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≥1000 万次</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114</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鼠标按键寿命</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≥500 万次</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115</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键盘鼠标线材寿命</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键盘鼠标所用线材经±60 °弯折不低于 3000 次，功能、外观完好</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116</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风扇寿命</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≥4 万小时</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117</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可靠性要求</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整机可靠性要求</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电磁兼容性要求的抗扰度</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符合 GB/T 9254.2 的规定</w:t>
            </w:r>
            <w:r/>
          </w:p>
        </w:tc>
      </w:tr>
      <w:tr>
        <w:trPr>
          <w:cantSplit/>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118</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环境条件要求的气候环境适应性</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符合 GB/T 9813.1 中规定</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119</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环境条件要求的振动适应性</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符合 GB/T 9813.1 中规定</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120</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环境条件要求的冲击适应性</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符合 GB/T 9813.1 中规定</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121</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环境条件要求的碰撞适应性</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符合 GB/T 9813.1 中规定</w:t>
            </w:r>
            <w:r/>
          </w:p>
        </w:tc>
      </w:tr>
      <w:tr>
        <w:trPr>
          <w:cantSplit/>
          <w:gridAfter w:val="1"/>
          <w:trHeight w:val="52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122</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环境条件要求的运输包装件跌落适应性</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符合 GB/T 9813.1 中规定</w:t>
            </w:r>
            <w:r/>
          </w:p>
        </w:tc>
      </w:tr>
      <w:tr>
        <w:trPr>
          <w:cantSplit/>
          <w:gridAfter w:val="1"/>
          <w:trHeight w:val="52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123</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MTBF测试标准</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sz w:val="20"/>
                <w:szCs w:val="20"/>
              </w:rPr>
            </w:pPr>
            <w:r>
              <w:rPr>
                <w:rFonts w:ascii="宋体" w:hAnsi="宋体"/>
                <w:sz w:val="20"/>
                <w:szCs w:val="20"/>
              </w:rPr>
              <w:t xml:space="preserve">MTBF</w:t>
            </w:r>
            <w:r>
              <w:rPr>
                <w:rFonts w:ascii="宋体" w:hAnsi="宋体"/>
                <w:sz w:val="20"/>
                <w:szCs w:val="20"/>
              </w:rPr>
              <w:t xml:space="preserve">(m1)</w:t>
            </w:r>
            <w:r>
              <w:rPr>
                <w:rFonts w:ascii="宋体" w:hAnsi="宋体"/>
                <w:sz w:val="20"/>
                <w:szCs w:val="20"/>
              </w:rPr>
              <w:t xml:space="preserve">≥100万小时</w:t>
            </w:r>
            <w:r/>
          </w:p>
        </w:tc>
      </w:tr>
      <w:tr>
        <w:trPr>
          <w:cantSplit/>
          <w:gridAfter w:val="1"/>
          <w:trHeight w:val="327"/>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124</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兼容要求</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兼容要求</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常用软件兼容</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支持流式软件、版式软件、浏览器、邮件客户端、解压软件、多媒体、图形图像处理等常用软件</w:t>
            </w:r>
            <w:r/>
          </w:p>
        </w:tc>
      </w:tr>
      <w:tr>
        <w:trPr>
          <w:cantSplit/>
          <w:gridAfter w:val="1"/>
          <w:trHeight w:val="749"/>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125</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兼容要求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数据库兼容</w:t>
            </w:r>
            <w:r/>
          </w:p>
        </w:tc>
        <w:tc>
          <w:tcPr>
            <w:shd w:val="clear" w:color="auto" w:fill="ffffff"/>
            <w:tcBorders>
              <w:top w:val="singl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兼容 3 个及以上厂商的数据库产品</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126</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兼容要求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中间件兼容</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兼容 3 个及以上厂商中间件产品</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127</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兼容要求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平台软件兼容</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兼容 3 个及以上厂商云计算及大数据平台</w:t>
            </w:r>
            <w:r/>
          </w:p>
        </w:tc>
      </w:tr>
      <w:tr>
        <w:trPr>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128</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包装及运输要求</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包装及运输要求</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标志、包装、运输和贮存</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符合 GB/T 9813.1 和商品包装政府采购需求标准的相关规定</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129</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服务要求</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服务要求</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配置检查工具</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供应商提供自检测试工具</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130</w:t>
            </w:r>
            <w:r/>
          </w:p>
        </w:tc>
        <w:tc>
          <w:tcPr>
            <w:tcBorders>
              <w:top w:val="none" w:color="000000" w:sz="4" w:space="0"/>
              <w:left w:val="singl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服务响应</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提供产品 3 年维保及上门服务（满足同城 4 小时、异地 12 小时响应要求）；</w:t>
            </w:r>
            <w:r/>
          </w:p>
          <w:p>
            <w:pPr>
              <w:jc w:val="center"/>
              <w:rPr>
                <w:rFonts w:hint="eastAsia" w:ascii="宋体" w:hAnsi="宋体"/>
                <w:i/>
                <w:iCs/>
                <w:sz w:val="20"/>
                <w:szCs w:val="20"/>
                <w:u w:val="single"/>
              </w:rPr>
            </w:pPr>
            <w:r>
              <w:rPr>
                <w:rFonts w:ascii="宋体" w:hAnsi="宋体"/>
                <w:i/>
                <w:iCs/>
                <w:sz w:val="20"/>
                <w:szCs w:val="20"/>
                <w:u w:val="single"/>
              </w:rPr>
              <w:t xml:space="preserve">提供政企专线 7*24 在线服务；</w:t>
            </w:r>
            <w:r/>
          </w:p>
          <w:p>
            <w:pPr>
              <w:jc w:val="center"/>
              <w:rPr>
                <w:rFonts w:hint="eastAsia" w:ascii="宋体" w:hAnsi="宋体"/>
                <w:i/>
                <w:iCs/>
                <w:sz w:val="20"/>
                <w:szCs w:val="20"/>
                <w:u w:val="single"/>
              </w:rPr>
            </w:pPr>
            <w:r>
              <w:rPr>
                <w:rFonts w:ascii="宋体" w:hAnsi="宋体"/>
                <w:i/>
                <w:iCs/>
                <w:sz w:val="20"/>
                <w:szCs w:val="20"/>
                <w:u w:val="single"/>
              </w:rPr>
              <w:t xml:space="preserve">现场保障技术服务团队员，国内上门服务地</w:t>
            </w:r>
            <w:r>
              <w:rPr>
                <w:rFonts w:ascii="宋体" w:hAnsi="宋体"/>
                <w:i/>
                <w:iCs/>
                <w:sz w:val="20"/>
                <w:szCs w:val="20"/>
                <w:u w:val="single"/>
              </w:rPr>
              <w:t xml:space="preserve">级市覆盖率达 100%</w:t>
            </w:r>
            <w:r/>
          </w:p>
        </w:tc>
      </w:tr>
      <w:tr>
        <w:trPr>
          <w:cantSplit/>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hint="eastAsia" w:ascii="宋体" w:hAnsi="宋体"/>
                <w:sz w:val="20"/>
                <w:szCs w:val="20"/>
              </w:rPr>
              <w:t xml:space="preserve">131</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预装操作系统</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预装正版操作系统，预装的操作系统符合《操作系统政府采购需求标准（2023 年版）》中桌面操作系统政府采购需求标准的所有加*指标要求</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132</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培训服务</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供应商提供培训材料、产品手册、培训视频等培训相关内容</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133</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典型问题解决手册</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供应商提供典型问题解决说明文档或视频</w:t>
            </w:r>
            <w:r/>
          </w:p>
        </w:tc>
      </w:tr>
      <w:tr>
        <w:trPr>
          <w:cantSplit/>
          <w:gridAfter w:val="1"/>
          <w:trHeight w:val="155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134</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厂家升级软件与扩容服务</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供应商提供上门升级部件/软件与扩容的增值服务</w:t>
            </w:r>
            <w:r/>
          </w:p>
        </w:tc>
      </w:tr>
      <w:tr>
        <w:trPr>
          <w:cantSplit/>
          <w:trHeight w:val="553"/>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135</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hint="eastAsia" w:ascii="宋体" w:hAnsi="宋体"/>
                <w:sz w:val="20"/>
                <w:szCs w:val="20"/>
              </w:rPr>
              <w:t xml:space="preserve">保修方式</w:t>
            </w:r>
            <w:r/>
          </w:p>
        </w:tc>
        <w:tc>
          <w:tcPr>
            <w:shd w:val="clear" w:color="000000" w:fill="ffffff"/>
            <w:tcBorders>
              <w:top w:val="singl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提供免费上门点对点保修服务</w:t>
            </w:r>
            <w:r/>
          </w:p>
        </w:tc>
        <w:tc>
          <w:tcPr>
            <w:shd w:val="clear" w:color="auto" w:fill="ffffff"/>
            <w:tcBorders>
              <w:top w:val="none" w:color="000000" w:sz="4" w:space="0"/>
              <w:left w:val="none" w:color="000000" w:sz="4" w:space="0"/>
              <w:bottom w:val="none" w:color="000000" w:sz="4" w:space="0"/>
              <w:right w:val="none" w:color="000000" w:sz="4" w:space="0"/>
            </w:tcBorders>
            <w:tcW w:w="157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136</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合格证书要求</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供应商提供产品合格证</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137</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开箱组装/使用指导要求</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供应商提供开箱组装/使用指导</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138</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驱动下载服务要求</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供应商提供驱动光盘或下载方式</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139</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兼容适配软件下载服务要求</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供应商提供兼容适配软件下载渠道（光盘、网站）</w:t>
            </w:r>
            <w:r/>
          </w:p>
        </w:tc>
      </w:tr>
      <w:tr>
        <w:trPr>
          <w:cantSplit/>
          <w:gridAfter w:val="1"/>
          <w:trHeight w:val="55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140</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跨架构平台应用兼容</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能够支持跨架构平台应用兼容</w:t>
            </w:r>
            <w:r/>
          </w:p>
        </w:tc>
      </w:tr>
      <w:tr>
        <w:trPr>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141</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供应保障要求</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供应链合规性</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产品部件保障</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保障产品主要部件提供 6年的备件服务能力</w:t>
            </w:r>
            <w:r>
              <w:rPr>
                <w:rFonts w:ascii="宋体" w:hAnsi="宋体"/>
                <w:i/>
                <w:iCs/>
                <w:sz w:val="20"/>
                <w:szCs w:val="20"/>
                <w:u w:val="single"/>
              </w:rPr>
              <w:t xml:space="preserve">(自购买之日起)</w:t>
            </w:r>
            <w:r>
              <w:rPr>
                <w:rFonts w:ascii="宋体" w:hAnsi="宋体"/>
                <w:i/>
                <w:iCs/>
                <w:sz w:val="20"/>
                <w:szCs w:val="20"/>
                <w:u w:val="single"/>
              </w:rPr>
              <w:t xml:space="preserve">，或提供可兼容原设备的升级换代产品</w:t>
            </w:r>
            <w:r/>
          </w:p>
        </w:tc>
      </w:tr>
      <w:tr>
        <w:trPr>
          <w:cantSplit/>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142</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供应保障要求</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供应链质量</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抗干扰性</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当产品部件出现供应风险时，供应商应通知客户并提供风险应对方 案确保产品的服务保障，必要时应停止相关受影响产品的销售</w:t>
            </w:r>
            <w:r/>
          </w:p>
        </w:tc>
      </w:tr>
      <w:tr>
        <w:trPr>
          <w:cantSplit/>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143</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供应保障要求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供应能力证明</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供应商提供供应链稳定承诺书，确保产品的部件在产品服务周期内稳定供货</w:t>
            </w:r>
            <w:r/>
          </w:p>
        </w:tc>
      </w:tr>
      <w:tr>
        <w:trPr>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144</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安全要求</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关键部件安全要求</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关键部件安全要求</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CPU和操作系统等关键部件应当符合安全可靠测评要求</w:t>
            </w:r>
            <w:r/>
          </w:p>
        </w:tc>
      </w:tr>
      <w:tr>
        <w:trPr>
          <w:cantSplit/>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145</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安全要求</w:t>
            </w:r>
            <w:r/>
          </w:p>
        </w:tc>
        <w:tc>
          <w:tcPr>
            <w:shd w:val="clear" w:color="auto" w:fill="ffffff"/>
            <w:tcBorders>
              <w:top w:val="none" w:color="000000" w:sz="4" w:space="0"/>
              <w:left w:val="single" w:color="000000" w:sz="4" w:space="0"/>
              <w:bottom w:val="single" w:color="000000" w:sz="4" w:space="0"/>
              <w:right w:val="single" w:color="000000" w:sz="4" w:space="0"/>
            </w:tcBorders>
            <w:tcW w:w="487"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整机安全性要求</w:t>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密码算法实现</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CPU芯片应符合GM/T 0008 的相关规定，或芯片密码模块符合 GB/T 37092 或GM/T 0028 的相关规定</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146</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安全要求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USB 端口管控</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 USB 端口管控</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147</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安全要求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安全物理锁</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支持安全物理锁</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148</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安全要求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single" w:color="000000" w:sz="4" w:space="0"/>
              <w:bottom w:val="single" w:color="000000" w:sz="4" w:space="0"/>
              <w:right w:val="single" w:color="000000" w:sz="4" w:space="0"/>
            </w:tcBorders>
            <w:tcW w:w="661" w:type="pct"/>
            <w:vAlign w:val="center"/>
            <w:vMerge w:val="restart"/>
            <w:textDirection w:val="lrTb"/>
            <w:noWrap w:val="false"/>
          </w:tcPr>
          <w:p>
            <w:pPr>
              <w:jc w:val="center"/>
              <w:rPr>
                <w:rFonts w:hint="eastAsia" w:ascii="宋体" w:hAnsi="宋体"/>
                <w:sz w:val="20"/>
                <w:szCs w:val="20"/>
              </w:rPr>
            </w:pPr>
            <w:r>
              <w:rPr>
                <w:rFonts w:ascii="宋体" w:hAnsi="宋体"/>
                <w:sz w:val="20"/>
                <w:szCs w:val="20"/>
              </w:rPr>
              <w:t xml:space="preserve">信息安全基本要求</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应符合 GB/T 39276 的 5.2 的规定；</w:t>
            </w:r>
            <w:r/>
          </w:p>
        </w:tc>
      </w:tr>
      <w:tr>
        <w:trPr>
          <w:cantSplit/>
          <w:gridAfter w:val="1"/>
          <w:trHeight w:val="480"/>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149</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安全要求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生产厂商应建立漏洞跟踪表，保证产品版本涉及到的漏洞</w:t>
            </w:r>
            <w:r>
              <w:rPr>
                <w:rFonts w:ascii="宋体" w:hAnsi="宋体"/>
                <w:i/>
                <w:iCs/>
                <w:sz w:val="20"/>
                <w:szCs w:val="20"/>
                <w:u w:val="single"/>
              </w:rPr>
              <w:t xml:space="preserve">(如驱动程序等)</w:t>
            </w:r>
            <w:r>
              <w:rPr>
                <w:rFonts w:ascii="宋体" w:hAnsi="宋体"/>
                <w:i/>
                <w:iCs/>
                <w:sz w:val="20"/>
                <w:szCs w:val="20"/>
                <w:u w:val="single"/>
              </w:rPr>
              <w:t xml:space="preserve">可查；</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150</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安全要求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tcBorders>
              <w:top w:val="non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产品不得包含已知的恶意代码或漏洞，不存在未声明的指令、功能、接口</w:t>
            </w:r>
            <w:r/>
          </w:p>
        </w:tc>
      </w:tr>
      <w:tr>
        <w:trPr>
          <w:cantSplit/>
          <w:gridAfter w:val="1"/>
          <w:trHeight w:val="285"/>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151</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安全要求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none" w:color="000000" w:sz="4" w:space="0"/>
              <w:left w:val="non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固件安全启动</w:t>
            </w:r>
            <w:r/>
          </w:p>
        </w:tc>
        <w:tc>
          <w:tcPr>
            <w:shd w:val="clear" w:color="auto" w:fill="ffffff"/>
            <w:tcBorders>
              <w:top w:val="none" w:color="000000" w:sz="4" w:space="0"/>
              <w:left w:val="non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支持固件安全启动功能，固件启动过程中只有通过启动校验才能正常启动</w:t>
            </w:r>
            <w:r/>
          </w:p>
        </w:tc>
      </w:tr>
      <w:tr>
        <w:trPr>
          <w:cantSplit/>
          <w:gridAfter w:val="1"/>
          <w:trHeight w:val="604"/>
        </w:trPr>
        <w:tc>
          <w:tcPr>
            <w:shd w:val="clear" w:color="auto" w:fill="ffffff"/>
            <w:tcBorders>
              <w:top w:val="non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152</w:t>
            </w:r>
            <w:r/>
          </w:p>
        </w:tc>
        <w:tc>
          <w:tcPr>
            <w:shd w:val="clear" w:color="auto" w:fill="ffffff"/>
            <w:tcBorders>
              <w:top w:val="non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安全要求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产品认证</w:t>
            </w:r>
            <w:r/>
          </w:p>
        </w:tc>
        <w:tc>
          <w:tcPr>
            <w:shd w:val="clear" w:color="auto" w:fill="ffffff"/>
            <w:tcBorders>
              <w:top w:val="single" w:color="000000" w:sz="4" w:space="0"/>
              <w:left w:val="singl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i/>
                <w:iCs/>
                <w:sz w:val="20"/>
                <w:szCs w:val="20"/>
                <w:u w:val="single"/>
              </w:rPr>
              <w:t xml:space="preserve">符合GB/T 26572 中规定</w:t>
            </w:r>
            <w:r/>
          </w:p>
        </w:tc>
      </w:tr>
      <w:tr>
        <w:trPr>
          <w:cantSplit/>
          <w:gridAfter w:val="1"/>
          <w:trHeight w:val="493"/>
        </w:trPr>
        <w:tc>
          <w:tcPr>
            <w:shd w:val="clear" w:color="auto" w:fill="ffffff"/>
            <w:tcBorders>
              <w:top w:val="single" w:color="000000" w:sz="4" w:space="0"/>
              <w:left w:val="single" w:color="000000" w:sz="4" w:space="0"/>
              <w:bottom w:val="single" w:color="000000" w:sz="4" w:space="0"/>
              <w:right w:val="single" w:color="000000" w:sz="4" w:space="0"/>
            </w:tcBorders>
            <w:tcW w:w="212" w:type="pct"/>
            <w:vAlign w:val="center"/>
            <w:textDirection w:val="lrTb"/>
            <w:noWrap w:val="false"/>
          </w:tcPr>
          <w:p>
            <w:pPr>
              <w:jc w:val="center"/>
              <w:rPr>
                <w:rFonts w:hint="eastAsia" w:ascii="宋体" w:hAnsi="宋体"/>
                <w:sz w:val="20"/>
                <w:szCs w:val="20"/>
              </w:rPr>
            </w:pPr>
            <w:r>
              <w:rPr>
                <w:rFonts w:ascii="宋体" w:hAnsi="宋体"/>
                <w:sz w:val="20"/>
                <w:szCs w:val="20"/>
              </w:rPr>
              <w:t xml:space="preserve">153</w:t>
            </w:r>
            <w:r/>
          </w:p>
        </w:tc>
        <w:tc>
          <w:tcPr>
            <w:shd w:val="clear" w:color="auto" w:fill="ffffff"/>
            <w:tcBorders>
              <w:top w:val="single" w:color="000000" w:sz="4" w:space="0"/>
              <w:left w:val="none" w:color="000000" w:sz="4" w:space="0"/>
              <w:bottom w:val="single" w:color="000000" w:sz="4" w:space="0"/>
              <w:right w:val="single" w:color="000000" w:sz="4" w:space="0"/>
            </w:tcBorders>
            <w:tcW w:w="487" w:type="pct"/>
            <w:vAlign w:val="center"/>
            <w:textDirection w:val="lrTb"/>
            <w:noWrap w:val="false"/>
          </w:tcPr>
          <w:p>
            <w:pPr>
              <w:jc w:val="center"/>
              <w:rPr>
                <w:rFonts w:hint="eastAsia" w:ascii="宋体" w:hAnsi="宋体"/>
                <w:sz w:val="20"/>
                <w:szCs w:val="20"/>
              </w:rPr>
            </w:pPr>
            <w:r>
              <w:rPr>
                <w:rFonts w:ascii="宋体" w:hAnsi="宋体"/>
                <w:sz w:val="20"/>
                <w:szCs w:val="20"/>
              </w:rPr>
              <w:t xml:space="preserve">安全要求</w:t>
            </w:r>
            <w:r/>
          </w:p>
        </w:tc>
        <w:tc>
          <w:tcPr>
            <w:tcBorders>
              <w:top w:val="none" w:color="000000" w:sz="4" w:space="0"/>
              <w:left w:val="single" w:color="000000" w:sz="4" w:space="0"/>
              <w:bottom w:val="single" w:color="000000" w:sz="4" w:space="0"/>
              <w:right w:val="single" w:color="000000" w:sz="4" w:space="0"/>
            </w:tcBorders>
            <w:tcW w:w="487" w:type="pct"/>
            <w:vAlign w:val="center"/>
            <w:vMerge w:val="continue"/>
            <w:textDirection w:val="lrTb"/>
            <w:noWrap w:val="false"/>
          </w:tcPr>
          <w:p>
            <w:pPr>
              <w:jc w:val="center"/>
              <w:rPr>
                <w:rFonts w:hint="eastAsia" w:ascii="宋体" w:hAnsi="宋体"/>
                <w:sz w:val="20"/>
                <w:szCs w:val="20"/>
              </w:rPr>
            </w:pPr>
            <w:r>
              <w:rPr>
                <w:rFonts w:hint="eastAsia" w:ascii="宋体" w:hAnsi="宋体"/>
                <w:sz w:val="20"/>
                <w:szCs w:val="20"/>
              </w:rPr>
            </w:r>
            <w:r/>
          </w:p>
        </w:tc>
        <w:tc>
          <w:tcPr>
            <w:shd w:val="clear" w:color="auto" w:fill="ffffff"/>
            <w:tcBorders>
              <w:top w:val="single" w:color="000000" w:sz="4" w:space="0"/>
              <w:left w:val="single" w:color="000000" w:sz="4" w:space="0"/>
              <w:bottom w:val="single" w:color="000000" w:sz="4" w:space="0"/>
              <w:right w:val="single" w:color="000000" w:sz="4" w:space="0"/>
            </w:tcBorders>
            <w:tcW w:w="661" w:type="pct"/>
            <w:vAlign w:val="center"/>
            <w:textDirection w:val="lrTb"/>
            <w:noWrap w:val="false"/>
          </w:tcPr>
          <w:p>
            <w:pPr>
              <w:jc w:val="center"/>
              <w:rPr>
                <w:rFonts w:hint="eastAsia" w:ascii="宋体" w:hAnsi="宋体"/>
                <w:sz w:val="20"/>
                <w:szCs w:val="20"/>
              </w:rPr>
            </w:pPr>
            <w:r>
              <w:rPr>
                <w:rFonts w:ascii="宋体" w:hAnsi="宋体"/>
                <w:sz w:val="20"/>
                <w:szCs w:val="20"/>
              </w:rPr>
              <w:t xml:space="preserve">数据安全要求</w:t>
            </w:r>
            <w:r/>
          </w:p>
        </w:tc>
        <w:tc>
          <w:tcPr>
            <w:shd w:val="clear" w:color="auto" w:fill="ffffff"/>
            <w:tcBorders>
              <w:top w:val="single" w:color="000000" w:sz="4" w:space="0"/>
              <w:left w:val="single" w:color="000000" w:sz="4" w:space="0"/>
              <w:bottom w:val="single" w:color="000000" w:sz="4" w:space="0"/>
              <w:right w:val="single" w:color="000000" w:sz="4" w:space="0"/>
            </w:tcBorders>
            <w:tcW w:w="1575" w:type="pct"/>
            <w:vAlign w:val="center"/>
            <w:textDirection w:val="lrTb"/>
            <w:noWrap w:val="false"/>
          </w:tcPr>
          <w:p>
            <w:pPr>
              <w:jc w:val="center"/>
              <w:rPr>
                <w:rFonts w:hint="eastAsia" w:ascii="宋体" w:hAnsi="宋体"/>
                <w:i/>
                <w:iCs/>
                <w:sz w:val="20"/>
                <w:szCs w:val="20"/>
                <w:u w:val="single"/>
              </w:rPr>
            </w:pPr>
            <w:r>
              <w:rPr>
                <w:rFonts w:ascii="宋体" w:hAnsi="宋体"/>
                <w:sz w:val="20"/>
                <w:szCs w:val="20"/>
              </w:rPr>
              <w:t xml:space="preserve">为了保证数据安全，保障数据恢复的安全性，投标人所投产品具备国家信息中心数据恢复服务，提供证明材料</w:t>
            </w:r>
            <w:r/>
          </w:p>
        </w:tc>
      </w:tr>
    </w:tbl>
    <w:p>
      <w:pPr>
        <w:pStyle w:val="990"/>
        <w:ind w:left="0"/>
      </w:pPr>
      <w:r/>
      <w:r/>
    </w:p>
    <w:p>
      <w:pPr>
        <w:spacing w:line="0" w:lineRule="atLeast"/>
        <w:rPr>
          <w:rFonts w:hint="eastAsia" w:ascii="宋体" w:hAnsi="宋体"/>
          <w:b/>
          <w:bCs/>
          <w:sz w:val="24"/>
        </w:rPr>
      </w:pPr>
      <w:r>
        <w:rPr>
          <w:rFonts w:hint="eastAsia" w:ascii="宋体" w:hAnsi="宋体"/>
          <w:b/>
          <w:bCs/>
          <w:iCs/>
          <w:sz w:val="24"/>
          <w:szCs w:val="24"/>
        </w:rPr>
        <w:t xml:space="preserve">配置四：高性能</w:t>
      </w:r>
      <w:r>
        <w:rPr>
          <w:rFonts w:hint="eastAsia" w:ascii="宋体" w:hAnsi="宋体"/>
          <w:b/>
          <w:bCs/>
          <w:sz w:val="24"/>
        </w:rPr>
        <w:t xml:space="preserve">工作站计算机，采购数量：55台。</w:t>
      </w:r>
      <w:r/>
    </w:p>
    <w:tbl>
      <w:tblPr>
        <w:tblW w:w="5000" w:type="pct"/>
        <w:jc w:val="center"/>
        <w:tblLook w:val="04A0" w:firstRow="1" w:lastRow="0" w:firstColumn="1" w:lastColumn="0" w:noHBand="0" w:noVBand="1"/>
      </w:tblPr>
      <w:tblGrid>
        <w:gridCol w:w="586"/>
        <w:gridCol w:w="1219"/>
        <w:gridCol w:w="1276"/>
        <w:gridCol w:w="1698"/>
        <w:gridCol w:w="4055"/>
      </w:tblGrid>
      <w:tr>
        <w:trPr>
          <w:jc w:val="center"/>
          <w:trHeight w:val="600"/>
        </w:trPr>
        <w:tc>
          <w:tcPr>
            <w:shd w:val="clear" w:color="000000"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b/>
                <w:bCs/>
                <w:sz w:val="20"/>
                <w:szCs w:val="20"/>
              </w:rPr>
            </w:pPr>
            <w:r/>
            <w:bookmarkStart w:id="77" w:name="_Hlk197958260"/>
            <w:r>
              <w:rPr>
                <w:rFonts w:hint="eastAsia" w:ascii="宋体" w:hAnsi="宋体" w:cs="宋体"/>
                <w:b/>
                <w:bCs/>
                <w:sz w:val="20"/>
                <w:szCs w:val="20"/>
              </w:rPr>
              <w:t xml:space="preserve">序号</w:t>
            </w:r>
            <w:r/>
          </w:p>
        </w:tc>
        <w:tc>
          <w:tcPr>
            <w:shd w:val="clear" w:color="000000" w:fill="ffffff"/>
            <w:tcBorders>
              <w:top w:val="singl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b/>
                <w:bCs/>
                <w:sz w:val="20"/>
                <w:szCs w:val="20"/>
              </w:rPr>
            </w:pPr>
            <w:r>
              <w:rPr>
                <w:rFonts w:hint="eastAsia" w:ascii="宋体" w:hAnsi="宋体" w:cs="宋体"/>
                <w:b/>
                <w:bCs/>
                <w:sz w:val="20"/>
                <w:szCs w:val="20"/>
              </w:rPr>
              <w:t xml:space="preserve">指标分类</w:t>
            </w:r>
            <w:r/>
          </w:p>
        </w:tc>
        <w:tc>
          <w:tcPr>
            <w:shd w:val="clear" w:color="000000" w:fill="ffffff"/>
            <w:tcBorders>
              <w:top w:val="single" w:color="000000" w:sz="4" w:space="0"/>
              <w:left w:val="none" w:color="000000" w:sz="4" w:space="0"/>
              <w:bottom w:val="single" w:color="000000" w:sz="4" w:space="0"/>
              <w:right w:val="single" w:color="000000" w:sz="4" w:space="0"/>
            </w:tcBorders>
            <w:tcW w:w="722" w:type="pct"/>
            <w:vAlign w:val="center"/>
            <w:textDirection w:val="lrTb"/>
            <w:noWrap w:val="false"/>
          </w:tcPr>
          <w:p>
            <w:pPr>
              <w:jc w:val="center"/>
              <w:rPr>
                <w:rFonts w:hint="eastAsia" w:ascii="宋体" w:hAnsi="宋体" w:cs="宋体"/>
                <w:b/>
                <w:bCs/>
                <w:sz w:val="20"/>
                <w:szCs w:val="20"/>
              </w:rPr>
            </w:pPr>
            <w:r>
              <w:rPr>
                <w:rFonts w:hint="eastAsia" w:ascii="宋体" w:hAnsi="宋体" w:cs="宋体"/>
                <w:b/>
                <w:bCs/>
                <w:sz w:val="20"/>
                <w:szCs w:val="20"/>
              </w:rPr>
              <w:t xml:space="preserve">一级指标</w:t>
            </w:r>
            <w:r/>
          </w:p>
        </w:tc>
        <w:tc>
          <w:tcPr>
            <w:shd w:val="clear" w:color="000000" w:fill="ffffff"/>
            <w:tcBorders>
              <w:top w:val="singl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b/>
                <w:bCs/>
                <w:sz w:val="20"/>
                <w:szCs w:val="20"/>
              </w:rPr>
            </w:pPr>
            <w:r>
              <w:rPr>
                <w:rFonts w:hint="eastAsia" w:ascii="宋体" w:hAnsi="宋体" w:cs="宋体"/>
                <w:b/>
                <w:bCs/>
                <w:sz w:val="20"/>
                <w:szCs w:val="20"/>
              </w:rPr>
              <w:t xml:space="preserve">二级指标</w:t>
            </w:r>
            <w:r/>
          </w:p>
        </w:tc>
        <w:tc>
          <w:tcPr>
            <w:shd w:val="clear" w:color="000000" w:fill="ffffff"/>
            <w:tcBorders>
              <w:top w:val="singl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b/>
                <w:bCs/>
                <w:sz w:val="20"/>
                <w:szCs w:val="20"/>
              </w:rPr>
            </w:pPr>
            <w:r>
              <w:rPr>
                <w:rFonts w:hint="eastAsia" w:ascii="宋体" w:hAnsi="宋体" w:cs="宋体"/>
                <w:b/>
                <w:bCs/>
                <w:sz w:val="20"/>
                <w:szCs w:val="20"/>
              </w:rPr>
              <w:t xml:space="preserve">招标要求</w:t>
            </w:r>
            <w:r/>
          </w:p>
        </w:tc>
      </w:tr>
      <w:tr>
        <w:trPr>
          <w:jc w:val="center"/>
          <w:trHeight w:val="16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72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CPU规格</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 信息</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处理器采用板载设计，配置2颗国产C86-3G CPU，每颗CPU物理核心数≥8核，每个物理核心主频≥3.</w:t>
            </w:r>
            <w:r>
              <w:rPr>
                <w:rFonts w:ascii="宋体" w:hAnsi="宋体" w:cs="宋体"/>
                <w:i/>
                <w:iCs/>
                <w:sz w:val="20"/>
                <w:szCs w:val="20"/>
                <w:u w:val="single"/>
              </w:rPr>
              <w:t xml:space="preserve">1</w:t>
            </w:r>
            <w:r>
              <w:rPr>
                <w:rFonts w:hint="eastAsia" w:ascii="宋体" w:hAnsi="宋体" w:cs="宋体"/>
                <w:i/>
                <w:iCs/>
                <w:sz w:val="20"/>
                <w:szCs w:val="20"/>
                <w:u w:val="single"/>
              </w:rPr>
              <w:t xml:space="preserve">GHz，最高加速频率智能频率可提升至≥3.3GHz，每颗CPU三级缓存≥16MB，支持超线程技术，线程数量≥16，TDP≤80W，投标所用CPU要明确型号并且是安全可靠测评公告内的，提供相应的证明材料</w:t>
            </w:r>
            <w:r/>
          </w:p>
        </w:tc>
      </w:tr>
      <w:tr>
        <w:trPr>
          <w:cantSplit/>
          <w:jc w:val="center"/>
          <w:trHeight w:val="57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内存规格</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内存配置容量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spacing w:line="480" w:lineRule="auto"/>
              <w:rPr>
                <w:rFonts w:hint="eastAsia" w:ascii="宋体" w:hAnsi="宋体" w:cs="宋体"/>
                <w:sz w:val="20"/>
                <w:szCs w:val="20"/>
              </w:rPr>
            </w:pPr>
            <w:r>
              <w:rPr>
                <w:rFonts w:hint="eastAsia" w:ascii="宋体" w:hAnsi="宋体" w:cs="宋体"/>
                <w:sz w:val="20"/>
                <w:szCs w:val="20"/>
              </w:rPr>
              <w:t xml:space="preserve">≥32GB</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内存类型</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支持DDR4 及以上内存类型</w:t>
            </w:r>
            <w:r/>
          </w:p>
        </w:tc>
      </w:tr>
      <w:tr>
        <w:trPr>
          <w:cantSplit/>
          <w:jc w:val="center"/>
          <w:trHeight w:val="77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内存条配置数量（板载内存不涉及）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≥2</w:t>
            </w:r>
            <w:r/>
          </w:p>
        </w:tc>
      </w:tr>
      <w:tr>
        <w:trPr>
          <w:cantSplit/>
          <w:jc w:val="center"/>
          <w:trHeight w:val="82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主板规格</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主板集成模块</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集成资源扩展模块、计算处理模块、音频扩展模块等，主板的互联拓扑可</w:t>
            </w:r>
            <w:r>
              <w:rPr>
                <w:rFonts w:hint="eastAsia" w:ascii="宋体" w:hAnsi="宋体" w:cs="宋体"/>
                <w:i/>
                <w:iCs/>
                <w:sz w:val="20"/>
                <w:szCs w:val="20"/>
                <w:u w:val="single"/>
              </w:rPr>
              <w:br w:type="textWrapping" w:clear="all"/>
              <w:t xml:space="preserve">通过处理器或交换电路实现</w:t>
            </w:r>
            <w:r/>
          </w:p>
        </w:tc>
      </w:tr>
      <w:tr>
        <w:trPr>
          <w:cantSplit/>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主板支持的 CPU和内存情况</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主板支持C86-3G架构芯片*1和DDR4内存*4根</w:t>
            </w:r>
            <w:r/>
          </w:p>
        </w:tc>
      </w:tr>
      <w:tr>
        <w:trPr>
          <w:cantSplit/>
          <w:jc w:val="center"/>
          <w:trHeight w:val="85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主板内置PCIe 插槽数量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支持数量≥6，其中至少包括2个 PCIex16 和1个PCIex8</w:t>
            </w:r>
            <w:r/>
          </w:p>
        </w:tc>
      </w:tr>
      <w:tr>
        <w:trPr>
          <w:cantSplit/>
          <w:jc w:val="center"/>
          <w:trHeight w:val="2184"/>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w:t>
            </w:r>
            <w:r/>
          </w:p>
        </w:tc>
        <w:tc>
          <w:tcPr>
            <w:shd w:val="clear" w:color="000000" w:fill="ffffff"/>
            <w:tcBorders>
              <w:top w:val="non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特殊孔位及接口</w:t>
            </w:r>
            <w:r/>
          </w:p>
        </w:tc>
        <w:tc>
          <w:tcPr>
            <w:shd w:val="clear" w:color="000000" w:fill="ffffff"/>
            <w:tcBorders>
              <w:top w:val="none" w:color="000000" w:sz="4" w:space="0"/>
              <w:left w:val="non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预留满足 USB3.0 数据传输规范的接口，工作电压 5V，最大过电流应不小于 3A；</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预留多功能导入装置板卡安装孔位，采用内置方式与主机一体化集成，容量不小于 145mm×125mm×16.5mm（长×宽×高）</w:t>
            </w:r>
            <w:r/>
          </w:p>
        </w:tc>
      </w:tr>
      <w:tr>
        <w:trPr>
          <w:cantSplit/>
          <w:jc w:val="center"/>
          <w:trHeight w:val="750"/>
        </w:trPr>
        <w:tc>
          <w:tcPr>
            <w:shd w:val="clear" w:color="000000"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w:t>
            </w:r>
            <w:r/>
          </w:p>
        </w:tc>
        <w:tc>
          <w:tcPr>
            <w:shd w:val="clear" w:color="000000" w:fill="ffffff"/>
            <w:tcBorders>
              <w:top w:val="singl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主板其他内置接口</w:t>
            </w:r>
            <w:r/>
          </w:p>
        </w:tc>
        <w:tc>
          <w:tcPr>
            <w:shd w:val="clear" w:color="000000" w:fill="ffffff"/>
            <w:tcBorders>
              <w:top w:val="singl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前端集成2个USB3.0接口，后端集成4个USB3.0接口以及音频接口，板载VGA接口，支持1个SATA接口，1个M.2接口</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单内存插槽最大可支持容量（板载内存不涉及）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≥64GB</w:t>
            </w:r>
            <w:r/>
          </w:p>
        </w:tc>
      </w:tr>
      <w:tr>
        <w:trPr>
          <w:cantSplit/>
          <w:jc w:val="center"/>
          <w:trHeight w:val="54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内存插槽满配时提供的最高内存总容量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≥256GB</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存储设备规格</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固态盘数量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 个</w:t>
            </w:r>
            <w:r/>
          </w:p>
        </w:tc>
      </w:tr>
      <w:tr>
        <w:trPr>
          <w:cantSplit/>
          <w:jc w:val="center"/>
          <w:trHeight w:val="7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固态存储容量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≥1TB SSD</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14</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机械硬盘数量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 个</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15</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机械硬盘形态</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2.5 英寸或3.5 英寸等</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16</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机械盘存储容量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≥1TB SATA</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17</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固态存储接口协议</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UFS/SATA/PCIe/</w:t>
            </w:r>
            <w:r>
              <w:rPr>
                <w:rFonts w:hint="eastAsia" w:ascii="宋体" w:hAnsi="宋体" w:cs="宋体"/>
                <w:i/>
                <w:iCs/>
                <w:sz w:val="20"/>
                <w:szCs w:val="20"/>
                <w:u w:val="single"/>
              </w:rPr>
              <w:t xml:space="preserve">NVMe</w:t>
            </w:r>
            <w:r>
              <w:rPr>
                <w:rFonts w:hint="eastAsia" w:ascii="宋体" w:hAnsi="宋体" w:cs="宋体"/>
                <w:i/>
                <w:iCs/>
                <w:sz w:val="20"/>
                <w:szCs w:val="20"/>
                <w:u w:val="single"/>
              </w:rPr>
              <w:t xml:space="preserve">/M.2等类型接口协议</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18</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固态存储形态</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采用符合M.2标准的插卡形态</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19</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存储设备扩展盘位</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≥4个3.5寸/2.5寸SSD/SAS/SATA硬盘</w:t>
            </w:r>
            <w:r/>
          </w:p>
        </w:tc>
      </w:tr>
      <w:tr>
        <w:trPr>
          <w:cantSplit/>
          <w:jc w:val="center"/>
          <w:trHeight w:val="72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20</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存储设备其他参数要求</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固态盘应符合 SJ/T 11654 相关规定；机械硬盘准备时间应不大于30s；侧面固定螺丝孔数量可为4 孔或6 孔；工作状态环境温度应满足5℃~55℃；其它参数应符合GB/T 12628 相关规定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21</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显卡规格</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显卡类型</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独立显卡</w:t>
            </w:r>
            <w:r/>
          </w:p>
        </w:tc>
      </w:tr>
      <w:tr>
        <w:trPr>
          <w:cantSplit/>
          <w:jc w:val="center"/>
          <w:trHeight w:val="879"/>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22</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独立显卡显存类型</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显存类型为DDR4</w:t>
            </w:r>
            <w:r/>
          </w:p>
        </w:tc>
      </w:tr>
      <w:tr>
        <w:trPr>
          <w:cantSplit/>
          <w:jc w:val="center"/>
          <w:trHeight w:val="317"/>
        </w:trPr>
        <w:tc>
          <w:tcPr>
            <w:shd w:val="clear" w:color="000000"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23</w:t>
            </w:r>
            <w:r/>
          </w:p>
        </w:tc>
        <w:tc>
          <w:tcPr>
            <w:shd w:val="clear" w:color="000000" w:fill="ffffff"/>
            <w:tcBorders>
              <w:top w:val="singl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iCs/>
                <w:sz w:val="20"/>
                <w:szCs w:val="20"/>
              </w:rPr>
            </w:pPr>
            <w:r>
              <w:rPr>
                <w:rFonts w:ascii="宋体" w:hAnsi="宋体"/>
                <w:iCs/>
                <w:spacing w:val="-4"/>
                <w:sz w:val="20"/>
                <w:szCs w:val="20"/>
              </w:rPr>
              <w:t xml:space="preserve">独立显卡显存容</w:t>
            </w:r>
            <w:r>
              <w:rPr>
                <w:rFonts w:ascii="宋体" w:hAnsi="宋体"/>
                <w:iCs/>
                <w:spacing w:val="-10"/>
                <w:sz w:val="20"/>
                <w:szCs w:val="20"/>
              </w:rPr>
              <w:t xml:space="preserve">量</w:t>
            </w:r>
            <w:r/>
          </w:p>
        </w:tc>
        <w:tc>
          <w:tcPr>
            <w:shd w:val="clear" w:color="000000" w:fill="ffffff"/>
            <w:tcBorders>
              <w:top w:val="singl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Cs/>
                <w:sz w:val="20"/>
                <w:szCs w:val="20"/>
              </w:rPr>
            </w:pPr>
            <w:r>
              <w:rPr>
                <w:rFonts w:hint="eastAsia" w:ascii="宋体" w:hAnsi="宋体" w:cs="宋体"/>
                <w:sz w:val="20"/>
                <w:szCs w:val="20"/>
              </w:rPr>
              <w:t xml:space="preserve">显存容量≥2GB</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24</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显示设备规格</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显示屏分辨率</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≥1920×1080</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25</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显示屏尺寸</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≥23.8 英寸</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26</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显示屏屏幕比例</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16:9</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27</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显示器外观颜色</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黑色</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28</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外设规格</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鼠标数量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 个</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29</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键盘数量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 个</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30</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键盘按键数目</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104键全键盘</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31</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键盘连接方式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USB有线</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32</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键盘键程</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2.3mm ~ 4.0mm</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33</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键盘按键压力</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按键压力应在 0.54 N±0.14N</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34</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有线键盘连接线</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≥1.5 米</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35</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键盘颜色</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黑色</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36</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键盘其他要求</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键盘外观结构、连接方式、主要功能、安全、电磁兼容性、可靠性应符合 GB/T14081 的相关规定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37</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鼠标连接方式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有线</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38</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有线鼠标连接线</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≥1.5 米</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39</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鼠标DPI 分辨率</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800~1600</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40</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鼠标颜色</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黑色</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41</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鼠标其他要求</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其它参数应符合 GB/T 26245 的相关规定</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42</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none" w:color="000000" w:sz="4" w:space="0"/>
              <w:bottom w:val="single" w:color="000000" w:sz="4" w:space="0"/>
              <w:right w:val="single" w:color="000000" w:sz="4" w:space="0"/>
            </w:tcBorders>
            <w:tcW w:w="72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网络设备规</w:t>
            </w:r>
            <w:r>
              <w:rPr>
                <w:rFonts w:hint="eastAsia" w:ascii="宋体" w:hAnsi="宋体" w:cs="宋体"/>
                <w:sz w:val="20"/>
                <w:szCs w:val="20"/>
              </w:rPr>
              <w:t xml:space="preserve">格</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有线网卡数量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w:t>
            </w:r>
            <w:r/>
          </w:p>
        </w:tc>
      </w:tr>
      <w:tr>
        <w:trPr>
          <w:cantSplit/>
          <w:jc w:val="center"/>
          <w:trHeight w:val="1488"/>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43</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外部接口规格</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USB 接口数量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≥6个USB，机箱前板至少包括2个USB3.0及以上接口</w:t>
            </w:r>
            <w:r/>
          </w:p>
        </w:tc>
      </w:tr>
      <w:tr>
        <w:trPr>
          <w:cantSplit/>
          <w:jc w:val="center"/>
          <w:trHeight w:val="1976"/>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44</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USB 母座接口要求</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机箱前面板额外预留2 个专用 USB 母座接口孔位和 1 个通用A 型 USB 母座接口孔位，采用横向排列中心间距应不小于27mm</w:t>
            </w:r>
            <w:r/>
          </w:p>
        </w:tc>
      </w:tr>
      <w:tr>
        <w:trPr>
          <w:cantSplit/>
          <w:jc w:val="center"/>
          <w:trHeight w:val="1267"/>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45</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视频接口数量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w:t>
            </w:r>
            <w:r/>
          </w:p>
        </w:tc>
      </w:tr>
      <w:tr>
        <w:trPr>
          <w:cantSplit/>
          <w:jc w:val="center"/>
          <w:trHeight w:val="1347"/>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46</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音频接口数量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w:t>
            </w:r>
            <w:r/>
          </w:p>
        </w:tc>
      </w:tr>
      <w:tr>
        <w:trPr>
          <w:cantSplit/>
          <w:jc w:val="center"/>
          <w:trHeight w:val="2844"/>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47</w:t>
            </w:r>
            <w:r/>
          </w:p>
        </w:tc>
        <w:tc>
          <w:tcPr>
            <w:shd w:val="clear" w:color="000000" w:fill="ffffff"/>
            <w:tcBorders>
              <w:top w:val="non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整机基础规格</w:t>
            </w:r>
            <w:r/>
          </w:p>
        </w:tc>
        <w:tc>
          <w:tcPr>
            <w:shd w:val="clear" w:color="000000" w:fill="ffffff"/>
            <w:tcBorders>
              <w:top w:val="non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整机外观</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产品表面不应有凹痕、划伤、裂缝、变形和污染等。表面涂层均匀，不应起泡、龟裂、脱落和磨损，金属零部件无锈蚀及其它机械损伤；</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产品表面说明功能的文字、符号、标志，应清晰、端正、牢固；</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48</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状态指示灯</w:t>
            </w:r>
            <w:r/>
          </w:p>
        </w:tc>
        <w:tc>
          <w:tcPr>
            <w:shd w:val="clear" w:color="000000" w:fill="ffffff"/>
            <w:tcBorders>
              <w:top w:val="singl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在产品显著位置提供状态指示功能，通过指示灯可查看机器运行状态或存储状态</w:t>
            </w:r>
            <w:r/>
          </w:p>
        </w:tc>
      </w:tr>
      <w:tr>
        <w:trPr>
          <w:cantSplit/>
          <w:jc w:val="center"/>
          <w:trHeight w:val="416"/>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49</w:t>
            </w:r>
            <w:r/>
          </w:p>
        </w:tc>
        <w:tc>
          <w:tcPr>
            <w:shd w:val="clear" w:color="000000" w:fill="ffffff"/>
            <w:tcBorders>
              <w:top w:val="non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整机结构</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机箱应符合 GB/T 4208、GB/T 26246的相关规定；</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产品内部结构应符合通用部件的安装需要；</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所有输入输出接口应符合相关国家或行业标准；</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产品零部件应紧固无松动，可插拔部件应可靠连接，开关、按钮和其它控制部件应灵活可靠，布局应方便使用；</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所有 I/O 连接器及需插接线缆的部位应预留用户操作空间，方便插拔解锁与插拔线缆；</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可插拔板卡插槽部位应预留安装、拆卸或更换板卡空间；</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拆装可能接触到的金属剪口或金属尖角部位应做防划伤处理，以保证安全；</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整机内部走线应规整，固线结构和位置要合理可靠并做防割线处理，需便于理线和插拔操作，走线应不影响系统各主要部件组装和拆卸；</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如需通过孔走线，过线孔应做防割线处理；</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各插头位置和插拔方向应合理，应做到插拔无障碍设计，具备防呆设计，有效避免误操作；</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各主要部件拆装无障碍，使用常规工具拆装，无特殊拆装工具需求；</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各主要部件拆装步骤要少，各自拆装需避免相互干扰；</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对于整机或零部件外表面为高亮面的，应粘贴保护膜，保护膜需粘贴牢固，运输、组装等过程不易脱落，撕下无残留；</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其它要求应符合 GB/T 9813.1 的相关规定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50</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机箱防护要求</w:t>
            </w:r>
            <w:r/>
          </w:p>
        </w:tc>
        <w:tc>
          <w:tcPr>
            <w:shd w:val="clear" w:color="000000" w:fill="ffffff"/>
            <w:tcBorders>
              <w:top w:val="singl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机箱应符合 GB/T 4208 中 IP20 防护要求</w:t>
            </w:r>
            <w:r/>
          </w:p>
        </w:tc>
      </w:tr>
      <w:tr>
        <w:trPr>
          <w:cantSplit/>
          <w:jc w:val="center"/>
          <w:trHeight w:val="2516"/>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51</w:t>
            </w:r>
            <w:r/>
          </w:p>
        </w:tc>
        <w:tc>
          <w:tcPr>
            <w:shd w:val="clear" w:color="000000" w:fill="ffffff"/>
            <w:tcBorders>
              <w:top w:val="none" w:color="000000" w:sz="4" w:space="0"/>
              <w:left w:val="singl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整机散热</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在环境温度25℃及处理器满载情况下，产品表面温度应符合下列要求：</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出风口在机箱后面板情况下，出风口温度不高于 55℃</w:t>
            </w:r>
            <w:r>
              <w:rPr>
                <w:rFonts w:hint="eastAsia" w:ascii="宋体" w:hAnsi="宋体" w:cs="宋体"/>
                <w:i/>
                <w:iCs/>
                <w:sz w:val="20"/>
                <w:szCs w:val="20"/>
                <w:u w:val="single"/>
              </w:rPr>
              <w:t xml:space="preserve"> ;</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可触及面温度不高于 45℃</w:t>
            </w:r>
            <w:r>
              <w:rPr>
                <w:rFonts w:hint="eastAsia" w:ascii="宋体" w:hAnsi="宋体" w:cs="宋体"/>
                <w:i/>
                <w:iCs/>
                <w:sz w:val="20"/>
                <w:szCs w:val="20"/>
                <w:u w:val="single"/>
              </w:rPr>
              <w:t xml:space="preserve"> ;</w:t>
            </w:r>
            <w:r/>
          </w:p>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显示器表面温度：显示屏不高于 38℃</w:t>
            </w:r>
            <w:r>
              <w:rPr>
                <w:rFonts w:hint="eastAsia" w:ascii="宋体" w:hAnsi="宋体" w:cs="宋体"/>
                <w:i/>
                <w:iCs/>
                <w:sz w:val="20"/>
                <w:szCs w:val="20"/>
                <w:u w:val="single"/>
              </w:rPr>
              <w:t xml:space="preserve"> ,</w:t>
            </w:r>
            <w:r>
              <w:rPr>
                <w:rFonts w:hint="eastAsia" w:ascii="宋体" w:hAnsi="宋体" w:cs="宋体"/>
                <w:i/>
                <w:iCs/>
                <w:sz w:val="20"/>
                <w:szCs w:val="20"/>
                <w:u w:val="single"/>
              </w:rPr>
              <w:t xml:space="preserve"> 显示屏上下灯带位置温度（如涉及）不高于 40℃</w:t>
            </w:r>
            <w:r>
              <w:rPr>
                <w:rFonts w:hint="eastAsia" w:ascii="宋体" w:hAnsi="宋体" w:cs="宋体"/>
                <w:i/>
                <w:iCs/>
                <w:sz w:val="20"/>
                <w:szCs w:val="20"/>
                <w:u w:val="single"/>
              </w:rPr>
              <w:t xml:space="preserve"> ,</w:t>
            </w:r>
            <w:r>
              <w:rPr>
                <w:rFonts w:hint="eastAsia" w:ascii="宋体" w:hAnsi="宋体" w:cs="宋体"/>
                <w:i/>
                <w:iCs/>
                <w:sz w:val="20"/>
                <w:szCs w:val="20"/>
                <w:u w:val="single"/>
              </w:rPr>
              <w:t xml:space="preserve"> 出风口温度不高于 45℃</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52</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整机能效限定值</w:t>
            </w:r>
            <w:r/>
          </w:p>
        </w:tc>
        <w:tc>
          <w:tcPr>
            <w:shd w:val="clear" w:color="000000" w:fill="ffffff"/>
            <w:tcBorders>
              <w:top w:val="singl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产品能效限定值应达到 GB 28380-2012标准中能效等级 2 级及以上</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53</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机身材质</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金属</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54</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机身颜色</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黑色</w:t>
            </w:r>
            <w:r/>
          </w:p>
        </w:tc>
      </w:tr>
      <w:tr>
        <w:trPr>
          <w:cantSplit/>
          <w:jc w:val="center"/>
          <w:trHeight w:val="40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55</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产品规格</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机箱尺寸容量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≥46L</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56</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CPU性能</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 物理核数</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≥8核</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57</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 主频</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≥3.</w:t>
            </w:r>
            <w:r>
              <w:rPr>
                <w:rFonts w:ascii="宋体" w:hAnsi="宋体" w:cs="宋体"/>
                <w:i/>
                <w:iCs/>
                <w:sz w:val="20"/>
                <w:szCs w:val="20"/>
                <w:u w:val="single"/>
              </w:rPr>
              <w:t xml:space="preserve">1</w:t>
            </w:r>
            <w:r>
              <w:rPr>
                <w:rFonts w:hint="eastAsia" w:ascii="宋体" w:hAnsi="宋体" w:cs="宋体"/>
                <w:i/>
                <w:iCs/>
                <w:sz w:val="20"/>
                <w:szCs w:val="20"/>
                <w:u w:val="single"/>
              </w:rPr>
              <w:t xml:space="preserve">GHz</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58</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CPU 末级缓存容量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≥16MB</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59</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shd w:val="clear" w:color="000000" w:fill="ffffff"/>
            <w:tcBorders>
              <w:top w:val="none" w:color="000000" w:sz="4" w:space="0"/>
              <w:left w:val="none" w:color="000000" w:sz="4" w:space="0"/>
              <w:bottom w:val="single" w:color="000000" w:sz="4" w:space="0"/>
              <w:right w:val="single" w:color="000000" w:sz="4" w:space="0"/>
            </w:tcBorders>
            <w:tcW w:w="72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内存性能</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内存读写速率</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≥3200MT/s</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60</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显卡性能</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显示分辨率</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≥1920×1080</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61</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显卡可支持多屏同时显示数量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显卡应支持 2 块屏幕同时显示，分辨率应不低于 1920×1080</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62</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shd w:val="clear" w:color="000000" w:fill="ffffff"/>
            <w:tcBorders>
              <w:top w:val="none" w:color="000000" w:sz="4" w:space="0"/>
              <w:left w:val="none" w:color="000000" w:sz="4" w:space="0"/>
              <w:bottom w:val="single" w:color="000000" w:sz="4" w:space="0"/>
              <w:right w:val="single" w:color="000000" w:sz="4" w:space="0"/>
            </w:tcBorders>
            <w:tcW w:w="72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显示设备性能</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显示屏其他参数</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显示屏采用IPS钢化玻璃屏，其它参数应符合 SJ/T 11292 的相关规定</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63</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网络设备性能</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有线网卡速率</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最高速率不低于 1000Mbps，支持10Mbps、100Mbps、1000Mbps 速率自适应</w:t>
            </w:r>
            <w:r/>
          </w:p>
        </w:tc>
      </w:tr>
      <w:tr>
        <w:trPr>
          <w:cantSplit/>
          <w:jc w:val="center"/>
          <w:trHeight w:val="9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64</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性能要求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网口模式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支持RJ45和SFP两种网口模式</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65</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主板功能</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内存扩展接口</w:t>
            </w:r>
            <w:r>
              <w:rPr>
                <w:rFonts w:hint="eastAsia" w:ascii="宋体" w:hAnsi="宋体" w:cs="宋体"/>
                <w:sz w:val="20"/>
                <w:szCs w:val="20"/>
              </w:rPr>
              <w:t xml:space="preserve">(板载内存不涉及)</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≥4个插槽</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66</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存储扩展接口</w:t>
            </w:r>
            <w:r>
              <w:rPr>
                <w:rFonts w:hint="eastAsia" w:ascii="宋体" w:hAnsi="宋体" w:cs="宋体"/>
                <w:sz w:val="20"/>
                <w:szCs w:val="20"/>
              </w:rPr>
              <w:t xml:space="preserve">(板载存储不涉及)</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支持存储设备扩展接口≥2 个，如UFS3.0、SATA3.0、SAS3.0、M.2 等接口类型</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67</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主板USB 瞬间过流保护</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支持瞬间过流保护功能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68</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主板防静电保护</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支持防静电保护功能</w:t>
            </w:r>
            <w:r/>
          </w:p>
        </w:tc>
      </w:tr>
      <w:tr>
        <w:trPr>
          <w:cantSplit/>
          <w:jc w:val="center"/>
          <w:trHeight w:val="120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69</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I/O 接口功能</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提供基于标准 USB 接口外设连接功能、基于音频输入输出接口的音频扩展功能、基于 PCIe 接口板卡扩展功能、基于 HDMI/VGA/Type-C/DVI/DP 等接口外接显示器扩展功能、基于存储接口对产品进行增容功能等。产品 I/O 接口应具备外接标准 USB 设备、显示器、音频设备等内外部设备能力</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70</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显卡功能</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显卡外接显示接口</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显卡支持 VGA、HDMI显示接口与显示器接口相匹配</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71</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独立显卡数量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72</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显示设备功能</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显示器接口</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显示器应与显卡外接显示接口匹配</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73</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显示器支架</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提供显示器底座支架</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74</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显示器参数调节</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提供 OSD 选单按钮用于调节色彩、模式等；支持色温、亮度、对比度调节</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75</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72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存储功能</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通过 SATA 固态存储/PCIe 固态存储/UFS 固态存储/SATA 硬磁盘等存储部件提供存储功能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76</w:t>
            </w:r>
            <w:r/>
          </w:p>
        </w:tc>
        <w:tc>
          <w:tcPr>
            <w:shd w:val="clear" w:color="000000" w:fill="ffffff"/>
            <w:tcBorders>
              <w:top w:val="none" w:color="000000" w:sz="4" w:space="0"/>
              <w:left w:val="single" w:color="000000" w:sz="4" w:space="0"/>
              <w:bottom w:val="single" w:color="000000" w:sz="4" w:space="0"/>
              <w:right w:val="single" w:color="000000" w:sz="4" w:space="0"/>
            </w:tcBorders>
            <w:tcW w:w="690"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网络设备功能</w:t>
            </w:r>
            <w:r/>
          </w:p>
        </w:tc>
        <w:tc>
          <w:tcPr>
            <w:shd w:val="clear" w:color="000000" w:fill="ffffff"/>
            <w:tcBorders>
              <w:top w:val="none" w:color="000000" w:sz="4" w:space="0"/>
              <w:left w:val="single" w:color="000000" w:sz="4" w:space="0"/>
              <w:bottom w:val="single" w:color="000000" w:sz="4" w:space="0"/>
              <w:right w:val="single" w:color="000000" w:sz="4" w:space="0"/>
            </w:tcBorders>
            <w:tcW w:w="961"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网络功能</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支持网络连接、网络开启/关闭功能；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77</w:t>
            </w:r>
            <w:r/>
          </w:p>
        </w:tc>
        <w:tc>
          <w:tcPr>
            <w:tcBorders>
              <w:top w:val="none" w:color="000000" w:sz="4" w:space="0"/>
              <w:left w:val="single" w:color="000000" w:sz="4" w:space="0"/>
              <w:bottom w:val="single" w:color="000000" w:sz="4" w:space="0"/>
              <w:right w:val="single" w:color="000000" w:sz="4" w:space="0"/>
            </w:tcBorders>
            <w:tcW w:w="690"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61"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支持访问网络和数据交换功能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78</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数据传输</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支持数据传输能力，并提供数据流量和异常日志记录功能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79</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蓝牙协议</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支持蓝牙模块，蓝牙协议不低于 5.0 版本</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80</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有线网卡接口类型</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 RJ45 接口</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81</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网络设备拆装</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网络设备应支持物理拆装，包括无线网卡和蓝牙模块等</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82</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外部接口功能</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音频接口类型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 3.5mm 孔径 4 段式接口</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83</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视频接口类型</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 VGA、HDMI显示接口</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84</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HDMI、DP、Type-C显示接口要求</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若提供 HDMI 或 DP 或 Type-C 作为显示接口，应支持音频和视频同步输出</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85</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其他接口</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产品支持串行接口，可实现 GB/T 6107 的功能；产品支持并行接口，可实现 GB/T 18235.1 的功能</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86</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none" w:color="000000" w:sz="4" w:space="0"/>
              <w:bottom w:val="single" w:color="000000" w:sz="4" w:space="0"/>
              <w:right w:val="single" w:color="000000" w:sz="4" w:space="0"/>
            </w:tcBorders>
            <w:tcW w:w="72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电源功能</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电源线适配能力</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电源适配器电线组件符合 GB/T15934 的</w:t>
            </w:r>
            <w:r>
              <w:rPr>
                <w:rFonts w:hint="eastAsia" w:ascii="宋体" w:hAnsi="宋体" w:cs="宋体"/>
                <w:i/>
                <w:iCs/>
                <w:sz w:val="20"/>
                <w:szCs w:val="20"/>
                <w:u w:val="single"/>
              </w:rPr>
              <w:t xml:space="preserve">要求,</w:t>
            </w:r>
            <w:r>
              <w:rPr>
                <w:rFonts w:hint="eastAsia" w:ascii="宋体" w:hAnsi="宋体" w:cs="宋体"/>
                <w:i/>
                <w:iCs/>
                <w:sz w:val="20"/>
                <w:szCs w:val="20"/>
                <w:u w:val="single"/>
              </w:rPr>
              <w:t xml:space="preserve">需配置不低于600W 电源</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87</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操作系统及软件功能</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中文信息处理要求</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 18030 的相关规定</w:t>
            </w:r>
            <w:r/>
          </w:p>
        </w:tc>
      </w:tr>
      <w:tr>
        <w:trPr>
          <w:cantSplit/>
          <w:jc w:val="center"/>
          <w:trHeight w:val="43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88</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操作系统备份及还原功能</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当操作系统分区损坏的情况下，支持操作系统还原到出厂状态</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89</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固件备份还原能力</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支持备份及还原固件的功能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90</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操作系统及驱动升级</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支持在线升级能力可以提 升服务效率</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91</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固件升级</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支持通过网络、闪存盘等方式对固件进行升级</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92</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BIOS 支持关闭通讯接口</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 BIOS 关闭以太网及 USB 接口</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93</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固件查看信息</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支持查看固件版本、内存信息、主板信息、处理器信息和系统时间信息等功能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94</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固件设置启动顺序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支持设置启动顺序功能，并按照设置的启动顺序启动</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95</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固件设置口令</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支持设置口令、修改口令、验证口令功能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96</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功能要求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固件设置网络引导</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支持网络引导启动和关闭功能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97</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存储设备可靠性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固态存储寿命</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TBW ≥ 80TB（条件：240GB 硬盘容量）</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98</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机械硬盘寿命</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通电时间≥5 万小时</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99</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72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显示设备可靠性</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显示屏屏幕失效点</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9813.2 的要求</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100</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外设可靠性</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键盘按键寿命</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≥1000 万次</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101</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鼠标按键寿命</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≥500 万次</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102</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键盘鼠标线材寿命</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键盘鼠标所用线材经±60 °弯折不低于 3000 次，功能、外观完好</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103</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风扇寿命</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≥4 万小时</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104</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整机可靠性要求</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电磁兼容性要求的抗扰度</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9254.2 的规定</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105</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环境条件要求的气候环境适应性</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中规定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106</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环境条件要求的振动适应性</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中规定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107</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环境条件要求的冲击适应性</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中规定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108</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环境条件要求的碰撞适应性</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中规定</w:t>
            </w:r>
            <w:r/>
          </w:p>
        </w:tc>
      </w:tr>
      <w:tr>
        <w:trPr>
          <w:cantSplit/>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109</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环境条件要求的运输包装件跌落适应性</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中规定</w:t>
            </w:r>
            <w:r/>
          </w:p>
        </w:tc>
      </w:tr>
      <w:tr>
        <w:trPr>
          <w:cantSplit/>
          <w:jc w:val="center"/>
          <w:trHeight w:val="52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110</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可靠性要求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MTBF测试标准</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MTBF</w:t>
            </w:r>
            <w:r>
              <w:rPr>
                <w:rFonts w:hint="eastAsia" w:ascii="宋体" w:hAnsi="宋体" w:cs="宋体"/>
                <w:sz w:val="20"/>
                <w:szCs w:val="20"/>
              </w:rPr>
              <w:t xml:space="preserve">(m1)</w:t>
            </w:r>
            <w:r>
              <w:rPr>
                <w:rFonts w:hint="eastAsia" w:ascii="宋体" w:hAnsi="宋体" w:cs="宋体"/>
                <w:sz w:val="20"/>
                <w:szCs w:val="20"/>
              </w:rPr>
              <w:t xml:space="preserve">≥100万小时</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111</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兼容要求</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兼容要求</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数据库兼容</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 3 个及以上厂商的数据库产品</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112</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中间件兼容</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 3 个及以上厂商中间件产品</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113</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平台软件兼容</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 3 个及以上厂商云计算及大数据平台</w:t>
            </w:r>
            <w:r/>
          </w:p>
        </w:tc>
      </w:tr>
      <w:tr>
        <w:trPr>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114</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72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包装及运输要求</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标志、包装、运输和贮存</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 GB/T 9813.1 和商品包装政府采购需求标准的相关规定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115</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配置检查工具</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供应商提供自检测试工具</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116</w:t>
            </w:r>
            <w:r/>
          </w:p>
        </w:tc>
        <w:tc>
          <w:tcPr>
            <w:shd w:val="clear" w:color="000000" w:fill="ffffff"/>
            <w:tcBorders>
              <w:top w:val="none" w:color="000000" w:sz="4" w:space="0"/>
              <w:left w:val="single" w:color="000000" w:sz="4" w:space="0"/>
              <w:bottom w:val="single" w:color="000000" w:sz="4" w:space="0"/>
              <w:right w:val="single" w:color="000000" w:sz="4" w:space="0"/>
            </w:tcBorders>
            <w:tcW w:w="690"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保修方式</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提供免费上门点对点保修服务</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117</w:t>
            </w:r>
            <w:r/>
          </w:p>
        </w:tc>
        <w:tc>
          <w:tcPr>
            <w:tcBorders>
              <w:top w:val="none" w:color="000000" w:sz="4" w:space="0"/>
              <w:left w:val="single" w:color="000000" w:sz="4" w:space="0"/>
              <w:bottom w:val="single" w:color="000000" w:sz="4" w:space="0"/>
              <w:right w:val="single" w:color="000000" w:sz="4" w:space="0"/>
            </w:tcBorders>
            <w:tcW w:w="690"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服务响应</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服务周期内提供产品的维修、换件和升级服务</w:t>
            </w:r>
            <w:r/>
          </w:p>
        </w:tc>
      </w:tr>
      <w:tr>
        <w:trPr>
          <w:cantSplit/>
          <w:jc w:val="center"/>
          <w:trHeight w:val="72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118</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服务周期</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供应商提供同城4h、异地12h 技术响应服务，2 个工作日解决问题，对于未能解决的问题和故障应提供可行的升级方案，并提供周转设备或更换设</w:t>
            </w:r>
            <w:r>
              <w:rPr>
                <w:rFonts w:hint="eastAsia" w:ascii="宋体" w:hAnsi="宋体" w:cs="宋体"/>
                <w:i/>
                <w:iCs/>
                <w:sz w:val="20"/>
                <w:szCs w:val="20"/>
                <w:u w:val="single"/>
              </w:rPr>
              <w:br w:type="textWrapping" w:clear="all"/>
              <w:t xml:space="preserve">备；</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119</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预装操作系统</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预装正版操作系统，预装的操作系统符合《操作系统政府采购需求标准（2023 年版）》中桌面操作系统政府采购需求标准的所有加*指标要求</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120</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培训服务</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供应商提供培训材料、产品手册、培训视频等培训相关内容</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121</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典型问题解决手册</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供应商提供典型问题解决说明文档或视频</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122</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厂家升级软件与扩容服务</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供应商提供上门升级部件/软件与扩容的增值服务</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123</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合格证书要求</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供应商提供产品合格证</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124</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开箱组装/使用指导要求</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供应商提供开箱组装/使用指导</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125</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驱动下载服务要求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供应商提供驱动光盘或下载方式</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126</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兼容适配软件下载服务要求</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供应商提供兼容适配软件下载渠道（光盘、网站）</w:t>
            </w:r>
            <w:r/>
          </w:p>
        </w:tc>
      </w:tr>
      <w:tr>
        <w:trPr>
          <w:cantSplit/>
          <w:jc w:val="center"/>
          <w:trHeight w:val="55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127</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服务要求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跨架构平台应用兼容</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能够支持跨架构平台应用兼容</w:t>
            </w:r>
            <w:r/>
          </w:p>
        </w:tc>
      </w:tr>
      <w:tr>
        <w:trPr>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128</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供应保障要求</w:t>
            </w:r>
            <w:r/>
          </w:p>
        </w:tc>
        <w:tc>
          <w:tcPr>
            <w:shd w:val="clear" w:color="000000" w:fill="ffffff"/>
            <w:tcBorders>
              <w:top w:val="none" w:color="000000" w:sz="4" w:space="0"/>
              <w:left w:val="none" w:color="000000" w:sz="4" w:space="0"/>
              <w:bottom w:val="single" w:color="000000" w:sz="4" w:space="0"/>
              <w:right w:val="single" w:color="000000" w:sz="4" w:space="0"/>
            </w:tcBorders>
            <w:tcW w:w="72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供应链合规性</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产品部件保障</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保障产品主要部件提供 6年的备件服务能力</w:t>
            </w:r>
            <w:r>
              <w:rPr>
                <w:rFonts w:hint="eastAsia" w:ascii="宋体" w:hAnsi="宋体" w:cs="宋体"/>
                <w:sz w:val="20"/>
                <w:szCs w:val="20"/>
              </w:rPr>
              <w:t xml:space="preserve">(自购买之日起)</w:t>
            </w:r>
            <w:r>
              <w:rPr>
                <w:rFonts w:hint="eastAsia" w:ascii="宋体" w:hAnsi="宋体" w:cs="宋体"/>
                <w:sz w:val="20"/>
                <w:szCs w:val="20"/>
              </w:rPr>
              <w:t xml:space="preserve">，或提供可兼容原设备的升级换代产品</w:t>
            </w:r>
            <w:r/>
          </w:p>
        </w:tc>
      </w:tr>
      <w:tr>
        <w:trPr>
          <w:cantSplit/>
          <w:jc w:val="center"/>
          <w:trHeight w:val="1042"/>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129</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供应保障要求</w:t>
            </w:r>
            <w:r/>
          </w:p>
        </w:tc>
        <w:tc>
          <w:tcPr>
            <w:shd w:val="clear" w:color="000000" w:fill="ffffff"/>
            <w:tcBorders>
              <w:top w:val="none" w:color="000000" w:sz="4" w:space="0"/>
              <w:left w:val="single" w:color="000000" w:sz="4" w:space="0"/>
              <w:bottom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供应链质量</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抗干扰性</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当产品部件出现供应风险时，供应商通知采购人并提供风险应对方案确保产品的服务保障</w:t>
            </w:r>
            <w:r/>
          </w:p>
        </w:tc>
      </w:tr>
      <w:tr>
        <w:trPr>
          <w:cantSplit/>
          <w:jc w:val="center"/>
          <w:trHeight w:val="814"/>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130</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供应保障要求</w:t>
            </w:r>
            <w:r/>
          </w:p>
        </w:tc>
        <w:tc>
          <w:tcPr>
            <w:tcBorders>
              <w:top w:val="none" w:color="000000" w:sz="4" w:space="0"/>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供应能力证明</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供应商提供供应链稳定承诺书，确保产品的部件在产品服务周期内稳定供货</w:t>
            </w:r>
            <w:r/>
          </w:p>
        </w:tc>
      </w:tr>
      <w:tr>
        <w:trPr>
          <w:jc w:val="center"/>
          <w:trHeight w:val="738"/>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131</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shd w:val="clear" w:color="000000" w:fill="ffffff"/>
            <w:tcBorders>
              <w:top w:val="none" w:color="000000" w:sz="4" w:space="0"/>
              <w:left w:val="none" w:color="000000" w:sz="4" w:space="0"/>
              <w:bottom w:val="single" w:color="000000" w:sz="4" w:space="0"/>
              <w:right w:val="single" w:color="000000" w:sz="4" w:space="0"/>
            </w:tcBorders>
            <w:tcW w:w="722"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关键部件安全要求</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CPU和操作系统等关键部件应当符合安全可靠测评要求</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132</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shd w:val="clear" w:color="000000" w:fill="ffffff"/>
            <w:tcBorders>
              <w:top w:val="none" w:color="000000" w:sz="4" w:space="0"/>
              <w:left w:val="single" w:color="000000" w:sz="4" w:space="0"/>
              <w:right w:val="single" w:color="000000" w:sz="4" w:space="0"/>
            </w:tcBorders>
            <w:tcW w:w="722"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整机安全性要求</w:t>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密码算法实现</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CPU芯片应符合GM/T 0008 的相关规定，或芯片密码模块符合 GB/T 37092 或GM/T 0028 的相关规定</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133</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USB 端口管控</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 USB 端口管控</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134</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安全物理锁</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支持安全物理锁</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135</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single" w:color="000000" w:sz="4" w:space="0"/>
              <w:bottom w:val="single" w:color="000000" w:sz="4" w:space="0"/>
              <w:right w:val="single" w:color="000000" w:sz="4" w:space="0"/>
            </w:tcBorders>
            <w:tcW w:w="961" w:type="pct"/>
            <w:vAlign w:val="center"/>
            <w:vMerge w:val="restart"/>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信息安全基本要求</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应符合 GB/T 39276 的 5.2 的规定；</w:t>
            </w:r>
            <w:r/>
          </w:p>
        </w:tc>
      </w:tr>
      <w:tr>
        <w:trPr>
          <w:cantSplit/>
          <w:jc w:val="center"/>
          <w:trHeight w:val="480"/>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136</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61"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生产厂商应建立漏洞跟踪表，保证产品版本涉及到的漏洞</w:t>
            </w:r>
            <w:r>
              <w:rPr>
                <w:rFonts w:hint="eastAsia" w:ascii="宋体" w:hAnsi="宋体" w:cs="宋体"/>
                <w:i/>
                <w:iCs/>
                <w:sz w:val="20"/>
                <w:szCs w:val="20"/>
                <w:u w:val="single"/>
              </w:rPr>
              <w:t xml:space="preserve">(如驱动程序等)</w:t>
            </w:r>
            <w:r>
              <w:rPr>
                <w:rFonts w:hint="eastAsia" w:ascii="宋体" w:hAnsi="宋体" w:cs="宋体"/>
                <w:i/>
                <w:iCs/>
                <w:sz w:val="20"/>
                <w:szCs w:val="20"/>
                <w:u w:val="single"/>
              </w:rPr>
              <w:t xml:space="preserve">可查；</w:t>
            </w:r>
            <w:r/>
          </w:p>
        </w:tc>
      </w:tr>
      <w:tr>
        <w:trPr>
          <w:cantSplit/>
          <w:jc w:val="center"/>
          <w:trHeight w:val="285"/>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137</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961"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产品不得包含已知的恶意代码或漏洞，不存在未声明的指令、功能、接口</w:t>
            </w:r>
            <w:r/>
          </w:p>
        </w:tc>
      </w:tr>
      <w:tr>
        <w:trPr>
          <w:cantSplit/>
          <w:jc w:val="center"/>
          <w:trHeight w:val="924"/>
        </w:trPr>
        <w:tc>
          <w:tcPr>
            <w:shd w:val="clear" w:color="000000" w:fill="ffffff"/>
            <w:tcBorders>
              <w:top w:val="non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138</w:t>
            </w:r>
            <w:r/>
          </w:p>
        </w:tc>
        <w:tc>
          <w:tcPr>
            <w:shd w:val="clear" w:color="000000" w:fill="ffffff"/>
            <w:tcBorders>
              <w:top w:val="non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non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固件安全启动</w:t>
            </w:r>
            <w:r/>
          </w:p>
        </w:tc>
        <w:tc>
          <w:tcPr>
            <w:shd w:val="clear" w:color="000000" w:fill="ffffff"/>
            <w:tcBorders>
              <w:top w:val="non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支持固件安全启动功能，固件启动过程中只有通过启动校验才能正常启动</w:t>
            </w:r>
            <w:r/>
          </w:p>
        </w:tc>
      </w:tr>
      <w:tr>
        <w:trPr>
          <w:cantSplit/>
          <w:jc w:val="center"/>
          <w:trHeight w:val="978"/>
        </w:trPr>
        <w:tc>
          <w:tcPr>
            <w:shd w:val="clear" w:color="000000"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cs="宋体"/>
                <w:sz w:val="20"/>
                <w:szCs w:val="20"/>
              </w:rPr>
            </w:pPr>
            <w:r>
              <w:rPr>
                <w:rFonts w:hint="eastAsia" w:ascii="宋体" w:hAnsi="宋体"/>
                <w:sz w:val="20"/>
                <w:szCs w:val="20"/>
              </w:rPr>
              <w:t xml:space="preserve">139</w:t>
            </w:r>
            <w:r/>
          </w:p>
        </w:tc>
        <w:tc>
          <w:tcPr>
            <w:shd w:val="clear" w:color="000000" w:fill="ffffff"/>
            <w:tcBorders>
              <w:top w:val="singl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产品认证</w:t>
            </w:r>
            <w:r/>
          </w:p>
        </w:tc>
        <w:tc>
          <w:tcPr>
            <w:shd w:val="clear" w:color="000000" w:fill="ffffff"/>
            <w:tcBorders>
              <w:top w:val="singl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i/>
                <w:iCs/>
                <w:sz w:val="20"/>
                <w:szCs w:val="20"/>
                <w:u w:val="single"/>
              </w:rPr>
              <w:t xml:space="preserve">符合</w:t>
            </w:r>
            <w:r>
              <w:rPr>
                <w:rFonts w:ascii="宋体" w:hAnsi="宋体" w:cs="宋体"/>
                <w:i/>
                <w:iCs/>
                <w:sz w:val="20"/>
                <w:szCs w:val="20"/>
                <w:u w:val="single"/>
              </w:rPr>
              <w:t xml:space="preserve">GB/T 26572 </w:t>
            </w:r>
            <w:r>
              <w:rPr>
                <w:rFonts w:hint="eastAsia" w:ascii="宋体" w:hAnsi="宋体" w:cs="宋体"/>
                <w:i/>
                <w:iCs/>
                <w:sz w:val="20"/>
                <w:szCs w:val="20"/>
                <w:u w:val="single"/>
              </w:rPr>
              <w:t xml:space="preserve">中规定</w:t>
            </w:r>
            <w:r/>
          </w:p>
        </w:tc>
      </w:tr>
      <w:tr>
        <w:trPr>
          <w:cantSplit/>
          <w:jc w:val="center"/>
          <w:trHeight w:val="1000"/>
        </w:trPr>
        <w:tc>
          <w:tcPr>
            <w:shd w:val="clear" w:color="000000" w:fill="ffffff"/>
            <w:tcBorders>
              <w:top w:val="single" w:color="000000" w:sz="4" w:space="0"/>
              <w:left w:val="single" w:color="000000" w:sz="4" w:space="0"/>
              <w:bottom w:val="single" w:color="000000" w:sz="4" w:space="0"/>
              <w:right w:val="single" w:color="000000" w:sz="4" w:space="0"/>
            </w:tcBorders>
            <w:tcW w:w="332" w:type="pct"/>
            <w:vAlign w:val="center"/>
            <w:textDirection w:val="lrTb"/>
            <w:noWrap w:val="false"/>
          </w:tcPr>
          <w:p>
            <w:pPr>
              <w:jc w:val="center"/>
              <w:rPr>
                <w:rFonts w:hint="eastAsia" w:ascii="宋体" w:hAnsi="宋体"/>
                <w:sz w:val="20"/>
                <w:szCs w:val="20"/>
              </w:rPr>
            </w:pPr>
            <w:r>
              <w:rPr>
                <w:rFonts w:hint="eastAsia" w:ascii="宋体" w:hAnsi="宋体"/>
                <w:sz w:val="20"/>
                <w:szCs w:val="20"/>
              </w:rPr>
              <w:t xml:space="preserve">140</w:t>
            </w:r>
            <w:r/>
          </w:p>
        </w:tc>
        <w:tc>
          <w:tcPr>
            <w:shd w:val="clear" w:color="000000" w:fill="ffffff"/>
            <w:tcBorders>
              <w:top w:val="single" w:color="000000" w:sz="4" w:space="0"/>
              <w:left w:val="none" w:color="000000" w:sz="4" w:space="0"/>
              <w:bottom w:val="single" w:color="000000" w:sz="4" w:space="0"/>
              <w:right w:val="single" w:color="000000" w:sz="4" w:space="0"/>
            </w:tcBorders>
            <w:tcW w:w="690"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安全要求</w:t>
            </w:r>
            <w:r/>
          </w:p>
        </w:tc>
        <w:tc>
          <w:tcPr>
            <w:tcBorders>
              <w:left w:val="single" w:color="000000" w:sz="4" w:space="0"/>
              <w:bottom w:val="single" w:color="000000" w:sz="4" w:space="0"/>
              <w:right w:val="single" w:color="000000" w:sz="4" w:space="0"/>
            </w:tcBorders>
            <w:tcW w:w="722" w:type="pct"/>
            <w:vAlign w:val="center"/>
            <w:vMerge w:val="continue"/>
            <w:textDirection w:val="lrTb"/>
            <w:noWrap w:val="false"/>
          </w:tcPr>
          <w:p>
            <w:pPr>
              <w:jc w:val="center"/>
              <w:rPr>
                <w:rFonts w:hint="eastAsia" w:ascii="宋体" w:hAnsi="宋体" w:cs="宋体"/>
                <w:sz w:val="20"/>
                <w:szCs w:val="20"/>
              </w:rPr>
            </w:pPr>
            <w:r>
              <w:rPr>
                <w:rFonts w:hint="eastAsia" w:ascii="宋体" w:hAnsi="宋体" w:cs="宋体"/>
                <w:sz w:val="20"/>
                <w:szCs w:val="20"/>
              </w:rPr>
            </w:r>
            <w:r/>
          </w:p>
        </w:tc>
        <w:tc>
          <w:tcPr>
            <w:shd w:val="clear" w:color="000000" w:fill="ffffff"/>
            <w:tcBorders>
              <w:top w:val="single" w:color="000000" w:sz="4" w:space="0"/>
              <w:left w:val="none" w:color="000000" w:sz="4" w:space="0"/>
              <w:bottom w:val="single" w:color="000000" w:sz="4" w:space="0"/>
              <w:right w:val="single" w:color="000000" w:sz="4" w:space="0"/>
            </w:tcBorders>
            <w:tcW w:w="961" w:type="pct"/>
            <w:vAlign w:val="center"/>
            <w:textDirection w:val="lrTb"/>
            <w:noWrap w:val="false"/>
          </w:tcPr>
          <w:p>
            <w:pPr>
              <w:jc w:val="center"/>
              <w:rPr>
                <w:rFonts w:hint="eastAsia" w:ascii="宋体" w:hAnsi="宋体" w:cs="宋体"/>
                <w:sz w:val="20"/>
                <w:szCs w:val="20"/>
              </w:rPr>
            </w:pPr>
            <w:r>
              <w:rPr>
                <w:rFonts w:hint="eastAsia" w:ascii="宋体" w:hAnsi="宋体" w:cs="宋体"/>
                <w:sz w:val="20"/>
                <w:szCs w:val="20"/>
              </w:rPr>
              <w:t xml:space="preserve">数据安全要求</w:t>
            </w:r>
            <w:r/>
          </w:p>
        </w:tc>
        <w:tc>
          <w:tcPr>
            <w:shd w:val="clear" w:color="000000" w:fill="ffffff"/>
            <w:tcBorders>
              <w:top w:val="single" w:color="000000" w:sz="4" w:space="0"/>
              <w:left w:val="none" w:color="000000" w:sz="4" w:space="0"/>
              <w:bottom w:val="single" w:color="000000" w:sz="4" w:space="0"/>
              <w:right w:val="single" w:color="000000" w:sz="4" w:space="0"/>
            </w:tcBorders>
            <w:tcW w:w="2295" w:type="pct"/>
            <w:vAlign w:val="center"/>
            <w:textDirection w:val="lrTb"/>
            <w:noWrap w:val="false"/>
          </w:tcPr>
          <w:p>
            <w:pPr>
              <w:jc w:val="center"/>
              <w:rPr>
                <w:rFonts w:hint="eastAsia" w:ascii="宋体" w:hAnsi="宋体" w:cs="宋体"/>
                <w:i/>
                <w:iCs/>
                <w:sz w:val="20"/>
                <w:szCs w:val="20"/>
                <w:u w:val="single"/>
              </w:rPr>
            </w:pPr>
            <w:r>
              <w:rPr>
                <w:rFonts w:hint="eastAsia" w:ascii="宋体" w:hAnsi="宋体" w:cs="宋体"/>
                <w:sz w:val="20"/>
                <w:szCs w:val="20"/>
              </w:rPr>
              <w:t xml:space="preserve">为了保证数据安全，保障数据恢复的安全性，投标人所投产品具备国家信息中心数据恢复服务，提供证明材料</w:t>
            </w:r>
            <w:bookmarkEnd w:id="77"/>
            <w:r/>
          </w:p>
        </w:tc>
      </w:tr>
    </w:tbl>
    <w:p>
      <w:pPr>
        <w:spacing w:line="0" w:lineRule="atLeast"/>
        <w:rPr>
          <w:rFonts w:hint="eastAsia" w:ascii="宋体" w:hAnsi="宋体"/>
          <w:b/>
          <w:bCs/>
          <w:iCs/>
          <w:sz w:val="24"/>
          <w:szCs w:val="24"/>
        </w:rPr>
      </w:pPr>
      <w:r>
        <w:rPr>
          <w:rFonts w:hint="eastAsia" w:ascii="宋体" w:hAnsi="宋体"/>
          <w:b/>
          <w:bCs/>
          <w:iCs/>
          <w:sz w:val="24"/>
          <w:szCs w:val="24"/>
        </w:rPr>
        <w:t xml:space="preserve">说明：1、投标供应商中标后签订合同时，需提供技术要求内的相关证明材料原件、原厂全部设备序列号、原厂售后服务承诺函原件及国家信息中心数据恢复承诺书原件。</w:t>
      </w:r>
      <w:r/>
    </w:p>
    <w:p>
      <w:pPr>
        <w:numPr>
          <w:ilvl w:val="0"/>
          <w:numId w:val="8"/>
        </w:numPr>
        <w:ind w:firstLine="723"/>
        <w:spacing w:line="0" w:lineRule="atLeast"/>
        <w:rPr>
          <w:rFonts w:hint="eastAsia" w:ascii="宋体" w:hAnsi="宋体"/>
          <w:b/>
          <w:bCs/>
          <w:iCs/>
          <w:sz w:val="24"/>
          <w:szCs w:val="24"/>
        </w:rPr>
      </w:pPr>
      <w:r>
        <w:rPr>
          <w:rFonts w:hint="eastAsia" w:ascii="宋体" w:hAnsi="宋体"/>
          <w:b/>
          <w:bCs/>
          <w:iCs/>
          <w:sz w:val="24"/>
          <w:szCs w:val="24"/>
        </w:rPr>
        <w:t xml:space="preserve">院方如果在实施过程发现设备无法满足技术要求内的相关功能，院方有权不予验收，因此引起的所有后果由供应商自行承担。</w:t>
      </w:r>
      <w:r/>
    </w:p>
    <w:p>
      <w:pPr>
        <w:spacing w:line="0" w:lineRule="atLeast"/>
        <w:rPr>
          <w:rFonts w:hint="eastAsia" w:ascii="宋体" w:hAnsi="宋体"/>
          <w:b/>
          <w:bCs/>
          <w:sz w:val="24"/>
          <w:szCs w:val="24"/>
        </w:rPr>
      </w:pPr>
      <w:r>
        <w:rPr>
          <w:rFonts w:hint="eastAsia" w:ascii="宋体" w:hAnsi="宋体"/>
          <w:b/>
          <w:bCs/>
          <w:sz w:val="24"/>
          <w:szCs w:val="24"/>
        </w:rPr>
      </w:r>
      <w:r/>
    </w:p>
    <w:p>
      <w:pPr>
        <w:pStyle w:val="957"/>
        <w:jc w:val="left"/>
        <w:spacing w:before="0" w:after="0"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四、项目实施</w:t>
      </w:r>
      <w:r/>
    </w:p>
    <w:p>
      <w:pPr>
        <w:spacing w:line="520" w:lineRule="exact"/>
        <w:rPr>
          <w:rFonts w:hint="eastAsia" w:ascii="宋体" w:hAnsi="宋体" w:cs="宋体"/>
          <w:b/>
          <w:sz w:val="24"/>
        </w:rPr>
      </w:pPr>
      <w:r>
        <w:rPr>
          <w:rFonts w:hint="eastAsia" w:ascii="宋体" w:hAnsi="宋体" w:cs="宋体"/>
          <w:b/>
          <w:sz w:val="24"/>
        </w:rPr>
        <w:t xml:space="preserve">（一）项目实施要求</w:t>
      </w:r>
      <w:r/>
    </w:p>
    <w:p>
      <w:pPr>
        <w:ind w:firstLine="480"/>
        <w:spacing w:line="520" w:lineRule="exact"/>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供应商在提供所投设备的同时必须提供对于本次招标软硬件的系统安装、集成服务。</w:t>
      </w:r>
      <w:r/>
    </w:p>
    <w:p>
      <w:pPr>
        <w:ind w:firstLine="480"/>
        <w:spacing w:line="520" w:lineRule="exact"/>
        <w:rPr>
          <w:rFonts w:hint="eastAsia" w:ascii="宋体" w:hAnsi="宋体" w:cs="宋体"/>
          <w:bCs/>
          <w:sz w:val="24"/>
        </w:rPr>
      </w:pPr>
      <w:r>
        <w:rPr>
          <w:rFonts w:hint="eastAsia" w:ascii="宋体" w:hAnsi="宋体" w:cs="宋体"/>
          <w:bCs/>
          <w:sz w:val="24"/>
        </w:rPr>
        <w:t xml:space="preserve">2</w:t>
      </w:r>
      <w:r>
        <w:rPr>
          <w:rFonts w:ascii="宋体" w:hAnsi="宋体" w:cs="宋体"/>
          <w:bCs/>
          <w:sz w:val="24"/>
        </w:rPr>
        <w:t xml:space="preserve">.</w:t>
      </w:r>
      <w:r>
        <w:rPr>
          <w:rFonts w:hint="eastAsia" w:ascii="宋体" w:hAnsi="宋体" w:cs="宋体"/>
          <w:bCs/>
          <w:sz w:val="24"/>
        </w:rPr>
        <w:t xml:space="preserve">供应商负责软硬件安装调试，供应商应具备实施本次项目相应的技术能力，充分了解采购人现状和业务需求，与用户等相关方充分沟通后，制定详细可行的项目实施方案，对技术方案规划、项目计划与进度、项目质量、风险等进行总体管控与协调，经用户认可后方可开始实施。</w:t>
      </w:r>
      <w:r/>
    </w:p>
    <w:p>
      <w:pPr>
        <w:ind w:firstLine="480"/>
        <w:spacing w:line="520" w:lineRule="exact"/>
        <w:rPr>
          <w:rFonts w:hint="eastAsia" w:ascii="宋体" w:hAnsi="宋体" w:cs="宋体"/>
          <w:bCs/>
          <w:sz w:val="24"/>
        </w:rPr>
      </w:pPr>
      <w:r>
        <w:rPr>
          <w:rFonts w:hint="eastAsia" w:ascii="宋体" w:hAnsi="宋体" w:cs="宋体"/>
          <w:bCs/>
          <w:sz w:val="24"/>
        </w:rPr>
        <w:t xml:space="preserve">3</w:t>
      </w:r>
      <w:r>
        <w:rPr>
          <w:rFonts w:ascii="宋体" w:hAnsi="宋体" w:cs="宋体"/>
          <w:bCs/>
          <w:sz w:val="24"/>
        </w:rPr>
        <w:t xml:space="preserve">.</w:t>
      </w:r>
      <w:r>
        <w:rPr>
          <w:rFonts w:hint="eastAsia" w:ascii="宋体" w:hAnsi="宋体" w:cs="宋体"/>
          <w:bCs/>
          <w:sz w:val="24"/>
        </w:rPr>
        <w:t xml:space="preserve">供应商需针对本项目成立专门的实施团队，积极主动与用户单位进行协调沟通，在规定的时间内，保证质量完成投标所提供设备的规划、安装、调试及投入运行，达成项目建设目标。安装调试期间，采购人有权派技术人员参加，供应商有义</w:t>
      </w:r>
      <w:r>
        <w:rPr>
          <w:rFonts w:hint="eastAsia" w:ascii="宋体" w:hAnsi="宋体" w:cs="宋体"/>
          <w:bCs/>
          <w:sz w:val="24"/>
        </w:rPr>
        <w:t xml:space="preserve">务对其提出问题进行解答。</w:t>
      </w:r>
      <w:r/>
    </w:p>
    <w:p>
      <w:pPr>
        <w:ind w:firstLine="480"/>
        <w:spacing w:line="520" w:lineRule="exact"/>
        <w:rPr>
          <w:rFonts w:hint="eastAsia" w:ascii="宋体" w:hAnsi="宋体" w:cs="宋体"/>
          <w:bCs/>
          <w:sz w:val="24"/>
        </w:rPr>
      </w:pPr>
      <w:r>
        <w:rPr>
          <w:rFonts w:hint="eastAsia" w:ascii="宋体" w:hAnsi="宋体" w:cs="宋体"/>
          <w:bCs/>
          <w:sz w:val="24"/>
        </w:rPr>
        <w:t xml:space="preserve">4</w:t>
      </w:r>
      <w:r>
        <w:rPr>
          <w:rFonts w:ascii="宋体" w:hAnsi="宋体" w:cs="宋体"/>
          <w:bCs/>
          <w:sz w:val="24"/>
        </w:rPr>
        <w:t xml:space="preserve">.</w:t>
      </w:r>
      <w:r>
        <w:rPr>
          <w:rFonts w:hint="eastAsia" w:ascii="宋体" w:hAnsi="宋体" w:cs="宋体"/>
          <w:bCs/>
          <w:sz w:val="24"/>
        </w:rPr>
        <w:t xml:space="preserve">供应商须承担本项目实施过程涉及的全部费用（包括设备、辅材、测试和验收等），项目实施过程必须接受监督。</w:t>
      </w:r>
      <w:r/>
    </w:p>
    <w:p>
      <w:pPr>
        <w:spacing w:line="520" w:lineRule="exact"/>
        <w:rPr>
          <w:rFonts w:hint="eastAsia" w:ascii="宋体" w:hAnsi="宋体" w:cs="宋体"/>
          <w:b/>
          <w:sz w:val="24"/>
        </w:rPr>
      </w:pPr>
      <w:r>
        <w:rPr>
          <w:rFonts w:hint="eastAsia" w:ascii="宋体" w:hAnsi="宋体" w:cs="宋体"/>
          <w:b/>
          <w:sz w:val="24"/>
        </w:rPr>
        <w:t xml:space="preserve">（二）项目巡检要求</w:t>
      </w:r>
      <w:r/>
    </w:p>
    <w:p>
      <w:pPr>
        <w:ind w:firstLine="480"/>
        <w:spacing w:line="520" w:lineRule="exact"/>
        <w:rPr>
          <w:rFonts w:hint="eastAsia" w:ascii="宋体" w:hAnsi="宋体" w:cs="宋体"/>
          <w:bCs/>
          <w:sz w:val="24"/>
        </w:rPr>
      </w:pPr>
      <w:r>
        <w:rPr>
          <w:rFonts w:hint="eastAsia" w:ascii="宋体" w:hAnsi="宋体" w:cs="宋体"/>
          <w:bCs/>
          <w:sz w:val="24"/>
        </w:rPr>
        <w:t xml:space="preserve">供应商需提供保修期内每年</w:t>
      </w:r>
      <w:r>
        <w:rPr>
          <w:rFonts w:ascii="宋体" w:hAnsi="宋体" w:cs="宋体"/>
          <w:bCs/>
          <w:sz w:val="24"/>
        </w:rPr>
        <w:t xml:space="preserve">4</w:t>
      </w:r>
      <w:r>
        <w:rPr>
          <w:rFonts w:hint="eastAsia" w:ascii="宋体" w:hAnsi="宋体" w:cs="宋体"/>
          <w:bCs/>
          <w:sz w:val="24"/>
        </w:rPr>
        <w:t xml:space="preserve">次上门预防性主动巡检维护</w:t>
      </w:r>
      <w:r>
        <w:rPr>
          <w:rFonts w:hint="eastAsia" w:ascii="宋体" w:hAnsi="宋体" w:cs="宋体"/>
          <w:bCs/>
          <w:sz w:val="24"/>
        </w:rPr>
        <w:t xml:space="preserve">服务,</w:t>
      </w:r>
      <w:r>
        <w:rPr>
          <w:rFonts w:hint="eastAsia" w:ascii="宋体" w:hAnsi="宋体" w:cs="宋体"/>
          <w:bCs/>
          <w:sz w:val="24"/>
        </w:rPr>
        <w:t xml:space="preserve">包括但不限于重大节假日进行巡检（如春节、国庆等节假日），并出具巡检报告。巡检范围包含本次招标项目中的所有软硬件设备的运行情况，配置情况，性能指标等，并给出优化建议和合理的解决方案。</w:t>
      </w:r>
      <w:r/>
    </w:p>
    <w:p>
      <w:pPr>
        <w:spacing w:line="520" w:lineRule="exact"/>
        <w:rPr>
          <w:rFonts w:hint="eastAsia" w:ascii="宋体" w:hAnsi="宋体" w:cs="宋体"/>
          <w:b/>
          <w:sz w:val="24"/>
        </w:rPr>
      </w:pPr>
      <w:r>
        <w:rPr>
          <w:rFonts w:hint="eastAsia" w:ascii="宋体" w:hAnsi="宋体" w:cs="宋体"/>
          <w:b/>
          <w:sz w:val="24"/>
        </w:rPr>
        <w:t xml:space="preserve">（三）应急处理要求</w:t>
      </w:r>
      <w:r/>
    </w:p>
    <w:p>
      <w:pPr>
        <w:ind w:firstLine="480"/>
        <w:spacing w:line="520" w:lineRule="exact"/>
        <w:rPr>
          <w:rFonts w:hint="eastAsia" w:ascii="宋体" w:hAnsi="宋体" w:cs="宋体"/>
          <w:bCs/>
          <w:sz w:val="24"/>
        </w:rPr>
      </w:pPr>
      <w:r/>
      <w:bookmarkStart w:id="78" w:name="OLE_LINK3"/>
      <w:r>
        <w:rPr>
          <w:rFonts w:hint="eastAsia" w:ascii="宋体" w:hAnsi="宋体" w:cs="宋体"/>
          <w:bCs/>
          <w:sz w:val="24"/>
        </w:rPr>
        <w:t xml:space="preserve">供应商</w:t>
      </w:r>
      <w:bookmarkEnd w:id="78"/>
      <w:r>
        <w:rPr>
          <w:rFonts w:ascii="宋体" w:hAnsi="宋体" w:cs="宋体"/>
          <w:bCs/>
          <w:sz w:val="24"/>
        </w:rPr>
        <w:t xml:space="preserve">应针对本项目制定应急处理方案，确保在设备出现故障时能够快速响应、及时处置。应急方案应包括故障识别、人员调度、备件替换和恢复使用的完整流程，重点保障关键岗位设备的连续运行。</w:t>
      </w:r>
      <w:r>
        <w:rPr>
          <w:rFonts w:hint="eastAsia" w:ascii="宋体" w:hAnsi="宋体" w:cs="宋体"/>
          <w:bCs/>
          <w:sz w:val="24"/>
        </w:rPr>
        <w:t xml:space="preserve">供应商</w:t>
      </w:r>
      <w:r>
        <w:rPr>
          <w:rFonts w:ascii="宋体" w:hAnsi="宋体" w:cs="宋体"/>
          <w:bCs/>
          <w:sz w:val="24"/>
        </w:rPr>
        <w:t xml:space="preserve">应配备一定比例的备用电脑，在故障设备无法当场修复时可直接替换使用，不得因等待配件或人员不到位而影响正常工作。每次应急处理后，</w:t>
      </w:r>
      <w:r>
        <w:rPr>
          <w:rFonts w:hint="eastAsia" w:ascii="宋体" w:hAnsi="宋体" w:cs="宋体"/>
          <w:bCs/>
          <w:sz w:val="24"/>
        </w:rPr>
        <w:t xml:space="preserve">供应商</w:t>
      </w:r>
      <w:r>
        <w:rPr>
          <w:rFonts w:ascii="宋体" w:hAnsi="宋体" w:cs="宋体"/>
          <w:bCs/>
          <w:sz w:val="24"/>
        </w:rPr>
        <w:t xml:space="preserve">应记录故障原因和处理情况，供采购</w:t>
      </w:r>
      <w:r>
        <w:rPr>
          <w:rFonts w:hint="eastAsia" w:ascii="宋体" w:hAnsi="宋体" w:cs="宋体"/>
          <w:bCs/>
          <w:sz w:val="24"/>
        </w:rPr>
        <w:t xml:space="preserve">人</w:t>
      </w:r>
      <w:r>
        <w:rPr>
          <w:rFonts w:ascii="宋体" w:hAnsi="宋体" w:cs="宋体"/>
          <w:bCs/>
          <w:sz w:val="24"/>
        </w:rPr>
        <w:t xml:space="preserve">备查。</w:t>
      </w:r>
      <w:r/>
    </w:p>
    <w:p>
      <w:pPr>
        <w:spacing w:line="520" w:lineRule="exact"/>
        <w:rPr>
          <w:rFonts w:hint="eastAsia" w:ascii="宋体" w:hAnsi="宋体" w:cs="宋体"/>
          <w:b/>
          <w:sz w:val="24"/>
        </w:rPr>
      </w:pPr>
      <w:r>
        <w:rPr>
          <w:rFonts w:hint="eastAsia" w:ascii="宋体" w:hAnsi="宋体" w:cs="宋体"/>
          <w:b/>
          <w:sz w:val="24"/>
        </w:rPr>
        <w:t xml:space="preserve">（四）售后服务要求</w:t>
      </w:r>
      <w:r/>
    </w:p>
    <w:p>
      <w:pPr>
        <w:ind w:firstLine="480"/>
        <w:spacing w:line="520" w:lineRule="exact"/>
        <w:rPr>
          <w:rFonts w:hint="eastAsia" w:ascii="宋体" w:hAnsi="宋体" w:cs="宋体"/>
          <w:bCs/>
          <w:sz w:val="24"/>
        </w:rPr>
      </w:pPr>
      <w:r>
        <w:rPr>
          <w:rFonts w:hint="eastAsia" w:ascii="宋体" w:hAnsi="宋体" w:cs="宋体"/>
          <w:bCs/>
          <w:sz w:val="24"/>
        </w:rPr>
        <w:t xml:space="preserve">1</w:t>
      </w:r>
      <w:r>
        <w:rPr>
          <w:rFonts w:ascii="宋体" w:hAnsi="宋体" w:cs="宋体"/>
          <w:bCs/>
          <w:sz w:val="24"/>
        </w:rPr>
        <w:t xml:space="preserve">.</w:t>
      </w:r>
      <w:r>
        <w:rPr>
          <w:rFonts w:hint="eastAsia" w:ascii="宋体" w:hAnsi="宋体" w:cs="宋体"/>
          <w:bCs/>
          <w:sz w:val="24"/>
        </w:rPr>
        <w:t xml:space="preserve">硬件服务免费质保期：自采购人验收合格之日起，提供五年原厂免费上门保修服务。供货前需提供制造商出具的售后服务承诺函原件。</w:t>
      </w:r>
      <w:r/>
    </w:p>
    <w:p>
      <w:pPr>
        <w:ind w:firstLine="480"/>
        <w:spacing w:line="520" w:lineRule="exact"/>
        <w:rPr>
          <w:rFonts w:hint="eastAsia" w:ascii="宋体" w:hAnsi="宋体" w:cs="宋体"/>
          <w:bCs/>
          <w:sz w:val="24"/>
        </w:rPr>
      </w:pPr>
      <w:r>
        <w:rPr>
          <w:rFonts w:hint="eastAsia" w:ascii="宋体" w:hAnsi="宋体" w:cs="宋体"/>
          <w:bCs/>
          <w:sz w:val="24"/>
        </w:rPr>
        <w:t xml:space="preserve">2</w:t>
      </w:r>
      <w:r>
        <w:rPr>
          <w:rFonts w:ascii="宋体" w:hAnsi="宋体" w:cs="宋体"/>
          <w:bCs/>
          <w:sz w:val="24"/>
        </w:rPr>
        <w:t xml:space="preserve">.</w:t>
      </w:r>
      <w:r>
        <w:rPr>
          <w:rFonts w:hint="eastAsia" w:ascii="宋体" w:hAnsi="宋体" w:cs="宋体"/>
          <w:bCs/>
          <w:sz w:val="24"/>
        </w:rPr>
        <w:t xml:space="preserve">供应商承诺在合同期内，向招标方免费提供系统维护、技术支持服务；如系统出现错误和故障，供应商应根据招标方要求给予修正。</w:t>
      </w:r>
      <w:r/>
    </w:p>
    <w:p>
      <w:pPr>
        <w:ind w:firstLine="480"/>
        <w:spacing w:line="520" w:lineRule="exact"/>
        <w:rPr>
          <w:rFonts w:hint="eastAsia" w:ascii="宋体" w:hAnsi="宋体" w:cs="宋体"/>
          <w:bCs/>
          <w:sz w:val="24"/>
        </w:rPr>
      </w:pPr>
      <w:r>
        <w:rPr>
          <w:rFonts w:hint="eastAsia" w:ascii="宋体" w:hAnsi="宋体" w:cs="宋体"/>
          <w:bCs/>
          <w:sz w:val="24"/>
        </w:rPr>
        <w:t xml:space="preserve">3</w:t>
      </w:r>
      <w:r>
        <w:rPr>
          <w:rFonts w:ascii="宋体" w:hAnsi="宋体" w:cs="宋体"/>
          <w:bCs/>
          <w:sz w:val="24"/>
        </w:rPr>
        <w:t xml:space="preserve">.</w:t>
      </w:r>
      <w:r>
        <w:rPr>
          <w:rFonts w:hint="eastAsia" w:ascii="宋体" w:hAnsi="宋体" w:cs="宋体"/>
          <w:bCs/>
          <w:sz w:val="24"/>
        </w:rPr>
        <w:t xml:space="preserve">质保期内供应商需要提供7*24小时全天候售后服务，30分钟响应，4小时内到达现场并修复。</w:t>
      </w:r>
      <w:r/>
    </w:p>
    <w:p>
      <w:pPr>
        <w:ind w:firstLine="480"/>
        <w:spacing w:line="520" w:lineRule="exact"/>
        <w:rPr>
          <w:rFonts w:hint="eastAsia" w:ascii="宋体" w:hAnsi="宋体" w:cs="宋体"/>
          <w:bCs/>
          <w:sz w:val="24"/>
        </w:rPr>
      </w:pPr>
      <w:r>
        <w:rPr>
          <w:rFonts w:hint="eastAsia" w:ascii="宋体" w:hAnsi="宋体" w:cs="宋体"/>
          <w:bCs/>
          <w:sz w:val="24"/>
        </w:rPr>
        <w:t xml:space="preserve">4</w:t>
      </w:r>
      <w:r>
        <w:rPr>
          <w:rFonts w:ascii="宋体" w:hAnsi="宋体" w:cs="宋体"/>
          <w:bCs/>
          <w:sz w:val="24"/>
        </w:rPr>
        <w:t xml:space="preserve">.</w:t>
      </w:r>
      <w:r>
        <w:rPr>
          <w:rFonts w:hint="eastAsia" w:ascii="宋体" w:hAnsi="宋体" w:cs="宋体"/>
          <w:bCs/>
          <w:sz w:val="24"/>
        </w:rPr>
        <w:t xml:space="preserve"> 供应商应提供自身及所投货物品牌原厂的响应标准、服务体系、备件体系、故障解决方案、专业技术人员保障等服务方案，服务方案应科学合理、具备针对性，并指定专门的售后服务人员，确保供应商中标后提供的各项售后服务能满足招标文件要求。</w:t>
      </w:r>
      <w:r/>
    </w:p>
    <w:p>
      <w:pPr>
        <w:ind w:firstLine="480"/>
        <w:spacing w:line="520" w:lineRule="exact"/>
        <w:rPr>
          <w:rFonts w:hint="eastAsia" w:ascii="宋体" w:hAnsi="宋体" w:cs="宋体"/>
          <w:bCs/>
          <w:sz w:val="24"/>
        </w:rPr>
      </w:pPr>
      <w:r>
        <w:rPr>
          <w:rFonts w:hint="eastAsia" w:ascii="宋体" w:hAnsi="宋体" w:cs="宋体"/>
          <w:bCs/>
          <w:sz w:val="24"/>
        </w:rPr>
        <w:t xml:space="preserve">5.供应商提供的货物必须由原厂商直接发至采购人指定地方，中途不得转运。</w:t>
      </w:r>
      <w:r/>
    </w:p>
    <w:p>
      <w:pPr>
        <w:spacing w:line="520" w:lineRule="exact"/>
        <w:rPr>
          <w:rFonts w:hint="eastAsia" w:ascii="宋体" w:hAnsi="宋体" w:cs="宋体"/>
          <w:b/>
          <w:sz w:val="24"/>
        </w:rPr>
      </w:pPr>
      <w:r>
        <w:rPr>
          <w:rFonts w:hint="eastAsia" w:ascii="宋体" w:hAnsi="宋体" w:cs="宋体"/>
          <w:b/>
          <w:sz w:val="24"/>
        </w:rPr>
        <w:t xml:space="preserve">（五）项目培训要求</w:t>
      </w:r>
      <w:r/>
    </w:p>
    <w:p>
      <w:pPr>
        <w:ind w:firstLine="480"/>
        <w:spacing w:line="520" w:lineRule="exact"/>
        <w:rPr>
          <w:rFonts w:hint="eastAsia" w:ascii="宋体" w:hAnsi="宋体" w:cs="宋体"/>
          <w:bCs/>
          <w:sz w:val="24"/>
        </w:rPr>
      </w:pPr>
      <w:r>
        <w:rPr>
          <w:rFonts w:hint="eastAsia" w:ascii="宋体" w:hAnsi="宋体" w:cs="宋体"/>
          <w:bCs/>
          <w:sz w:val="24"/>
        </w:rPr>
        <w:t xml:space="preserve">成交供应商在项目实施过程中，需要对采购人相关管理人员进行免费现场培训，培训内容包括所投产品相关设备的基本操作原理、调试、操作使用和保养维修等，通过培训确保采购人的管理人员能够了解系统的安装及配置，掌握各种软件安装调试及使用、常见故障的解决办法、系统的简易性恢复等技能。投标文件中须提供详细的培训计划及方案。</w:t>
      </w:r>
      <w:r/>
    </w:p>
    <w:p>
      <w:pPr>
        <w:spacing w:line="520" w:lineRule="exact"/>
        <w:rPr>
          <w:rFonts w:hint="eastAsia" w:ascii="宋体" w:hAnsi="宋体" w:cs="宋体"/>
          <w:b/>
          <w:sz w:val="24"/>
        </w:rPr>
      </w:pPr>
      <w:r>
        <w:rPr>
          <w:rFonts w:hint="eastAsia" w:ascii="宋体" w:hAnsi="宋体" w:cs="宋体"/>
          <w:b/>
          <w:sz w:val="24"/>
        </w:rPr>
        <w:t xml:space="preserve">（六）项目配合验收要求</w:t>
      </w:r>
      <w:r/>
    </w:p>
    <w:p>
      <w:pPr>
        <w:ind w:firstLine="480"/>
        <w:spacing w:line="520" w:lineRule="exact"/>
        <w:rPr>
          <w:rFonts w:hint="eastAsia" w:ascii="宋体" w:hAnsi="宋体" w:cs="宋体"/>
          <w:bCs/>
          <w:sz w:val="24"/>
        </w:rPr>
      </w:pPr>
      <w:r>
        <w:rPr>
          <w:rFonts w:hint="eastAsia" w:ascii="宋体" w:hAnsi="宋体" w:cs="宋体"/>
          <w:bCs/>
          <w:sz w:val="24"/>
        </w:rPr>
        <w:t xml:space="preserve">投标人应根据招标文件要求提供项目配合验收方案，内容包括但不限于验收配合的组织架构与职责分工；验收前资料准备（包括工程概况、设计方案、设备清单及到货签收记录、操作维护手册等）；验收不合格的整改机制等。</w:t>
      </w:r>
      <w:r/>
    </w:p>
    <w:p>
      <w:pPr>
        <w:ind w:firstLine="480"/>
        <w:spacing w:line="520" w:lineRule="exact"/>
        <w:rPr>
          <w:rFonts w:hint="eastAsia" w:ascii="宋体" w:hAnsi="宋体" w:cs="宋体"/>
          <w:bCs/>
          <w:sz w:val="24"/>
        </w:rPr>
      </w:pPr>
      <w:r>
        <w:rPr>
          <w:rFonts w:hint="eastAsia" w:ascii="宋体" w:hAnsi="宋体" w:cs="宋体"/>
          <w:bCs/>
          <w:sz w:val="24"/>
        </w:rPr>
        <w:t xml:space="preserve">项目验收要求：</w:t>
      </w:r>
      <w:r/>
    </w:p>
    <w:p>
      <w:pPr>
        <w:ind w:firstLine="480"/>
        <w:spacing w:line="520" w:lineRule="exact"/>
        <w:rPr>
          <w:rFonts w:hint="eastAsia" w:ascii="宋体" w:hAnsi="宋体" w:cs="宋体"/>
          <w:bCs/>
          <w:sz w:val="24"/>
        </w:rPr>
      </w:pPr>
      <w:r>
        <w:rPr>
          <w:rFonts w:hint="eastAsia" w:ascii="宋体" w:hAnsi="宋体" w:cs="宋体"/>
          <w:bCs/>
          <w:sz w:val="24"/>
        </w:rPr>
        <w:t xml:space="preserve">（1）招标文件、投标文件、厂家货物技术标准说明及有关国家的质量标准规定，均作为验收标准。</w:t>
      </w:r>
      <w:r/>
    </w:p>
    <w:p>
      <w:pPr>
        <w:ind w:firstLine="480"/>
        <w:spacing w:line="520" w:lineRule="exact"/>
        <w:rPr>
          <w:rFonts w:hint="eastAsia" w:ascii="宋体" w:hAnsi="宋体" w:cs="宋体"/>
          <w:bCs/>
          <w:sz w:val="24"/>
        </w:rPr>
      </w:pPr>
      <w:r>
        <w:rPr>
          <w:rFonts w:hint="eastAsia" w:ascii="宋体" w:hAnsi="宋体" w:cs="宋体"/>
          <w:bCs/>
          <w:sz w:val="24"/>
        </w:rPr>
        <w:t xml:space="preserve">（2）项目完成后，由采购人组织对供应商的验收，采购人有权邀请国家认可的质量检测机构参加验收工作。验收时中标人必须在场。验收合格后，中标人凭采购人出具的验收合格书至采购人处根据合同规定办理付款手续。</w:t>
      </w:r>
      <w:r/>
    </w:p>
    <w:p>
      <w:pPr>
        <w:ind w:firstLine="480"/>
        <w:spacing w:line="360" w:lineRule="auto"/>
        <w:rPr>
          <w:rFonts w:hint="eastAsia" w:ascii="宋体" w:hAnsi="宋体" w:cs="宋体"/>
          <w:bCs/>
          <w:sz w:val="24"/>
        </w:rPr>
      </w:pPr>
      <w:r>
        <w:rPr>
          <w:rFonts w:hint="eastAsia" w:ascii="宋体" w:hAnsi="宋体" w:cs="宋体"/>
          <w:bCs/>
          <w:sz w:val="24"/>
        </w:rPr>
        <w:t xml:space="preserve">（3）若在验收过程中发现产品不合格或存在伪劣产品等问题，采购人将根据具体情况采取相应的措施，包括但不限于退货、拒付货款、索赔等，并保留向质量技术监督部门报告并依法处理的权利。</w:t>
      </w:r>
      <w:r/>
    </w:p>
    <w:p>
      <w:pPr>
        <w:spacing w:line="360" w:lineRule="auto"/>
        <w:rPr>
          <w:rFonts w:hint="eastAsia" w:ascii="宋体" w:hAnsi="宋体"/>
          <w:b/>
          <w:bCs/>
          <w:sz w:val="24"/>
          <w:szCs w:val="24"/>
        </w:rPr>
      </w:pPr>
      <w:r>
        <w:rPr>
          <w:rFonts w:ascii="宋体" w:hAnsi="宋体" w:cs="宋体"/>
          <w:b/>
          <w:sz w:val="24"/>
          <w:lang w:bidi="ar"/>
        </w:rPr>
        <w:t xml:space="preserve">（</w:t>
      </w:r>
      <w:r>
        <w:rPr>
          <w:rFonts w:hint="eastAsia" w:ascii="宋体" w:hAnsi="宋体" w:cs="宋体"/>
          <w:b/>
          <w:sz w:val="24"/>
          <w:lang w:bidi="ar"/>
        </w:rPr>
        <w:t xml:space="preserve">七</w:t>
      </w:r>
      <w:r>
        <w:rPr>
          <w:rFonts w:ascii="宋体" w:hAnsi="宋体" w:cs="宋体"/>
          <w:b/>
          <w:sz w:val="24"/>
          <w:lang w:bidi="ar"/>
        </w:rPr>
        <w:t xml:space="preserve">）履约能力</w:t>
      </w:r>
      <w:r>
        <w:rPr>
          <w:rFonts w:hint="eastAsia" w:ascii="宋体" w:hAnsi="宋体" w:cs="宋体"/>
          <w:b/>
          <w:sz w:val="24"/>
          <w:lang w:bidi="ar"/>
        </w:rPr>
        <w:t xml:space="preserve">要求</w:t>
      </w:r>
      <w:r/>
    </w:p>
    <w:p>
      <w:pPr>
        <w:ind w:firstLine="480"/>
        <w:spacing w:line="360" w:lineRule="auto"/>
        <w:rPr>
          <w:rFonts w:hint="eastAsia" w:ascii="宋体" w:hAnsi="宋体"/>
          <w:bCs/>
          <w:sz w:val="24"/>
          <w:szCs w:val="24"/>
        </w:rPr>
      </w:pPr>
      <w:r>
        <w:rPr>
          <w:rFonts w:hint="eastAsia" w:ascii="宋体" w:hAnsi="宋体"/>
          <w:bCs/>
          <w:sz w:val="24"/>
          <w:szCs w:val="24"/>
        </w:rPr>
        <w:t xml:space="preserve">1．投标人业绩。投标人具有20</w:t>
      </w:r>
      <w:r>
        <w:rPr>
          <w:rFonts w:ascii="宋体" w:hAnsi="宋体"/>
          <w:bCs/>
          <w:sz w:val="24"/>
          <w:szCs w:val="24"/>
        </w:rPr>
        <w:t xml:space="preserve">2</w:t>
      </w:r>
      <w:r>
        <w:rPr>
          <w:rFonts w:hint="eastAsia" w:ascii="宋体" w:hAnsi="宋体"/>
          <w:bCs/>
          <w:sz w:val="24"/>
          <w:szCs w:val="24"/>
        </w:rPr>
        <w:t xml:space="preserve">3年1月1日</w:t>
      </w:r>
      <w:r>
        <w:rPr>
          <w:rFonts w:ascii="宋体" w:hAnsi="宋体"/>
          <w:bCs/>
          <w:sz w:val="24"/>
          <w:szCs w:val="24"/>
        </w:rPr>
        <w:t xml:space="preserve">以来类似</w:t>
      </w:r>
      <w:r>
        <w:rPr>
          <w:rFonts w:hint="eastAsia" w:ascii="宋体" w:hAnsi="宋体"/>
          <w:bCs/>
          <w:sz w:val="24"/>
          <w:szCs w:val="24"/>
        </w:rPr>
        <w:t xml:space="preserve">本项目</w:t>
      </w:r>
      <w:r>
        <w:rPr>
          <w:rFonts w:ascii="宋体" w:hAnsi="宋体"/>
          <w:bCs/>
          <w:sz w:val="24"/>
          <w:szCs w:val="24"/>
        </w:rPr>
        <w:t xml:space="preserve">供货及安装业绩</w:t>
      </w:r>
      <w:r>
        <w:rPr>
          <w:rFonts w:hint="eastAsia" w:ascii="宋体" w:hAnsi="宋体"/>
          <w:bCs/>
          <w:sz w:val="24"/>
          <w:szCs w:val="24"/>
        </w:rPr>
        <w:t xml:space="preserve">。</w:t>
      </w:r>
      <w:r/>
    </w:p>
    <w:p>
      <w:pPr>
        <w:ind w:firstLine="482"/>
        <w:spacing w:line="360" w:lineRule="auto"/>
        <w:rPr>
          <w:rFonts w:hint="eastAsia" w:ascii="宋体" w:hAnsi="宋体"/>
          <w:bCs/>
          <w:sz w:val="24"/>
          <w:szCs w:val="24"/>
        </w:rPr>
      </w:pPr>
      <w:r>
        <w:rPr>
          <w:rFonts w:hint="eastAsia" w:ascii="宋体" w:hAnsi="宋体"/>
          <w:bCs/>
          <w:sz w:val="24"/>
          <w:szCs w:val="24"/>
        </w:rPr>
        <w:t xml:space="preserve">2．响应时间服务能力。投标方提供每周7天×24小时电话热线支持和传真服务，若设备出现的故障，投标方承诺4小时到达现场处理故障。故障维修时应当详细记录原因及排除方法，故障需24小时内解决，24小时内无法解决或需带离我院维修的，需提供备用机器，维修完毕将其移交招标方。</w:t>
      </w:r>
      <w:r/>
    </w:p>
    <w:p>
      <w:pPr>
        <w:spacing w:line="0" w:lineRule="atLeast"/>
        <w:rPr>
          <w:rFonts w:hint="eastAsia" w:ascii="宋体" w:hAnsi="宋体"/>
          <w:sz w:val="24"/>
          <w:szCs w:val="24"/>
        </w:rPr>
      </w:pPr>
      <w:r>
        <w:rPr>
          <w:rFonts w:hint="eastAsia" w:ascii="宋体" w:hAnsi="宋体"/>
          <w:b/>
          <w:bCs/>
          <w:sz w:val="24"/>
          <w:szCs w:val="24"/>
        </w:rPr>
        <w:t xml:space="preserve">（八）节能环保的要求</w:t>
      </w:r>
      <w:r/>
    </w:p>
    <w:p>
      <w:pPr>
        <w:ind w:firstLine="480"/>
        <w:spacing w:line="360" w:lineRule="auto"/>
        <w:rPr>
          <w:rFonts w:hint="eastAsia" w:ascii="宋体" w:hAnsi="宋体"/>
          <w:sz w:val="24"/>
          <w:szCs w:val="24"/>
        </w:rPr>
      </w:pPr>
      <w:r>
        <w:rPr>
          <w:rFonts w:hint="eastAsia" w:ascii="宋体" w:hAnsi="宋体"/>
          <w:sz w:val="24"/>
          <w:szCs w:val="24"/>
        </w:rPr>
        <w:t xml:space="preserve">1.投标产品属于财政部、生态环境部公布的“环境标志产品品目清单”范围内的，投标人提供国家确定的认证机构出具的、处于有效期内的该环保产品认证证书复印件。</w:t>
      </w:r>
      <w:r/>
    </w:p>
    <w:p>
      <w:pPr>
        <w:spacing w:line="0" w:lineRule="atLeast"/>
        <w:rPr>
          <w:rFonts w:hint="eastAsia" w:ascii="宋体" w:hAnsi="宋体"/>
          <w:b/>
          <w:bCs/>
          <w:sz w:val="24"/>
          <w:szCs w:val="24"/>
        </w:rPr>
      </w:pPr>
      <w:r>
        <w:rPr>
          <w:rFonts w:hint="eastAsia" w:ascii="宋体" w:hAnsi="宋体"/>
          <w:b/>
          <w:bCs/>
          <w:sz w:val="24"/>
          <w:szCs w:val="24"/>
        </w:rPr>
      </w:r>
      <w:r/>
    </w:p>
    <w:p>
      <w:pPr>
        <w:pStyle w:val="957"/>
        <w:jc w:val="left"/>
        <w:spacing w:before="0" w:after="0"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五、商务要求</w:t>
      </w:r>
      <w:r/>
    </w:p>
    <w:p>
      <w:pPr>
        <w:ind w:firstLine="560"/>
        <w:spacing w:line="400" w:lineRule="exact"/>
        <w:rPr>
          <w:rFonts w:hint="eastAsia" w:ascii="宋体" w:hAnsi="宋体"/>
          <w:b/>
          <w:bCs/>
          <w:sz w:val="28"/>
          <w:szCs w:val="28"/>
        </w:rPr>
      </w:pPr>
      <w:r>
        <w:rPr>
          <w:rFonts w:hint="eastAsia" w:ascii="方正仿宋_GBK" w:hAnsi="方正仿宋_GBK" w:eastAsia="方正仿宋_GBK" w:cs="方正仿宋_GBK"/>
          <w:bCs/>
          <w:sz w:val="28"/>
          <w:szCs w:val="28"/>
        </w:rPr>
        <w:t xml:space="preserve">商务要求是指取得采购标的的时间、地点、财务和服务要求，包括交付（实施）的时间（期限）和地点（范围），付款条件（进度和方法），包装和运输，售后服务，保险等。其中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或加*号条款为实质性要求。</w:t>
      </w:r>
      <w:r/>
    </w:p>
    <w:p>
      <w:pPr>
        <w:ind w:firstLine="482"/>
        <w:spacing w:line="360" w:lineRule="auto"/>
        <w:rPr>
          <w:rFonts w:hint="eastAsia" w:ascii="宋体" w:hAnsi="宋体"/>
          <w:sz w:val="24"/>
        </w:rPr>
      </w:pPr>
      <w:r>
        <w:rPr>
          <w:rFonts w:hint="eastAsia" w:ascii="宋体" w:hAnsi="宋体" w:cs="宋体"/>
          <w:b/>
          <w:sz w:val="24"/>
        </w:rPr>
        <w:t xml:space="preserve">（一）质保及售后技术服务要求</w:t>
      </w:r>
      <w:r/>
    </w:p>
    <w:p>
      <w:pPr>
        <w:ind w:firstLine="480"/>
        <w:spacing w:line="360" w:lineRule="auto"/>
        <w:rPr>
          <w:rFonts w:hint="eastAsia" w:ascii="宋体" w:hAnsi="宋体" w:cs="宋体"/>
          <w:bCs/>
          <w:sz w:val="24"/>
        </w:rPr>
      </w:pPr>
      <w:r>
        <w:rPr>
          <w:rFonts w:hint="eastAsia" w:ascii="宋体" w:hAnsi="宋体" w:cs="宋体"/>
          <w:bCs/>
          <w:sz w:val="24"/>
        </w:rPr>
        <w:t xml:space="preserve">1.1</w:t>
      </w:r>
      <w:r>
        <w:rPr>
          <w:rFonts w:hint="eastAsia" w:ascii="宋体" w:hAnsi="宋体" w:cs="宋体"/>
          <w:bCs/>
          <w:i/>
          <w:iCs/>
          <w:sz w:val="24"/>
          <w:u w:val="single"/>
        </w:rPr>
        <w:t xml:space="preserve">投标产品提供原厂五年免费上门质保服务。自采购人验收合格，验收报告确认签字日起，开始进入质保期。投标文件中产品报价包含5年原厂质保费用，维修不另外收取任何费用。</w:t>
      </w:r>
      <w:r/>
    </w:p>
    <w:p>
      <w:pPr>
        <w:ind w:firstLine="480"/>
        <w:spacing w:line="360" w:lineRule="auto"/>
        <w:rPr>
          <w:rFonts w:hint="eastAsia" w:ascii="宋体" w:hAnsi="宋体" w:cs="宋体"/>
          <w:bCs/>
          <w:sz w:val="24"/>
        </w:rPr>
      </w:pPr>
      <w:r>
        <w:rPr>
          <w:rFonts w:hint="eastAsia" w:ascii="宋体" w:hAnsi="宋体" w:cs="宋体"/>
          <w:bCs/>
          <w:sz w:val="24"/>
        </w:rPr>
        <w:t xml:space="preserve">1.2原厂工程师提供项目的现场部署实施服务，并针对用户及管理员进行必要的培训服务。</w:t>
      </w:r>
      <w:r/>
    </w:p>
    <w:p>
      <w:pPr>
        <w:ind w:firstLine="482"/>
        <w:spacing w:line="360" w:lineRule="auto"/>
        <w:rPr>
          <w:rFonts w:hint="eastAsia" w:ascii="宋体" w:hAnsi="宋体" w:cs="宋体"/>
          <w:b/>
          <w:sz w:val="24"/>
        </w:rPr>
      </w:pPr>
      <w:r>
        <w:rPr>
          <w:rFonts w:hint="eastAsia" w:ascii="宋体" w:hAnsi="宋体" w:cs="宋体"/>
          <w:b/>
          <w:sz w:val="24"/>
        </w:rPr>
        <w:t xml:space="preserve">（二）交货期、交货方式及交货地点</w:t>
      </w:r>
      <w:r/>
    </w:p>
    <w:p>
      <w:pPr>
        <w:ind w:firstLine="480"/>
        <w:spacing w:line="360" w:lineRule="auto"/>
        <w:rPr>
          <w:rFonts w:hint="eastAsia" w:ascii="宋体" w:hAnsi="宋体" w:cs="宋体"/>
          <w:bCs/>
          <w:sz w:val="24"/>
        </w:rPr>
      </w:pPr>
      <w:r>
        <w:rPr>
          <w:rFonts w:hint="eastAsia" w:ascii="宋体" w:hAnsi="宋体" w:cs="宋体"/>
          <w:bCs/>
          <w:sz w:val="24"/>
        </w:rPr>
        <w:t xml:space="preserve">2.1交货期：在接到采购人供货通知后的20个日历日内完成交货。</w:t>
      </w:r>
      <w:r/>
    </w:p>
    <w:p>
      <w:pPr>
        <w:ind w:firstLine="480"/>
        <w:spacing w:line="360" w:lineRule="auto"/>
        <w:rPr>
          <w:rFonts w:hint="eastAsia" w:ascii="宋体" w:hAnsi="宋体" w:cs="宋体"/>
          <w:bCs/>
          <w:sz w:val="24"/>
        </w:rPr>
      </w:pPr>
      <w:r>
        <w:rPr>
          <w:rFonts w:hint="eastAsia" w:ascii="宋体" w:hAnsi="宋体" w:cs="宋体"/>
          <w:bCs/>
          <w:sz w:val="24"/>
        </w:rPr>
        <w:t xml:space="preserve">2.2交货方式：供应商在采购人指定地点交货并完成安装、调试工作。本项目供货的计算机需进行性能和系统软件验证测试，如无法满足临床、行政业务使用要求，甲方出具书面通知后合同终止。</w:t>
      </w:r>
      <w:r/>
    </w:p>
    <w:p>
      <w:pPr>
        <w:ind w:firstLine="480"/>
        <w:spacing w:line="360" w:lineRule="auto"/>
        <w:rPr>
          <w:rFonts w:hint="eastAsia" w:ascii="宋体" w:hAnsi="宋体" w:cs="宋体"/>
          <w:bCs/>
          <w:sz w:val="24"/>
        </w:rPr>
      </w:pPr>
      <w:r>
        <w:rPr>
          <w:rFonts w:hint="eastAsia" w:ascii="宋体" w:hAnsi="宋体" w:cs="宋体"/>
          <w:bCs/>
          <w:sz w:val="24"/>
        </w:rPr>
        <w:t xml:space="preserve">2.3交货地点：采购人指定地点，由供应商负责办理运输和装卸等，费用由供应商负责，采购人组织验收，检验不合格或不符合质量要求，供应商除无条件退货、返工外，还应承担采购人由此造成的一切损失。</w:t>
      </w:r>
      <w:r/>
    </w:p>
    <w:p>
      <w:pPr>
        <w:ind w:firstLine="482"/>
        <w:spacing w:line="360" w:lineRule="auto"/>
        <w:rPr>
          <w:rFonts w:hint="eastAsia" w:ascii="宋体" w:hAnsi="宋体" w:cs="宋体"/>
          <w:b/>
          <w:sz w:val="24"/>
        </w:rPr>
      </w:pPr>
      <w:r>
        <w:rPr>
          <w:rFonts w:hint="eastAsia" w:ascii="宋体" w:hAnsi="宋体" w:cs="宋体"/>
          <w:b/>
          <w:sz w:val="24"/>
        </w:rPr>
        <w:t xml:space="preserve">（三）付款方式</w:t>
      </w:r>
      <w:r/>
    </w:p>
    <w:p>
      <w:pPr>
        <w:ind w:firstLine="480"/>
        <w:spacing w:line="360" w:lineRule="auto"/>
        <w:rPr>
          <w:rFonts w:hint="eastAsia" w:ascii="宋体" w:hAnsi="宋体" w:cs="宋体"/>
          <w:bCs/>
          <w:sz w:val="24"/>
        </w:rPr>
      </w:pPr>
      <w:r>
        <w:rPr>
          <w:rFonts w:hint="eastAsia" w:ascii="宋体" w:hAnsi="宋体" w:cs="宋体"/>
          <w:bCs/>
          <w:sz w:val="24"/>
        </w:rPr>
        <w:t xml:space="preserve">3.1</w:t>
      </w:r>
      <w:r>
        <w:rPr>
          <w:rFonts w:hint="eastAsia"/>
          <w:bCs/>
          <w:i/>
          <w:iCs/>
          <w:sz w:val="24"/>
          <w:szCs w:val="24"/>
          <w:u w:val="single"/>
        </w:rPr>
        <w:t xml:space="preserve">分批送货、分批开具发票。合同生效收到合同总价</w:t>
      </w:r>
      <w:r>
        <w:rPr>
          <w:rFonts w:hint="eastAsia"/>
          <w:bCs/>
          <w:i/>
          <w:iCs/>
          <w:sz w:val="24"/>
          <w:szCs w:val="24"/>
          <w:u w:val="single"/>
        </w:rPr>
        <w:t xml:space="preserve">10%</w:t>
      </w:r>
      <w:r>
        <w:rPr>
          <w:rFonts w:hint="eastAsia"/>
          <w:bCs/>
          <w:i/>
          <w:iCs/>
          <w:sz w:val="24"/>
          <w:szCs w:val="24"/>
          <w:u w:val="single"/>
        </w:rPr>
        <w:t xml:space="preserve">的履约保证金</w:t>
      </w:r>
      <w:r>
        <w:rPr>
          <w:rFonts w:hint="eastAsia"/>
          <w:bCs/>
          <w:i/>
          <w:iCs/>
          <w:sz w:val="24"/>
          <w:szCs w:val="24"/>
          <w:u w:val="single"/>
        </w:rPr>
        <w:t xml:space="preserve">，</w:t>
      </w:r>
      <w:r>
        <w:rPr>
          <w:rFonts w:hint="eastAsia"/>
          <w:bCs/>
          <w:i/>
          <w:iCs/>
          <w:sz w:val="24"/>
          <w:szCs w:val="24"/>
          <w:u w:val="single"/>
        </w:rPr>
        <w:t xml:space="preserve">每批货物安装、调试完成并</w:t>
      </w:r>
      <w:r>
        <w:rPr>
          <w:rFonts w:hint="eastAsia"/>
          <w:bCs/>
          <w:i/>
          <w:iCs/>
          <w:sz w:val="24"/>
          <w:szCs w:val="24"/>
          <w:u w:val="single"/>
        </w:rPr>
        <w:t xml:space="preserve">通过</w:t>
      </w:r>
      <w:r>
        <w:rPr>
          <w:rFonts w:hint="eastAsia"/>
          <w:bCs/>
          <w:i/>
          <w:iCs/>
          <w:sz w:val="24"/>
          <w:szCs w:val="24"/>
          <w:u w:val="single"/>
        </w:rPr>
        <w:t xml:space="preserve">项目主管部门及需求科室联合验收</w:t>
      </w:r>
      <w:r>
        <w:rPr>
          <w:rFonts w:hint="eastAsia"/>
          <w:bCs/>
          <w:i/>
          <w:iCs/>
          <w:sz w:val="24"/>
          <w:szCs w:val="24"/>
          <w:u w:val="single"/>
        </w:rPr>
        <w:t xml:space="preserve">，稳定运行</w:t>
      </w:r>
      <w:r>
        <w:rPr>
          <w:rFonts w:hint="eastAsia"/>
          <w:bCs/>
          <w:i/>
          <w:iCs/>
          <w:sz w:val="24"/>
          <w:szCs w:val="24"/>
          <w:u w:val="single"/>
        </w:rPr>
        <w:t xml:space="preserve">30</w:t>
      </w:r>
      <w:r>
        <w:rPr>
          <w:rFonts w:hint="eastAsia"/>
          <w:bCs/>
          <w:i/>
          <w:iCs/>
          <w:sz w:val="24"/>
          <w:szCs w:val="24"/>
          <w:u w:val="single"/>
        </w:rPr>
        <w:t xml:space="preserve">个工作日后收到该批次发票</w:t>
      </w:r>
      <w:r>
        <w:rPr>
          <w:rFonts w:hint="eastAsia"/>
          <w:bCs/>
          <w:i/>
          <w:iCs/>
          <w:sz w:val="24"/>
          <w:szCs w:val="24"/>
          <w:u w:val="single"/>
        </w:rPr>
        <w:t xml:space="preserve">10</w:t>
      </w:r>
      <w:r>
        <w:rPr>
          <w:rFonts w:hint="eastAsia"/>
          <w:bCs/>
          <w:i/>
          <w:iCs/>
          <w:sz w:val="24"/>
          <w:szCs w:val="24"/>
          <w:u w:val="single"/>
        </w:rPr>
        <w:t xml:space="preserve">个工作日内支付该批次款项</w:t>
      </w:r>
      <w:r>
        <w:rPr>
          <w:rFonts w:hint="eastAsia"/>
          <w:bCs/>
          <w:sz w:val="24"/>
          <w:szCs w:val="24"/>
        </w:rPr>
        <w:t xml:space="preserve">。</w:t>
      </w:r>
      <w:r/>
    </w:p>
    <w:p>
      <w:pPr>
        <w:ind w:firstLine="480"/>
        <w:spacing w:line="360" w:lineRule="auto"/>
        <w:rPr>
          <w:rFonts w:hint="eastAsia" w:ascii="宋体" w:hAnsi="宋体" w:cs="宋体"/>
          <w:bCs/>
          <w:sz w:val="24"/>
        </w:rPr>
      </w:pPr>
      <w:r>
        <w:rPr>
          <w:rFonts w:hint="eastAsia" w:ascii="宋体" w:hAnsi="宋体" w:cs="宋体"/>
          <w:bCs/>
          <w:sz w:val="24"/>
        </w:rPr>
        <w:t xml:space="preserve">3.2有质量问题时，供应商需修复好产品缺陷并赔偿采购人经济损失。</w:t>
      </w:r>
      <w:r/>
    </w:p>
    <w:p>
      <w:pPr>
        <w:pStyle w:val="957"/>
        <w:jc w:val="left"/>
        <w:spacing w:before="0" w:after="0" w:line="400" w:lineRule="exact"/>
        <w:rPr>
          <w:rFonts w:hint="eastAsia" w:ascii="黑体" w:hAnsi="黑体" w:eastAsia="黑体"/>
          <w:b w:val="0"/>
          <w:bCs w:val="0"/>
          <w:sz w:val="28"/>
          <w:szCs w:val="28"/>
        </w:rPr>
      </w:pPr>
      <w:r>
        <w:rPr>
          <w:rFonts w:hint="eastAsia" w:ascii="黑体" w:hAnsi="黑体" w:eastAsia="黑体"/>
          <w:b w:val="0"/>
          <w:bCs w:val="0"/>
          <w:sz w:val="28"/>
          <w:szCs w:val="28"/>
        </w:rPr>
        <w:t xml:space="preserve">六、其他要求</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1.项目</w:t>
      </w:r>
      <w:r>
        <w:rPr>
          <w:rFonts w:hint="eastAsia" w:ascii="方正仿宋_GBK" w:hAnsi="方正仿宋_GBK" w:eastAsia="方正仿宋_GBK" w:cs="方正仿宋_GBK"/>
          <w:bCs/>
          <w:sz w:val="28"/>
          <w:szCs w:val="28"/>
        </w:rPr>
        <w:t xml:space="preserve">属性:</w:t>
      </w:r>
      <w:r>
        <w:rPr>
          <w:rFonts w:hint="eastAsia" w:ascii="方正仿宋_GBK" w:hAnsi="方正仿宋_GBK" w:eastAsia="方正仿宋_GBK" w:cs="方正仿宋_GBK"/>
          <w:bCs/>
          <w:sz w:val="28"/>
          <w:szCs w:val="28"/>
        </w:rPr>
        <w:t xml:space="preserve">货物类项目。</w:t>
      </w:r>
      <w:r/>
    </w:p>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2.核心产品</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81"/>
        <w:gridCol w:w="3369"/>
      </w:tblGrid>
      <w:tr>
        <w:trPr/>
        <w:tc>
          <w:tcPr>
            <w:tcW w:w="168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336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w:t>
            </w:r>
            <w:r/>
          </w:p>
        </w:tc>
      </w:tr>
      <w:tr>
        <w:trPr/>
        <w:tc>
          <w:tcPr>
            <w:tcW w:w="168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6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ascii="方正仿宋_GBK" w:hAnsi="方正仿宋_GBK" w:eastAsia="方正仿宋_GBK" w:cs="方正仿宋_GBK"/>
                <w:sz w:val="28"/>
                <w:szCs w:val="28"/>
              </w:rPr>
              <w:t xml:space="preserve">高配台式计算机</w:t>
            </w:r>
            <w:r/>
          </w:p>
        </w:tc>
      </w:tr>
    </w:tbl>
    <w:p>
      <w:pPr>
        <w:ind w:firstLine="56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3.进口产品投标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00"/>
        <w:gridCol w:w="3762"/>
      </w:tblGrid>
      <w:tr>
        <w:trPr/>
        <w:tc>
          <w:tcPr>
            <w:tcW w:w="130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376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是否接受进口产品投标</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p>
        </w:tc>
      </w:tr>
      <w:tr>
        <w:trPr/>
        <w:tc>
          <w:tcPr>
            <w:tcW w:w="130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762"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p>
        </w:tc>
      </w:tr>
    </w:tbl>
    <w:p>
      <w:pPr>
        <w:jc w:val="center"/>
        <w:keepNext/>
        <w:spacing w:line="400" w:lineRule="exact"/>
        <w:rPr>
          <w:rFonts w:hint="eastAsia" w:ascii="黑体" w:hAnsi="黑体" w:eastAsia="黑体"/>
          <w:b/>
          <w:bCs/>
          <w:sz w:val="28"/>
          <w:szCs w:val="28"/>
        </w:rPr>
        <w:outlineLvl w:val="0"/>
      </w:pPr>
      <w:r/>
      <w:bookmarkStart w:id="79" w:name="_Toc120614281"/>
      <w:r>
        <w:rPr>
          <w:b/>
          <w:bCs/>
        </w:rPr>
        <w:br w:type="page" w:clear="all"/>
      </w:r>
      <w:bookmarkStart w:id="80" w:name="_Toc233969289"/>
      <w:r>
        <w:rPr>
          <w:rFonts w:hint="eastAsia" w:ascii="方正黑体_GBK" w:hAnsi="方正黑体_GBK" w:eastAsia="方正黑体_GBK" w:cs="方正黑体_GBK"/>
          <w:sz w:val="28"/>
          <w:szCs w:val="28"/>
        </w:rPr>
        <w:t xml:space="preserve">第五章  评标方法与评标标准</w:t>
      </w:r>
      <w:bookmarkEnd w:id="80"/>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采用综合评分法的，评标结果按评审后得分由高到低顺序排列。得分相同的，按投标报价由低到高顺序排列。得分且投标报价相同的并列。</w:t>
      </w:r>
      <w:r/>
    </w:p>
    <w:tbl>
      <w:tblPr>
        <w:tblW w:w="0" w:type="auto"/>
        <w:tblInd w:w="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650"/>
        <w:gridCol w:w="2152"/>
        <w:gridCol w:w="4985"/>
      </w:tblGrid>
      <w:tr>
        <w:trPr/>
        <w:tc>
          <w:tcPr>
            <w:tcW w:w="167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p>
        </w:tc>
        <w:tc>
          <w:tcPr>
            <w:tcW w:w="218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选取中标候选人数量</w:t>
            </w:r>
            <w:r/>
          </w:p>
        </w:tc>
        <w:tc>
          <w:tcPr>
            <w:tcW w:w="5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选取中标候选人的原则</w:t>
            </w:r>
            <w:r/>
          </w:p>
        </w:tc>
      </w:tr>
      <w:tr>
        <w:trPr/>
        <w:tc>
          <w:tcPr>
            <w:tcW w:w="167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218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5063" w:type="dxa"/>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满足招标文件全部实质性要求，且按照评审因素的量化指标评审得分最高的投标人为中标候选人。</w:t>
            </w:r>
            <w:r/>
          </w:p>
        </w:tc>
      </w:tr>
    </w:tbl>
    <w:p>
      <w:pPr>
        <w:ind w:firstLine="562"/>
        <w:jc w:val="left"/>
        <w:spacing w:before="120" w:after="12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b/>
          <w:sz w:val="28"/>
          <w:szCs w:val="28"/>
        </w:rPr>
        <w:t xml:space="preserve">政府采购政策功能落实</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1.小微型企业价格扣除</w:t>
      </w:r>
      <w:r/>
    </w:p>
    <w:p>
      <w:pPr>
        <w:ind w:firstLine="42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（1）本项目对小型和微型企业产品给予10%的扣除价格，用扣除后的价格参与评审。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2.残疾人福利单位价格扣除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（1）本项目对残疾人福利性单位视同小型、微型企业，给予10%的价格扣除，用扣除后的价格参与评审。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3.监狱和戒毒企业价格扣除</w:t>
      </w:r>
      <w:r/>
    </w:p>
    <w:p>
      <w:pPr>
        <w:ind w:firstLine="560"/>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（1）本项目对监狱和戒毒企业（简称监狱企业）视同小型、微型企业，给予10%的价格扣除，用扣除后的价格参与评审。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w:t>
      </w:r>
      <w:r>
        <w:rPr>
          <w:rFonts w:hint="eastAsia" w:ascii="方正仿宋_GBK" w:hAnsi="方正仿宋_GBK" w:eastAsia="方正仿宋_GBK" w:cs="方正仿宋_GBK"/>
          <w:sz w:val="28"/>
          <w:szCs w:val="28"/>
        </w:rPr>
        <w:t xml:space="preserve">(含新疆生产建设兵团)</w:t>
      </w:r>
      <w:r>
        <w:rPr>
          <w:rFonts w:hint="eastAsia" w:ascii="方正仿宋_GBK" w:hAnsi="方正仿宋_GBK" w:eastAsia="方正仿宋_GBK" w:cs="方正仿宋_GBK"/>
          <w:sz w:val="28"/>
          <w:szCs w:val="28"/>
        </w:rPr>
        <w:t xml:space="preserve">出具的属于监狱企业的证明文件。供应商如不提供上述证明文件，价格将不做相应扣除。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4.残疾人福利单位、监狱企业属于小型、微型企业的，不重复享受政策。</w:t>
      </w:r>
      <w:r/>
    </w:p>
    <w:p>
      <w:pPr>
        <w:ind w:firstLine="560"/>
        <w:spacing w:line="400" w:lineRule="exact"/>
        <w:rPr>
          <w:rFonts w:hint="eastAsia" w:ascii="华文新魏" w:hAnsi="宋体" w:eastAsia="华文新魏"/>
          <w:sz w:val="28"/>
          <w:szCs w:val="28"/>
        </w:rPr>
      </w:pPr>
      <w:r>
        <w:rPr>
          <w:rFonts w:hint="eastAsia" w:ascii="方正仿宋_GBK" w:hAnsi="方正仿宋_GBK" w:eastAsia="方正仿宋_GBK" w:cs="方正仿宋_GBK"/>
          <w:sz w:val="28"/>
          <w:szCs w:val="28"/>
        </w:rPr>
        <w:t xml:space="preserve">5.如本项目同意联合体投标或同意分包履行合同</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jc w:val="left"/>
        <w:spacing w:before="120" w:after="120"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6.联合体各方均为小型、微型企业（残疾人福利单位、监狱企业）的，联合体享受10%价格扣除，用扣除后的价格参与评审。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7.采购本国产品的支持政策</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 本项目政府采购活动中既有本国产品又有非本国产品参与竞争的，依法对本国产品给予价格评审优惠，对本国产品的报价给予20%的价格扣除，用扣除后的价格参与评审。</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 供应商需按照招标文件的要求提供《关于符合本国产品标准的声明函》（以下简称《声明函》），如不提供将不享受本国产品价格评审优惠。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7.4 供应商需在《声明函》中逐一、准确填写产品名称、厂名、生产厂址三项信息（《声明函》中标注</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的地方无需填写），三项信息中任意一项未填写的视为该项产品不符合本国产品标准，不享受本国产品价格评审优惠。</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w:t>
      </w:r>
      <w:r>
        <w:rPr>
          <w:rFonts w:hint="eastAsia" w:ascii="方正仿宋_GBK" w:hAnsi="方正仿宋_GBK" w:eastAsia="方正仿宋_GBK" w:cs="方正仿宋_GBK"/>
          <w:sz w:val="28"/>
          <w:szCs w:val="28"/>
        </w:rPr>
        <w:t xml:space="preserve">准。</w:t>
      </w:r>
      <w:r/>
    </w:p>
    <w:p>
      <w:pPr>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r>
      <w:r/>
    </w:p>
    <w:p>
      <w:pPr>
        <w:ind w:firstLine="562"/>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评标方法与评标标准</w:t>
      </w:r>
      <w:r/>
    </w:p>
    <w:p>
      <w:pPr>
        <w:pStyle w:val="1034"/>
        <w:ind w:firstLine="504"/>
        <w:spacing w:before="0" w:after="0" w:line="480" w:lineRule="exact"/>
        <w:rPr>
          <w:rFonts w:hint="eastAsia" w:ascii="宋体" w:hAnsi="宋体" w:cs="宋体"/>
        </w:rPr>
      </w:pPr>
      <w:r>
        <w:rPr>
          <w:rFonts w:hint="eastAsia" w:ascii="宋体" w:hAnsi="宋体" w:cs="宋体"/>
        </w:rPr>
        <w:t xml:space="preserve">本项目采用综合评分法确定中标候选人。评标委员会将按下列评分办法和标准进行评分，总分值为100分。</w:t>
      </w:r>
      <w:r/>
    </w:p>
    <w:p>
      <w:pPr>
        <w:ind w:firstLine="482"/>
        <w:spacing w:line="360" w:lineRule="auto"/>
        <w:rPr>
          <w:rFonts w:hint="eastAsia" w:ascii="宋体" w:hAnsi="宋体" w:cs="宋体"/>
          <w:b/>
          <w:sz w:val="24"/>
          <w:lang w:bidi="ar"/>
        </w:rPr>
      </w:pPr>
      <w:r>
        <w:rPr>
          <w:rFonts w:hint="eastAsia" w:ascii="宋体" w:hAnsi="宋体" w:cs="宋体"/>
          <w:b/>
          <w:sz w:val="24"/>
          <w:lang w:bidi="ar"/>
        </w:rPr>
        <w:t xml:space="preserve">（一）价格分（30分）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1.1价格分采用低价优先法计算，即满足采购文件要求且报价最低的供应商报价为评标基准价，其价格分为满分30分，其它投标人的价格分统一按照以下公式计算：投标报价得分=（评标基准价/该投标人的投标报价）×30分。分值保留小数点后2位。</w:t>
      </w:r>
      <w:r/>
    </w:p>
    <w:p>
      <w:pPr>
        <w:ind w:firstLine="482"/>
        <w:spacing w:line="360" w:lineRule="auto"/>
        <w:rPr>
          <w:rFonts w:hint="eastAsia" w:ascii="宋体" w:hAnsi="宋体" w:cs="宋体"/>
          <w:b/>
          <w:sz w:val="24"/>
          <w:lang w:bidi="ar"/>
        </w:rPr>
      </w:pPr>
      <w:r>
        <w:rPr>
          <w:rFonts w:hint="eastAsia" w:ascii="宋体" w:hAnsi="宋体" w:cs="宋体"/>
          <w:b/>
          <w:sz w:val="24"/>
          <w:lang w:bidi="ar"/>
        </w:rPr>
        <w:t xml:space="preserve">（二）技术参数及性能等（35分）</w:t>
      </w:r>
      <w:r/>
    </w:p>
    <w:p>
      <w:pPr>
        <w:ind w:firstLine="482"/>
        <w:spacing w:line="360" w:lineRule="auto"/>
        <w:rPr>
          <w:rFonts w:hint="eastAsia" w:ascii="宋体" w:hAnsi="宋体"/>
          <w:bCs/>
          <w:sz w:val="24"/>
        </w:rPr>
      </w:pPr>
      <w:r>
        <w:rPr>
          <w:rFonts w:hint="eastAsia" w:ascii="宋体" w:hAnsi="宋体" w:cs="宋体"/>
          <w:bCs/>
          <w:sz w:val="24"/>
          <w:lang w:bidi="ar"/>
        </w:rPr>
        <w:t xml:space="preserve">2.1</w:t>
      </w:r>
      <w:r>
        <w:rPr>
          <w:rFonts w:ascii="宋体" w:hAnsi="宋体" w:cs="宋体"/>
          <w:bCs/>
          <w:sz w:val="24"/>
          <w:lang w:bidi="ar"/>
        </w:rPr>
        <w:t xml:space="preserve">投标产品对招标文件具体需求的响应程度：</w:t>
      </w:r>
      <w:r>
        <w:rPr>
          <w:rFonts w:hint="eastAsia" w:ascii="宋体" w:hAnsi="宋体"/>
          <w:b/>
          <w:i/>
          <w:sz w:val="24"/>
          <w:u w:val="single"/>
        </w:rPr>
        <w:t xml:space="preserve">斜体下划线加粗项为实质性要求参数，不满足为无效投标；</w:t>
      </w:r>
      <w:r>
        <w:rPr>
          <w:rFonts w:hint="eastAsia" w:ascii="宋体" w:hAnsi="宋体" w:cs="宋体"/>
          <w:bCs/>
          <w:sz w:val="24"/>
          <w:lang w:bidi="ar"/>
        </w:rPr>
        <w:t xml:space="preserve">全部</w:t>
      </w:r>
      <w:r>
        <w:rPr>
          <w:rFonts w:ascii="宋体" w:hAnsi="宋体" w:cs="宋体"/>
          <w:bCs/>
          <w:sz w:val="24"/>
          <w:lang w:bidi="ar"/>
        </w:rPr>
        <w:t xml:space="preserve">响应即满足招标文件</w:t>
      </w:r>
      <w:r>
        <w:rPr>
          <w:rFonts w:hint="eastAsia" w:ascii="宋体" w:hAnsi="宋体" w:cs="宋体"/>
          <w:bCs/>
          <w:sz w:val="24"/>
          <w:lang w:bidi="ar"/>
        </w:rPr>
        <w:t xml:space="preserve">第四章 项目需求“二、技术参数”要求</w:t>
      </w:r>
      <w:r>
        <w:rPr>
          <w:rFonts w:ascii="宋体" w:hAnsi="宋体" w:cs="宋体"/>
          <w:bCs/>
          <w:sz w:val="24"/>
          <w:lang w:bidi="ar"/>
        </w:rPr>
        <w:t xml:space="preserve">的得</w:t>
      </w:r>
      <w:r>
        <w:rPr>
          <w:rFonts w:hint="eastAsia" w:ascii="宋体" w:hAnsi="宋体" w:cs="宋体"/>
          <w:bCs/>
          <w:sz w:val="24"/>
          <w:lang w:bidi="ar"/>
        </w:rPr>
        <w:t xml:space="preserve">35</w:t>
      </w:r>
      <w:r>
        <w:rPr>
          <w:rFonts w:ascii="宋体" w:hAnsi="宋体" w:cs="宋体"/>
          <w:bCs/>
          <w:sz w:val="24"/>
          <w:lang w:bidi="ar"/>
        </w:rPr>
        <w:t xml:space="preserve">分</w:t>
      </w:r>
      <w:r>
        <w:rPr>
          <w:rFonts w:hint="eastAsia" w:ascii="宋体" w:hAnsi="宋体" w:cs="宋体"/>
          <w:bCs/>
          <w:sz w:val="24"/>
          <w:lang w:bidi="ar"/>
        </w:rPr>
        <w:t xml:space="preserve">，有</w:t>
      </w:r>
      <w:r>
        <w:rPr>
          <w:rFonts w:hint="eastAsia" w:ascii="宋体" w:hAnsi="宋体"/>
          <w:bCs/>
          <w:sz w:val="24"/>
        </w:rPr>
        <w:t xml:space="preserve">负偏离的每项扣0.5分，扣完为止。（投标人需按照本采购文件第四章的具体功能技术要求等，在“技术参数响应及偏离表”中如实详细填列所投产品的参数，并按采购文件要求提供制造商官方发布的产品彩页、功能截图等证明材料并在偏离表中标明所在页码，否则评标委员会有权做负偏离处理）</w:t>
      </w:r>
      <w:r/>
    </w:p>
    <w:p>
      <w:pPr>
        <w:ind w:firstLine="482"/>
        <w:spacing w:line="360" w:lineRule="auto"/>
        <w:rPr>
          <w:rFonts w:hint="eastAsia" w:ascii="宋体" w:hAnsi="宋体" w:cs="宋体"/>
          <w:b/>
          <w:sz w:val="24"/>
          <w:lang w:bidi="ar"/>
        </w:rPr>
      </w:pPr>
      <w:r>
        <w:rPr>
          <w:rFonts w:ascii="宋体" w:hAnsi="宋体" w:cs="宋体"/>
          <w:b/>
          <w:sz w:val="24"/>
          <w:lang w:bidi="ar"/>
        </w:rPr>
        <w:t xml:space="preserve">（三）项目实施</w:t>
      </w:r>
      <w:r>
        <w:rPr>
          <w:rFonts w:hint="eastAsia" w:ascii="宋体" w:hAnsi="宋体" w:cs="宋体"/>
          <w:b/>
          <w:sz w:val="24"/>
          <w:lang w:bidi="ar"/>
        </w:rPr>
        <w:t xml:space="preserve">、巡检、应急</w:t>
      </w:r>
      <w:r>
        <w:rPr>
          <w:rFonts w:ascii="宋体" w:hAnsi="宋体" w:cs="宋体"/>
          <w:b/>
          <w:sz w:val="24"/>
          <w:lang w:bidi="ar"/>
        </w:rPr>
        <w:t xml:space="preserve">方案（</w:t>
      </w:r>
      <w:r>
        <w:rPr>
          <w:rFonts w:hint="eastAsia" w:ascii="宋体" w:hAnsi="宋体" w:cs="宋体"/>
          <w:b/>
          <w:sz w:val="24"/>
          <w:lang w:bidi="ar"/>
        </w:rPr>
        <w:t xml:space="preserve">12</w:t>
      </w:r>
      <w:r>
        <w:rPr>
          <w:rFonts w:ascii="宋体" w:hAnsi="宋体" w:cs="宋体"/>
          <w:b/>
          <w:sz w:val="24"/>
          <w:lang w:bidi="ar"/>
        </w:rPr>
        <w:t xml:space="preserve">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3.1项目实施方案</w:t>
      </w:r>
      <w:r>
        <w:rPr>
          <w:rFonts w:ascii="宋体" w:hAnsi="宋体" w:cs="宋体"/>
          <w:bCs/>
          <w:sz w:val="24"/>
          <w:lang w:bidi="ar"/>
        </w:rPr>
        <w:t xml:space="preserve">（</w:t>
      </w:r>
      <w:r>
        <w:rPr>
          <w:rFonts w:hint="eastAsia" w:ascii="宋体" w:hAnsi="宋体" w:cs="宋体"/>
          <w:bCs/>
          <w:sz w:val="24"/>
          <w:lang w:bidi="ar"/>
        </w:rPr>
        <w:t xml:space="preserve">4分</w:t>
      </w:r>
      <w:r>
        <w:rPr>
          <w:rFonts w:ascii="宋体" w:hAnsi="宋体" w:cs="宋体"/>
          <w:bCs/>
          <w:sz w:val="24"/>
          <w:lang w:bidi="ar"/>
        </w:rPr>
        <w:t xml:space="preserve">）</w:t>
      </w:r>
      <w:r>
        <w:rPr>
          <w:rFonts w:hint="eastAsia" w:ascii="宋体" w:hAnsi="宋体" w:cs="宋体"/>
          <w:bCs/>
          <w:sz w:val="24"/>
          <w:lang w:bidi="ar"/>
        </w:rPr>
        <w:t xml:space="preserve">：</w:t>
      </w:r>
      <w:r>
        <w:rPr>
          <w:rFonts w:ascii="宋体" w:hAnsi="宋体" w:cs="宋体"/>
          <w:bCs/>
          <w:sz w:val="24"/>
          <w:lang w:bidi="ar"/>
        </w:rPr>
        <w:t xml:space="preserve">投标人</w:t>
      </w:r>
      <w:r>
        <w:rPr>
          <w:rFonts w:hint="eastAsia" w:ascii="宋体" w:hAnsi="宋体" w:cs="宋体"/>
          <w:bCs/>
          <w:sz w:val="24"/>
          <w:lang w:bidi="ar"/>
        </w:rPr>
        <w:t xml:space="preserve">应</w:t>
      </w:r>
      <w:r>
        <w:rPr>
          <w:rFonts w:ascii="宋体" w:hAnsi="宋体" w:cs="宋体"/>
          <w:bCs/>
          <w:sz w:val="24"/>
          <w:lang w:bidi="ar"/>
        </w:rPr>
        <w:t xml:space="preserve">根据招标文件</w:t>
      </w:r>
      <w:r>
        <w:rPr>
          <w:rFonts w:hint="eastAsia" w:ascii="宋体" w:hAnsi="宋体" w:cs="宋体"/>
          <w:bCs/>
          <w:sz w:val="24"/>
          <w:lang w:bidi="ar"/>
        </w:rPr>
        <w:t xml:space="preserve">要求</w:t>
      </w:r>
      <w:r>
        <w:rPr>
          <w:rFonts w:ascii="宋体" w:hAnsi="宋体" w:cs="宋体"/>
          <w:bCs/>
          <w:sz w:val="24"/>
          <w:lang w:bidi="ar"/>
        </w:rPr>
        <w:t xml:space="preserve">提供</w:t>
      </w:r>
      <w:r>
        <w:rPr>
          <w:rFonts w:hint="eastAsia" w:ascii="宋体" w:hAnsi="宋体" w:cs="宋体"/>
          <w:bCs/>
          <w:sz w:val="24"/>
          <w:lang w:bidi="ar"/>
        </w:rPr>
        <w:t xml:space="preserve">具体详实的项目实施方案：</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（1）投标文件未符合“方案”中全部条款要求的，视为不符合招标文件，本项得0分。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（2）投标文件符合“方案”中全部条款要求的，视为符合招标文件，本项得2分。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（3）投标文件对“方案”中全部条款全部优于招标文件要求的，本项得4分。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3.2项目巡检方案</w:t>
      </w:r>
      <w:r>
        <w:rPr>
          <w:rFonts w:ascii="宋体" w:hAnsi="宋体" w:cs="宋体"/>
          <w:bCs/>
          <w:sz w:val="24"/>
          <w:lang w:bidi="ar"/>
        </w:rPr>
        <w:t xml:space="preserve">（4</w:t>
      </w:r>
      <w:r>
        <w:rPr>
          <w:rFonts w:hint="eastAsia" w:ascii="宋体" w:hAnsi="宋体" w:cs="宋体"/>
          <w:bCs/>
          <w:sz w:val="24"/>
          <w:lang w:bidi="ar"/>
        </w:rPr>
        <w:t xml:space="preserve">分</w:t>
      </w:r>
      <w:r>
        <w:rPr>
          <w:rFonts w:ascii="宋体" w:hAnsi="宋体" w:cs="宋体"/>
          <w:bCs/>
          <w:sz w:val="24"/>
          <w:lang w:bidi="ar"/>
        </w:rPr>
        <w:t xml:space="preserve">）</w:t>
      </w:r>
      <w:r>
        <w:rPr>
          <w:rFonts w:hint="eastAsia" w:ascii="宋体" w:hAnsi="宋体" w:cs="宋体"/>
          <w:bCs/>
          <w:sz w:val="24"/>
          <w:lang w:bidi="ar"/>
        </w:rPr>
        <w:t xml:space="preserve">：</w:t>
      </w:r>
      <w:r>
        <w:rPr>
          <w:rFonts w:ascii="宋体" w:hAnsi="宋体" w:cs="宋体"/>
          <w:bCs/>
          <w:sz w:val="24"/>
          <w:lang w:bidi="ar"/>
        </w:rPr>
        <w:t xml:space="preserve">投标人</w:t>
      </w:r>
      <w:r>
        <w:rPr>
          <w:rFonts w:hint="eastAsia" w:ascii="宋体" w:hAnsi="宋体" w:cs="宋体"/>
          <w:bCs/>
          <w:sz w:val="24"/>
          <w:lang w:bidi="ar"/>
        </w:rPr>
        <w:t xml:space="preserve">应</w:t>
      </w:r>
      <w:r>
        <w:rPr>
          <w:rFonts w:ascii="宋体" w:hAnsi="宋体" w:cs="宋体"/>
          <w:bCs/>
          <w:sz w:val="24"/>
          <w:lang w:bidi="ar"/>
        </w:rPr>
        <w:t xml:space="preserve">根据招标文件</w:t>
      </w:r>
      <w:r>
        <w:rPr>
          <w:rFonts w:hint="eastAsia" w:ascii="宋体" w:hAnsi="宋体" w:cs="宋体"/>
          <w:bCs/>
          <w:sz w:val="24"/>
          <w:lang w:bidi="ar"/>
        </w:rPr>
        <w:t xml:space="preserve">要求</w:t>
      </w:r>
      <w:r>
        <w:rPr>
          <w:rFonts w:ascii="宋体" w:hAnsi="宋体" w:cs="宋体"/>
          <w:bCs/>
          <w:sz w:val="24"/>
          <w:lang w:bidi="ar"/>
        </w:rPr>
        <w:t xml:space="preserve">提供</w:t>
      </w:r>
      <w:r>
        <w:rPr>
          <w:rFonts w:hint="eastAsia" w:ascii="宋体" w:hAnsi="宋体" w:cs="宋体"/>
          <w:bCs/>
          <w:sz w:val="24"/>
          <w:lang w:bidi="ar"/>
        </w:rPr>
        <w:t xml:space="preserve">具体详实的项目巡检方案</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（1）投标文件未符合“方案”中全部条款要求的，视为不符合招标文件，本项得0分。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（2）投标文件符合“方案”中全部条款要求的，视为符合招标文件，本项得2分。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（3）投标文件对“方案”中全部条款全部优于招标文件要求的，本项得4分。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3.3项目应急处理方案</w:t>
      </w:r>
      <w:r>
        <w:rPr>
          <w:rFonts w:ascii="宋体" w:hAnsi="宋体" w:cs="宋体"/>
          <w:bCs/>
          <w:sz w:val="24"/>
          <w:lang w:bidi="ar"/>
        </w:rPr>
        <w:t xml:space="preserve">（</w:t>
      </w:r>
      <w:r>
        <w:rPr>
          <w:rFonts w:hint="eastAsia" w:ascii="宋体" w:hAnsi="宋体" w:cs="宋体"/>
          <w:bCs/>
          <w:sz w:val="24"/>
          <w:lang w:bidi="ar"/>
        </w:rPr>
        <w:t xml:space="preserve">4分</w:t>
      </w:r>
      <w:r>
        <w:rPr>
          <w:rFonts w:ascii="宋体" w:hAnsi="宋体" w:cs="宋体"/>
          <w:bCs/>
          <w:sz w:val="24"/>
          <w:lang w:bidi="ar"/>
        </w:rPr>
        <w:t xml:space="preserve">）</w:t>
      </w:r>
      <w:r>
        <w:rPr>
          <w:rFonts w:hint="eastAsia" w:ascii="宋体" w:hAnsi="宋体" w:cs="宋体"/>
          <w:bCs/>
          <w:sz w:val="24"/>
          <w:lang w:bidi="ar"/>
        </w:rPr>
        <w:t xml:space="preserve">：</w:t>
      </w:r>
      <w:r>
        <w:rPr>
          <w:rFonts w:ascii="宋体" w:hAnsi="宋体" w:cs="宋体"/>
          <w:bCs/>
          <w:sz w:val="24"/>
          <w:lang w:bidi="ar"/>
        </w:rPr>
        <w:t xml:space="preserve">投标人</w:t>
      </w:r>
      <w:r>
        <w:rPr>
          <w:rFonts w:hint="eastAsia" w:ascii="宋体" w:hAnsi="宋体" w:cs="宋体"/>
          <w:bCs/>
          <w:sz w:val="24"/>
          <w:lang w:bidi="ar"/>
        </w:rPr>
        <w:t xml:space="preserve">应</w:t>
      </w:r>
      <w:r>
        <w:rPr>
          <w:rFonts w:ascii="宋体" w:hAnsi="宋体" w:cs="宋体"/>
          <w:bCs/>
          <w:sz w:val="24"/>
          <w:lang w:bidi="ar"/>
        </w:rPr>
        <w:t xml:space="preserve">根据招标文件</w:t>
      </w:r>
      <w:r>
        <w:rPr>
          <w:rFonts w:hint="eastAsia" w:ascii="宋体" w:hAnsi="宋体" w:cs="宋体"/>
          <w:bCs/>
          <w:sz w:val="24"/>
          <w:lang w:bidi="ar"/>
        </w:rPr>
        <w:t xml:space="preserve">要求</w:t>
      </w:r>
      <w:r>
        <w:rPr>
          <w:rFonts w:ascii="宋体" w:hAnsi="宋体" w:cs="宋体"/>
          <w:bCs/>
          <w:sz w:val="24"/>
          <w:lang w:bidi="ar"/>
        </w:rPr>
        <w:t xml:space="preserve">提供</w:t>
      </w:r>
      <w:r>
        <w:rPr>
          <w:rFonts w:hint="eastAsia" w:ascii="宋体" w:hAnsi="宋体" w:cs="宋体"/>
          <w:bCs/>
          <w:sz w:val="24"/>
          <w:lang w:bidi="ar"/>
        </w:rPr>
        <w:t xml:space="preserve">具体详实的项目应急处理方案：</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（1）投标文件未符合“方案”中全部条款要求的，视为不符合招标文件，本项得0分。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（2）投标文件符合“方案”中全部条款要求的，视为符合招标文件，本项得2分。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（3）投标文件对“方案”中全部条款全部优于招标文件要求的，本项得4分。</w:t>
      </w:r>
      <w:r/>
    </w:p>
    <w:p>
      <w:pPr>
        <w:ind w:firstLine="482"/>
        <w:spacing w:line="360" w:lineRule="auto"/>
        <w:rPr>
          <w:rFonts w:hint="eastAsia" w:ascii="宋体" w:hAnsi="宋体" w:cs="宋体"/>
          <w:b/>
          <w:sz w:val="24"/>
          <w:lang w:bidi="ar"/>
        </w:rPr>
      </w:pPr>
      <w:r>
        <w:rPr>
          <w:rFonts w:ascii="宋体" w:hAnsi="宋体" w:cs="宋体"/>
          <w:b/>
          <w:sz w:val="24"/>
          <w:lang w:bidi="ar"/>
        </w:rPr>
        <w:t xml:space="preserve">（四）售后服务</w:t>
      </w:r>
      <w:r>
        <w:rPr>
          <w:rFonts w:hint="eastAsia" w:ascii="宋体" w:hAnsi="宋体" w:cs="宋体"/>
          <w:b/>
          <w:sz w:val="24"/>
          <w:lang w:bidi="ar"/>
        </w:rPr>
        <w:t xml:space="preserve">、培训、配合验收方案（12分）</w:t>
      </w:r>
      <w:r/>
    </w:p>
    <w:p>
      <w:pPr>
        <w:ind w:firstLine="482"/>
        <w:spacing w:line="360" w:lineRule="auto"/>
        <w:rPr>
          <w:rFonts w:hint="eastAsia" w:ascii="宋体" w:hAnsi="宋体" w:cs="宋体"/>
          <w:bCs/>
          <w:sz w:val="24"/>
          <w:lang w:bidi="ar"/>
        </w:rPr>
      </w:pPr>
      <w:r>
        <w:rPr>
          <w:rFonts w:ascii="宋体" w:hAnsi="宋体" w:cs="宋体"/>
          <w:bCs/>
          <w:sz w:val="24"/>
          <w:lang w:bidi="ar"/>
        </w:rPr>
        <w:t xml:space="preserve">4.1</w:t>
      </w:r>
      <w:r>
        <w:rPr>
          <w:rFonts w:hint="eastAsia" w:ascii="宋体" w:hAnsi="宋体" w:cs="宋体"/>
          <w:bCs/>
          <w:sz w:val="24"/>
          <w:lang w:bidi="ar"/>
        </w:rPr>
        <w:t xml:space="preserve">售后服务方案（4分）：</w:t>
      </w:r>
      <w:r>
        <w:rPr>
          <w:rFonts w:ascii="宋体" w:hAnsi="宋体" w:cs="宋体"/>
          <w:bCs/>
          <w:sz w:val="24"/>
          <w:lang w:bidi="ar"/>
        </w:rPr>
        <w:t xml:space="preserve">投标人根据招标文件</w:t>
      </w:r>
      <w:r>
        <w:rPr>
          <w:rFonts w:hint="eastAsia" w:ascii="宋体" w:hAnsi="宋体" w:cs="宋体"/>
          <w:bCs/>
          <w:sz w:val="24"/>
          <w:lang w:bidi="ar"/>
        </w:rPr>
        <w:t xml:space="preserve">要求</w:t>
      </w:r>
      <w:r>
        <w:rPr>
          <w:rFonts w:ascii="宋体" w:hAnsi="宋体" w:cs="宋体"/>
          <w:bCs/>
          <w:sz w:val="24"/>
          <w:lang w:bidi="ar"/>
        </w:rPr>
        <w:t xml:space="preserve">提供</w:t>
      </w:r>
      <w:r>
        <w:rPr>
          <w:rFonts w:hint="eastAsia" w:ascii="宋体" w:hAnsi="宋体" w:cs="宋体"/>
          <w:bCs/>
          <w:sz w:val="24"/>
          <w:lang w:bidi="ar"/>
        </w:rPr>
        <w:t xml:space="preserve">具体详实的售后服务方案：</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（1）投标文件未符合“方案”中全部条款要求的，视为不符合招标文件，本项得0分。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（2）投标文件符合“方案”中全部条款要求的，视为符合招标文件，本项得2分。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（3）投标文件对“方案”中全部条款全部优于招标文件要求的，本项得4分。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4.2项目培训方案（4分）：投标人应根据招标文件要求提供具体详实的项目培训方案：</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（1）投标文件未符合“方案”中全部条款要求的，视为不符合招标文件，本项得0分。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（2）投标文件符合“方案”中全部条款要求的，视为符合招标文件，本项得2分。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（3）投标文件对“方案”中全部条款全部优于招标文件要求的，本项得4分。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4.3项目配合验收方案（4分）：投标人应根据招标文件要求提供具体详实的项</w:t>
      </w:r>
      <w:r>
        <w:rPr>
          <w:rFonts w:hint="eastAsia" w:ascii="宋体" w:hAnsi="宋体" w:cs="宋体"/>
          <w:bCs/>
          <w:sz w:val="24"/>
          <w:lang w:bidi="ar"/>
        </w:rPr>
        <w:t xml:space="preserve">目配合验收方案：</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（1）投标文件未符合“方案”中全部条款要求的，视为不符合招标文件，本项得0分。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（2）投标文件符合“方案”中全部条款要求的，视为符合招标文件，本项得2分。</w:t>
      </w:r>
      <w:r/>
    </w:p>
    <w:p>
      <w:pPr>
        <w:ind w:firstLine="482"/>
        <w:spacing w:line="360" w:lineRule="auto"/>
        <w:rPr>
          <w:rFonts w:hint="eastAsia" w:ascii="宋体" w:hAnsi="宋体" w:cs="宋体"/>
          <w:bCs/>
          <w:sz w:val="24"/>
          <w:lang w:bidi="ar"/>
        </w:rPr>
      </w:pPr>
      <w:r>
        <w:rPr>
          <w:rFonts w:hint="eastAsia" w:ascii="宋体" w:hAnsi="宋体" w:cs="宋体"/>
          <w:bCs/>
          <w:sz w:val="24"/>
          <w:lang w:bidi="ar"/>
        </w:rPr>
        <w:t xml:space="preserve">（3）投标文件对“方案”中全部条款全部优于招标文件要求的，本项得4分。</w:t>
      </w:r>
      <w:r/>
    </w:p>
    <w:p>
      <w:pPr>
        <w:ind w:firstLine="482"/>
        <w:spacing w:line="360" w:lineRule="auto"/>
        <w:rPr>
          <w:rFonts w:hint="eastAsia" w:ascii="宋体" w:hAnsi="宋体" w:cs="宋体"/>
          <w:b/>
          <w:sz w:val="24"/>
          <w:lang w:bidi="ar"/>
        </w:rPr>
      </w:pPr>
      <w:r>
        <w:rPr>
          <w:rFonts w:ascii="宋体" w:hAnsi="宋体" w:cs="宋体"/>
          <w:b/>
          <w:sz w:val="24"/>
          <w:lang w:bidi="ar"/>
        </w:rPr>
        <w:t xml:space="preserve">（五）履约能力（</w:t>
      </w:r>
      <w:r>
        <w:rPr>
          <w:rFonts w:hint="eastAsia" w:ascii="宋体" w:hAnsi="宋体" w:cs="宋体"/>
          <w:b/>
          <w:sz w:val="24"/>
          <w:lang w:bidi="ar"/>
        </w:rPr>
        <w:t xml:space="preserve">9</w:t>
      </w:r>
      <w:r>
        <w:rPr>
          <w:rFonts w:ascii="宋体" w:hAnsi="宋体" w:cs="宋体"/>
          <w:b/>
          <w:sz w:val="24"/>
          <w:lang w:bidi="ar"/>
        </w:rPr>
        <w:t xml:space="preserve">分）</w:t>
      </w:r>
      <w:r/>
    </w:p>
    <w:p>
      <w:pPr>
        <w:ind w:firstLine="482"/>
        <w:spacing w:line="360" w:lineRule="auto"/>
        <w:rPr>
          <w:rFonts w:hint="eastAsia" w:ascii="宋体" w:hAnsi="宋体"/>
          <w:bCs/>
          <w:sz w:val="24"/>
          <w:szCs w:val="24"/>
        </w:rPr>
      </w:pPr>
      <w:r>
        <w:rPr>
          <w:rFonts w:hint="eastAsia" w:ascii="宋体" w:hAnsi="宋体"/>
          <w:bCs/>
          <w:sz w:val="24"/>
          <w:szCs w:val="24"/>
        </w:rPr>
        <w:t xml:space="preserve">5</w:t>
      </w:r>
      <w:r>
        <w:rPr>
          <w:rFonts w:ascii="宋体" w:hAnsi="宋体"/>
          <w:bCs/>
          <w:sz w:val="24"/>
          <w:szCs w:val="24"/>
        </w:rPr>
        <w:t xml:space="preserve">.1</w:t>
      </w:r>
      <w:r>
        <w:rPr>
          <w:rFonts w:hint="eastAsia" w:ascii="宋体" w:hAnsi="宋体"/>
          <w:bCs/>
          <w:sz w:val="24"/>
          <w:szCs w:val="24"/>
        </w:rPr>
        <w:t xml:space="preserve">业绩能力（6分）。投标人具有20</w:t>
      </w:r>
      <w:r>
        <w:rPr>
          <w:rFonts w:ascii="宋体" w:hAnsi="宋体"/>
          <w:bCs/>
          <w:sz w:val="24"/>
          <w:szCs w:val="24"/>
        </w:rPr>
        <w:t xml:space="preserve">2</w:t>
      </w:r>
      <w:r>
        <w:rPr>
          <w:rFonts w:hint="eastAsia" w:ascii="宋体" w:hAnsi="宋体"/>
          <w:bCs/>
          <w:sz w:val="24"/>
          <w:szCs w:val="24"/>
        </w:rPr>
        <w:t xml:space="preserve">3年1月1日</w:t>
      </w:r>
      <w:r>
        <w:rPr>
          <w:rFonts w:ascii="宋体" w:hAnsi="宋体"/>
          <w:bCs/>
          <w:sz w:val="24"/>
          <w:szCs w:val="24"/>
        </w:rPr>
        <w:t xml:space="preserve">以来类似</w:t>
      </w:r>
      <w:r>
        <w:rPr>
          <w:rFonts w:hint="eastAsia" w:ascii="宋体" w:hAnsi="宋体"/>
          <w:bCs/>
          <w:sz w:val="24"/>
          <w:szCs w:val="24"/>
        </w:rPr>
        <w:t xml:space="preserve">本项目</w:t>
      </w:r>
      <w:r>
        <w:rPr>
          <w:rFonts w:ascii="宋体" w:hAnsi="宋体"/>
          <w:bCs/>
          <w:sz w:val="24"/>
          <w:szCs w:val="24"/>
        </w:rPr>
        <w:t xml:space="preserve">供货及安装业绩的，</w:t>
      </w:r>
      <w:r>
        <w:rPr>
          <w:rFonts w:hint="eastAsia" w:ascii="宋体" w:hAnsi="宋体"/>
          <w:bCs/>
          <w:sz w:val="24"/>
          <w:szCs w:val="24"/>
        </w:rPr>
        <w:t xml:space="preserve">每提供</w:t>
      </w:r>
      <w:r>
        <w:rPr>
          <w:rFonts w:ascii="宋体" w:hAnsi="宋体"/>
          <w:bCs/>
          <w:sz w:val="24"/>
          <w:szCs w:val="24"/>
        </w:rPr>
        <w:t xml:space="preserve">1</w:t>
      </w:r>
      <w:r>
        <w:rPr>
          <w:rFonts w:hint="eastAsia" w:ascii="宋体" w:hAnsi="宋体"/>
          <w:bCs/>
          <w:sz w:val="24"/>
          <w:szCs w:val="24"/>
        </w:rPr>
        <w:t xml:space="preserve">个得2分，最多得6分（必须提供有效合同复印件，复印件需清晰可见内容主体）。</w:t>
      </w:r>
      <w:r/>
    </w:p>
    <w:p>
      <w:pPr>
        <w:ind w:firstLine="482"/>
        <w:spacing w:line="360" w:lineRule="auto"/>
        <w:rPr>
          <w:rFonts w:hint="eastAsia" w:ascii="宋体" w:hAnsi="宋体"/>
          <w:bCs/>
          <w:sz w:val="24"/>
          <w:szCs w:val="24"/>
        </w:rPr>
      </w:pPr>
      <w:r>
        <w:rPr>
          <w:rFonts w:hint="eastAsia" w:ascii="宋体" w:hAnsi="宋体"/>
          <w:bCs/>
          <w:sz w:val="24"/>
          <w:szCs w:val="24"/>
        </w:rPr>
        <w:t xml:space="preserve">5.</w:t>
      </w:r>
      <w:r>
        <w:rPr>
          <w:rFonts w:ascii="宋体" w:hAnsi="宋体"/>
          <w:bCs/>
          <w:sz w:val="24"/>
          <w:szCs w:val="24"/>
        </w:rPr>
        <w:t xml:space="preserve">2</w:t>
      </w:r>
      <w:r>
        <w:rPr>
          <w:rFonts w:hint="eastAsia" w:ascii="宋体" w:hAnsi="宋体"/>
          <w:bCs/>
          <w:sz w:val="24"/>
          <w:szCs w:val="24"/>
        </w:rPr>
        <w:t xml:space="preserve">响应时间服务能力（3分）。投标方提供每周7天×24小时电话热线支持和传真服务，若设备出现的故障，投标方承诺4小时到达现场处理故障。故障维修时应当详细记录原因及排除方法，故障需24小时内解决，24小时内无法解决或需带离我院维修的，需提供备用机器，维修完毕将其移交招标方。需提供承诺函并加盖公章，满足本项目要求得3分，未提供相应证明及不满足不得分。</w:t>
      </w:r>
      <w:r/>
    </w:p>
    <w:p>
      <w:pPr>
        <w:pStyle w:val="990"/>
        <w:ind w:left="1260"/>
      </w:pPr>
      <w:r/>
      <w:r/>
    </w:p>
    <w:p>
      <w:pPr>
        <w:ind w:firstLine="482"/>
        <w:spacing w:before="120" w:after="120" w:line="300" w:lineRule="exact"/>
        <w:rPr>
          <w:rFonts w:hint="eastAsia" w:ascii="宋体" w:hAnsi="宋体"/>
          <w:b/>
          <w:bCs/>
          <w:sz w:val="24"/>
          <w:szCs w:val="24"/>
        </w:rPr>
      </w:pPr>
      <w:r>
        <w:rPr>
          <w:rFonts w:hint="eastAsia" w:ascii="宋体" w:hAnsi="宋体"/>
          <w:b/>
          <w:bCs/>
          <w:sz w:val="24"/>
          <w:szCs w:val="24"/>
        </w:rPr>
        <w:t xml:space="preserve">（六）环境标志产品（2分）</w:t>
      </w:r>
      <w:r/>
    </w:p>
    <w:p>
      <w:pPr>
        <w:ind w:firstLine="480"/>
        <w:spacing w:line="360" w:lineRule="auto"/>
        <w:rPr>
          <w:rFonts w:hint="eastAsia" w:ascii="宋体" w:hAnsi="宋体"/>
          <w:sz w:val="24"/>
          <w:szCs w:val="24"/>
        </w:rPr>
      </w:pPr>
      <w:r>
        <w:rPr>
          <w:rFonts w:hint="eastAsia" w:ascii="宋体" w:hAnsi="宋体"/>
          <w:sz w:val="24"/>
          <w:szCs w:val="24"/>
        </w:rPr>
        <w:t xml:space="preserve">6.1投标产品属于财政部、生态环境部公布的“环境标志产品品目清单”范围内的，投标人提供国家确定的认证机构出具的、处于有效期内的该投标产品环境标志产品认证证书复印件的，有1个得0.5分，最多得2分。</w:t>
      </w:r>
      <w:r/>
    </w:p>
    <w:p>
      <w:pPr>
        <w:jc w:val="center"/>
        <w:keepNext/>
        <w:spacing w:line="400" w:lineRule="exact"/>
        <w:rPr>
          <w:rFonts w:hint="eastAsia" w:ascii="黑体" w:hAnsi="黑体" w:eastAsia="黑体"/>
          <w:b/>
          <w:bCs/>
          <w:sz w:val="28"/>
          <w:szCs w:val="28"/>
        </w:rPr>
        <w:outlineLvl w:val="0"/>
      </w:pPr>
      <w:r>
        <w:rPr>
          <w:rFonts w:hint="eastAsia" w:ascii="黑体" w:hAnsi="黑体" w:eastAsia="黑体"/>
          <w:b/>
          <w:bCs/>
          <w:sz w:val="28"/>
          <w:szCs w:val="28"/>
        </w:rPr>
        <w:br w:type="page" w:clear="all"/>
      </w:r>
      <w:bookmarkStart w:id="81" w:name="_Toc233969290"/>
      <w:r>
        <w:rPr>
          <w:rFonts w:hint="eastAsia" w:ascii="方正黑体_GBK" w:hAnsi="方正黑体_GBK" w:eastAsia="方正黑体_GBK" w:cs="方正黑体_GBK"/>
          <w:sz w:val="28"/>
          <w:szCs w:val="28"/>
        </w:rPr>
        <w:t xml:space="preserve">第六章  投标</w:t>
      </w:r>
      <w:bookmarkEnd w:id="72"/>
      <w:r/>
      <w:bookmarkEnd w:id="73"/>
      <w:r/>
      <w:bookmarkEnd w:id="79"/>
      <w:r>
        <w:rPr>
          <w:rFonts w:hint="eastAsia" w:ascii="方正黑体_GBK" w:hAnsi="方正黑体_GBK" w:eastAsia="方正黑体_GBK" w:cs="方正黑体_GBK"/>
          <w:sz w:val="28"/>
          <w:szCs w:val="28"/>
        </w:rPr>
        <w:t xml:space="preserve">文件格式</w:t>
      </w:r>
      <w:bookmarkEnd w:id="81"/>
      <w:r/>
      <w:r/>
    </w:p>
    <w:p>
      <w:pPr>
        <w:jc w:val="center"/>
        <w:spacing w:line="400" w:lineRule="exact"/>
        <w:rPr>
          <w:rFonts w:hint="eastAsia" w:ascii="宋体" w:hAnsi="宋体"/>
          <w:b/>
          <w:sz w:val="28"/>
          <w:szCs w:val="28"/>
        </w:rPr>
      </w:pPr>
      <w:r/>
      <w:bookmarkStart w:id="82" w:name="_Hlt26955039"/>
      <w:r/>
      <w:bookmarkStart w:id="83" w:name="_Hlt26671244"/>
      <w:r/>
      <w:bookmarkStart w:id="84" w:name="_Toc120614282"/>
      <w:r/>
      <w:bookmarkStart w:id="85" w:name="_Toc49090576"/>
      <w:r/>
      <w:bookmarkStart w:id="86" w:name="_Toc26554094"/>
      <w:r/>
      <w:bookmarkEnd w:id="82"/>
      <w:r/>
      <w:bookmarkEnd w:id="83"/>
      <w:r/>
      <w:r/>
    </w:p>
    <w:p>
      <w:pPr>
        <w:jc w:val="center"/>
        <w:spacing w:line="400" w:lineRule="exact"/>
        <w:rPr>
          <w:rFonts w:ascii="方正小标宋_GBK" w:hAnsi="方正小标宋_GBK" w:eastAsia="方正小标宋_GBK" w:cs="方正小标宋_GBK"/>
          <w:bCs/>
          <w:sz w:val="32"/>
          <w:szCs w:val="32"/>
        </w:rPr>
      </w:pPr>
      <w:r>
        <w:rPr>
          <w:rFonts w:hint="eastAsia" w:ascii="方正小标宋_GBK" w:hAnsi="方正小标宋_GBK" w:eastAsia="方正小标宋_GBK" w:cs="方正小标宋_GBK"/>
          <w:bCs/>
          <w:sz w:val="32"/>
          <w:szCs w:val="32"/>
        </w:rPr>
        <w:t xml:space="preserve">投  标</w:t>
      </w:r>
      <w:r>
        <w:rPr>
          <w:rFonts w:hint="eastAsia" w:ascii="方正小标宋_GBK" w:hAnsi="方正小标宋_GBK" w:eastAsia="方正小标宋_GBK" w:cs="方正小标宋_GBK"/>
          <w:bCs/>
          <w:sz w:val="32"/>
          <w:szCs w:val="32"/>
        </w:rPr>
        <w:t xml:space="preserve">  </w:t>
      </w:r>
      <w:r>
        <w:rPr>
          <w:rFonts w:hint="eastAsia" w:ascii="方正小标宋_GBK" w:hAnsi="方正小标宋_GBK" w:eastAsia="方正小标宋_GBK" w:cs="方正小标宋_GBK"/>
          <w:bCs/>
          <w:sz w:val="32"/>
          <w:szCs w:val="32"/>
        </w:rPr>
        <w:t xml:space="preserve">文  件</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ind w:firstLine="840"/>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ind w:firstLine="840"/>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ind w:firstLine="840"/>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项 目 名 称：</w:t>
      </w:r>
      <w:r>
        <w:rPr>
          <w:rFonts w:hint="eastAsia" w:ascii="方正黑体_GBK" w:hAnsi="方正黑体_GBK" w:eastAsia="方正黑体_GBK" w:cs="方正黑体_GBK"/>
          <w:bCs/>
          <w:sz w:val="28"/>
          <w:szCs w:val="28"/>
          <w:u w:val="single"/>
        </w:rPr>
        <w:t xml:space="preserve">               </w:t>
      </w:r>
      <w:r/>
    </w:p>
    <w:p>
      <w:pPr>
        <w:ind w:firstLine="840"/>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采 购 编 号：</w:t>
      </w:r>
      <w:r>
        <w:rPr>
          <w:rFonts w:hint="eastAsia" w:ascii="方正黑体_GBK" w:hAnsi="方正黑体_GBK" w:eastAsia="方正黑体_GBK" w:cs="方正黑体_GBK"/>
          <w:bCs/>
          <w:sz w:val="28"/>
          <w:szCs w:val="28"/>
          <w:u w:val="single"/>
        </w:rPr>
        <w:t xml:space="preserve">               </w:t>
      </w:r>
      <w:r/>
    </w:p>
    <w:p>
      <w:pPr>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投标人名称</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（加盖CA电子公章）</w:t>
      </w:r>
      <w:r/>
    </w:p>
    <w:p>
      <w:pPr>
        <w:spacing w:line="400" w:lineRule="exact"/>
        <w:rPr>
          <w:rFonts w:ascii="方正黑体_GBK" w:hAnsi="方正黑体_GBK" w:eastAsia="方正黑体_GBK" w:cs="方正黑体_GBK"/>
          <w:bCs/>
          <w:sz w:val="28"/>
          <w:szCs w:val="28"/>
          <w:u w:val="single"/>
        </w:rPr>
      </w:pPr>
      <w:r>
        <w:rPr>
          <w:rFonts w:hint="eastAsia" w:ascii="方正黑体_GBK" w:hAnsi="方正黑体_GBK" w:eastAsia="方正黑体_GBK" w:cs="方正黑体_GBK"/>
          <w:bCs/>
          <w:sz w:val="28"/>
          <w:szCs w:val="28"/>
        </w:rPr>
        <w:t xml:space="preserve">      日      期</w:t>
      </w:r>
      <w:r>
        <w:rPr>
          <w:rFonts w:hint="eastAsia" w:ascii="方正黑体_GBK" w:hAnsi="方正黑体_GBK" w:eastAsia="方正黑体_GBK" w:cs="方正黑体_GBK"/>
          <w:bCs/>
          <w:sz w:val="28"/>
          <w:szCs w:val="28"/>
        </w:rPr>
        <w:t xml:space="preserve"> ：</w:t>
      </w:r>
      <w:r>
        <w:rPr>
          <w:rFonts w:hint="eastAsia" w:ascii="方正黑体_GBK" w:hAnsi="方正黑体_GBK" w:eastAsia="方正黑体_GBK" w:cs="方正黑体_GBK"/>
          <w:bCs/>
          <w:sz w:val="28"/>
          <w:szCs w:val="28"/>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40" w:lineRule="exact"/>
        <w:rPr>
          <w:rFonts w:hint="eastAsia" w:ascii="宋体" w:hAnsi="宋体"/>
          <w:b/>
          <w:bCs/>
          <w:sz w:val="32"/>
          <w:szCs w:val="32"/>
        </w:rPr>
      </w:pPr>
      <w:r>
        <w:rPr>
          <w:rFonts w:hint="eastAsia" w:ascii="宋体" w:hAnsi="宋体"/>
          <w:b/>
          <w:bCs/>
          <w:sz w:val="32"/>
          <w:szCs w:val="32"/>
        </w:rPr>
      </w:r>
      <w:r/>
    </w:p>
    <w:p>
      <w:pPr>
        <w:jc w:val="center"/>
        <w:spacing w:line="400" w:lineRule="exact"/>
        <w:rPr>
          <w:rFonts w:ascii="方正黑体_GBK" w:hAnsi="方正黑体_GBK" w:eastAsia="方正黑体_GBK" w:cs="方正黑体_GBK"/>
          <w:sz w:val="28"/>
          <w:szCs w:val="28"/>
        </w:rPr>
      </w:pPr>
      <w:r>
        <w:rPr>
          <w:rFonts w:ascii="方正黑体_GBK" w:hAnsi="方正黑体_GBK" w:eastAsia="方正黑体_GBK" w:cs="方正黑体_GBK"/>
          <w:sz w:val="28"/>
          <w:szCs w:val="28"/>
        </w:rPr>
        <w:br w:type="page" w:clear="all"/>
      </w:r>
      <w:r>
        <w:rPr>
          <w:rFonts w:hint="eastAsia" w:ascii="方正黑体_GBK" w:hAnsi="方正黑体_GBK" w:eastAsia="方正黑体_GBK" w:cs="方正黑体_GBK"/>
          <w:sz w:val="28"/>
          <w:szCs w:val="28"/>
        </w:rPr>
        <w:t xml:space="preserve">投标文件的组成</w:t>
      </w:r>
      <w:r/>
    </w:p>
    <w:p>
      <w:pPr>
        <w:jc w:val="center"/>
        <w:spacing w:line="400" w:lineRule="exact"/>
        <w:rPr>
          <w:rFonts w:hint="eastAsia" w:ascii="宋体" w:hAnsi="宋体"/>
          <w:b/>
          <w:bCs/>
          <w:sz w:val="28"/>
          <w:szCs w:val="28"/>
        </w:rPr>
      </w:pPr>
      <w:r>
        <w:rPr>
          <w:rFonts w:hint="eastAsia" w:ascii="宋体" w:hAnsi="宋体"/>
          <w:b/>
          <w:bCs/>
          <w:sz w:val="28"/>
          <w:szCs w:val="28"/>
        </w:rPr>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一、基本目录</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1.开标一览表（格式见附件1）</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2.投标分项报价表（格式见附件2）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3.技术要求响应及偏离表（格式见附件3）</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4.商务要求响应及偏离表（格式见附件4）</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eastAsia="方正仿宋_GBK"/>
          <w:sz w:val="28"/>
          <w:szCs w:val="28"/>
        </w:rPr>
        <w:t xml:space="preserve">XXXX</w:t>
      </w:r>
      <w:r>
        <w:rPr>
          <w:rFonts w:hint="eastAsia" w:ascii="方正仿宋_GBK" w:hAnsi="方正仿宋_GBK" w:eastAsia="方正仿宋_GBK" w:cs="方正仿宋_GBK"/>
          <w:sz w:val="28"/>
          <w:szCs w:val="28"/>
        </w:rPr>
        <w:t xml:space="preserve">（格式见附件</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w:t>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二、资格审查内容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上一年度的财务状况报告（投标人成立不满一年无需提供）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3.依法缴纳税收和社会保障资金的相关材料（提供提交投标文件截止时间</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前一年内至少一个月依法缴纳税收及缴纳社会保障资金的证明材料。投标人依法享受缓缴、免缴税收、社会保障资金的提供证明材料。）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4.具备履行合同所必需的设备和专业技术能力的书面声明（格式见附件5）</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年内在经营活动中没有重大违法记录的书面声明（格式见附件6）</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6.特定资格要求的证明文件（如果本项目对投标人做出特定资格要求的，必须提供）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eastAsia="方正仿宋_GBK"/>
          <w:sz w:val="28"/>
          <w:szCs w:val="28"/>
        </w:rPr>
        <w:t xml:space="preserve">（</w:t>
      </w:r>
      <w:r>
        <w:rPr>
          <w:rFonts w:eastAsia="方正仿宋_GBK"/>
          <w:sz w:val="28"/>
          <w:szCs w:val="28"/>
        </w:rPr>
        <w:t xml:space="preserve">www.creditchina.gov.cn</w:t>
      </w:r>
      <w:r>
        <w:rPr>
          <w:rFonts w:eastAsia="方正仿宋_GBK"/>
          <w:sz w:val="28"/>
          <w:szCs w:val="28"/>
        </w:rPr>
        <w:t xml:space="preserve">）</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8.法人授权书（格式见附件7）</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9.投标函（格式见附件8）</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总备注：上述“资格审查内容”中1-6条、8、9条投标人必须在投标文件中提供相关材料，否则作无效投标处理。</w:t>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三、符合性审查内容</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投标人必须对招标文件（含技术要求和商务要求）中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的实质性要求逐条做出响应，并按照招标文件要求提供证明材料，否则作无效投标处理。（格式见附件11）</w:t>
      </w:r>
      <w:r/>
    </w:p>
    <w:p>
      <w:pPr>
        <w:ind w:firstLine="560"/>
        <w:jc w:val="left"/>
        <w:spacing w:line="400" w:lineRule="exact"/>
        <w:rPr>
          <w:rFonts w:ascii="方正黑体_GBK" w:hAnsi="方正黑体_GBK" w:eastAsia="方正黑体_GBK" w:cs="方正黑体_GBK"/>
          <w:sz w:val="28"/>
          <w:szCs w:val="28"/>
        </w:rPr>
      </w:pPr>
      <w:r>
        <w:rPr>
          <w:rFonts w:hint="eastAsia" w:ascii="方正黑体_GBK" w:hAnsi="方正黑体_GBK" w:eastAsia="方正黑体_GBK" w:cs="方正黑体_GBK"/>
          <w:sz w:val="28"/>
          <w:szCs w:val="28"/>
        </w:rPr>
        <w:t xml:space="preserve">四、价格扣除证明文件</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1.中小微企业声明函（格式见附件9）</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2.残疾人福利性单位声明函（格式见附件10）</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3.关于符合本国产品标准的声明函（格式见附件12）</w:t>
      </w:r>
      <w:r/>
    </w:p>
    <w:p>
      <w:pPr>
        <w:ind w:firstLine="480"/>
        <w:spacing w:line="400" w:lineRule="exact"/>
        <w:rPr>
          <w:rFonts w:hint="eastAsia" w:ascii="宋体" w:hAnsi="宋体"/>
          <w:sz w:val="24"/>
          <w:szCs w:val="21"/>
        </w:rPr>
      </w:pPr>
      <w:r>
        <w:rPr>
          <w:rFonts w:hint="eastAsia" w:ascii="宋体" w:hAnsi="宋体"/>
          <w:sz w:val="24"/>
          <w:szCs w:val="21"/>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ind w:left="480"/>
        <w:spacing w:line="400" w:lineRule="exact"/>
        <w:rPr>
          <w:rFonts w:hint="eastAsia" w:ascii="宋体" w:hAnsi="宋体"/>
          <w:b/>
          <w:sz w:val="28"/>
          <w:szCs w:val="28"/>
        </w:rPr>
      </w:pPr>
      <w:r>
        <w:rPr>
          <w:rFonts w:hint="eastAsia" w:ascii="宋体" w:hAnsi="宋体"/>
          <w:b/>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附件1 开标一览表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投标人全称（加盖CA电子签章）：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hint="eastAsia" w:eastAsia="方正仿宋_GBK"/>
          <w:sz w:val="28"/>
          <w:szCs w:val="28"/>
        </w:rPr>
        <w:t xml:space="preserve">XXXX</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采购编号：</w:t>
      </w:r>
      <w:r>
        <w:rPr>
          <w:rFonts w:hint="eastAsia" w:eastAsia="方正仿宋_GBK"/>
          <w:sz w:val="28"/>
          <w:szCs w:val="28"/>
        </w:rPr>
        <w:t xml:space="preserve">JSZC-320000-SCZX-G20XX-XXXX  </w:t>
      </w:r>
      <w:r>
        <w:rPr>
          <w:rFonts w:hint="eastAsia" w:ascii="方正仿宋_GBK" w:hAnsi="方正仿宋_GBK" w:eastAsia="方正仿宋_GBK" w:cs="方正仿宋_GBK"/>
          <w:sz w:val="28"/>
          <w:szCs w:val="28"/>
        </w:rPr>
        <w:t xml:space="preserve">                                 </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eastAsia="方正仿宋_GBK"/>
          <w:sz w:val="28"/>
          <w:szCs w:val="28"/>
        </w:rPr>
        <w:t xml:space="preserve">XX</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投标总报价</w:t>
            </w:r>
            <w:r/>
          </w:p>
        </w:tc>
      </w:tr>
      <w:tr>
        <w:trPr>
          <w:cantSplit/>
          <w:trHeight w:val="612"/>
        </w:trPr>
        <w:tc>
          <w:tcPr>
            <w:gridSpan w:val="2"/>
            <w:tcW w:w="8886"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小写：                             （人民币：元）</w:t>
            </w:r>
            <w:r/>
          </w:p>
        </w:tc>
      </w:tr>
      <w:tr>
        <w:trPr>
          <w:cantSplit/>
          <w:trHeight w:val="505"/>
        </w:trPr>
        <w:tc>
          <w:tcPr>
            <w:tcW w:w="248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核心产品品牌</w:t>
            </w:r>
            <w:r/>
          </w:p>
        </w:tc>
        <w:tc>
          <w:tcPr>
            <w:tcW w:w="6405" w:type="dxa"/>
            <w:vAlign w:val="center"/>
            <w:textDirection w:val="lrTb"/>
            <w:noWrap w:val="false"/>
          </w:tcPr>
          <w:p>
            <w:pPr>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spacing w:line="400" w:lineRule="exact"/>
        <w:rPr>
          <w:rFonts w:hint="eastAsia" w:ascii="宋体" w:hAnsi="宋体"/>
          <w:sz w:val="28"/>
          <w:szCs w:val="28"/>
        </w:rPr>
      </w:pPr>
      <w:r>
        <w:rPr>
          <w:rFonts w:hint="eastAsia" w:ascii="宋体" w:hAnsi="宋体"/>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ascii="方正黑体_GBK" w:hAnsi="方正黑体_GBK" w:eastAsia="方正黑体_GBK" w:cs="方正黑体_GBK"/>
          <w:bCs/>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附件2 投标分项报价表（采购包号：XX）</w:t>
      </w:r>
      <w:r/>
    </w:p>
    <w:tbl>
      <w:tblPr>
        <w:tblW w:w="9514" w:type="dxa"/>
        <w:tblInd w:w="-25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w:t>
            </w:r>
            <w:r/>
          </w:p>
        </w:tc>
      </w:tr>
      <w:tr>
        <w:trPr>
          <w:cantSplit/>
          <w:trHeight w:val="29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产品</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名称</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品牌</w:t>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规格</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型号</w:t>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制造商名称</w:t>
            </w:r>
            <w:r/>
          </w:p>
        </w:tc>
        <w:tc>
          <w:tcPr>
            <w:tcW w:w="110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产地</w:t>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交付期</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w:t>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单价</w:t>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分项</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总价</w:t>
            </w:r>
            <w:r/>
          </w:p>
        </w:tc>
      </w:tr>
      <w:tr>
        <w:trPr>
          <w:cantSplit/>
          <w:trHeight w:val="696"/>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合同签订后</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日</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724"/>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580"/>
        </w:trPr>
        <w:tc>
          <w:tcPr>
            <w:tcW w:w="57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90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7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3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8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10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38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00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96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434"/>
        </w:trPr>
        <w:tc>
          <w:tcPr>
            <w:gridSpan w:val="10"/>
            <w:tcW w:w="9514" w:type="dxa"/>
            <w:textDirection w:val="lrTb"/>
            <w:noWrap w:val="false"/>
          </w:tcPr>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投标总报价（人民币：元）</w:t>
            </w:r>
            <w:r>
              <w:rPr>
                <w:rFonts w:hint="eastAsia" w:ascii="方正仿宋_GBK" w:hAnsi="方正仿宋_GBK" w:eastAsia="方正仿宋_GBK" w:cs="方正仿宋_GBK"/>
                <w:sz w:val="28"/>
                <w:szCs w:val="28"/>
                <w:u w:val="single"/>
              </w:rPr>
              <w:t xml:space="preserve">                             </w:t>
            </w:r>
            <w:r/>
          </w:p>
        </w:tc>
      </w:tr>
      <w:tr>
        <w:trPr>
          <w:cantSplit/>
          <w:trHeight w:val="767"/>
        </w:trPr>
        <w:tc>
          <w:tcPr>
            <w:gridSpan w:val="10"/>
            <w:tcW w:w="9514" w:type="dxa"/>
            <w:textDirection w:val="lrTb"/>
            <w:noWrap w:val="false"/>
          </w:tcPr>
          <w:p>
            <w:pPr>
              <w:pStyle w:val="1009"/>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本采购包中提供的符合本国产品标准的产品成本之和占该采购包提供的全部产品成本之和的比例为</w:t>
            </w:r>
            <w:r>
              <w:rPr>
                <w:rFonts w:hint="eastAsia" w:ascii="方正仿宋_GBK" w:hAnsi="方正仿宋_GBK" w:eastAsia="方正仿宋_GBK" w:cs="方正仿宋_GBK"/>
                <w:sz w:val="28"/>
                <w:szCs w:val="28"/>
                <w:u w:val="single"/>
              </w:rPr>
              <w:t xml:space="preserve">XX</w:t>
            </w:r>
            <w:r>
              <w:rPr>
                <w:rFonts w:hint="eastAsia" w:ascii="方正仿宋_GBK" w:hAnsi="方正仿宋_GBK" w:eastAsia="方正仿宋_GBK" w:cs="方正仿宋_GBK"/>
                <w:sz w:val="28"/>
                <w:szCs w:val="28"/>
              </w:rPr>
              <w:t xml:space="preserve">%。</w:t>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2.“投标分项报价表”中“投标总报价”数额应当与“开标一览表”中“投标总报价”数额一致。</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4.投标人需认真填写本报价表，尤其注意规格型号的准确填写。</w:t>
      </w:r>
      <w:r/>
    </w:p>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5.项目经办人可以根据项目实际需要对表格结构进行调整。</w:t>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hint="eastAsia" w:ascii="宋体" w:hAnsi="宋体"/>
          <w:b/>
          <w:sz w:val="28"/>
          <w:szCs w:val="28"/>
        </w:rPr>
      </w:pPr>
      <w:r>
        <w:rPr>
          <w:rFonts w:hint="eastAsia" w:ascii="宋体" w:hAnsi="宋体"/>
          <w:b/>
          <w:sz w:val="28"/>
          <w:szCs w:val="28"/>
        </w:rPr>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附件3 技术要求响应及偏离表（采购包号：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附件3-</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1.投标人需对招标文件技术要求中非实质性要求（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jc w:val="center"/>
        <w:spacing w:line="400" w:lineRule="exact"/>
        <w:rPr>
          <w:rFonts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t xml:space="preserve">附件4 商务要求响应及偏离表（采购包号：</w:t>
      </w:r>
      <w:r>
        <w:rPr>
          <w:rFonts w:hint="eastAsia" w:eastAsia="方正仿宋_GBK"/>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06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p>
        </w:tc>
        <w:tc>
          <w:tcPr>
            <w:tcW w:w="3191"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2128"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191"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482"/>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附件4-</w:t>
      </w:r>
      <w:r>
        <w:rPr>
          <w:rFonts w:hint="eastAsia" w:ascii="方正仿宋_GBK" w:hAnsi="方正仿宋_GBK" w:eastAsia="方正仿宋_GBK" w:cs="方正仿宋_GBK"/>
          <w:sz w:val="28"/>
          <w:szCs w:val="28"/>
        </w:rPr>
        <w:t xml:space="preserve">1  证明材料</w:t>
      </w:r>
      <w:r>
        <w:rPr>
          <w:rFonts w:hint="eastAsia" w:ascii="方正仿宋_GBK" w:hAnsi="方正仿宋_GBK" w:eastAsia="方正仿宋_GBK" w:cs="方正仿宋_GBK"/>
          <w:sz w:val="28"/>
          <w:szCs w:val="28"/>
        </w:rPr>
        <w:t xml:space="preserve">1，证明材料2，……</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1.投标人需对招标文件商务要求中非实质性要求（</w:t>
      </w:r>
      <w:r>
        <w:rPr>
          <w:rFonts w:hint="eastAsia" w:ascii="方正仿宋_GBK" w:hAnsi="方正仿宋_GBK" w:eastAsia="方正仿宋_GBK" w:cs="方正仿宋_GBK"/>
          <w:b/>
          <w:sz w:val="28"/>
          <w:szCs w:val="28"/>
        </w:rPr>
        <w:t xml:space="preserve">未加</w:t>
      </w:r>
      <w:r>
        <w:rPr>
          <w:rFonts w:hint="eastAsia" w:ascii="方正仿宋_GBK" w:hAnsi="方正仿宋_GBK" w:eastAsia="方正仿宋_GBK" w:cs="方正仿宋_GBK"/>
          <w:b/>
          <w:i/>
          <w:sz w:val="28"/>
          <w:szCs w:val="28"/>
          <w:u w:val="single"/>
        </w:rPr>
        <w:t xml:space="preserve">斜体下划线</w:t>
      </w:r>
      <w:r>
        <w:rPr>
          <w:rFonts w:hint="eastAsia" w:ascii="方正仿宋_GBK" w:hAnsi="方正仿宋_GBK" w:eastAsia="方正仿宋_GBK" w:cs="方正仿宋_GBK"/>
          <w:b/>
          <w:iCs/>
          <w:sz w:val="28"/>
          <w:szCs w:val="28"/>
        </w:rPr>
        <w:t xml:space="preserve">部分</w:t>
      </w:r>
      <w:r>
        <w:rPr>
          <w:rFonts w:hint="eastAsia" w:ascii="方正仿宋_GBK" w:hAnsi="方正仿宋_GBK" w:eastAsia="方正仿宋_GBK" w:cs="方正仿宋_GBK"/>
          <w:b/>
          <w:sz w:val="28"/>
          <w:szCs w:val="28"/>
        </w:rPr>
        <w:t xml:space="preserve">或未加*号条款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2.如果招标文件要求提供证明材料，投标人需将证明材料列于该表之下。</w:t>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附件5 具备履行合同所必需的设备和专业技术能力的书面声明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p>
    <w:p>
      <w:pPr>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附件6 参加政府采购活动前 3 年内在经营活动中没有重大违法记录的书面声明</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bookmarkStart w:id="87" w:name="_Toc120614284"/>
      <w:r/>
      <w:bookmarkEnd w:id="84"/>
      <w:r/>
      <w:bookmarkEnd w:id="85"/>
      <w:r/>
      <w:bookmarkEnd w:id="86"/>
      <w:r/>
      <w:r/>
    </w:p>
    <w:p>
      <w:pPr>
        <w:spacing w:line="400" w:lineRule="exact"/>
        <w:rPr>
          <w:rFonts w:hint="eastAsia" w:ascii="宋体" w:hAnsi="宋体"/>
          <w:b/>
          <w:sz w:val="28"/>
          <w:szCs w:val="28"/>
        </w:rPr>
      </w:pPr>
      <w:r>
        <w:rPr>
          <w:rFonts w:hint="eastAsia" w:ascii="宋体" w:hAnsi="宋体"/>
          <w:b/>
          <w:sz w:val="28"/>
          <w:szCs w:val="28"/>
        </w:rPr>
      </w:r>
      <w:r/>
    </w:p>
    <w:p>
      <w:pPr>
        <w:ind w:firstLine="480"/>
        <w:spacing w:line="400" w:lineRule="exact"/>
        <w:rPr>
          <w:rFonts w:hint="eastAsia" w:ascii="宋体" w:hAnsi="宋体"/>
          <w:b/>
          <w:sz w:val="28"/>
          <w:szCs w:val="28"/>
        </w:rPr>
      </w:pPr>
      <w:r>
        <w:rPr>
          <w:rFonts w:hint="eastAsia" w:ascii="宋体" w:hAnsi="宋体"/>
          <w:b/>
          <w:sz w:val="28"/>
          <w:szCs w:val="28"/>
        </w:rPr>
      </w:r>
      <w:r/>
    </w:p>
    <w:p>
      <w:pP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附件7                   法人授权书</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本授权书声明：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（投标人名称）授权</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（被授权人的姓名）为我方就采购编号为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本授权书于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年</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月</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日起生效，特此声明。</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被授权人身份证号码：</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被授权人联系电话：（手机）</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授权单位名称：</w:t>
      </w:r>
      <w:r>
        <w:rPr>
          <w:rFonts w:hint="eastAsia" w:ascii="方正仿宋_GBK" w:hAnsi="方正仿宋_GBK" w:eastAsia="方正仿宋_GBK" w:cs="方正仿宋_GBK"/>
          <w:sz w:val="28"/>
          <w:szCs w:val="28"/>
          <w:u w:val="single"/>
        </w:rPr>
        <w:t xml:space="preserve">（加盖CA电子公章） </w:t>
      </w:r>
      <w:r/>
    </w:p>
    <w:p>
      <w:pPr>
        <w:ind w:firstLine="560"/>
        <w:spacing w:line="400" w:lineRule="exact"/>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单位地址：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560"/>
        <w:spacing w:line="400" w:lineRule="exact"/>
        <w:tabs>
          <w:tab w:val="left" w:pos="3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bookmarkStart w:id="88" w:name="_格式3__银行出具的资信证明"/>
      <w:r/>
      <w:bookmarkStart w:id="89" w:name="_Hlt26955070"/>
      <w:r/>
      <w:bookmarkStart w:id="90" w:name="_Hlt26671380"/>
      <w:r/>
      <w:bookmarkEnd w:id="88"/>
      <w:r/>
      <w:bookmarkEnd w:id="89"/>
      <w:r/>
      <w:bookmarkEnd w:id="90"/>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  </w:t>
      </w:r>
      <w:r/>
    </w:p>
    <w:p>
      <w:pPr>
        <w:ind w:firstLine="420"/>
        <w:spacing w:line="400" w:lineRule="exact"/>
        <w:rPr>
          <w:sz w:val="28"/>
          <w:szCs w:val="28"/>
        </w:rPr>
      </w:pPr>
      <w:r>
        <w:rPr>
          <w:sz w:val="28"/>
          <w:szCs w:val="28"/>
        </w:rPr>
      </w:r>
      <w:r/>
    </w:p>
    <w:p>
      <w:pPr>
        <w:spacing w:line="400" w:lineRule="exact"/>
        <w:rPr>
          <w:rFonts w:hint="eastAsia" w:ascii="黑体" w:hAnsi="黑体" w:eastAsia="黑体"/>
          <w:b/>
          <w:i/>
          <w:sz w:val="28"/>
          <w:szCs w:val="28"/>
          <w:u w:val="single"/>
        </w:rPr>
      </w:pPr>
      <w:r>
        <w:rPr>
          <w:rFonts w:ascii="宋体" w:hAnsi="宋体" w:eastAsia="幼圆" w:cs="Arial"/>
          <w:b/>
          <w:sz w:val="28"/>
          <w:szCs w:val="28"/>
        </w:rPr>
        <w:br w:type="page" w:clear="all"/>
      </w:r>
      <w:r>
        <w:rPr>
          <w:rFonts w:hint="eastAsia" w:ascii="方正黑体_GBK" w:hAnsi="方正黑体_GBK" w:eastAsia="方正黑体_GBK" w:cs="方正黑体_GBK"/>
          <w:bCs/>
          <w:sz w:val="28"/>
          <w:szCs w:val="28"/>
        </w:rPr>
        <w:t xml:space="preserve">附件8                    投标函</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根据贵方采购编号为</w:t>
      </w:r>
      <w:r>
        <w:rPr>
          <w:rFonts w:eastAsia="方正仿宋_GBK"/>
          <w:sz w:val="28"/>
          <w:szCs w:val="28"/>
        </w:rPr>
        <w:t xml:space="preserve">JSZC-320000-SCZX-G20XX-XXXX</w:t>
      </w:r>
      <w:r>
        <w:rPr>
          <w:rFonts w:hint="eastAsia" w:ascii="方正仿宋_GBK" w:hAnsi="方正仿宋_GBK" w:eastAsia="方正仿宋_GBK" w:cs="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项目（项目名称）的招标文件，正式授权下述签字人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(姓名)</w:t>
      </w:r>
      <w:r>
        <w:rPr>
          <w:rFonts w:hint="eastAsia" w:ascii="方正仿宋_GBK" w:hAnsi="方正仿宋_GBK" w:eastAsia="方正仿宋_GBK" w:cs="方正仿宋_GBK"/>
          <w:sz w:val="28"/>
          <w:szCs w:val="28"/>
        </w:rPr>
        <w:t xml:space="preserve">代表我方</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（投标人的名称），全权处理本次项目投标的有关事宜。</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签字人兹宣布同意如下：</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1.按招标文件规定的各项要求，向买方提供所需货物（包含与货物相关的服务）。</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2.我们完全理解贵方不一定将合同授予最低报价的投标人。</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3.我们已详细审核全部招标文件及其有效补充文件。</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4.我们同意从规定的开标日期起遵循本投标文件，并在规定的投标有效期期满之前均具有约束力。</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5.同意向贵方提供贵方可能另外要求的与投标有关的任何证据或资料，并保证我方已提供和将要提供的文件是真实的、准确的。</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w:t>
      </w:r>
      <w:r>
        <w:rPr>
          <w:rFonts w:hint="eastAsia" w:ascii="方正仿宋_GBK" w:hAnsi="方正仿宋_GBK" w:eastAsia="方正仿宋_GBK" w:cs="方正仿宋_GBK"/>
          <w:sz w:val="28"/>
          <w:szCs w:val="28"/>
        </w:rPr>
        <w:t xml:space="preserve">中标,</w:t>
      </w:r>
      <w:r>
        <w:rPr>
          <w:rFonts w:hint="eastAsia" w:ascii="方正仿宋_GBK" w:hAnsi="方正仿宋_GBK" w:eastAsia="方正仿宋_GBK" w:cs="方正仿宋_GBK"/>
          <w:sz w:val="28"/>
          <w:szCs w:val="28"/>
        </w:rPr>
        <w:t xml:space="preserve">我方将根据招标文件的规定，严格履行合同的责任和</w:t>
      </w:r>
      <w:r>
        <w:rPr>
          <w:rFonts w:hint="eastAsia" w:ascii="方正仿宋_GBK" w:hAnsi="方正仿宋_GBK" w:eastAsia="方正仿宋_GBK" w:cs="方正仿宋_GBK"/>
          <w:sz w:val="28"/>
          <w:szCs w:val="28"/>
        </w:rPr>
        <w:t xml:space="preserve">义务,</w:t>
      </w:r>
      <w:r>
        <w:rPr>
          <w:rFonts w:hint="eastAsia" w:ascii="方正仿宋_GBK" w:hAnsi="方正仿宋_GBK" w:eastAsia="方正仿宋_GBK" w:cs="方正仿宋_GBK"/>
          <w:sz w:val="28"/>
          <w:szCs w:val="28"/>
        </w:rPr>
        <w:t xml:space="preserve">并保证在招标文件规定的时间内完成项目，交付买方验收、使用。</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7.与本投标有关的正式通讯地址为：</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投标人开户行：</w:t>
      </w:r>
      <w:r/>
    </w:p>
    <w:p>
      <w:pPr>
        <w:ind w:firstLine="56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p>
    <w:p>
      <w:pPr>
        <w:ind w:left="420" w:firstLine="560"/>
        <w:jc w:val="left"/>
        <w:spacing w:line="400" w:lineRule="exact"/>
        <w:rPr>
          <w:rFonts w:hint="eastAsia" w:ascii="宋体" w:hAnsi="宋体"/>
          <w:sz w:val="28"/>
          <w:szCs w:val="28"/>
        </w:rPr>
      </w:pPr>
      <w:r>
        <w:rPr>
          <w:rFonts w:hint="eastAsia" w:ascii="宋体" w:hAnsi="宋体"/>
          <w:sz w:val="28"/>
          <w:szCs w:val="28"/>
        </w:rPr>
      </w:r>
      <w:r/>
    </w:p>
    <w:p>
      <w:pPr>
        <w:ind w:left="3830"/>
        <w:jc w:val="lef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p>
    <w:p>
      <w:pPr>
        <w:ind w:left="3830"/>
        <w:jc w:val="left"/>
        <w:spacing w:line="400" w:lineRule="exact"/>
        <w:rPr>
          <w:rFonts w:hint="eastAsia" w:ascii="宋体" w:hAnsi="宋体"/>
          <w:sz w:val="28"/>
          <w:szCs w:val="28"/>
        </w:rPr>
      </w:pPr>
      <w:r>
        <w:rPr>
          <w:rFonts w:hint="eastAsia" w:ascii="方正仿宋_GBK" w:hAnsi="方正仿宋_GBK" w:eastAsia="方正仿宋_GBK" w:cs="方正仿宋_GBK"/>
          <w:sz w:val="28"/>
          <w:szCs w:val="28"/>
        </w:rPr>
        <w:t xml:space="preserve">日    期：___年____月____日</w:t>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ind w:firstLine="280"/>
        <w:jc w:val="center"/>
        <w:spacing w:line="400" w:lineRule="exact"/>
        <w:rPr>
          <w:rFonts w:hint="eastAsia" w:ascii="宋体" w:hAnsi="宋体"/>
          <w:bCs/>
          <w:sz w:val="28"/>
          <w:szCs w:val="28"/>
        </w:rPr>
      </w:pPr>
      <w:r>
        <w:rPr>
          <w:rFonts w:hint="eastAsia" w:ascii="宋体" w:hAnsi="宋体"/>
          <w:bCs/>
          <w:sz w:val="28"/>
          <w:szCs w:val="28"/>
        </w:rPr>
      </w:r>
      <w:r/>
    </w:p>
    <w:p>
      <w:pPr>
        <w:spacing w:line="36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9  中小微企业声明函</w:t>
      </w:r>
      <w:r>
        <w:rPr>
          <w:rFonts w:hint="eastAsia" w:ascii="方正黑体_GBK" w:hAnsi="方正黑体_GBK" w:eastAsia="方正黑体_GBK" w:cs="方正黑体_GBK"/>
          <w:bCs/>
          <w:sz w:val="28"/>
          <w:szCs w:val="28"/>
        </w:rPr>
        <w:t xml:space="preserve">（货物类项目）（采购包号：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w:t>
      </w:r>
      <w:r>
        <w:rPr>
          <w:rFonts w:hint="eastAsia" w:ascii="方正仿宋_GBK" w:hAnsi="方正仿宋_GBK" w:eastAsia="方正仿宋_GBK" w:cs="方正仿宋_GBK"/>
          <w:sz w:val="28"/>
          <w:szCs w:val="28"/>
        </w:rPr>
        <w:t xml:space="preserve">(财库</w:t>
      </w:r>
      <w:r>
        <w:rPr>
          <w:rFonts w:hint="eastAsia" w:ascii="方正仿宋_GBK" w:hAnsi="方正仿宋_GBK" w:eastAsia="方正仿宋_GBK" w:cs="方正仿宋_GBK"/>
          <w:sz w:val="28"/>
          <w:szCs w:val="28"/>
        </w:rPr>
        <w:t xml:space="preserve">〔2020〕46</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的规定，本公司（联合体）参加江苏省政府采购中心组织的</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（采购单位名称）采购编号为</w:t>
      </w:r>
      <w:r>
        <w:rPr>
          <w:rFonts w:eastAsia="方正仿宋_GBK"/>
          <w:sz w:val="28"/>
          <w:szCs w:val="28"/>
        </w:rPr>
        <w:t xml:space="preserve">JSZC-320000-SCZX-G20XX-XXXX</w:t>
      </w:r>
      <w:r>
        <w:rPr>
          <w:rFonts w:eastAsia="方正仿宋_GBK"/>
          <w:sz w:val="28"/>
          <w:szCs w:val="28"/>
        </w:rPr>
        <w:t xml:space="preserve">，</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）的采购活动，提供的货物全部由符合政策要求的中小微企业制造。相关企业（含联合体中的中小微企业、签订采购包意向协议的中小微企业）的具体情况如下：</w:t>
      </w:r>
      <w:r/>
    </w:p>
    <w:p>
      <w:pPr>
        <w:ind w:firstLine="560"/>
        <w:spacing w:line="36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360" w:lineRule="exact"/>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属于</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（供应商填写招标文件中明确的所属行业）行业；产品制造商为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（企业名称），从业人员</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人，营业收入为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万元，资产总额为</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万元，属于</w:t>
      </w:r>
      <w:r>
        <w:rPr>
          <w:rFonts w:hint="eastAsia" w:ascii="方正仿宋_GBK" w:hAnsi="方正仿宋_GBK" w:eastAsia="方正仿宋_GBK" w:cs="方正仿宋_GBK"/>
          <w:sz w:val="28"/>
          <w:szCs w:val="28"/>
          <w:u w:val="single"/>
        </w:rPr>
        <w:t xml:space="preserve">（□中型企业 □小型企业 □微型企业）；</w:t>
      </w:r>
      <w:r/>
    </w:p>
    <w:p>
      <w:pPr>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p>
      <w:pPr>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p>
    <w:p>
      <w:pPr>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p>
    <w:p>
      <w:pPr>
        <w:ind w:right="180" w:firstLine="560"/>
        <w:jc w:val="right"/>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企业名称（加盖CA电子公章）：</w:t>
      </w:r>
      <w:r/>
    </w:p>
    <w:p>
      <w:pPr>
        <w:ind w:right="480" w:firstLine="364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：___年____月____日</w:t>
      </w:r>
      <w:r/>
    </w:p>
    <w:p>
      <w:pPr>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p>
    <w:p>
      <w:pPr>
        <w:ind w:firstLine="560"/>
        <w:spacing w:line="36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spacing w:line="360" w:lineRule="exact"/>
        <w:rPr>
          <w:rFonts w:hint="eastAsia" w:ascii="宋体" w:hAnsi="宋体"/>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w:t>
      </w:r>
      <w:r>
        <w:rPr>
          <w:rFonts w:hint="eastAsia" w:ascii="方正仿宋_GBK" w:hAnsi="方正仿宋_GBK" w:eastAsia="方正仿宋_GBK" w:cs="方正仿宋_GBK"/>
          <w:sz w:val="28"/>
          <w:szCs w:val="28"/>
        </w:rPr>
        <w:t xml:space="preserve">号)</w:t>
      </w:r>
      <w:r>
        <w:rPr>
          <w:rFonts w:hint="eastAsia" w:ascii="方正仿宋_GBK" w:hAnsi="方正仿宋_GBK" w:eastAsia="方正仿宋_GBK" w:cs="方正仿宋_GBK"/>
          <w:sz w:val="28"/>
          <w:szCs w:val="28"/>
        </w:rPr>
        <w:t xml:space="preserve">《国家统计局关于印发〈统计上大中小微型企业划分办法（2017）〉的通知》（国统字〔2017〕213号）的规定，自行勾选制造商的企业规模类型。                                </w:t>
      </w:r>
      <w:r>
        <w:rPr>
          <w:rFonts w:ascii="宋体" w:hAnsi="宋体"/>
          <w:sz w:val="28"/>
          <w:szCs w:val="28"/>
        </w:rPr>
        <w:t xml:space="preserve">        </w:t>
      </w:r>
      <w:r/>
    </w:p>
    <w:p>
      <w:pPr>
        <w:ind w:firstLine="560"/>
        <w:jc w:val="left"/>
        <w:spacing w:line="400" w:lineRule="exact"/>
        <w:rPr>
          <w:rFonts w:hint="eastAsia" w:ascii="宋体" w:hAnsi="宋体"/>
          <w:sz w:val="28"/>
          <w:szCs w:val="28"/>
        </w:rPr>
      </w:pPr>
      <w:r>
        <w:rPr>
          <w:rFonts w:hint="eastAsia" w:ascii="宋体" w:hAnsi="宋体"/>
          <w:sz w:val="28"/>
          <w:szCs w:val="28"/>
        </w:rPr>
      </w:r>
      <w:r/>
    </w:p>
    <w:p>
      <w:pPr>
        <w:ind w:firstLine="560"/>
        <w:jc w:val="left"/>
        <w:spacing w:line="400" w:lineRule="exact"/>
        <w:rPr>
          <w:rFonts w:hint="eastAsia" w:ascii="宋体" w:hAnsi="宋体"/>
          <w:sz w:val="28"/>
          <w:szCs w:val="28"/>
        </w:rPr>
      </w:pPr>
      <w:r>
        <w:rPr>
          <w:rFonts w:hint="eastAsia" w:ascii="宋体" w:hAnsi="宋体"/>
          <w:sz w:val="28"/>
          <w:szCs w:val="28"/>
        </w:rPr>
      </w:r>
      <w:r/>
    </w:p>
    <w:p>
      <w:pPr>
        <w:ind w:firstLine="560"/>
        <w:jc w:val="left"/>
        <w:spacing w:line="400" w:lineRule="exact"/>
        <w:rPr>
          <w:rFonts w:hint="eastAsia" w:ascii="宋体" w:hAnsi="宋体"/>
          <w:sz w:val="28"/>
          <w:szCs w:val="28"/>
        </w:rPr>
      </w:pPr>
      <w:r>
        <w:rPr>
          <w:rFonts w:hint="eastAsia" w:ascii="方正黑体_GBK" w:hAnsi="方正黑体_GBK" w:eastAsia="方正黑体_GBK" w:cs="方正黑体_GBK"/>
          <w:bCs/>
          <w:sz w:val="28"/>
          <w:szCs w:val="28"/>
        </w:rPr>
        <w:t xml:space="preserve">附件10残疾人福利性单位声明函（货物类项目）（采购包号：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sz w:val="28"/>
          <w:szCs w:val="28"/>
          <w:u w:val="single"/>
        </w:rPr>
        <w:t xml:space="preserve">XX</w:t>
      </w:r>
      <w:r>
        <w:rPr>
          <w:rFonts w:hint="eastAsia" w:ascii="方正仿宋_GBK" w:hAnsi="方正仿宋_GBK" w:eastAsia="方正仿宋_GBK" w:cs="方正仿宋_GBK"/>
          <w:sz w:val="28"/>
          <w:szCs w:val="28"/>
        </w:rPr>
        <w:t xml:space="preserve">单位采购编号为</w:t>
      </w:r>
      <w:r>
        <w:rPr>
          <w:rFonts w:eastAsia="方正仿宋_GBK"/>
          <w:sz w:val="28"/>
          <w:szCs w:val="28"/>
        </w:rPr>
        <w:t xml:space="preserve">JSZC-320000-SCZX-G20XX-XXXX</w:t>
      </w:r>
      <w:r>
        <w:rPr>
          <w:rFonts w:eastAsia="方正仿宋_GBK"/>
          <w:sz w:val="28"/>
          <w:szCs w:val="28"/>
        </w:rPr>
        <w:t xml:space="preserve">，</w:t>
      </w:r>
      <w:r>
        <w:rPr>
          <w:rFonts w:hint="eastAsia" w:ascii="方正仿宋_GBK" w:hAnsi="方正仿宋_GBK" w:eastAsia="方正仿宋_GBK" w:cs="方正仿宋_GBK"/>
          <w:sz w:val="28"/>
          <w:szCs w:val="28"/>
          <w:u w:val="single"/>
        </w:rPr>
        <w:t xml:space="preserve">      </w:t>
      </w:r>
      <w:r>
        <w:rPr>
          <w:rFonts w:eastAsia="方正仿宋_GBK"/>
          <w:sz w:val="28"/>
          <w:szCs w:val="28"/>
          <w:u w:val="single"/>
        </w:rPr>
        <w:t xml:space="preserve">XXXX</w:t>
      </w:r>
      <w:r>
        <w:rPr>
          <w:rFonts w:hint="eastAsia" w:ascii="方正仿宋_GBK" w:hAnsi="方正仿宋_GBK" w:eastAsia="方正仿宋_GBK" w:cs="方正仿宋_GBK"/>
          <w:sz w:val="28"/>
          <w:szCs w:val="28"/>
        </w:rPr>
        <w:t xml:space="preserve">项目（项目名称）（采购包号：</w:t>
      </w:r>
      <w:r>
        <w:rPr>
          <w:rFonts w:hint="eastAsia" w:eastAsia="方正仿宋_GBK"/>
          <w:sz w:val="28"/>
          <w:szCs w:val="28"/>
        </w:rPr>
        <w:t xml:space="preserve">XX</w:t>
      </w:r>
      <w:r>
        <w:rPr>
          <w:rFonts w:hint="eastAsia" w:ascii="方正仿宋_GBK" w:hAnsi="方正仿宋_GBK" w:eastAsia="方正仿宋_GBK" w:cs="方正仿宋_GBK"/>
          <w:sz w:val="28"/>
          <w:szCs w:val="28"/>
        </w:rPr>
        <w:t xml:space="preserve">）采购活动提供本单位制造的货物，或者提供其他残疾人福利性单位制造的货物（不包括使用非残疾人福利性单位注册商标的货物）。</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p>
    <w:p>
      <w:pPr>
        <w:ind w:firstLine="584"/>
        <w:spacing w:line="400" w:lineRule="exact"/>
        <w:rPr>
          <w:rFonts w:ascii="仿宋_GB2312" w:eastAsia="仿宋_GB2312"/>
          <w:spacing w:val="6"/>
          <w:sz w:val="28"/>
          <w:szCs w:val="28"/>
        </w:rPr>
      </w:pPr>
      <w:r>
        <w:rPr>
          <w:rFonts w:ascii="仿宋_GB2312" w:eastAsia="仿宋_GB2312"/>
          <w:spacing w:val="6"/>
          <w:sz w:val="28"/>
          <w:szCs w:val="28"/>
        </w:rPr>
      </w:r>
      <w:r/>
    </w:p>
    <w:p>
      <w:pPr>
        <w:ind w:right="180" w:firstLine="584"/>
        <w:jc w:val="right"/>
        <w:spacing w:line="400" w:lineRule="exact"/>
        <w:rPr>
          <w:rFonts w:hint="eastAsia" w:ascii="方正仿宋_GBK" w:hAnsi="方正仿宋_GBK" w:eastAsia="方正仿宋_GBK" w:cs="方正仿宋_GBK"/>
          <w:sz w:val="28"/>
          <w:szCs w:val="28"/>
        </w:rPr>
      </w:pPr>
      <w:r>
        <w:rPr>
          <w:rFonts w:hint="eastAsia" w:ascii="仿宋_GB2312" w:eastAsia="仿宋_GB2312"/>
          <w:spacing w:val="6"/>
          <w:sz w:val="28"/>
          <w:szCs w:val="28"/>
        </w:rPr>
        <w:t xml:space="preserve">             </w:t>
      </w:r>
      <w:r>
        <w:rPr>
          <w:rFonts w:hint="eastAsia" w:ascii="宋体" w:hAnsi="宋体"/>
          <w:sz w:val="28"/>
          <w:szCs w:val="28"/>
        </w:rPr>
        <w:t xml:space="preserve">   </w:t>
      </w:r>
      <w:r>
        <w:rPr>
          <w:rFonts w:hint="eastAsia" w:ascii="方正仿宋_GBK" w:hAnsi="方正仿宋_GBK" w:eastAsia="方正仿宋_GBK" w:cs="方正仿宋_GBK"/>
          <w:sz w:val="28"/>
          <w:szCs w:val="28"/>
        </w:rPr>
        <w:t xml:space="preserve">供应商全称（加盖CA电子公章）：</w:t>
      </w:r>
      <w:r/>
    </w:p>
    <w:p>
      <w:pPr>
        <w:ind w:right="180" w:firstLine="560"/>
        <w:jc w:val="right"/>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日  期</w:t>
      </w:r>
      <w:r>
        <w:rPr>
          <w:rFonts w:hint="eastAsia" w:ascii="方正仿宋_GBK" w:hAnsi="方正仿宋_GBK" w:eastAsia="方正仿宋_GBK" w:cs="方正仿宋_GBK"/>
          <w:sz w:val="28"/>
          <w:szCs w:val="28"/>
        </w:rPr>
        <w:t xml:space="preserve">：___年____月____日 </w:t>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ind w:firstLine="645"/>
        <w:spacing w:line="400" w:lineRule="exact"/>
        <w:rPr>
          <w:rFonts w:hint="eastAsia" w:ascii="宋体" w:hAnsi="宋体"/>
          <w:sz w:val="28"/>
          <w:szCs w:val="28"/>
        </w:rPr>
      </w:pPr>
      <w:r>
        <w:rPr>
          <w:rFonts w:hint="eastAsia" w:ascii="宋体" w:hAnsi="宋体"/>
          <w:sz w:val="28"/>
          <w:szCs w:val="28"/>
        </w:rPr>
      </w:r>
      <w:r/>
    </w:p>
    <w:p>
      <w:pPr>
        <w:ind w:firstLine="560"/>
        <w:jc w:val="left"/>
        <w:spacing w:line="400" w:lineRule="exact"/>
        <w:rPr>
          <w:rFonts w:ascii="方正黑体_GBK" w:hAnsi="方正黑体_GBK" w:eastAsia="方正黑体_GBK" w:cs="方正黑体_GBK"/>
          <w:b/>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附件11实质性要求响应及偏离表（采购包号：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609"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p>
        </w:tc>
        <w:tc>
          <w:tcPr>
            <w:tcW w:w="3317"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p>
        </w:tc>
        <w:tc>
          <w:tcPr>
            <w:tcW w:w="1526"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609"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p>
        </w:tc>
        <w:tc>
          <w:tcPr>
            <w:tcW w:w="3317"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1526"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附件12-1 证明材料1，证明材料2，……</w:t>
      </w:r>
      <w:r/>
    </w:p>
    <w:p>
      <w:pPr>
        <w:spacing w:line="400" w:lineRule="exact"/>
        <w:rPr>
          <w:rFonts w:hint="eastAsia" w:ascii="宋体" w:hAnsi="宋体"/>
          <w:sz w:val="28"/>
          <w:szCs w:val="28"/>
        </w:rPr>
      </w:pPr>
      <w:r>
        <w:rPr>
          <w:rFonts w:hint="eastAsia" w:ascii="宋体" w:hAnsi="宋体"/>
          <w:sz w:val="28"/>
          <w:szCs w:val="28"/>
        </w:rPr>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1.投标人必须对招标文件（含技术要求和商务要求）中的实质性要求</w:t>
      </w:r>
      <w:r>
        <w:rPr>
          <w:rFonts w:hint="eastAsia" w:ascii="方正仿宋_GBK" w:hAnsi="方正仿宋_GBK" w:eastAsia="方正仿宋_GBK" w:cs="方正仿宋_GBK"/>
          <w:b/>
          <w:bCs/>
          <w:sz w:val="28"/>
          <w:szCs w:val="28"/>
        </w:rPr>
        <w:t xml:space="preserve">（</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或加*号条款）</w:t>
      </w:r>
      <w:r>
        <w:rPr>
          <w:rFonts w:hint="eastAsia" w:ascii="方正仿宋_GBK" w:hAnsi="方正仿宋_GBK" w:eastAsia="方正仿宋_GBK" w:cs="方正仿宋_GBK"/>
          <w:sz w:val="28"/>
          <w:szCs w:val="28"/>
        </w:rPr>
        <w:t xml:space="preserve">逐条做出明确响应。</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2.如果招标文件要求提供证明材料，投标人必须将证明材料列于该表之下。</w:t>
      </w:r>
      <w:r/>
    </w:p>
    <w:p>
      <w:pPr>
        <w:ind w:firstLine="56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3.投标人未对实质性要求逐条作出明确响应的，或未按招标文件要求提供证明材料的，该采购包作无效投标处理。</w:t>
      </w:r>
      <w:r/>
    </w:p>
    <w:p>
      <w:pPr>
        <w:spacing w:line="400" w:lineRule="exact"/>
        <w:rPr>
          <w:rFonts w:hint="eastAsia" w:ascii="宋体" w:hAnsi="宋体"/>
          <w:sz w:val="28"/>
          <w:szCs w:val="28"/>
        </w:rPr>
      </w:pPr>
      <w:r>
        <w:rPr>
          <w:rFonts w:hint="eastAsia" w:ascii="宋体" w:hAnsi="宋体"/>
          <w:sz w:val="28"/>
          <w:szCs w:val="28"/>
        </w:rPr>
      </w:r>
      <w:r/>
    </w:p>
    <w:p>
      <w:pPr>
        <w:ind w:firstLine="280"/>
        <w:jc w:val="left"/>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附件</w:t>
      </w:r>
      <w:r>
        <w:rPr>
          <w:rFonts w:hint="eastAsia" w:ascii="方正黑体_GBK" w:hAnsi="方正黑体_GBK" w:eastAsia="方正黑体_GBK" w:cs="方正黑体_GBK"/>
          <w:bCs/>
          <w:sz w:val="28"/>
          <w:szCs w:val="28"/>
        </w:rPr>
        <w:t xml:space="preserve">12  关于符合本国产品标准的声明函</w:t>
      </w:r>
      <w:r>
        <w:rPr>
          <w:rFonts w:hint="eastAsia" w:ascii="方正黑体_GBK" w:hAnsi="方正黑体_GBK" w:eastAsia="方正黑体_GBK" w:cs="方正黑体_GBK"/>
          <w:bCs/>
          <w:sz w:val="28"/>
          <w:szCs w:val="28"/>
        </w:rPr>
        <w:t xml:space="preserve">（采购包号：</w:t>
      </w:r>
      <w:r>
        <w:rPr>
          <w:rFonts w:eastAsia="方正黑体_GBK"/>
          <w:bCs/>
          <w:sz w:val="28"/>
          <w:szCs w:val="28"/>
        </w:rPr>
        <w:t xml:space="preserve">XX</w:t>
      </w:r>
      <w:r>
        <w:rPr>
          <w:rFonts w:hint="eastAsia" w:ascii="方正黑体_GBK" w:hAnsi="方正黑体_GBK" w:eastAsia="方正黑体_GBK" w:cs="方正黑体_GBK"/>
          <w:bCs/>
          <w:sz w:val="28"/>
          <w:szCs w:val="28"/>
        </w:rPr>
        <w:t xml:space="preserve">）</w:t>
      </w:r>
      <w:r/>
    </w:p>
    <w:p>
      <w:pPr>
        <w:pStyle w:val="1009"/>
        <w:ind w:firstLine="560"/>
        <w:spacing w:before="0" w:beforeAutospacing="0" w:after="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w:t>
      </w:r>
      <w:r>
        <w:rPr>
          <w:rStyle w:val="1021"/>
          <w:rFonts w:hint="eastAsia" w:ascii="方正仿宋_GBK" w:hAnsi="方正仿宋_GBK" w:eastAsia="方正仿宋_GBK" w:cs="方正仿宋_GBK"/>
          <w:i w:val="0"/>
          <w:sz w:val="28"/>
          <w:szCs w:val="28"/>
          <w:u w:val="single"/>
          <w:shd w:val="clear" w:color="auto" w:fill="ffffff"/>
        </w:rPr>
        <w:t xml:space="preserve">（产品名称1）</w:t>
      </w:r>
      <w:r>
        <w:rPr>
          <w:rStyle w:val="1021"/>
          <w:rFonts w:hint="eastAsia" w:ascii="方正仿宋_GBK" w:hAnsi="方正仿宋_GBK" w:eastAsia="方正仿宋_GBK" w:cs="方正仿宋_GBK"/>
          <w:i w:val="0"/>
          <w:sz w:val="28"/>
          <w:szCs w:val="28"/>
          <w:shd w:val="clear" w:color="auto" w:fill="ffffff"/>
          <w:vertAlign w:val="superscript"/>
        </w:rPr>
        <w:t xml:space="preserve">1</w:t>
      </w:r>
      <w:r>
        <w:rPr>
          <w:rFonts w:hint="eastAsia" w:ascii="方正仿宋_GBK" w:hAnsi="方正仿宋_GBK" w:eastAsia="方正仿宋_GBK" w:cs="方正仿宋_GBK"/>
          <w:sz w:val="28"/>
          <w:szCs w:val="28"/>
          <w:shd w:val="clear" w:color="auto" w:fill="ffffff"/>
        </w:rPr>
        <w:t xml:space="preserve">，生产厂为</w:t>
      </w:r>
      <w:r>
        <w:rPr>
          <w:rStyle w:val="1021"/>
          <w:rFonts w:hint="eastAsia" w:ascii="方正仿宋_GBK" w:hAnsi="方正仿宋_GBK" w:eastAsia="方正仿宋_GBK" w:cs="方正仿宋_GBK"/>
          <w:i w:val="0"/>
          <w:sz w:val="28"/>
          <w:szCs w:val="28"/>
          <w:u w:val="single"/>
          <w:shd w:val="clear" w:color="auto" w:fill="ffffff"/>
        </w:rPr>
        <w:t xml:space="preserve">（厂名）</w:t>
      </w:r>
      <w:r>
        <w:rPr>
          <w:rStyle w:val="1021"/>
          <w:rFonts w:hint="eastAsia" w:ascii="方正仿宋_GBK" w:hAnsi="方正仿宋_GBK" w:eastAsia="方正仿宋_GBK" w:cs="方正仿宋_GBK"/>
          <w:i w:val="0"/>
          <w:sz w:val="28"/>
          <w:szCs w:val="28"/>
          <w:shd w:val="clear" w:color="auto" w:fill="ffffff"/>
          <w:vertAlign w:val="superscript"/>
        </w:rPr>
        <w:t xml:space="preserve">2</w:t>
      </w:r>
      <w:r>
        <w:rPr>
          <w:rFonts w:hint="eastAsia" w:ascii="方正仿宋_GBK" w:hAnsi="方正仿宋_GBK" w:eastAsia="方正仿宋_GBK" w:cs="方正仿宋_GBK"/>
          <w:sz w:val="28"/>
          <w:szCs w:val="28"/>
          <w:shd w:val="clear" w:color="auto" w:fill="ffffff"/>
        </w:rPr>
        <w:t xml:space="preserve">，厂址为</w:t>
      </w:r>
      <w:r>
        <w:rPr>
          <w:rStyle w:val="1021"/>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u w:val="single"/>
          <w:shd w:val="clear" w:color="auto" w:fill="ffffff"/>
        </w:rPr>
        <w:t xml:space="preserve">/</w:t>
      </w:r>
      <w:r>
        <w:rPr>
          <w:rStyle w:val="1021"/>
          <w:rFonts w:hint="eastAsia" w:ascii="方正仿宋_GBK" w:hAnsi="方正仿宋_GBK" w:eastAsia="方正仿宋_GBK" w:cs="方正仿宋_GBK"/>
          <w:i w:val="0"/>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shd w:val="clear" w:color="auto" w:fill="ffffff"/>
          <w:vertAlign w:val="superscript"/>
        </w:rPr>
        <w:t xml:space="preserve">3</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shd w:val="clear" w:color="auto" w:fill="ffffff"/>
          <w:vertAlign w:val="superscript"/>
        </w:rPr>
        <w:t xml:space="preserve">4</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shd w:val="clear" w:color="auto" w:fill="ffffff"/>
          <w:vertAlign w:val="superscript"/>
        </w:rPr>
        <w:t xml:space="preserve">5</w:t>
      </w:r>
      <w:r>
        <w:rPr>
          <w:rFonts w:hint="eastAsia" w:ascii="方正仿宋_GBK" w:hAnsi="方正仿宋_GBK" w:eastAsia="方正仿宋_GBK" w:cs="方正仿宋_GBK"/>
          <w:sz w:val="28"/>
          <w:szCs w:val="28"/>
          <w:shd w:val="clear" w:color="auto" w:fill="ffffff"/>
        </w:rPr>
        <w:t xml:space="preserve">在中国境内完成。</w:t>
      </w:r>
      <w:r/>
    </w:p>
    <w:p>
      <w:pPr>
        <w:pStyle w:val="100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w:t>
      </w:r>
      <w:r>
        <w:rPr>
          <w:rStyle w:val="1021"/>
          <w:rFonts w:hint="eastAsia" w:ascii="方正仿宋_GBK" w:hAnsi="方正仿宋_GBK" w:eastAsia="方正仿宋_GBK" w:cs="方正仿宋_GBK"/>
          <w:i w:val="0"/>
          <w:sz w:val="28"/>
          <w:szCs w:val="28"/>
          <w:u w:val="single"/>
          <w:shd w:val="clear" w:color="auto" w:fill="ffffff"/>
        </w:rPr>
        <w:t xml:space="preserve">（产品名称2）</w:t>
      </w:r>
      <w:r>
        <w:rPr>
          <w:rFonts w:hint="eastAsia" w:ascii="方正仿宋_GBK" w:hAnsi="方正仿宋_GBK" w:eastAsia="方正仿宋_GBK" w:cs="方正仿宋_GBK"/>
          <w:sz w:val="28"/>
          <w:szCs w:val="28"/>
          <w:shd w:val="clear" w:color="auto" w:fill="ffffff"/>
        </w:rPr>
        <w:t xml:space="preserve">，生产厂为</w:t>
      </w:r>
      <w:r>
        <w:rPr>
          <w:rStyle w:val="1021"/>
          <w:rFonts w:hint="eastAsia" w:ascii="方正仿宋_GBK" w:hAnsi="方正仿宋_GBK" w:eastAsia="方正仿宋_GBK" w:cs="方正仿宋_GBK"/>
          <w:i w:val="0"/>
          <w:sz w:val="28"/>
          <w:szCs w:val="28"/>
          <w:u w:val="single"/>
          <w:shd w:val="clear" w:color="auto" w:fill="ffffff"/>
        </w:rPr>
        <w:t xml:space="preserve">（厂名）</w:t>
      </w:r>
      <w:r>
        <w:rPr>
          <w:rFonts w:hint="eastAsia" w:ascii="方正仿宋_GBK" w:hAnsi="方正仿宋_GBK" w:eastAsia="方正仿宋_GBK" w:cs="方正仿宋_GBK"/>
          <w:sz w:val="28"/>
          <w:szCs w:val="28"/>
          <w:shd w:val="clear" w:color="auto" w:fill="ffffff"/>
        </w:rPr>
        <w:t xml:space="preserve">，厂址为</w:t>
      </w:r>
      <w:r>
        <w:rPr>
          <w:rStyle w:val="1021"/>
          <w:rFonts w:hint="eastAsia" w:ascii="方正仿宋_GBK" w:hAnsi="方正仿宋_GBK" w:eastAsia="方正仿宋_GBK" w:cs="方正仿宋_GBK"/>
          <w:i w:val="0"/>
          <w:sz w:val="28"/>
          <w:szCs w:val="28"/>
          <w:u w:val="single"/>
          <w:shd w:val="clear" w:color="auto" w:fill="ffffff"/>
        </w:rPr>
        <w:t xml:space="preserve">（生产厂址）</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的中国境内生产的组件成本占比≥</w:t>
      </w:r>
      <w:r>
        <w:rPr>
          <w:rFonts w:hint="eastAsia" w:ascii="方正仿宋_GBK" w:hAnsi="方正仿宋_GBK" w:eastAsia="方正仿宋_GBK" w:cs="方正仿宋_GBK"/>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u w:val="single"/>
          <w:shd w:val="clear" w:color="auto" w:fill="ffffff"/>
        </w:rPr>
        <w:t xml:space="preserve">/</w:t>
      </w:r>
      <w:r>
        <w:rPr>
          <w:rStyle w:val="1021"/>
          <w:rFonts w:hint="eastAsia" w:ascii="方正仿宋_GBK" w:hAnsi="方正仿宋_GBK" w:eastAsia="方正仿宋_GBK" w:cs="方正仿宋_GBK"/>
          <w:i w:val="0"/>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在中国境内生产</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的</w:t>
      </w:r>
      <w:r>
        <w:rPr>
          <w:rFonts w:hint="eastAsia" w:ascii="方正仿宋_GBK" w:hAnsi="方正仿宋_GBK" w:eastAsia="方正仿宋_GBK" w:cs="方正仿宋_GBK"/>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在中国境内完成</w:t>
      </w:r>
      <w:r>
        <w:rPr>
          <w:rFonts w:hint="eastAsia" w:ascii="方正仿宋_GBK" w:hAnsi="方正仿宋_GBK" w:eastAsia="方正仿宋_GBK" w:cs="方正仿宋_GBK"/>
          <w:sz w:val="28"/>
          <w:szCs w:val="28"/>
          <w:shd w:val="clear" w:color="auto" w:fill="ffffff"/>
        </w:rPr>
        <w:t xml:space="preserve">。</w:t>
      </w:r>
      <w:r/>
    </w:p>
    <w:p>
      <w:pPr>
        <w:pStyle w:val="100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w:t>
      </w:r>
      <w:r/>
    </w:p>
    <w:p>
      <w:pPr>
        <w:pStyle w:val="1009"/>
        <w:ind w:firstLine="560"/>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本公司（单位）对上述声明内容的真实性负责。如有虚假，愿承担相应法律责任。</w:t>
      </w:r>
      <w:r/>
    </w:p>
    <w:p>
      <w:pPr>
        <w:pStyle w:val="1009"/>
        <w:spacing w:before="30" w:beforeAutospacing="0" w:after="30" w:afterAutospacing="0" w:line="400" w:lineRule="exact"/>
        <w:rPr>
          <w:rFonts w:hint="eastAsia"/>
          <w:sz w:val="28"/>
          <w:szCs w:val="28"/>
        </w:rPr>
      </w:pPr>
      <w:r>
        <w:rPr>
          <w:rFonts w:hint="eastAsia"/>
          <w:sz w:val="28"/>
          <w:szCs w:val="28"/>
        </w:rPr>
      </w:r>
      <w:r/>
    </w:p>
    <w:p>
      <w:pPr>
        <w:pStyle w:val="1009"/>
        <w:ind w:firstLine="560"/>
        <w:jc w:val="right"/>
        <w:spacing w:before="30" w:beforeAutospacing="0" w:after="30" w:afterAutospacing="0" w:line="400" w:lineRule="exact"/>
        <w:rPr>
          <w:rFonts w:hint="eastAsia"/>
          <w:sz w:val="28"/>
          <w:szCs w:val="28"/>
        </w:rPr>
      </w:pPr>
      <w:r>
        <w:rPr>
          <w:rFonts w:hint="eastAsia"/>
          <w:sz w:val="28"/>
          <w:szCs w:val="28"/>
          <w:shd w:val="clear" w:color="auto" w:fill="ffffff"/>
        </w:rPr>
        <w:t xml:space="preserve">  </w:t>
      </w:r>
      <w:r>
        <w:rPr>
          <w:rFonts w:hint="eastAsia" w:ascii="方正仿宋_GBK" w:hAnsi="方正仿宋_GBK" w:eastAsia="方正仿宋_GBK" w:cs="方正仿宋_GBK"/>
          <w:sz w:val="28"/>
          <w:szCs w:val="28"/>
          <w:shd w:val="clear" w:color="auto" w:fill="ffffff"/>
        </w:rPr>
        <w:t xml:space="preserve">                   公司（单位）名称（加盖CA电子公章）：　  日期：___年____月____日   </w:t>
      </w:r>
      <w:r>
        <w:rPr>
          <w:rFonts w:hint="eastAsia"/>
          <w:sz w:val="28"/>
          <w:szCs w:val="28"/>
          <w:shd w:val="clear" w:color="auto" w:fill="ffffff"/>
        </w:rPr>
        <w:t xml:space="preserve">     </w:t>
      </w:r>
      <w:r/>
    </w:p>
    <w:p>
      <w:pPr>
        <w:pStyle w:val="1009"/>
        <w:spacing w:before="30" w:beforeAutospacing="0" w:after="30" w:afterAutospacing="0" w:line="400" w:lineRule="exact"/>
        <w:rPr>
          <w:rFonts w:hint="eastAsia"/>
          <w:sz w:val="28"/>
          <w:szCs w:val="28"/>
        </w:rPr>
      </w:pPr>
      <w:r>
        <w:rPr>
          <w:rFonts w:hint="eastAsia"/>
          <w:sz w:val="28"/>
          <w:szCs w:val="28"/>
          <w:shd w:val="clear" w:color="auto" w:fill="ffffff"/>
        </w:rPr>
        <w:t xml:space="preserve">__________________</w:t>
      </w:r>
      <w:r/>
    </w:p>
    <w:p>
      <w:pPr>
        <w:pStyle w:val="1009"/>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1.产品如有型号，请在“产品名称”栏一并填写。</w:t>
      </w:r>
      <w:r/>
    </w:p>
    <w:p>
      <w:pPr>
        <w:pStyle w:val="1009"/>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2.生产厂名与厂址应与生产厂营业执照载明的相关信息保持一致。</w:t>
      </w:r>
      <w:r/>
    </w:p>
    <w:p>
      <w:pPr>
        <w:pStyle w:val="1009"/>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3.该产品的中国境内生产的组件成本占比相关要求实施前，“规定比例”栏可不填，下同。</w:t>
      </w:r>
      <w:r/>
    </w:p>
    <w:p>
      <w:pPr>
        <w:pStyle w:val="1009"/>
        <w:spacing w:before="30" w:beforeAutospacing="0" w:after="30" w:afterAutospacing="0"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shd w:val="clear" w:color="auto" w:fill="ffffff"/>
        </w:rPr>
        <w:t xml:space="preserve">4.该产品的关键组件要求实施前，“关键组件”栏可不填，下同。</w:t>
      </w:r>
      <w:r/>
    </w:p>
    <w:p>
      <w:pPr>
        <w:pStyle w:val="1009"/>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5.该产品的关键工序要求实施前，“关键工序”栏可不填，下同。</w:t>
      </w:r>
      <w:r/>
    </w:p>
    <w:p>
      <w:pPr>
        <w:pStyle w:val="1009"/>
        <w:spacing w:before="30" w:beforeAutospacing="0" w:after="30" w:afterAutospacing="0" w:line="400" w:lineRule="exact"/>
        <w:rPr>
          <w:rFonts w:hint="eastAsia" w:ascii="方正仿宋_GBK" w:hAnsi="方正仿宋_GBK" w:eastAsia="方正仿宋_GBK" w:cs="方正仿宋_GBK"/>
          <w:sz w:val="28"/>
          <w:szCs w:val="28"/>
          <w:shd w:val="clear" w:color="auto" w:fill="ffffff"/>
        </w:rPr>
      </w:pPr>
      <w:r>
        <w:rPr>
          <w:rFonts w:hint="eastAsia" w:ascii="方正仿宋_GBK" w:hAnsi="方正仿宋_GBK" w:eastAsia="方正仿宋_GBK" w:cs="方正仿宋_GBK"/>
          <w:sz w:val="28"/>
          <w:szCs w:val="28"/>
          <w:shd w:val="clear" w:color="auto" w:fill="ffffff"/>
        </w:rPr>
        <w:t xml:space="preserve">6.《声明函》中标注</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u w:val="single"/>
          <w:shd w:val="clear" w:color="auto" w:fill="ffffff"/>
        </w:rPr>
        <w:t xml:space="preserve"> </w:t>
      </w:r>
      <w:r>
        <w:rPr>
          <w:rFonts w:hint="eastAsia" w:ascii="方正仿宋_GBK" w:hAnsi="方正仿宋_GBK" w:eastAsia="方正仿宋_GBK" w:cs="方正仿宋_GBK"/>
          <w:sz w:val="28"/>
          <w:szCs w:val="28"/>
          <w:u w:val="single"/>
          <w:shd w:val="clear" w:color="auto" w:fill="ffffff"/>
        </w:rPr>
        <w:t xml:space="preserve"> </w:t>
      </w:r>
      <w:r>
        <w:rPr>
          <w:rStyle w:val="1021"/>
          <w:rFonts w:hint="eastAsia" w:ascii="方正仿宋_GBK" w:hAnsi="方正仿宋_GBK" w:eastAsia="方正仿宋_GBK" w:cs="方正仿宋_GBK"/>
          <w:i w:val="0"/>
          <w:sz w:val="28"/>
          <w:szCs w:val="28"/>
          <w:u w:val="single"/>
          <w:shd w:val="clear" w:color="auto" w:fill="ffffff"/>
        </w:rPr>
        <w:t xml:space="preserve">/  </w:t>
      </w:r>
      <w:r>
        <w:rPr>
          <w:rFonts w:hint="eastAsia" w:ascii="方正仿宋_GBK" w:hAnsi="方正仿宋_GBK" w:eastAsia="方正仿宋_GBK" w:cs="方正仿宋_GBK"/>
          <w:sz w:val="28"/>
          <w:szCs w:val="28"/>
          <w:shd w:val="clear" w:color="auto" w:fill="ffffff"/>
        </w:rPr>
        <w:t xml:space="preserve">”</w:t>
      </w:r>
      <w:r>
        <w:rPr>
          <w:rFonts w:hint="eastAsia" w:ascii="方正仿宋_GBK" w:hAnsi="方正仿宋_GBK" w:eastAsia="方正仿宋_GBK" w:cs="方正仿宋_GBK"/>
          <w:sz w:val="28"/>
          <w:szCs w:val="28"/>
          <w:shd w:val="clear" w:color="auto" w:fill="ffffff"/>
        </w:rPr>
        <w:t xml:space="preserve">的地方无需填写。</w:t>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r/>
    </w:p>
    <w:p>
      <w:pPr>
        <w:jc w:val="center"/>
        <w:spacing w:line="400" w:lineRule="exact"/>
        <w:rPr>
          <w:rFonts w:hint="eastAsia" w:ascii="黑体" w:hAnsi="黑体" w:eastAsia="黑体"/>
          <w:b/>
          <w:sz w:val="28"/>
          <w:szCs w:val="28"/>
        </w:rPr>
      </w:pPr>
      <w:r>
        <w:rPr>
          <w:rFonts w:hint="eastAsia" w:ascii="黑体" w:hAnsi="黑体" w:eastAsia="黑体"/>
          <w:b/>
          <w:sz w:val="28"/>
          <w:szCs w:val="28"/>
        </w:rPr>
      </w:r>
      <w:bookmarkEnd w:id="69"/>
      <w:bookmarkEnd w:id="70"/>
      <w:bookmarkEnd w:id="87"/>
      <w:r/>
    </w:p>
    <w:p>
      <w:pPr>
        <w:ind w:firstLine="280"/>
        <w:jc w:val="center"/>
        <w:spacing w:line="400" w:lineRule="exact"/>
        <w:rPr>
          <w:rFonts w:ascii="方正黑体_GBK" w:hAnsi="方正黑体_GBK" w:eastAsia="方正黑体_GBK" w:cs="方正黑体_GBK"/>
          <w:bCs/>
          <w:sz w:val="28"/>
          <w:szCs w:val="28"/>
        </w:rPr>
      </w:pPr>
      <w:r>
        <w:rPr>
          <w:rFonts w:hint="eastAsia" w:ascii="方正黑体_GBK" w:hAnsi="方正黑体_GBK" w:eastAsia="方正黑体_GBK" w:cs="方正黑体_GBK"/>
          <w:bCs/>
          <w:sz w:val="28"/>
          <w:szCs w:val="28"/>
        </w:rPr>
        <w:br w:type="page" w:clear="all"/>
      </w:r>
      <w:r>
        <w:rPr>
          <w:rFonts w:hint="eastAsia" w:ascii="方正黑体_GBK" w:hAnsi="方正黑体_GBK" w:eastAsia="方正黑体_GBK" w:cs="方正黑体_GBK"/>
          <w:bCs/>
          <w:sz w:val="28"/>
          <w:szCs w:val="28"/>
        </w:rPr>
        <w:t xml:space="preserve">质疑函范本</w:t>
      </w:r>
      <w:r/>
    </w:p>
    <w:p>
      <w:pPr>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p>
    <w:p>
      <w:pPr>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w:t>
      </w:r>
      <w:r>
        <w:rPr>
          <w:rFonts w:hint="eastAsia" w:ascii="方正仿宋_GBK" w:hAnsi="方正仿宋_GBK" w:eastAsia="方正仿宋_GBK" w:cs="方正仿宋_GBK"/>
          <w:sz w:val="28"/>
          <w:szCs w:val="28"/>
        </w:rPr>
        <w:t xml:space="preserve">(签章)</w:t>
      </w:r>
      <w:r>
        <w:rPr>
          <w:rFonts w:hint="eastAsia" w:ascii="方正仿宋_GBK" w:hAnsi="方正仿宋_GBK" w:eastAsia="方正仿宋_GBK" w:cs="方正仿宋_GBK"/>
          <w:sz w:val="28"/>
          <w:szCs w:val="28"/>
        </w:rPr>
        <w:t xml:space="preserve">：                   公章：                      </w:t>
      </w:r>
      <w:r/>
    </w:p>
    <w:p>
      <w:pP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p>
    <w:p>
      <w:pPr>
        <w:ind w:firstLine="562"/>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p>
    <w:p>
      <w:pPr>
        <w:ind w:firstLine="560"/>
        <w:jc w:val="left"/>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400" w:lineRule="exact"/>
        <w:widowControl/>
        <w:rPr>
          <w:rFonts w:hint="eastAsia" w:ascii="宋体" w:hAnsi="宋体"/>
          <w:sz w:val="28"/>
          <w:szCs w:val="28"/>
        </w:rPr>
      </w:pPr>
      <w:r>
        <w:rPr>
          <w:rFonts w:hint="eastAsia" w:ascii="宋体" w:hAnsi="宋体"/>
          <w:sz w:val="28"/>
          <w:szCs w:val="28"/>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p>
      <w:pPr>
        <w:ind w:firstLine="480"/>
        <w:jc w:val="left"/>
        <w:spacing w:line="400" w:lineRule="exact"/>
        <w:widowControl/>
        <w:rPr>
          <w:rFonts w:hint="eastAsia" w:ascii="宋体" w:hAnsi="宋体"/>
          <w:sz w:val="24"/>
          <w:szCs w:val="24"/>
        </w:rPr>
      </w:pPr>
      <w:r>
        <w:rPr>
          <w:rFonts w:hint="eastAsia" w:ascii="宋体" w:hAnsi="宋体"/>
          <w:sz w:val="24"/>
          <w:szCs w:val="24"/>
        </w:rPr>
      </w:r>
      <w:r/>
    </w:p>
    <w:sectPr>
      <w:headerReference w:type="default" r:id="rId9"/>
      <w:footerReference w:type="default" r:id="rId12"/>
      <w:footerReference w:type="even" r:id="rId13"/>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Cambria Math">
    <w:panose1 w:val="02040503050406030204"/>
  </w:font>
  <w:font w:name="方正魏碑_GBK">
    <w:panose1 w:val="020B0503020202020204"/>
  </w:font>
  <w:font w:name="方正仿宋_GB2312">
    <w:panose1 w:val="020B0503020202020204"/>
  </w:font>
  <w:font w:name="方正楷体_GBK">
    <w:panose1 w:val="020B0503020202020204"/>
  </w:font>
  <w:font w:name="仿宋">
    <w:panose1 w:val="02010609060101010101"/>
  </w:font>
  <w:font w:name="等线">
    <w:panose1 w:val="02010600030101010101"/>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w:r/>
  </w:p>
  <w:p>
    <w:pPr>
      <w:pStyle w:val="9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pPr>
                          <w:r>
                            <w:fldChar w:fldCharType="begin"/>
                          </w:r>
                          <w:r>
                            <w:instrText xml:space="preserve"> PAGE  \* MERGEFORMAT </w:instrText>
                          </w:r>
                          <w:r>
                            <w:fldChar w:fldCharType="separate"/>
                          </w:r>
                          <w:r>
                            <w:t xml:space="preserve">16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pPr>
                    <w:r>
                      <w:fldChar w:fldCharType="begin"/>
                    </w:r>
                    <w:r>
                      <w:instrText xml:space="preserve"> PAGE  \* MERGEFORMAT </w:instrText>
                    </w:r>
                    <w:r>
                      <w:fldChar w:fldCharType="separate"/>
                    </w:r>
                    <w:r>
                      <w:t xml:space="preserve">16</w:t>
                    </w:r>
                    <w:r>
                      <w:fldChar w:fldCharType="end"/>
                    </w:r>
                    <w:r/>
                  </w:p>
                  <w:p>
                    <w:r/>
                    <w:r/>
                  </w:p>
                </w:txbxContent>
              </v:textbox>
            </v:shape>
          </w:pict>
        </mc:Fallback>
      </mc:AlternateContent>
    </w:r>
    <w:r/>
  </w:p>
  <w:p>
    <w:pPr>
      <w:pStyle w:val="99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9"/>
                          </w:pPr>
                          <w:r>
                            <w:fldChar w:fldCharType="begin"/>
                          </w:r>
                          <w:r>
                            <w:instrText xml:space="preserve"> PAGE  \* MERGEFORMAT </w:instrText>
                          </w:r>
                          <w:r>
                            <w:fldChar w:fldCharType="separate"/>
                          </w:r>
                          <w:r>
                            <w:t xml:space="preserve">65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9"/>
                    </w:pPr>
                    <w:r>
                      <w:fldChar w:fldCharType="begin"/>
                    </w:r>
                    <w:r>
                      <w:instrText xml:space="preserve"> PAGE  \* MERGEFORMAT </w:instrText>
                    </w:r>
                    <w:r>
                      <w:fldChar w:fldCharType="separate"/>
                    </w:r>
                    <w:r>
                      <w:t xml:space="preserve">65</w:t>
                    </w:r>
                    <w:r>
                      <w:fldChar w:fldCharType="end"/>
                    </w:r>
                    <w:r/>
                  </w:p>
                  <w:p>
                    <w:r/>
                    <w:r/>
                  </w:p>
                </w:txbxContent>
              </v:textbox>
            </v:shape>
          </w:pict>
        </mc:Fallback>
      </mc:AlternateContent>
    </w: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19"/>
      </w:rPr>
      <w:framePr w:wrap="around" w:vAnchor="text" w:hAnchor="margin" w:xAlign="center" w:y="1"/>
    </w:pPr>
    <w:r>
      <w:fldChar w:fldCharType="begin"/>
    </w:r>
    <w:r>
      <w:rPr>
        <w:rStyle w:val="1019"/>
      </w:rPr>
      <w:instrText xml:space="preserve">PAGE  </w:instrText>
    </w:r>
    <w:r>
      <w:fldChar w:fldCharType="separate"/>
    </w:r>
    <w:r>
      <w:rPr>
        <w:rStyle w:val="1019"/>
      </w:rPr>
      <w:t xml:space="preserve">1</w:t>
    </w:r>
    <w:r>
      <w:fldChar w:fldCharType="end"/>
    </w:r>
    <w:r/>
  </w:p>
  <w:p>
    <w:pPr>
      <w:pStyle w:val="9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3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62"/>
      <w:isLgl w:val="false"/>
      <w:suff w:val="nothing"/>
      <w:lvlText w:val=""/>
      <w:lvlJc w:val="left"/>
      <w:pPr>
        <w:ind w:left="0" w:firstLine="0"/>
      </w:pPr>
      <w:rPr>
        <w:rFonts w:hint="eastAsia"/>
      </w:rPr>
    </w:lvl>
    <w:lvl w:ilvl="6">
      <w:start w:val="1"/>
      <w:numFmt w:val="decimal"/>
      <w:pStyle w:val="963"/>
      <w:isLgl w:val="false"/>
      <w:suff w:val="nothing"/>
      <w:lvlText w:val=""/>
      <w:lvlJc w:val="left"/>
      <w:pPr>
        <w:ind w:left="0" w:firstLine="0"/>
      </w:pPr>
      <w:rPr>
        <w:rFonts w:hint="eastAsia"/>
      </w:rPr>
    </w:lvl>
    <w:lvl w:ilvl="7">
      <w:start w:val="1"/>
      <w:numFmt w:val="decimal"/>
      <w:pStyle w:val="964"/>
      <w:isLgl w:val="false"/>
      <w:suff w:val="nothing"/>
      <w:lvlText w:val=""/>
      <w:lvlJc w:val="left"/>
      <w:pPr>
        <w:ind w:left="0" w:firstLine="0"/>
      </w:pPr>
      <w:rPr>
        <w:rFonts w:hint="eastAsia"/>
      </w:rPr>
    </w:lvl>
    <w:lvl w:ilvl="8">
      <w:start w:val="1"/>
      <w:numFmt w:val="decimal"/>
      <w:pStyle w:val="965"/>
      <w:isLgl w:val="false"/>
      <w:suff w:val="nothing"/>
      <w:lvlText w:val=""/>
      <w:lvlJc w:val="left"/>
      <w:pPr>
        <w:ind w:left="0" w:firstLine="0"/>
      </w:pPr>
      <w:rPr>
        <w:rFonts w:hint="eastAsia"/>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4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4"/>
  </w:num>
  <w:num w:numId="2">
    <w:abstractNumId w:val="3"/>
  </w:num>
  <w:num w:numId="3">
    <w:abstractNumId w:val="7"/>
  </w:num>
  <w:num w:numId="4">
    <w:abstractNumId w:val="2"/>
  </w:num>
  <w:num w:numId="5">
    <w:abstractNumId w:val="1"/>
  </w:num>
  <w:num w:numId="6">
    <w:abstractNumId w:val="5"/>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83"/>
    <w:link w:val="774"/>
    <w:uiPriority w:val="9"/>
    <w:rPr>
      <w:rFonts w:ascii="Arial" w:hAnsi="Arial" w:eastAsia="Arial" w:cs="Arial"/>
      <w:sz w:val="40"/>
      <w:szCs w:val="40"/>
    </w:rPr>
  </w:style>
  <w:style w:type="character" w:styleId="15">
    <w:name w:val="Heading 2 Char"/>
    <w:basedOn w:val="783"/>
    <w:link w:val="775"/>
    <w:uiPriority w:val="9"/>
    <w:rPr>
      <w:rFonts w:ascii="Arial" w:hAnsi="Arial" w:eastAsia="Arial" w:cs="Arial"/>
      <w:sz w:val="34"/>
    </w:rPr>
  </w:style>
  <w:style w:type="character" w:styleId="17">
    <w:name w:val="Heading 3 Char"/>
    <w:basedOn w:val="783"/>
    <w:link w:val="776"/>
    <w:uiPriority w:val="9"/>
    <w:rPr>
      <w:rFonts w:ascii="Arial" w:hAnsi="Arial" w:eastAsia="Arial" w:cs="Arial"/>
      <w:sz w:val="30"/>
      <w:szCs w:val="30"/>
    </w:rPr>
  </w:style>
  <w:style w:type="character" w:styleId="19">
    <w:name w:val="Heading 4 Char"/>
    <w:basedOn w:val="783"/>
    <w:link w:val="777"/>
    <w:uiPriority w:val="9"/>
    <w:rPr>
      <w:rFonts w:ascii="Arial" w:hAnsi="Arial" w:eastAsia="Arial" w:cs="Arial"/>
      <w:b/>
      <w:bCs/>
      <w:sz w:val="26"/>
      <w:szCs w:val="26"/>
    </w:rPr>
  </w:style>
  <w:style w:type="character" w:styleId="21">
    <w:name w:val="Heading 5 Char"/>
    <w:basedOn w:val="783"/>
    <w:link w:val="778"/>
    <w:uiPriority w:val="9"/>
    <w:rPr>
      <w:rFonts w:ascii="Arial" w:hAnsi="Arial" w:eastAsia="Arial" w:cs="Arial"/>
      <w:b/>
      <w:bCs/>
      <w:sz w:val="24"/>
      <w:szCs w:val="24"/>
    </w:rPr>
  </w:style>
  <w:style w:type="character" w:styleId="23">
    <w:name w:val="Heading 6 Char"/>
    <w:basedOn w:val="783"/>
    <w:link w:val="779"/>
    <w:uiPriority w:val="9"/>
    <w:rPr>
      <w:rFonts w:ascii="Arial" w:hAnsi="Arial" w:eastAsia="Arial" w:cs="Arial"/>
      <w:b/>
      <w:bCs/>
      <w:sz w:val="22"/>
      <w:szCs w:val="22"/>
    </w:rPr>
  </w:style>
  <w:style w:type="character" w:styleId="25">
    <w:name w:val="Heading 7 Char"/>
    <w:basedOn w:val="783"/>
    <w:link w:val="780"/>
    <w:uiPriority w:val="9"/>
    <w:rPr>
      <w:rFonts w:ascii="Arial" w:hAnsi="Arial" w:eastAsia="Arial" w:cs="Arial"/>
      <w:b/>
      <w:bCs/>
      <w:i/>
      <w:iCs/>
      <w:sz w:val="22"/>
      <w:szCs w:val="22"/>
    </w:rPr>
  </w:style>
  <w:style w:type="character" w:styleId="27">
    <w:name w:val="Heading 8 Char"/>
    <w:basedOn w:val="783"/>
    <w:link w:val="781"/>
    <w:uiPriority w:val="9"/>
    <w:rPr>
      <w:rFonts w:ascii="Arial" w:hAnsi="Arial" w:eastAsia="Arial" w:cs="Arial"/>
      <w:i/>
      <w:iCs/>
      <w:sz w:val="22"/>
      <w:szCs w:val="22"/>
    </w:rPr>
  </w:style>
  <w:style w:type="character" w:styleId="29">
    <w:name w:val="Heading 9 Char"/>
    <w:basedOn w:val="783"/>
    <w:link w:val="782"/>
    <w:uiPriority w:val="9"/>
    <w:rPr>
      <w:rFonts w:ascii="Arial" w:hAnsi="Arial" w:eastAsia="Arial" w:cs="Arial"/>
      <w:i/>
      <w:iCs/>
      <w:sz w:val="21"/>
      <w:szCs w:val="21"/>
    </w:rPr>
  </w:style>
  <w:style w:type="character" w:styleId="34">
    <w:name w:val="Title Char"/>
    <w:basedOn w:val="783"/>
    <w:link w:val="803"/>
    <w:uiPriority w:val="10"/>
    <w:rPr>
      <w:sz w:val="48"/>
      <w:szCs w:val="48"/>
    </w:rPr>
  </w:style>
  <w:style w:type="character" w:styleId="36">
    <w:name w:val="Subtitle Char"/>
    <w:basedOn w:val="783"/>
    <w:link w:val="797"/>
    <w:uiPriority w:val="11"/>
    <w:rPr>
      <w:sz w:val="24"/>
      <w:szCs w:val="24"/>
    </w:rPr>
  </w:style>
  <w:style w:type="character" w:styleId="38">
    <w:name w:val="Quote Char"/>
    <w:link w:val="821"/>
    <w:uiPriority w:val="29"/>
    <w:rPr>
      <w:i/>
    </w:rPr>
  </w:style>
  <w:style w:type="character" w:styleId="40">
    <w:name w:val="Intense Quote Char"/>
    <w:link w:val="823"/>
    <w:uiPriority w:val="30"/>
    <w:rPr>
      <w:i/>
    </w:rPr>
  </w:style>
  <w:style w:type="character" w:styleId="42">
    <w:name w:val="Header Char"/>
    <w:basedOn w:val="783"/>
    <w:link w:val="794"/>
    <w:uiPriority w:val="99"/>
  </w:style>
  <w:style w:type="character" w:styleId="46">
    <w:name w:val="Caption Char"/>
    <w:basedOn w:val="787"/>
    <w:link w:val="793"/>
    <w:uiPriority w:val="99"/>
  </w:style>
  <w:style w:type="table" w:styleId="49">
    <w:name w:val="Plain Table 1"/>
    <w:basedOn w:val="7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8"/>
    <w:uiPriority w:val="99"/>
    <w:rPr>
      <w:sz w:val="18"/>
    </w:rPr>
  </w:style>
  <w:style w:type="character" w:styleId="178">
    <w:name w:val="Endnote Text Char"/>
    <w:link w:val="792"/>
    <w:uiPriority w:val="99"/>
    <w:rPr>
      <w:sz w:val="20"/>
    </w:rPr>
  </w:style>
  <w:style w:type="paragraph" w:styleId="189">
    <w:name w:val="TOC Heading"/>
    <w:uiPriority w:val="39"/>
    <w:unhideWhenUsed/>
  </w:style>
  <w:style w:type="paragraph" w:styleId="773" w:default="1">
    <w:name w:val="Normal"/>
    <w:link w:val="1068"/>
    <w:qFormat/>
    <w:pPr>
      <w:jc w:val="both"/>
      <w:widowControl w:val="off"/>
    </w:pPr>
    <w:rPr>
      <w:sz w:val="21"/>
      <w:szCs w:val="22"/>
    </w:rPr>
  </w:style>
  <w:style w:type="paragraph" w:styleId="774">
    <w:name w:val="Heading 1"/>
    <w:basedOn w:val="773"/>
    <w:next w:val="773"/>
    <w:link w:val="808"/>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link w:val="809"/>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link w:val="810"/>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link w:val="811"/>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12"/>
    <w:uiPriority w:val="9"/>
    <w:unhideWhenUsed/>
    <w:qFormat/>
    <w:pPr>
      <w:keepLines/>
      <w:keepNext/>
      <w:spacing w:before="320" w:after="200"/>
      <w:outlineLvl w:val="4"/>
    </w:pPr>
    <w:rPr>
      <w:rFonts w:ascii="Arial" w:hAnsi="Arial" w:eastAsia="Arial" w:cs="Arial"/>
      <w:b/>
      <w:bCs/>
      <w:sz w:val="24"/>
      <w:szCs w:val="24"/>
    </w:rPr>
  </w:style>
  <w:style w:type="paragraph" w:styleId="779">
    <w:name w:val="Heading 6"/>
    <w:basedOn w:val="773"/>
    <w:next w:val="773"/>
    <w:link w:val="813"/>
    <w:uiPriority w:val="9"/>
    <w:unhideWhenUsed/>
    <w:qFormat/>
    <w:pPr>
      <w:keepLines/>
      <w:keepNext/>
      <w:spacing w:before="320" w:after="200"/>
      <w:outlineLvl w:val="5"/>
    </w:pPr>
    <w:rPr>
      <w:rFonts w:ascii="Arial" w:hAnsi="Arial" w:eastAsia="Arial" w:cs="Arial"/>
      <w:b/>
      <w:bCs/>
      <w:sz w:val="22"/>
    </w:rPr>
  </w:style>
  <w:style w:type="paragraph" w:styleId="780">
    <w:name w:val="Heading 7"/>
    <w:basedOn w:val="773"/>
    <w:next w:val="773"/>
    <w:link w:val="814"/>
    <w:uiPriority w:val="9"/>
    <w:unhideWhenUsed/>
    <w:qFormat/>
    <w:pPr>
      <w:keepLines/>
      <w:keepNext/>
      <w:spacing w:before="320" w:after="200"/>
      <w:outlineLvl w:val="6"/>
    </w:pPr>
    <w:rPr>
      <w:rFonts w:ascii="Arial" w:hAnsi="Arial" w:eastAsia="Arial" w:cs="Arial"/>
      <w:b/>
      <w:bCs/>
      <w:i/>
      <w:iCs/>
      <w:sz w:val="22"/>
    </w:rPr>
  </w:style>
  <w:style w:type="paragraph" w:styleId="781">
    <w:name w:val="Heading 8"/>
    <w:basedOn w:val="773"/>
    <w:next w:val="773"/>
    <w:link w:val="815"/>
    <w:uiPriority w:val="9"/>
    <w:unhideWhenUsed/>
    <w:qFormat/>
    <w:pPr>
      <w:keepLines/>
      <w:keepNext/>
      <w:spacing w:before="320" w:after="200"/>
      <w:outlineLvl w:val="7"/>
    </w:pPr>
    <w:rPr>
      <w:rFonts w:ascii="Arial" w:hAnsi="Arial" w:eastAsia="Arial" w:cs="Arial"/>
      <w:i/>
      <w:iCs/>
      <w:sz w:val="22"/>
    </w:rPr>
  </w:style>
  <w:style w:type="paragraph" w:styleId="782">
    <w:name w:val="Heading 9"/>
    <w:basedOn w:val="773"/>
    <w:next w:val="773"/>
    <w:link w:val="816"/>
    <w:uiPriority w:val="9"/>
    <w:unhideWhenUsed/>
    <w:qFormat/>
    <w:pPr>
      <w:keepLines/>
      <w:keepNext/>
      <w:spacing w:before="320" w:after="200"/>
      <w:outlineLvl w:val="8"/>
    </w:pPr>
    <w:rPr>
      <w:rFonts w:ascii="Arial" w:hAnsi="Arial" w:eastAsia="Arial" w:cs="Arial"/>
      <w:i/>
      <w:iCs/>
      <w:szCs w:val="21"/>
    </w:rPr>
  </w:style>
  <w:style w:type="character" w:styleId="783" w:default="1">
    <w:name w:val="Default Paragraph Font"/>
    <w:uiPriority w:val="1"/>
    <w:semiHidden/>
    <w:unhideWhenUsed/>
  </w:style>
  <w:style w:type="table" w:styleId="784" w:default="1">
    <w:name w:val="Normal Table"/>
    <w:uiPriority w:val="99"/>
    <w:semiHidden/>
    <w:unhideWhenUsed/>
    <w:tblPr>
      <w:tblInd w:w="0" w:type="dxa"/>
      <w:tblCellMar>
        <w:left w:w="108" w:type="dxa"/>
        <w:top w:w="0" w:type="dxa"/>
        <w:right w:w="108" w:type="dxa"/>
        <w:bottom w:w="0" w:type="dxa"/>
      </w:tblCellMar>
    </w:tblPr>
  </w:style>
  <w:style w:type="numbering" w:styleId="785" w:default="1">
    <w:name w:val="No List"/>
    <w:uiPriority w:val="99"/>
    <w:semiHidden/>
    <w:unhideWhenUsed/>
  </w:style>
  <w:style w:type="paragraph" w:styleId="786">
    <w:name w:val="toc 7"/>
    <w:basedOn w:val="773"/>
    <w:next w:val="773"/>
    <w:semiHidden/>
    <w:qFormat/>
    <w:pPr>
      <w:ind w:left="1260"/>
      <w:jc w:val="left"/>
    </w:pPr>
    <w:rPr>
      <w:szCs w:val="21"/>
    </w:rPr>
  </w:style>
  <w:style w:type="paragraph" w:styleId="787">
    <w:name w:val="Caption"/>
    <w:basedOn w:val="773"/>
    <w:next w:val="773"/>
    <w:uiPriority w:val="35"/>
    <w:semiHidden/>
    <w:unhideWhenUsed/>
    <w:qFormat/>
    <w:pPr>
      <w:spacing w:line="276" w:lineRule="auto"/>
    </w:pPr>
    <w:rPr>
      <w:b/>
      <w:bCs/>
      <w:color w:val="4f81bd" w:themeColor="accent1"/>
      <w:sz w:val="18"/>
      <w:szCs w:val="18"/>
    </w:rPr>
  </w:style>
  <w:style w:type="paragraph" w:styleId="788">
    <w:name w:val="annotation text"/>
    <w:basedOn w:val="773"/>
    <w:uiPriority w:val="99"/>
    <w:semiHidden/>
    <w:unhideWhenUsed/>
    <w:qFormat/>
    <w:pPr>
      <w:jc w:val="left"/>
    </w:pPr>
  </w:style>
  <w:style w:type="paragraph" w:styleId="789">
    <w:name w:val="toc 5"/>
    <w:basedOn w:val="773"/>
    <w:next w:val="773"/>
    <w:semiHidden/>
    <w:qFormat/>
    <w:pPr>
      <w:ind w:left="840"/>
      <w:jc w:val="left"/>
    </w:pPr>
    <w:rPr>
      <w:szCs w:val="21"/>
    </w:rPr>
  </w:style>
  <w:style w:type="paragraph" w:styleId="790">
    <w:name w:val="toc 3"/>
    <w:basedOn w:val="773"/>
    <w:next w:val="773"/>
    <w:semiHidden/>
    <w:qFormat/>
    <w:pPr>
      <w:ind w:left="420"/>
      <w:jc w:val="left"/>
    </w:pPr>
    <w:rPr>
      <w:i/>
      <w:iCs/>
      <w:szCs w:val="24"/>
    </w:rPr>
  </w:style>
  <w:style w:type="paragraph" w:styleId="791">
    <w:name w:val="toc 8"/>
    <w:basedOn w:val="773"/>
    <w:next w:val="773"/>
    <w:semiHidden/>
    <w:qFormat/>
    <w:pPr>
      <w:ind w:left="1470"/>
      <w:jc w:val="left"/>
    </w:pPr>
    <w:rPr>
      <w:szCs w:val="21"/>
    </w:rPr>
  </w:style>
  <w:style w:type="paragraph" w:styleId="792">
    <w:name w:val="endnote text"/>
    <w:basedOn w:val="773"/>
    <w:link w:val="954"/>
    <w:uiPriority w:val="99"/>
    <w:semiHidden/>
    <w:unhideWhenUsed/>
    <w:qFormat/>
    <w:rPr>
      <w:sz w:val="20"/>
    </w:rPr>
  </w:style>
  <w:style w:type="paragraph" w:styleId="793">
    <w:name w:val="Footer"/>
    <w:basedOn w:val="773"/>
    <w:link w:val="827"/>
    <w:uiPriority w:val="99"/>
    <w:unhideWhenUsed/>
    <w:qFormat/>
    <w:pPr>
      <w:tabs>
        <w:tab w:val="center" w:pos="7143" w:leader="none"/>
        <w:tab w:val="right" w:pos="14287" w:leader="none"/>
      </w:tabs>
    </w:pPr>
  </w:style>
  <w:style w:type="paragraph" w:styleId="794">
    <w:name w:val="Header"/>
    <w:basedOn w:val="773"/>
    <w:link w:val="825"/>
    <w:uiPriority w:val="99"/>
    <w:unhideWhenUsed/>
    <w:qFormat/>
    <w:pPr>
      <w:tabs>
        <w:tab w:val="center" w:pos="7143" w:leader="none"/>
        <w:tab w:val="right" w:pos="14287" w:leader="none"/>
      </w:tabs>
    </w:pPr>
  </w:style>
  <w:style w:type="paragraph" w:styleId="795">
    <w:name w:val="toc 1"/>
    <w:basedOn w:val="773"/>
    <w:next w:val="773"/>
    <w:uiPriority w:val="39"/>
    <w:qFormat/>
    <w:pPr>
      <w:jc w:val="left"/>
      <w:spacing w:before="120" w:after="120" w:line="400" w:lineRule="exact"/>
      <w:tabs>
        <w:tab w:val="right" w:pos="8720" w:leader="dot"/>
      </w:tabs>
    </w:pPr>
    <w:rPr>
      <w:rFonts w:ascii="宋体" w:hAnsi="宋体"/>
      <w:caps/>
      <w:sz w:val="24"/>
      <w:szCs w:val="24"/>
    </w:rPr>
  </w:style>
  <w:style w:type="paragraph" w:styleId="796">
    <w:name w:val="toc 4"/>
    <w:basedOn w:val="773"/>
    <w:next w:val="773"/>
    <w:semiHidden/>
    <w:qFormat/>
    <w:pPr>
      <w:ind w:left="630"/>
      <w:jc w:val="left"/>
    </w:pPr>
    <w:rPr>
      <w:szCs w:val="21"/>
    </w:rPr>
  </w:style>
  <w:style w:type="paragraph" w:styleId="797">
    <w:name w:val="Subtitle"/>
    <w:basedOn w:val="773"/>
    <w:next w:val="773"/>
    <w:link w:val="820"/>
    <w:uiPriority w:val="11"/>
    <w:qFormat/>
    <w:pPr>
      <w:spacing w:before="200" w:after="200"/>
    </w:pPr>
    <w:rPr>
      <w:sz w:val="24"/>
      <w:szCs w:val="24"/>
    </w:rPr>
  </w:style>
  <w:style w:type="paragraph" w:styleId="798">
    <w:name w:val="footnote text"/>
    <w:basedOn w:val="773"/>
    <w:link w:val="953"/>
    <w:uiPriority w:val="99"/>
    <w:semiHidden/>
    <w:unhideWhenUsed/>
    <w:qFormat/>
    <w:pPr>
      <w:spacing w:after="40"/>
    </w:pPr>
    <w:rPr>
      <w:sz w:val="18"/>
    </w:rPr>
  </w:style>
  <w:style w:type="paragraph" w:styleId="799">
    <w:name w:val="toc 6"/>
    <w:basedOn w:val="773"/>
    <w:next w:val="773"/>
    <w:semiHidden/>
    <w:qFormat/>
    <w:pPr>
      <w:ind w:left="1050"/>
      <w:jc w:val="left"/>
    </w:pPr>
    <w:rPr>
      <w:szCs w:val="21"/>
    </w:rPr>
  </w:style>
  <w:style w:type="paragraph" w:styleId="800">
    <w:name w:val="table of figures"/>
    <w:basedOn w:val="773"/>
    <w:next w:val="773"/>
    <w:uiPriority w:val="99"/>
    <w:unhideWhenUsed/>
    <w:qFormat/>
  </w:style>
  <w:style w:type="paragraph" w:styleId="801">
    <w:name w:val="toc 2"/>
    <w:basedOn w:val="773"/>
    <w:next w:val="773"/>
    <w:semiHidden/>
    <w:qFormat/>
    <w:pPr>
      <w:ind w:left="210"/>
      <w:jc w:val="left"/>
    </w:pPr>
    <w:rPr>
      <w:smallCaps/>
      <w:szCs w:val="24"/>
    </w:rPr>
  </w:style>
  <w:style w:type="paragraph" w:styleId="802">
    <w:name w:val="toc 9"/>
    <w:basedOn w:val="773"/>
    <w:next w:val="773"/>
    <w:semiHidden/>
    <w:qFormat/>
    <w:pPr>
      <w:ind w:left="1680"/>
      <w:jc w:val="left"/>
    </w:pPr>
    <w:rPr>
      <w:szCs w:val="21"/>
    </w:rPr>
  </w:style>
  <w:style w:type="paragraph" w:styleId="803">
    <w:name w:val="Title"/>
    <w:basedOn w:val="773"/>
    <w:next w:val="773"/>
    <w:link w:val="819"/>
    <w:uiPriority w:val="10"/>
    <w:qFormat/>
    <w:pPr>
      <w:contextualSpacing/>
      <w:spacing w:before="300" w:after="200"/>
    </w:pPr>
    <w:rPr>
      <w:sz w:val="48"/>
      <w:szCs w:val="48"/>
    </w:rPr>
  </w:style>
  <w:style w:type="table" w:styleId="8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endnote reference"/>
    <w:uiPriority w:val="99"/>
    <w:semiHidden/>
    <w:unhideWhenUsed/>
    <w:qFormat/>
    <w:rPr>
      <w:vertAlign w:val="superscript"/>
    </w:rPr>
  </w:style>
  <w:style w:type="character" w:styleId="806">
    <w:name w:val="Hyperlink"/>
    <w:uiPriority w:val="99"/>
    <w:unhideWhenUsed/>
    <w:qFormat/>
    <w:rPr>
      <w:color w:val="0000ff" w:themeColor="hyperlink"/>
      <w:u w:val="single"/>
    </w:rPr>
  </w:style>
  <w:style w:type="character" w:styleId="807">
    <w:name w:val="footnote reference"/>
    <w:uiPriority w:val="99"/>
    <w:unhideWhenUsed/>
    <w:qFormat/>
    <w:rPr>
      <w:vertAlign w:val="superscript"/>
    </w:rPr>
  </w:style>
  <w:style w:type="character" w:styleId="808" w:customStyle="1">
    <w:name w:val="标题 1 字符1"/>
    <w:link w:val="774"/>
    <w:uiPriority w:val="9"/>
    <w:qFormat/>
    <w:rPr>
      <w:rFonts w:ascii="Arial" w:hAnsi="Arial" w:eastAsia="Arial" w:cs="Arial"/>
      <w:sz w:val="40"/>
      <w:szCs w:val="40"/>
    </w:rPr>
  </w:style>
  <w:style w:type="character" w:styleId="809" w:customStyle="1">
    <w:name w:val="标题 2 字符1"/>
    <w:link w:val="775"/>
    <w:uiPriority w:val="9"/>
    <w:qFormat/>
    <w:rPr>
      <w:rFonts w:ascii="Arial" w:hAnsi="Arial" w:eastAsia="Arial" w:cs="Arial"/>
      <w:sz w:val="34"/>
    </w:rPr>
  </w:style>
  <w:style w:type="character" w:styleId="810" w:customStyle="1">
    <w:name w:val="标题 3 字符1"/>
    <w:link w:val="776"/>
    <w:uiPriority w:val="9"/>
    <w:qFormat/>
    <w:rPr>
      <w:rFonts w:ascii="Arial" w:hAnsi="Arial" w:eastAsia="Arial" w:cs="Arial"/>
      <w:sz w:val="30"/>
      <w:szCs w:val="30"/>
    </w:rPr>
  </w:style>
  <w:style w:type="character" w:styleId="811" w:customStyle="1">
    <w:name w:val="标题 4 字符1"/>
    <w:link w:val="777"/>
    <w:uiPriority w:val="9"/>
    <w:qFormat/>
    <w:rPr>
      <w:rFonts w:ascii="Arial" w:hAnsi="Arial" w:eastAsia="Arial" w:cs="Arial"/>
      <w:b/>
      <w:bCs/>
      <w:sz w:val="26"/>
      <w:szCs w:val="26"/>
    </w:rPr>
  </w:style>
  <w:style w:type="character" w:styleId="812" w:customStyle="1">
    <w:name w:val="标题 5 字符1"/>
    <w:link w:val="778"/>
    <w:uiPriority w:val="9"/>
    <w:qFormat/>
    <w:rPr>
      <w:rFonts w:ascii="Arial" w:hAnsi="Arial" w:eastAsia="Arial" w:cs="Arial"/>
      <w:b/>
      <w:bCs/>
      <w:sz w:val="24"/>
      <w:szCs w:val="24"/>
    </w:rPr>
  </w:style>
  <w:style w:type="character" w:styleId="813" w:customStyle="1">
    <w:name w:val="标题 6 字符1"/>
    <w:link w:val="779"/>
    <w:uiPriority w:val="9"/>
    <w:qFormat/>
    <w:rPr>
      <w:rFonts w:ascii="Arial" w:hAnsi="Arial" w:eastAsia="Arial" w:cs="Arial"/>
      <w:b/>
      <w:bCs/>
      <w:sz w:val="22"/>
      <w:szCs w:val="22"/>
    </w:rPr>
  </w:style>
  <w:style w:type="character" w:styleId="814" w:customStyle="1">
    <w:name w:val="标题 7 字符1"/>
    <w:link w:val="780"/>
    <w:uiPriority w:val="9"/>
    <w:qFormat/>
    <w:rPr>
      <w:rFonts w:ascii="Arial" w:hAnsi="Arial" w:eastAsia="Arial" w:cs="Arial"/>
      <w:b/>
      <w:bCs/>
      <w:i/>
      <w:iCs/>
      <w:sz w:val="22"/>
      <w:szCs w:val="22"/>
    </w:rPr>
  </w:style>
  <w:style w:type="character" w:styleId="815" w:customStyle="1">
    <w:name w:val="标题 8 字符1"/>
    <w:link w:val="781"/>
    <w:uiPriority w:val="9"/>
    <w:qFormat/>
    <w:rPr>
      <w:rFonts w:ascii="Arial" w:hAnsi="Arial" w:eastAsia="Arial" w:cs="Arial"/>
      <w:i/>
      <w:iCs/>
      <w:sz w:val="22"/>
      <w:szCs w:val="22"/>
    </w:rPr>
  </w:style>
  <w:style w:type="character" w:styleId="816" w:customStyle="1">
    <w:name w:val="标题 9 字符1"/>
    <w:link w:val="782"/>
    <w:uiPriority w:val="9"/>
    <w:qFormat/>
    <w:rPr>
      <w:rFonts w:ascii="Arial" w:hAnsi="Arial" w:eastAsia="Arial" w:cs="Arial"/>
      <w:i/>
      <w:iCs/>
      <w:sz w:val="21"/>
      <w:szCs w:val="21"/>
    </w:rPr>
  </w:style>
  <w:style w:type="paragraph" w:styleId="817">
    <w:name w:val="List Paragraph"/>
    <w:basedOn w:val="773"/>
    <w:uiPriority w:val="34"/>
    <w:qFormat/>
    <w:pPr>
      <w:contextualSpacing/>
      <w:ind w:left="720"/>
    </w:pPr>
  </w:style>
  <w:style w:type="paragraph" w:styleId="818">
    <w:name w:val="No Spacing"/>
    <w:uiPriority w:val="1"/>
    <w:qFormat/>
  </w:style>
  <w:style w:type="character" w:styleId="819" w:customStyle="1">
    <w:name w:val="标题 字符"/>
    <w:link w:val="803"/>
    <w:uiPriority w:val="10"/>
    <w:qFormat/>
    <w:rPr>
      <w:sz w:val="48"/>
      <w:szCs w:val="48"/>
    </w:rPr>
  </w:style>
  <w:style w:type="character" w:styleId="820" w:customStyle="1">
    <w:name w:val="副标题 字符"/>
    <w:link w:val="797"/>
    <w:uiPriority w:val="11"/>
    <w:qFormat/>
    <w:rPr>
      <w:sz w:val="24"/>
      <w:szCs w:val="24"/>
    </w:rPr>
  </w:style>
  <w:style w:type="paragraph" w:styleId="821">
    <w:name w:val="Quote"/>
    <w:basedOn w:val="773"/>
    <w:next w:val="773"/>
    <w:link w:val="822"/>
    <w:uiPriority w:val="29"/>
    <w:qFormat/>
    <w:pPr>
      <w:ind w:left="720" w:right="720"/>
    </w:pPr>
    <w:rPr>
      <w:i/>
    </w:rPr>
  </w:style>
  <w:style w:type="character" w:styleId="822" w:customStyle="1">
    <w:name w:val="引用 字符"/>
    <w:link w:val="821"/>
    <w:uiPriority w:val="29"/>
    <w:qFormat/>
    <w:rPr>
      <w:i/>
    </w:rPr>
  </w:style>
  <w:style w:type="paragraph" w:styleId="823">
    <w:name w:val="Intense Quote"/>
    <w:basedOn w:val="773"/>
    <w:next w:val="773"/>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字符"/>
    <w:link w:val="823"/>
    <w:uiPriority w:val="30"/>
    <w:qFormat/>
    <w:rPr>
      <w:i/>
    </w:rPr>
  </w:style>
  <w:style w:type="character" w:styleId="825" w:customStyle="1">
    <w:name w:val="页眉 字符1"/>
    <w:link w:val="794"/>
    <w:uiPriority w:val="99"/>
    <w:qFormat/>
  </w:style>
  <w:style w:type="character" w:styleId="826" w:customStyle="1">
    <w:name w:val="Footer Char"/>
    <w:uiPriority w:val="99"/>
    <w:qFormat/>
  </w:style>
  <w:style w:type="character" w:styleId="827" w:customStyle="1">
    <w:name w:val="页脚 字符1"/>
    <w:link w:val="793"/>
    <w:uiPriority w:val="99"/>
    <w:qFormat/>
  </w:style>
  <w:style w:type="table" w:styleId="82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2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5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5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5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7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7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7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7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7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9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0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0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2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2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2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2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2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2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3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3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3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4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4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4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4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5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3" w:customStyle="1">
    <w:name w:val="脚注文本 字符"/>
    <w:link w:val="798"/>
    <w:uiPriority w:val="99"/>
    <w:qFormat/>
    <w:rPr>
      <w:sz w:val="18"/>
    </w:rPr>
  </w:style>
  <w:style w:type="character" w:styleId="954" w:customStyle="1">
    <w:name w:val="尾注文本 字符"/>
    <w:link w:val="792"/>
    <w:uiPriority w:val="99"/>
    <w:qFormat/>
    <w:rPr>
      <w:sz w:val="20"/>
    </w:rPr>
  </w:style>
  <w:style w:type="paragraph" w:styleId="955" w:customStyle="1">
    <w:name w:val="TOC 标题1"/>
    <w:uiPriority w:val="39"/>
    <w:unhideWhenUsed/>
    <w:qFormat/>
  </w:style>
  <w:style w:type="paragraph" w:styleId="956" w:customStyle="1">
    <w:name w:val="标题 11"/>
    <w:basedOn w:val="773"/>
    <w:next w:val="773"/>
    <w:link w:val="968"/>
    <w:qFormat/>
    <w:pPr>
      <w:jc w:val="center"/>
      <w:keepNext/>
      <w:outlineLvl w:val="0"/>
    </w:pPr>
    <w:rPr>
      <w:rFonts w:ascii="楷体_GB2312" w:eastAsia="楷体_GB2312"/>
      <w:sz w:val="28"/>
      <w:szCs w:val="28"/>
    </w:rPr>
  </w:style>
  <w:style w:type="paragraph" w:styleId="957" w:customStyle="1">
    <w:name w:val="标题 21"/>
    <w:basedOn w:val="773"/>
    <w:next w:val="958"/>
    <w:link w:val="969"/>
    <w:qFormat/>
    <w:pPr>
      <w:jc w:val="center"/>
      <w:keepLines/>
      <w:keepNext/>
      <w:spacing w:before="260" w:after="260" w:line="416" w:lineRule="auto"/>
      <w:outlineLvl w:val="1"/>
    </w:pPr>
    <w:rPr>
      <w:rFonts w:ascii="Arial" w:hAnsi="Arial" w:eastAsia="幼圆" w:cs="Arial"/>
      <w:b/>
      <w:bCs/>
      <w:sz w:val="44"/>
      <w:szCs w:val="44"/>
    </w:rPr>
  </w:style>
  <w:style w:type="paragraph" w:styleId="958" w:customStyle="1">
    <w:name w:val="正文缩进1"/>
    <w:basedOn w:val="773"/>
    <w:link w:val="970"/>
    <w:qFormat/>
    <w:pPr>
      <w:ind w:firstLine="420"/>
    </w:pPr>
    <w:rPr>
      <w:szCs w:val="21"/>
    </w:rPr>
  </w:style>
  <w:style w:type="paragraph" w:styleId="959" w:customStyle="1">
    <w:name w:val="标题 31"/>
    <w:basedOn w:val="773"/>
    <w:next w:val="958"/>
    <w:link w:val="971"/>
    <w:qFormat/>
    <w:pPr>
      <w:keepLines/>
      <w:keepNext/>
      <w:spacing w:before="260" w:after="260" w:line="416" w:lineRule="auto"/>
      <w:outlineLvl w:val="2"/>
    </w:pPr>
    <w:rPr>
      <w:b/>
      <w:bCs/>
      <w:sz w:val="32"/>
      <w:szCs w:val="32"/>
    </w:rPr>
  </w:style>
  <w:style w:type="paragraph" w:styleId="960" w:customStyle="1">
    <w:name w:val="标题 41"/>
    <w:basedOn w:val="773"/>
    <w:next w:val="958"/>
    <w:link w:val="972"/>
    <w:qFormat/>
    <w:pPr>
      <w:keepLines/>
      <w:keepNext/>
      <w:spacing w:before="280" w:after="290" w:line="376" w:lineRule="auto"/>
      <w:outlineLvl w:val="3"/>
    </w:pPr>
    <w:rPr>
      <w:rFonts w:ascii="Arial" w:hAnsi="Arial" w:eastAsia="黑体" w:cs="Arial"/>
      <w:b/>
      <w:bCs/>
      <w:sz w:val="28"/>
      <w:szCs w:val="28"/>
    </w:rPr>
  </w:style>
  <w:style w:type="paragraph" w:styleId="961" w:customStyle="1">
    <w:name w:val="标题 51"/>
    <w:basedOn w:val="773"/>
    <w:next w:val="958"/>
    <w:link w:val="973"/>
    <w:qFormat/>
    <w:pPr>
      <w:keepNext/>
      <w:outlineLvl w:val="4"/>
    </w:pPr>
    <w:rPr>
      <w:rFonts w:ascii="宋体"/>
      <w:color w:val="000000"/>
      <w:sz w:val="28"/>
      <w:szCs w:val="28"/>
    </w:rPr>
  </w:style>
  <w:style w:type="paragraph" w:styleId="962" w:customStyle="1">
    <w:name w:val="标题 61"/>
    <w:basedOn w:val="773"/>
    <w:next w:val="773"/>
    <w:link w:val="974"/>
    <w:qFormat/>
    <w:pPr>
      <w:numPr>
        <w:ilvl w:val="5"/>
        <w:numId w:val="1"/>
      </w:numPr>
      <w:keepLines/>
      <w:keepNext/>
      <w:spacing w:before="240" w:after="64" w:line="320" w:lineRule="auto"/>
      <w:outlineLvl w:val="5"/>
    </w:pPr>
    <w:rPr>
      <w:rFonts w:ascii="Arial" w:hAnsi="Arial" w:eastAsia="黑体"/>
      <w:b/>
      <w:bCs/>
      <w:sz w:val="24"/>
      <w:szCs w:val="24"/>
    </w:rPr>
  </w:style>
  <w:style w:type="paragraph" w:styleId="963" w:customStyle="1">
    <w:name w:val="标题 71"/>
    <w:basedOn w:val="773"/>
    <w:next w:val="773"/>
    <w:link w:val="975"/>
    <w:qFormat/>
    <w:pPr>
      <w:numPr>
        <w:ilvl w:val="6"/>
        <w:numId w:val="1"/>
      </w:numPr>
      <w:keepLines/>
      <w:keepNext/>
      <w:spacing w:before="240" w:after="64" w:line="320" w:lineRule="auto"/>
      <w:outlineLvl w:val="6"/>
    </w:pPr>
    <w:rPr>
      <w:b/>
      <w:bCs/>
      <w:sz w:val="24"/>
      <w:szCs w:val="24"/>
    </w:rPr>
  </w:style>
  <w:style w:type="paragraph" w:styleId="964" w:customStyle="1">
    <w:name w:val="标题 81"/>
    <w:basedOn w:val="773"/>
    <w:next w:val="773"/>
    <w:link w:val="976"/>
    <w:qFormat/>
    <w:pPr>
      <w:numPr>
        <w:ilvl w:val="7"/>
        <w:numId w:val="1"/>
      </w:numPr>
      <w:keepLines/>
      <w:keepNext/>
      <w:spacing w:before="240" w:after="64" w:line="320" w:lineRule="auto"/>
      <w:outlineLvl w:val="7"/>
    </w:pPr>
    <w:rPr>
      <w:rFonts w:ascii="Arial" w:hAnsi="Arial" w:eastAsia="黑体"/>
      <w:sz w:val="24"/>
      <w:szCs w:val="24"/>
    </w:rPr>
  </w:style>
  <w:style w:type="paragraph" w:styleId="965" w:customStyle="1">
    <w:name w:val="标题 91"/>
    <w:basedOn w:val="773"/>
    <w:next w:val="773"/>
    <w:link w:val="977"/>
    <w:qFormat/>
    <w:pPr>
      <w:numPr>
        <w:ilvl w:val="8"/>
        <w:numId w:val="1"/>
      </w:numPr>
      <w:keepLines/>
      <w:keepNext/>
      <w:spacing w:before="240" w:after="64" w:line="320" w:lineRule="auto"/>
      <w:outlineLvl w:val="8"/>
    </w:pPr>
    <w:rPr>
      <w:rFonts w:ascii="Arial" w:hAnsi="Arial" w:eastAsia="黑体"/>
      <w:szCs w:val="21"/>
    </w:rPr>
  </w:style>
  <w:style w:type="character" w:styleId="966" w:customStyle="1">
    <w:name w:val="默认段落字体1"/>
    <w:uiPriority w:val="1"/>
    <w:unhideWhenUsed/>
    <w:qFormat/>
  </w:style>
  <w:style w:type="table" w:styleId="967" w:customStyle="1">
    <w:name w:val="普通表格11"/>
    <w:uiPriority w:val="99"/>
    <w:unhideWhenUsed/>
    <w:qFormat/>
    <w:tblPr>
      <w:tblCellMar>
        <w:left w:w="0" w:type="dxa"/>
        <w:top w:w="0" w:type="dxa"/>
        <w:right w:w="0" w:type="dxa"/>
        <w:bottom w:w="0" w:type="dxa"/>
      </w:tblCellMar>
    </w:tblPr>
  </w:style>
  <w:style w:type="character" w:styleId="968" w:customStyle="1">
    <w:name w:val="标题 1 字符"/>
    <w:link w:val="956"/>
    <w:qFormat/>
    <w:rPr>
      <w:rFonts w:ascii="楷体_GB2312" w:hAnsi="Times New Roman" w:eastAsia="楷体_GB2312" w:cs="Times New Roman"/>
      <w:sz w:val="28"/>
      <w:szCs w:val="28"/>
    </w:rPr>
  </w:style>
  <w:style w:type="character" w:styleId="969" w:customStyle="1">
    <w:name w:val="标题 2 字符"/>
    <w:link w:val="957"/>
    <w:qFormat/>
    <w:rPr>
      <w:rFonts w:ascii="Arial" w:hAnsi="Arial" w:eastAsia="幼圆" w:cs="Arial"/>
      <w:b/>
      <w:bCs/>
      <w:sz w:val="44"/>
      <w:szCs w:val="44"/>
    </w:rPr>
  </w:style>
  <w:style w:type="character" w:styleId="970" w:customStyle="1">
    <w:name w:val="正文缩进 字符"/>
    <w:link w:val="958"/>
    <w:qFormat/>
    <w:rPr>
      <w:szCs w:val="21"/>
    </w:rPr>
  </w:style>
  <w:style w:type="character" w:styleId="971" w:customStyle="1">
    <w:name w:val="标题 3 字符"/>
    <w:link w:val="959"/>
    <w:qFormat/>
    <w:rPr>
      <w:rFonts w:ascii="Times New Roman" w:hAnsi="Times New Roman" w:eastAsia="宋体" w:cs="Times New Roman"/>
      <w:b/>
      <w:bCs/>
      <w:sz w:val="32"/>
      <w:szCs w:val="32"/>
    </w:rPr>
  </w:style>
  <w:style w:type="character" w:styleId="972" w:customStyle="1">
    <w:name w:val="标题 4 字符"/>
    <w:link w:val="960"/>
    <w:qFormat/>
    <w:rPr>
      <w:rFonts w:ascii="Arial" w:hAnsi="Arial" w:eastAsia="黑体" w:cs="Arial"/>
      <w:b/>
      <w:bCs/>
      <w:sz w:val="28"/>
      <w:szCs w:val="28"/>
    </w:rPr>
  </w:style>
  <w:style w:type="character" w:styleId="973" w:customStyle="1">
    <w:name w:val="标题 5 字符"/>
    <w:link w:val="961"/>
    <w:qFormat/>
    <w:rPr>
      <w:rFonts w:ascii="宋体" w:hAnsi="Times New Roman" w:eastAsia="宋体" w:cs="Times New Roman"/>
      <w:color w:val="000000"/>
      <w:sz w:val="28"/>
      <w:szCs w:val="28"/>
    </w:rPr>
  </w:style>
  <w:style w:type="character" w:styleId="974" w:customStyle="1">
    <w:name w:val="标题 6 字符"/>
    <w:link w:val="962"/>
    <w:qFormat/>
    <w:rPr>
      <w:rFonts w:ascii="Arial" w:hAnsi="Arial" w:eastAsia="黑体" w:cs="Times New Roman"/>
      <w:b/>
      <w:bCs/>
      <w:sz w:val="24"/>
      <w:szCs w:val="24"/>
    </w:rPr>
  </w:style>
  <w:style w:type="character" w:styleId="975" w:customStyle="1">
    <w:name w:val="标题 7 字符"/>
    <w:link w:val="963"/>
    <w:qFormat/>
    <w:rPr>
      <w:rFonts w:ascii="Times New Roman" w:hAnsi="Times New Roman" w:eastAsia="宋体" w:cs="Times New Roman"/>
      <w:b/>
      <w:bCs/>
      <w:sz w:val="24"/>
      <w:szCs w:val="24"/>
    </w:rPr>
  </w:style>
  <w:style w:type="character" w:styleId="976" w:customStyle="1">
    <w:name w:val="标题 8 字符"/>
    <w:link w:val="964"/>
    <w:qFormat/>
    <w:rPr>
      <w:rFonts w:ascii="Arial" w:hAnsi="Arial" w:eastAsia="黑体" w:cs="Times New Roman"/>
      <w:sz w:val="24"/>
      <w:szCs w:val="24"/>
    </w:rPr>
  </w:style>
  <w:style w:type="character" w:styleId="977" w:customStyle="1">
    <w:name w:val="标题 9 字符"/>
    <w:link w:val="965"/>
    <w:qFormat/>
    <w:rPr>
      <w:rFonts w:ascii="Arial" w:hAnsi="Arial" w:eastAsia="黑体" w:cs="Times New Roman"/>
      <w:szCs w:val="21"/>
    </w:rPr>
  </w:style>
  <w:style w:type="paragraph" w:styleId="978" w:customStyle="1">
    <w:name w:val="列表 31"/>
    <w:basedOn w:val="773"/>
    <w:qFormat/>
    <w:pPr>
      <w:ind w:left="100" w:hanging="200"/>
    </w:pPr>
    <w:rPr>
      <w:szCs w:val="21"/>
    </w:rPr>
  </w:style>
  <w:style w:type="paragraph" w:styleId="979" w:customStyle="1">
    <w:name w:val="文档结构图1"/>
    <w:basedOn w:val="773"/>
    <w:link w:val="980"/>
    <w:semiHidden/>
    <w:qFormat/>
    <w:pPr>
      <w:shd w:val="clear" w:color="auto" w:fill="000080"/>
    </w:pPr>
    <w:rPr>
      <w:szCs w:val="21"/>
    </w:rPr>
  </w:style>
  <w:style w:type="character" w:styleId="980" w:customStyle="1">
    <w:name w:val="文档结构图 字符"/>
    <w:link w:val="979"/>
    <w:semiHidden/>
    <w:qFormat/>
    <w:rPr>
      <w:rFonts w:ascii="Times New Roman" w:hAnsi="Times New Roman" w:eastAsia="宋体" w:cs="Times New Roman"/>
      <w:szCs w:val="21"/>
      <w:shd w:val="clear" w:color="auto" w:fill="000080"/>
    </w:rPr>
  </w:style>
  <w:style w:type="paragraph" w:styleId="981" w:customStyle="1">
    <w:name w:val="批注文字1"/>
    <w:basedOn w:val="773"/>
    <w:link w:val="982"/>
    <w:unhideWhenUsed/>
    <w:qFormat/>
    <w:pPr>
      <w:jc w:val="left"/>
    </w:pPr>
  </w:style>
  <w:style w:type="character" w:styleId="982" w:customStyle="1">
    <w:name w:val="批注文字 字符"/>
    <w:link w:val="981"/>
    <w:uiPriority w:val="99"/>
    <w:semiHidden/>
    <w:qFormat/>
  </w:style>
  <w:style w:type="paragraph" w:styleId="983" w:customStyle="1">
    <w:name w:val="正文文本 31"/>
    <w:basedOn w:val="773"/>
    <w:link w:val="984"/>
    <w:qFormat/>
    <w:rPr>
      <w:rFonts w:ascii="仿宋_GB2312" w:hAnsi="Arial" w:eastAsia="仿宋_GB2312"/>
      <w:sz w:val="32"/>
      <w:szCs w:val="32"/>
    </w:rPr>
  </w:style>
  <w:style w:type="character" w:styleId="984" w:customStyle="1">
    <w:name w:val="正文文本 3 字符"/>
    <w:link w:val="983"/>
    <w:qFormat/>
    <w:rPr>
      <w:rFonts w:ascii="仿宋_GB2312" w:hAnsi="Arial" w:eastAsia="仿宋_GB2312" w:cs="Times New Roman"/>
      <w:sz w:val="32"/>
      <w:szCs w:val="32"/>
    </w:rPr>
  </w:style>
  <w:style w:type="paragraph" w:styleId="985" w:customStyle="1">
    <w:name w:val="正文文本1"/>
    <w:basedOn w:val="773"/>
    <w:link w:val="986"/>
    <w:qFormat/>
    <w:rPr>
      <w:rFonts w:ascii="楷体_GB2312" w:hAnsi="Arial" w:eastAsia="楷体_GB2312"/>
      <w:sz w:val="28"/>
      <w:szCs w:val="28"/>
    </w:rPr>
  </w:style>
  <w:style w:type="character" w:styleId="986" w:customStyle="1">
    <w:name w:val="正文文本 字符"/>
    <w:link w:val="985"/>
    <w:qFormat/>
    <w:rPr>
      <w:rFonts w:ascii="楷体_GB2312" w:hAnsi="Arial" w:eastAsia="楷体_GB2312" w:cs="Times New Roman"/>
      <w:sz w:val="28"/>
      <w:szCs w:val="28"/>
    </w:rPr>
  </w:style>
  <w:style w:type="paragraph" w:styleId="987" w:customStyle="1">
    <w:name w:val="正文文本缩进1"/>
    <w:basedOn w:val="773"/>
    <w:link w:val="988"/>
    <w:unhideWhenUsed/>
    <w:qFormat/>
    <w:pPr>
      <w:ind w:left="420"/>
      <w:spacing w:after="120"/>
    </w:pPr>
  </w:style>
  <w:style w:type="character" w:styleId="988" w:customStyle="1">
    <w:name w:val="正文文本缩进 字符"/>
    <w:link w:val="987"/>
    <w:uiPriority w:val="99"/>
    <w:semiHidden/>
    <w:qFormat/>
  </w:style>
  <w:style w:type="paragraph" w:styleId="989" w:customStyle="1">
    <w:name w:val="列表 21"/>
    <w:basedOn w:val="773"/>
    <w:qFormat/>
    <w:pPr>
      <w:ind w:left="100" w:hanging="200"/>
    </w:pPr>
    <w:rPr>
      <w:szCs w:val="21"/>
    </w:rPr>
  </w:style>
  <w:style w:type="paragraph" w:styleId="990" w:customStyle="1">
    <w:name w:val="索引 41"/>
    <w:basedOn w:val="773"/>
    <w:next w:val="773"/>
    <w:uiPriority w:val="99"/>
    <w:unhideWhenUsed/>
    <w:qFormat/>
    <w:pPr>
      <w:ind w:left="600"/>
      <w:jc w:val="left"/>
      <w:widowControl/>
    </w:pPr>
    <w:rPr>
      <w:szCs w:val="21"/>
    </w:rPr>
  </w:style>
  <w:style w:type="paragraph" w:styleId="991" w:customStyle="1">
    <w:name w:val="纯文本1"/>
    <w:basedOn w:val="773"/>
    <w:link w:val="992"/>
    <w:qFormat/>
    <w:rPr>
      <w:rFonts w:ascii="宋体" w:hAnsi="Courier New" w:cs="Courier New"/>
      <w:szCs w:val="21"/>
    </w:rPr>
  </w:style>
  <w:style w:type="character" w:styleId="992" w:customStyle="1">
    <w:name w:val="纯文本 字符"/>
    <w:link w:val="991"/>
    <w:qFormat/>
    <w:rPr>
      <w:rFonts w:ascii="宋体" w:hAnsi="Courier New" w:eastAsia="宋体" w:cs="Courier New"/>
      <w:szCs w:val="21"/>
    </w:rPr>
  </w:style>
  <w:style w:type="paragraph" w:styleId="993" w:customStyle="1">
    <w:name w:val="日期1"/>
    <w:basedOn w:val="773"/>
    <w:next w:val="773"/>
    <w:link w:val="994"/>
    <w:qFormat/>
    <w:rPr>
      <w:sz w:val="24"/>
      <w:szCs w:val="24"/>
    </w:rPr>
  </w:style>
  <w:style w:type="character" w:styleId="994" w:customStyle="1">
    <w:name w:val="日期 字符"/>
    <w:link w:val="993"/>
    <w:qFormat/>
    <w:rPr>
      <w:rFonts w:ascii="Times New Roman" w:hAnsi="Times New Roman" w:eastAsia="宋体" w:cs="Times New Roman"/>
      <w:sz w:val="24"/>
      <w:szCs w:val="24"/>
    </w:rPr>
  </w:style>
  <w:style w:type="paragraph" w:styleId="995" w:customStyle="1">
    <w:name w:val="正文文本缩进 21"/>
    <w:basedOn w:val="773"/>
    <w:link w:val="996"/>
    <w:qFormat/>
    <w:pPr>
      <w:ind w:left="630" w:firstLine="645"/>
    </w:pPr>
    <w:rPr>
      <w:rFonts w:ascii="Arial" w:hAnsi="Arial" w:eastAsia="仿宋_GB2312" w:cs="Arial"/>
      <w:sz w:val="32"/>
      <w:szCs w:val="32"/>
    </w:rPr>
  </w:style>
  <w:style w:type="character" w:styleId="996" w:customStyle="1">
    <w:name w:val="正文文本缩进 2 字符"/>
    <w:link w:val="995"/>
    <w:qFormat/>
    <w:rPr>
      <w:rFonts w:ascii="Arial" w:hAnsi="Arial" w:eastAsia="仿宋_GB2312" w:cs="Arial"/>
      <w:sz w:val="32"/>
      <w:szCs w:val="32"/>
    </w:rPr>
  </w:style>
  <w:style w:type="paragraph" w:styleId="997" w:customStyle="1">
    <w:name w:val="批注框文本1"/>
    <w:basedOn w:val="773"/>
    <w:link w:val="998"/>
    <w:semiHidden/>
    <w:qFormat/>
    <w:rPr>
      <w:sz w:val="18"/>
      <w:szCs w:val="18"/>
    </w:rPr>
  </w:style>
  <w:style w:type="character" w:styleId="998" w:customStyle="1">
    <w:name w:val="批注框文本 字符"/>
    <w:link w:val="997"/>
    <w:semiHidden/>
    <w:qFormat/>
    <w:rPr>
      <w:rFonts w:ascii="Times New Roman" w:hAnsi="Times New Roman" w:eastAsia="宋体" w:cs="Times New Roman"/>
      <w:sz w:val="18"/>
      <w:szCs w:val="18"/>
    </w:rPr>
  </w:style>
  <w:style w:type="paragraph" w:styleId="999" w:customStyle="1">
    <w:name w:val="页脚1"/>
    <w:basedOn w:val="773"/>
    <w:link w:val="1000"/>
    <w:uiPriority w:val="99"/>
    <w:qFormat/>
    <w:pPr>
      <w:jc w:val="left"/>
      <w:tabs>
        <w:tab w:val="center" w:pos="4153" w:leader="none"/>
        <w:tab w:val="right" w:pos="8306" w:leader="none"/>
      </w:tabs>
    </w:pPr>
    <w:rPr>
      <w:sz w:val="18"/>
      <w:szCs w:val="18"/>
    </w:rPr>
  </w:style>
  <w:style w:type="character" w:styleId="1000" w:customStyle="1">
    <w:name w:val="页脚 字符"/>
    <w:link w:val="999"/>
    <w:uiPriority w:val="99"/>
    <w:qFormat/>
    <w:rPr>
      <w:rFonts w:ascii="Times New Roman" w:hAnsi="Times New Roman" w:eastAsia="宋体" w:cs="Times New Roman"/>
      <w:sz w:val="18"/>
      <w:szCs w:val="18"/>
    </w:rPr>
  </w:style>
  <w:style w:type="paragraph" w:styleId="1001" w:customStyle="1">
    <w:name w:val="页眉1"/>
    <w:basedOn w:val="773"/>
    <w:link w:val="1002"/>
    <w:qFormat/>
    <w:pPr>
      <w:jc w:val="center"/>
      <w:tabs>
        <w:tab w:val="center" w:pos="4153" w:leader="none"/>
        <w:tab w:val="right" w:pos="8306" w:leader="none"/>
      </w:tabs>
      <w:pBdr>
        <w:bottom w:val="single" w:color="000000" w:sz="6" w:space="1"/>
      </w:pBdr>
    </w:pPr>
    <w:rPr>
      <w:sz w:val="18"/>
      <w:szCs w:val="18"/>
    </w:rPr>
  </w:style>
  <w:style w:type="character" w:styleId="1002" w:customStyle="1">
    <w:name w:val="页眉 字符"/>
    <w:link w:val="1001"/>
    <w:qFormat/>
    <w:rPr>
      <w:rFonts w:ascii="Times New Roman" w:hAnsi="Times New Roman" w:eastAsia="宋体" w:cs="Times New Roman"/>
      <w:sz w:val="18"/>
      <w:szCs w:val="18"/>
    </w:rPr>
  </w:style>
  <w:style w:type="paragraph" w:styleId="1003" w:customStyle="1">
    <w:name w:val="列表1"/>
    <w:basedOn w:val="773"/>
    <w:qFormat/>
    <w:pPr>
      <w:ind w:left="200" w:hanging="200"/>
    </w:pPr>
    <w:rPr>
      <w:szCs w:val="21"/>
    </w:rPr>
  </w:style>
  <w:style w:type="paragraph" w:styleId="1004" w:customStyle="1">
    <w:name w:val="正文文本缩进 31"/>
    <w:basedOn w:val="773"/>
    <w:link w:val="1005"/>
    <w:qFormat/>
    <w:pPr>
      <w:ind w:left="645" w:firstLine="645"/>
    </w:pPr>
    <w:rPr>
      <w:rFonts w:ascii="Arial" w:hAnsi="Arial" w:eastAsia="仿宋_GB2312" w:cs="Arial"/>
      <w:color w:val="ffff00"/>
      <w:sz w:val="32"/>
      <w:szCs w:val="32"/>
    </w:rPr>
  </w:style>
  <w:style w:type="character" w:styleId="1005" w:customStyle="1">
    <w:name w:val="正文文本缩进 3 字符"/>
    <w:link w:val="1004"/>
    <w:qFormat/>
    <w:rPr>
      <w:rFonts w:ascii="Arial" w:hAnsi="Arial" w:eastAsia="仿宋_GB2312" w:cs="Arial"/>
      <w:color w:val="ffff00"/>
      <w:sz w:val="32"/>
      <w:szCs w:val="32"/>
    </w:rPr>
  </w:style>
  <w:style w:type="paragraph" w:styleId="1006" w:customStyle="1">
    <w:name w:val="图表目录1"/>
    <w:basedOn w:val="773"/>
    <w:next w:val="773"/>
    <w:semiHidden/>
    <w:qFormat/>
    <w:pPr>
      <w:ind w:left="840" w:hanging="420"/>
    </w:pPr>
    <w:rPr>
      <w:szCs w:val="21"/>
    </w:rPr>
  </w:style>
  <w:style w:type="paragraph" w:styleId="1007" w:customStyle="1">
    <w:name w:val="正文文本 21"/>
    <w:basedOn w:val="773"/>
    <w:link w:val="1008"/>
    <w:qFormat/>
    <w:pPr>
      <w:jc w:val="center"/>
      <w:widowControl/>
    </w:pPr>
    <w:rPr>
      <w:rFonts w:ascii="楷体_GB2312" w:eastAsia="楷体_GB2312"/>
      <w:sz w:val="28"/>
      <w:szCs w:val="28"/>
    </w:rPr>
  </w:style>
  <w:style w:type="character" w:styleId="1008" w:customStyle="1">
    <w:name w:val="正文文本 2 字符"/>
    <w:link w:val="1007"/>
    <w:qFormat/>
    <w:rPr>
      <w:rFonts w:ascii="楷体_GB2312" w:hAnsi="Times New Roman" w:eastAsia="楷体_GB2312" w:cs="Times New Roman"/>
      <w:sz w:val="28"/>
      <w:szCs w:val="28"/>
    </w:rPr>
  </w:style>
  <w:style w:type="paragraph" w:styleId="1009" w:customStyle="1">
    <w:name w:val="普通(网站)11"/>
    <w:basedOn w:val="773"/>
    <w:uiPriority w:val="99"/>
    <w:qFormat/>
    <w:pPr>
      <w:jc w:val="left"/>
      <w:spacing w:before="100" w:beforeAutospacing="1" w:after="100" w:afterAutospacing="1"/>
      <w:widowControl/>
    </w:pPr>
    <w:rPr>
      <w:rFonts w:ascii="宋体" w:hAnsi="宋体" w:cs="宋体"/>
      <w:sz w:val="24"/>
      <w:szCs w:val="24"/>
    </w:rPr>
  </w:style>
  <w:style w:type="paragraph" w:styleId="1010" w:customStyle="1">
    <w:name w:val="索引 11"/>
    <w:basedOn w:val="773"/>
    <w:next w:val="773"/>
    <w:semiHidden/>
    <w:qFormat/>
    <w:pPr>
      <w:spacing w:line="240" w:lineRule="atLeast"/>
    </w:pPr>
    <w:rPr>
      <w:b/>
      <w:bCs/>
      <w:szCs w:val="21"/>
    </w:rPr>
  </w:style>
  <w:style w:type="paragraph" w:styleId="1011" w:customStyle="1">
    <w:name w:val="批注主题1"/>
    <w:basedOn w:val="981"/>
    <w:next w:val="981"/>
    <w:link w:val="1012"/>
    <w:semiHidden/>
    <w:qFormat/>
    <w:rPr>
      <w:b/>
      <w:bCs/>
      <w:szCs w:val="21"/>
    </w:rPr>
  </w:style>
  <w:style w:type="character" w:styleId="1012" w:customStyle="1">
    <w:name w:val="批注主题 字符"/>
    <w:link w:val="1011"/>
    <w:semiHidden/>
    <w:qFormat/>
    <w:rPr>
      <w:rFonts w:ascii="Times New Roman" w:hAnsi="Times New Roman" w:eastAsia="宋体" w:cs="Times New Roman"/>
      <w:b/>
      <w:bCs/>
      <w:szCs w:val="21"/>
    </w:rPr>
  </w:style>
  <w:style w:type="paragraph" w:styleId="1013" w:customStyle="1">
    <w:name w:val="正文文本首行缩进1"/>
    <w:basedOn w:val="773"/>
    <w:link w:val="1014"/>
    <w:qFormat/>
    <w:pPr>
      <w:ind w:firstLine="200"/>
      <w:spacing w:line="360" w:lineRule="auto"/>
    </w:pPr>
    <w:rPr>
      <w:rFonts w:ascii="仿宋_GB2312" w:eastAsia="仿宋_GB2312"/>
      <w:sz w:val="30"/>
      <w:szCs w:val="30"/>
    </w:rPr>
  </w:style>
  <w:style w:type="character" w:styleId="1014" w:customStyle="1">
    <w:name w:val="正文文本首行缩进 字符"/>
    <w:link w:val="1013"/>
    <w:qFormat/>
    <w:rPr>
      <w:rFonts w:ascii="仿宋_GB2312" w:hAnsi="Times New Roman" w:eastAsia="仿宋_GB2312" w:cs="Times New Roman"/>
      <w:sz w:val="30"/>
      <w:szCs w:val="30"/>
    </w:rPr>
  </w:style>
  <w:style w:type="paragraph" w:styleId="1015" w:customStyle="1">
    <w:name w:val="正文文本首行缩进 21"/>
    <w:basedOn w:val="987"/>
    <w:link w:val="1016"/>
    <w:qFormat/>
    <w:pPr>
      <w:ind w:left="0" w:firstLine="420"/>
      <w:spacing w:after="0" w:line="360" w:lineRule="auto"/>
    </w:pPr>
    <w:rPr>
      <w:rFonts w:ascii="宋体" w:hAnsi="宋体"/>
      <w:szCs w:val="20"/>
    </w:rPr>
  </w:style>
  <w:style w:type="character" w:styleId="1016" w:customStyle="1">
    <w:name w:val="正文文本首行缩进 2 字符"/>
    <w:link w:val="1015"/>
    <w:qFormat/>
    <w:rPr>
      <w:rFonts w:ascii="宋体" w:hAnsi="宋体" w:eastAsia="宋体" w:cs="Times New Roman"/>
      <w:szCs w:val="20"/>
    </w:rPr>
  </w:style>
  <w:style w:type="table" w:styleId="1017" w:customStyle="1">
    <w:name w:val="网格型11"/>
    <w:basedOn w:val="967"/>
    <w:qFormat/>
    <w:pPr>
      <w:jc w:val="both"/>
      <w:widowControl w:val="off"/>
    </w:pPr>
    <w:tblPr>
      <w:tblCellMar>
        <w:left w:w="0" w:type="dxa"/>
        <w:top w:w="0" w:type="dxa"/>
        <w:right w:w="0" w:type="dxa"/>
        <w:bottom w:w="0" w:type="dxa"/>
      </w:tblCellMar>
    </w:tblPr>
  </w:style>
  <w:style w:type="character" w:styleId="1018" w:customStyle="1">
    <w:name w:val="要点1"/>
    <w:qFormat/>
    <w:rPr>
      <w:b/>
      <w:bCs/>
    </w:rPr>
  </w:style>
  <w:style w:type="character" w:styleId="1019" w:customStyle="1">
    <w:name w:val="页码1"/>
    <w:qFormat/>
  </w:style>
  <w:style w:type="character" w:styleId="1020" w:customStyle="1">
    <w:name w:val="访问过的超链接1"/>
    <w:qFormat/>
    <w:rPr>
      <w:color w:val="800080"/>
      <w:u w:val="single"/>
    </w:rPr>
  </w:style>
  <w:style w:type="character" w:styleId="1021" w:customStyle="1">
    <w:name w:val="强调1"/>
    <w:qFormat/>
    <w:rPr>
      <w:i/>
    </w:rPr>
  </w:style>
  <w:style w:type="character" w:styleId="1022" w:customStyle="1">
    <w:name w:val="超链接1"/>
    <w:qFormat/>
    <w:rPr>
      <w:color w:val="0000ff"/>
      <w:u w:val="single"/>
    </w:rPr>
  </w:style>
  <w:style w:type="character" w:styleId="1023" w:customStyle="1">
    <w:name w:val="批注引用1"/>
    <w:semiHidden/>
    <w:qFormat/>
    <w:rPr>
      <w:sz w:val="21"/>
      <w:szCs w:val="21"/>
    </w:rPr>
  </w:style>
  <w:style w:type="character" w:styleId="1024" w:customStyle="1">
    <w:name w:val="font5 Char"/>
    <w:qFormat/>
    <w:rPr>
      <w:rFonts w:ascii="宋体" w:hAnsi="宋体" w:eastAsia="宋体"/>
      <w:sz w:val="28"/>
      <w:szCs w:val="28"/>
      <w:lang w:val="en-US" w:eastAsia="zh-CN" w:bidi="ar-SA"/>
    </w:rPr>
  </w:style>
  <w:style w:type="character" w:styleId="1025" w:customStyle="1">
    <w:name w:val="二级目录 Char"/>
    <w:link w:val="1026"/>
    <w:qFormat/>
    <w:rPr>
      <w:b/>
      <w:sz w:val="30"/>
      <w:szCs w:val="28"/>
    </w:rPr>
  </w:style>
  <w:style w:type="paragraph" w:styleId="1026" w:customStyle="1">
    <w:name w:val="二级目录"/>
    <w:next w:val="773"/>
    <w:link w:val="1025"/>
    <w:qFormat/>
    <w:pPr>
      <w:ind w:left="907" w:hanging="907"/>
      <w:tabs>
        <w:tab w:val="left" w:pos="907" w:leader="none"/>
        <w:tab w:val="left" w:pos="1145" w:leader="none"/>
      </w:tabs>
      <w:outlineLvl w:val="1"/>
    </w:pPr>
    <w:rPr>
      <w:b/>
      <w:sz w:val="30"/>
      <w:szCs w:val="28"/>
    </w:rPr>
  </w:style>
  <w:style w:type="character" w:styleId="1027" w:customStyle="1">
    <w:name w:val="列出段落 Char"/>
    <w:link w:val="1028"/>
    <w:qFormat/>
    <w:rPr>
      <w:rFonts w:ascii="Calibri" w:hAnsi="Calibri"/>
      <w:sz w:val="24"/>
      <w:szCs w:val="24"/>
      <w:lang w:eastAsia="en-US" w:bidi="en-US"/>
    </w:rPr>
  </w:style>
  <w:style w:type="paragraph" w:styleId="1028" w:customStyle="1">
    <w:name w:val="列出段落1"/>
    <w:basedOn w:val="773"/>
    <w:link w:val="1027"/>
    <w:qFormat/>
    <w:pPr>
      <w:contextualSpacing/>
      <w:ind w:left="720"/>
      <w:jc w:val="left"/>
      <w:widowControl/>
    </w:pPr>
    <w:rPr>
      <w:rFonts w:ascii="Calibri" w:hAnsi="Calibri"/>
      <w:sz w:val="24"/>
      <w:szCs w:val="24"/>
      <w:lang w:eastAsia="en-US" w:bidi="en-US"/>
    </w:rPr>
  </w:style>
  <w:style w:type="paragraph" w:styleId="1029" w:customStyle="1">
    <w:name w:val="Body Text(ch)"/>
    <w:basedOn w:val="773"/>
    <w:next w:val="985"/>
    <w:qFormat/>
    <w:pPr>
      <w:spacing w:after="120"/>
    </w:pPr>
    <w:rPr>
      <w:rFonts w:ascii="宋体" w:hAnsi="Arial"/>
      <w:bCs/>
      <w:iCs/>
      <w:szCs w:val="24"/>
    </w:rPr>
  </w:style>
  <w:style w:type="paragraph" w:styleId="1030" w:customStyle="1">
    <w:name w:val="xl27"/>
    <w:basedOn w:val="77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31" w:customStyle="1">
    <w:name w:val="xl26"/>
    <w:basedOn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32" w:customStyle="1">
    <w:name w:val="Char"/>
    <w:basedOn w:val="773"/>
    <w:qFormat/>
    <w:pPr>
      <w:ind w:firstLine="200"/>
      <w:tabs>
        <w:tab w:val="left" w:pos="360" w:leader="none"/>
      </w:tabs>
    </w:pPr>
    <w:rPr>
      <w:sz w:val="28"/>
      <w:szCs w:val="30"/>
    </w:rPr>
  </w:style>
  <w:style w:type="paragraph" w:styleId="1033" w:customStyle="1">
    <w:name w:val="Char"/>
    <w:basedOn w:val="979"/>
    <w:qFormat/>
    <w:rPr>
      <w:rFonts w:ascii="Tahoma" w:hAnsi="Tahoma"/>
      <w:sz w:val="24"/>
      <w:szCs w:val="24"/>
    </w:rPr>
  </w:style>
  <w:style w:type="paragraph" w:styleId="1034" w:customStyle="1">
    <w:name w:val="普通正文"/>
    <w:basedOn w:val="773"/>
    <w:link w:val="1035"/>
    <w:qFormat/>
    <w:pPr>
      <w:ind w:firstLine="480"/>
      <w:jc w:val="left"/>
      <w:spacing w:before="120" w:after="120" w:line="360" w:lineRule="auto"/>
    </w:pPr>
    <w:rPr>
      <w:rFonts w:ascii="Arial" w:hAnsi="Arial"/>
      <w:sz w:val="24"/>
      <w:szCs w:val="24"/>
    </w:rPr>
  </w:style>
  <w:style w:type="character" w:styleId="1035" w:customStyle="1">
    <w:name w:val="普通正文 Char"/>
    <w:link w:val="1034"/>
    <w:qFormat/>
    <w:rPr>
      <w:rFonts w:ascii="Arial" w:hAnsi="Arial"/>
      <w:sz w:val="24"/>
      <w:szCs w:val="24"/>
    </w:rPr>
  </w:style>
  <w:style w:type="paragraph" w:styleId="1036" w:customStyle="1">
    <w:name w:val="table_lines"/>
    <w:basedOn w:val="773"/>
    <w:qFormat/>
    <w:pPr>
      <w:jc w:val="left"/>
      <w:widowControl/>
    </w:pPr>
    <w:rPr>
      <w:sz w:val="20"/>
      <w:szCs w:val="20"/>
      <w:lang w:val="de-DE" w:eastAsia="de-DE"/>
    </w:rPr>
  </w:style>
  <w:style w:type="paragraph" w:styleId="1037" w:customStyle="1">
    <w:name w:val="附录1"/>
    <w:qFormat/>
    <w:pPr>
      <w:numPr>
        <w:numId w:val="2"/>
      </w:numPr>
      <w:spacing w:before="240" w:line="600" w:lineRule="atLeast"/>
    </w:pPr>
    <w:rPr>
      <w:b/>
      <w:i/>
      <w:sz w:val="28"/>
    </w:rPr>
  </w:style>
  <w:style w:type="paragraph" w:styleId="1038" w:customStyle="1">
    <w:name w:val="font7"/>
    <w:basedOn w:val="773"/>
    <w:qFormat/>
    <w:pPr>
      <w:jc w:val="left"/>
      <w:spacing w:before="100" w:beforeAutospacing="1" w:after="100" w:afterAutospacing="1"/>
      <w:widowControl/>
    </w:pPr>
    <w:rPr>
      <w:rFonts w:hint="eastAsia" w:ascii="宋体" w:hAnsi="宋体"/>
      <w:sz w:val="18"/>
      <w:szCs w:val="18"/>
    </w:rPr>
  </w:style>
  <w:style w:type="paragraph" w:styleId="1039" w:customStyle="1">
    <w:name w:val="Char Char Char Char"/>
    <w:basedOn w:val="979"/>
    <w:qFormat/>
    <w:pPr>
      <w:spacing w:line="360" w:lineRule="auto"/>
    </w:pPr>
    <w:rPr>
      <w:rFonts w:ascii="Tahoma" w:hAnsi="Tahoma"/>
      <w:sz w:val="24"/>
      <w:szCs w:val="24"/>
    </w:rPr>
  </w:style>
  <w:style w:type="paragraph" w:styleId="1040" w:customStyle="1">
    <w:name w:val="列表段落1"/>
    <w:basedOn w:val="773"/>
    <w:qFormat/>
    <w:pPr>
      <w:contextualSpacing/>
      <w:ind w:left="720"/>
      <w:jc w:val="left"/>
      <w:widowControl/>
    </w:pPr>
    <w:rPr>
      <w:rFonts w:ascii="Calibri" w:hAnsi="Calibri"/>
      <w:sz w:val="24"/>
      <w:szCs w:val="24"/>
      <w:lang w:eastAsia="en-US" w:bidi="en-US"/>
    </w:rPr>
  </w:style>
  <w:style w:type="paragraph" w:styleId="1041" w:customStyle="1">
    <w:name w:val="4"/>
    <w:basedOn w:val="773"/>
    <w:next w:val="1004"/>
    <w:qFormat/>
    <w:pPr>
      <w:ind w:firstLine="420"/>
      <w:spacing w:line="360" w:lineRule="auto"/>
    </w:pPr>
    <w:rPr>
      <w:color w:val="ff0000"/>
      <w:sz w:val="24"/>
      <w:szCs w:val="24"/>
    </w:rPr>
  </w:style>
  <w:style w:type="paragraph" w:styleId="1042" w:customStyle="1">
    <w:name w:val="普通 (Web)"/>
    <w:basedOn w:val="773"/>
    <w:qFormat/>
    <w:pPr>
      <w:jc w:val="left"/>
      <w:spacing w:before="100" w:beforeAutospacing="1" w:after="100" w:afterAutospacing="1"/>
      <w:widowControl/>
    </w:pPr>
    <w:rPr>
      <w:rFonts w:ascii="宋体" w:hAnsi="宋体"/>
      <w:sz w:val="24"/>
      <w:szCs w:val="24"/>
    </w:rPr>
  </w:style>
  <w:style w:type="paragraph" w:styleId="1043" w:customStyle="1">
    <w:name w:val="Char Char Char Char Char Char Char Char Char Char"/>
    <w:basedOn w:val="773"/>
    <w:qFormat/>
    <w:pPr>
      <w:spacing w:line="360" w:lineRule="auto"/>
    </w:pPr>
    <w:rPr>
      <w:sz w:val="24"/>
      <w:szCs w:val="20"/>
    </w:rPr>
  </w:style>
  <w:style w:type="paragraph" w:styleId="1044" w:customStyle="1">
    <w:name w:val="样式1"/>
    <w:basedOn w:val="773"/>
    <w:qFormat/>
    <w:pPr>
      <w:numPr>
        <w:numId w:val="3"/>
      </w:numPr>
    </w:pPr>
    <w:rPr>
      <w:rFonts w:ascii="宋体" w:hAnsi="宋体"/>
      <w:szCs w:val="21"/>
    </w:rPr>
  </w:style>
  <w:style w:type="paragraph" w:styleId="1045" w:customStyle="1">
    <w:name w:val="font6"/>
    <w:basedOn w:val="773"/>
    <w:qFormat/>
    <w:pPr>
      <w:jc w:val="left"/>
      <w:spacing w:before="100" w:beforeAutospacing="1" w:after="100" w:afterAutospacing="1"/>
      <w:widowControl/>
    </w:pPr>
    <w:rPr>
      <w:rFonts w:hint="eastAsia" w:ascii="宋体" w:hAnsi="宋体"/>
      <w:sz w:val="28"/>
      <w:szCs w:val="28"/>
      <w:u w:val="single"/>
    </w:rPr>
  </w:style>
  <w:style w:type="paragraph" w:styleId="1046" w:customStyle="1">
    <w:name w:val="xl25"/>
    <w:basedOn w:val="773"/>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7" w:customStyle="1">
    <w:name w:val="图标"/>
    <w:basedOn w:val="773"/>
    <w:next w:val="773"/>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8" w:customStyle="1">
    <w:name w:val="标题3"/>
    <w:basedOn w:val="773"/>
    <w:next w:val="773"/>
    <w:qFormat/>
    <w:pPr>
      <w:ind w:firstLine="624"/>
      <w:spacing w:line="590" w:lineRule="atLeast"/>
    </w:pPr>
    <w:rPr>
      <w:rFonts w:ascii="方正黑体_GBK" w:eastAsia="方正黑体_GBK"/>
      <w:sz w:val="32"/>
      <w:szCs w:val="32"/>
    </w:rPr>
  </w:style>
  <w:style w:type="paragraph" w:styleId="1049" w:customStyle="1">
    <w:name w:val="xl24"/>
    <w:basedOn w:val="77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0" w:customStyle="1">
    <w:name w:val="xl29"/>
    <w:basedOn w:val="773"/>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51" w:customStyle="1">
    <w:name w:val="Char Char Char Char Char Char Char Char"/>
    <w:basedOn w:val="773"/>
    <w:qFormat/>
    <w:pPr>
      <w:jc w:val="left"/>
      <w:spacing w:after="160" w:line="240" w:lineRule="exact"/>
      <w:widowControl/>
    </w:pPr>
    <w:rPr>
      <w:rFonts w:ascii="Verdana" w:hAnsi="Verdana"/>
      <w:sz w:val="20"/>
      <w:szCs w:val="20"/>
      <w:lang w:eastAsia="en-US"/>
    </w:rPr>
  </w:style>
  <w:style w:type="paragraph" w:styleId="1052" w:customStyle="1">
    <w:name w:val="xl28"/>
    <w:basedOn w:val="773"/>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53" w:customStyle="1">
    <w:name w:val="Char Char Char Char Char Char Char Char"/>
    <w:basedOn w:val="773"/>
    <w:qFormat/>
    <w:pPr>
      <w:jc w:val="left"/>
      <w:spacing w:after="160" w:line="240" w:lineRule="exact"/>
      <w:widowControl/>
    </w:pPr>
    <w:rPr>
      <w:rFonts w:ascii="Verdana" w:hAnsi="Verdana"/>
      <w:sz w:val="20"/>
      <w:szCs w:val="20"/>
      <w:lang w:eastAsia="en-US"/>
    </w:rPr>
  </w:style>
  <w:style w:type="paragraph" w:styleId="1054" w:customStyle="1">
    <w:name w:val="xl30"/>
    <w:basedOn w:val="773"/>
    <w:qFormat/>
    <w:pPr>
      <w:jc w:val="center"/>
      <w:spacing w:before="100" w:beforeAutospacing="1" w:after="100" w:afterAutospacing="1"/>
      <w:widowControl/>
    </w:pPr>
    <w:rPr>
      <w:rFonts w:ascii="宋体" w:hAnsi="宋体"/>
      <w:b/>
      <w:bCs/>
      <w:sz w:val="36"/>
      <w:szCs w:val="36"/>
    </w:rPr>
  </w:style>
  <w:style w:type="paragraph" w:styleId="1055" w:customStyle="1">
    <w:name w:val="Char Char Char Char"/>
    <w:basedOn w:val="979"/>
    <w:qFormat/>
    <w:pPr>
      <w:spacing w:line="360" w:lineRule="auto"/>
    </w:pPr>
    <w:rPr>
      <w:rFonts w:ascii="Tahoma" w:hAnsi="Tahoma"/>
      <w:sz w:val="24"/>
      <w:szCs w:val="24"/>
    </w:rPr>
  </w:style>
  <w:style w:type="paragraph" w:styleId="1056" w:customStyle="1">
    <w:name w:val="table_1stline"/>
    <w:basedOn w:val="773"/>
    <w:qFormat/>
    <w:pPr>
      <w:jc w:val="left"/>
      <w:spacing w:before="120"/>
      <w:widowControl/>
    </w:pPr>
    <w:rPr>
      <w:bCs/>
      <w:sz w:val="20"/>
      <w:szCs w:val="20"/>
      <w:lang w:val="de-DE" w:eastAsia="de-DE"/>
    </w:rPr>
  </w:style>
  <w:style w:type="paragraph" w:styleId="1057" w:customStyle="1">
    <w:name w:val="font5"/>
    <w:basedOn w:val="773"/>
    <w:qFormat/>
    <w:pPr>
      <w:jc w:val="left"/>
      <w:spacing w:before="100" w:beforeAutospacing="1" w:after="100" w:afterAutospacing="1"/>
      <w:widowControl/>
    </w:pPr>
    <w:rPr>
      <w:rFonts w:hint="eastAsia" w:ascii="宋体" w:hAnsi="宋体"/>
      <w:sz w:val="28"/>
      <w:szCs w:val="28"/>
    </w:rPr>
  </w:style>
  <w:style w:type="paragraph" w:styleId="1058" w:customStyle="1">
    <w:name w:val="标题1"/>
    <w:basedOn w:val="773"/>
    <w:next w:val="773"/>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9" w:customStyle="1">
    <w:name w:val="修订1"/>
    <w:uiPriority w:val="99"/>
    <w:semiHidden/>
    <w:qFormat/>
    <w:rPr>
      <w:sz w:val="21"/>
      <w:szCs w:val="21"/>
    </w:rPr>
  </w:style>
  <w:style w:type="paragraph" w:styleId="1060" w:customStyle="1">
    <w:name w:val="无间隔1"/>
    <w:uiPriority w:val="99"/>
    <w:qFormat/>
    <w:pPr>
      <w:jc w:val="both"/>
      <w:widowControl w:val="off"/>
    </w:pPr>
    <w:rPr>
      <w:sz w:val="21"/>
      <w:szCs w:val="21"/>
    </w:rPr>
  </w:style>
  <w:style w:type="paragraph" w:styleId="1061" w:customStyle="1">
    <w:name w:val="AONormal"/>
    <w:qFormat/>
    <w:pPr>
      <w:ind w:firstLine="440"/>
      <w:spacing w:line="400" w:lineRule="exact"/>
    </w:pPr>
    <w:rPr>
      <w:rFonts w:ascii="华文楷体" w:hAnsi="华文楷体" w:eastAsia="华文楷体" w:cs="华文楷体"/>
      <w:sz w:val="22"/>
      <w:szCs w:val="21"/>
    </w:rPr>
  </w:style>
  <w:style w:type="paragraph" w:styleId="1062" w:customStyle="1">
    <w:name w:val="标题 311"/>
    <w:basedOn w:val="773"/>
    <w:next w:val="1063"/>
    <w:qFormat/>
    <w:pPr>
      <w:keepLines/>
      <w:keepNext/>
      <w:spacing w:before="260" w:after="260" w:line="416" w:lineRule="auto"/>
      <w:outlineLvl w:val="2"/>
    </w:pPr>
    <w:rPr>
      <w:b/>
      <w:bCs/>
      <w:sz w:val="32"/>
      <w:szCs w:val="32"/>
    </w:rPr>
  </w:style>
  <w:style w:type="paragraph" w:styleId="1063" w:customStyle="1">
    <w:name w:val="正文缩进111"/>
    <w:basedOn w:val="773"/>
    <w:qFormat/>
    <w:pPr>
      <w:ind w:firstLine="420"/>
    </w:pPr>
  </w:style>
  <w:style w:type="paragraph" w:styleId="1064" w:customStyle="1">
    <w:name w:val="普通(网站)1"/>
    <w:basedOn w:val="773"/>
    <w:uiPriority w:val="99"/>
    <w:qFormat/>
    <w:pPr>
      <w:jc w:val="left"/>
      <w:spacing w:before="100" w:beforeAutospacing="1" w:after="100" w:afterAutospacing="1"/>
      <w:widowControl/>
    </w:pPr>
    <w:rPr>
      <w:rFonts w:ascii="宋体" w:hAnsi="宋体" w:cs="宋体"/>
      <w:sz w:val="24"/>
      <w:szCs w:val="24"/>
    </w:rPr>
  </w:style>
  <w:style w:type="paragraph" w:styleId="1065" w:customStyle="1">
    <w:name w:val="目录 11"/>
    <w:basedOn w:val="773"/>
    <w:next w:val="773"/>
    <w:semiHidden/>
    <w:qFormat/>
    <w:pPr>
      <w:jc w:val="left"/>
      <w:spacing w:before="120" w:after="120" w:line="400" w:lineRule="exact"/>
      <w:tabs>
        <w:tab w:val="right" w:pos="8720" w:leader="dot"/>
      </w:tabs>
    </w:pPr>
    <w:rPr>
      <w:rFonts w:ascii="宋体" w:hAnsi="宋体"/>
      <w:caps/>
      <w:sz w:val="24"/>
      <w:szCs w:val="24"/>
    </w:rPr>
  </w:style>
  <w:style w:type="table" w:styleId="1066" w:customStyle="1">
    <w:name w:val="网格型1"/>
    <w:basedOn w:val="1067"/>
    <w:qFormat/>
    <w:pPr>
      <w:jc w:val="both"/>
      <w:widowControl w:val="off"/>
    </w:pPr>
    <w:tblPr>
      <w:tblCellMar>
        <w:left w:w="0" w:type="dxa"/>
        <w:top w:w="0" w:type="dxa"/>
        <w:right w:w="0" w:type="dxa"/>
        <w:bottom w:w="0" w:type="dxa"/>
      </w:tblCellMar>
    </w:tblPr>
  </w:style>
  <w:style w:type="table" w:styleId="1067" w:customStyle="1">
    <w:name w:val="普通表格1"/>
    <w:uiPriority w:val="99"/>
    <w:unhideWhenUsed/>
    <w:qFormat/>
    <w:tblPr>
      <w:tblCellMar>
        <w:left w:w="0" w:type="dxa"/>
        <w:top w:w="0" w:type="dxa"/>
        <w:right w:w="0" w:type="dxa"/>
        <w:bottom w:w="0" w:type="dxa"/>
      </w:tblCellMar>
    </w:tblPr>
  </w:style>
  <w:style w:type="character" w:styleId="1068" w:customStyle="1">
    <w:name w:val="font01"/>
    <w:qFormat/>
    <w:rPr>
      <w:rFonts w:ascii="Times New Roman" w:hAnsi="Times New Roman" w:eastAsia="宋体" w:cs="Times New Roman"/>
      <w:sz w:val="21"/>
      <w:szCs w:val="22"/>
      <w:lang w:val="en-US" w:eastAsia="zh-CN" w:bidi="ar-SA"/>
    </w:rPr>
  </w:style>
  <w:style w:type="paragraph" w:styleId="1069" w:customStyle="1">
    <w:name w:val="Table Paragraph"/>
    <w:basedOn w:val="773"/>
    <w:uiPriority w:val="1"/>
    <w:qFormat/>
    <w:rPr>
      <w:rFonts w:ascii="黑体" w:hAnsi="黑体" w:eastAsia="黑体" w:cs="黑体"/>
      <w:sz w:val="22"/>
    </w:rPr>
  </w:style>
  <w:style w:type="paragraph" w:styleId="1070">
    <w:name w:val="Revision"/>
    <w:hidden/>
    <w:uiPriority w:val="99"/>
    <w:unhideWhenUsed/>
    <w:rPr>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6</cp:revision>
  <dcterms:created xsi:type="dcterms:W3CDTF">2026-06-08T07:54:00Z</dcterms:created>
  <dcterms:modified xsi:type="dcterms:W3CDTF">2026-08-13T06:10:59Z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eyJoZGlkIjoiZmVkMWJhMDkxMmFmM2Y1ZDY5MmEzMjk1YmZkOGRlODYiLCJ1c2VySWQiOiIxNTY4NDI5MjQ3In0=</vt:lpwstr>
  </property>
  <property fmtid="{D5CDD505-2E9C-101B-9397-08002B2CF9AE}" pid="3" name="KSOProductBuildVer">
    <vt:lpwstr>2052-12.1.0.28043</vt:lpwstr>
  </property>
  <property fmtid="{D5CDD505-2E9C-101B-9397-08002B2CF9AE}" pid="4" name="ICV">
    <vt:lpwstr>E0BC3830D75B4A94AFDF946B4F6051E5_13</vt:lpwstr>
  </property>
</Properties>
</file>