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jc w:val="left"/>
        <w:spacing w:line="360" w:lineRule="auto"/>
        <w:widowControl/>
        <w:tabs>
          <w:tab w:val="left" w:pos="6933" w:leader="none"/>
        </w:tabs>
        <w:rPr>
          <w:rFonts w:hint="eastAsia" w:ascii="宋体" w:hAnsi="宋体" w:cs="宋体"/>
          <w:b/>
          <w:sz w:val="48"/>
          <w:szCs w:val="48"/>
          <w:highlight w:val="none"/>
        </w:rPr>
      </w:pPr>
      <w:r>
        <w:rPr>
          <w:rFonts w:hint="eastAsia" w:ascii="宋体" w:hAnsi="宋体" w:cs="宋体"/>
          <w:b/>
          <w:sz w:val="48"/>
          <w:szCs w:val="48"/>
          <w:highlight w:val="none"/>
        </w:rPr>
        <w:tab/>
      </w:r>
      <w:r>
        <w:rPr>
          <w:rFonts w:hint="eastAsia" w:ascii="宋体" w:hAnsi="宋体" w:cs="宋体"/>
          <w:b/>
          <w:sz w:val="48"/>
          <w:szCs w:val="48"/>
          <w:highlight w:val="none"/>
        </w:rPr>
      </w:r>
      <w:r/>
    </w:p>
    <w:p>
      <w:pPr>
        <w:pStyle w:val="919"/>
        <w:spacing w:line="360" w:lineRule="auto"/>
        <w:widowControl/>
        <w:rPr>
          <w:rFonts w:hint="eastAsia" w:ascii="宋体" w:hAnsi="宋体" w:cs="宋体"/>
          <w:b/>
          <w:sz w:val="48"/>
          <w:szCs w:val="48"/>
          <w:highlight w:val="none"/>
        </w:rPr>
      </w:pPr>
      <w:r>
        <w:rPr>
          <w:rFonts w:hint="eastAsia" w:ascii="宋体" w:hAnsi="宋体" w:cs="宋体"/>
          <w:b/>
          <w:sz w:val="48"/>
          <w:szCs w:val="48"/>
          <w:highlight w:val="none"/>
        </w:rPr>
      </w:r>
      <w:r/>
    </w:p>
    <w:p>
      <w:pPr>
        <w:pStyle w:val="919"/>
        <w:jc w:val="center"/>
        <w:spacing w:line="360" w:lineRule="auto"/>
        <w:widowControl/>
        <w:rPr>
          <w:rFonts w:hint="eastAsia" w:ascii="宋体" w:hAnsi="宋体" w:cs="宋体"/>
          <w:b/>
          <w:sz w:val="96"/>
          <w:szCs w:val="96"/>
          <w:highlight w:val="none"/>
        </w:rPr>
      </w:pPr>
      <w:r>
        <w:rPr>
          <w:rFonts w:hint="eastAsia" w:ascii="宋体" w:hAnsi="宋体" w:cs="宋体"/>
          <w:b/>
          <w:bCs/>
          <w:sz w:val="52"/>
          <w:szCs w:val="52"/>
          <w:highlight w:val="none"/>
        </w:rPr>
        <w:t xml:space="preserve">江苏省特种设备安全监督检验研究院</w:t>
      </w:r>
      <w:r>
        <w:rPr>
          <w:rFonts w:hint="eastAsia" w:ascii="宋体" w:hAnsi="宋体" w:cs="宋体"/>
          <w:b/>
          <w:sz w:val="96"/>
          <w:szCs w:val="96"/>
          <w:highlight w:val="none"/>
        </w:rPr>
      </w:r>
      <w:r/>
    </w:p>
    <w:p>
      <w:pPr>
        <w:pStyle w:val="919"/>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919"/>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rPr>
          <w:rFonts w:hint="eastAsia" w:ascii="宋体" w:hAnsi="宋体" w:cs="宋体"/>
          <w:b/>
          <w:sz w:val="72"/>
          <w:szCs w:val="72"/>
          <w:highlight w:val="none"/>
        </w:rPr>
      </w:r>
      <w:r/>
    </w:p>
    <w:p>
      <w:pPr>
        <w:pStyle w:val="919"/>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951"/>
        <w:jc w:val="left"/>
        <w:spacing w:line="360" w:lineRule="auto"/>
        <w:rPr>
          <w:rFonts w:hint="eastAsia" w:ascii="宋体" w:hAnsi="宋体" w:eastAsia="宋体" w:cs="宋体"/>
          <w:b w:val="0"/>
          <w:bCs w:val="0"/>
          <w:sz w:val="36"/>
          <w:szCs w:val="36"/>
          <w:highlight w:val="none"/>
        </w:rPr>
      </w:pPr>
      <w:r>
        <w:rPr>
          <w:rFonts w:hint="eastAsia" w:ascii="宋体" w:hAnsi="宋体" w:eastAsia="宋体" w:cs="宋体"/>
          <w:b w:val="0"/>
          <w:bCs w:val="0"/>
          <w:sz w:val="36"/>
          <w:szCs w:val="36"/>
          <w:highlight w:val="none"/>
        </w:rPr>
      </w:r>
      <w:r/>
    </w:p>
    <w:p>
      <w:pPr>
        <w:pStyle w:val="919"/>
        <w:ind w:left="2503" w:hanging="1663"/>
        <w:jc w:val="left"/>
        <w:spacing w:line="360" w:lineRule="auto"/>
        <w:rPr>
          <w:rFonts w:hint="eastAsia" w:ascii="宋体" w:hAnsi="宋体" w:cs="宋体"/>
          <w:sz w:val="36"/>
          <w:szCs w:val="36"/>
          <w:highlight w:val="none"/>
        </w:rPr>
      </w:pPr>
      <w:r>
        <w:rPr>
          <w:rFonts w:hint="eastAsia" w:ascii="宋体" w:hAnsi="宋体" w:cs="宋体"/>
          <w:sz w:val="36"/>
          <w:szCs w:val="36"/>
          <w:highlight w:val="none"/>
        </w:rPr>
        <w:t xml:space="preserve">项目名称：江苏省特检院劳保服装采购</w:t>
      </w:r>
      <w:r>
        <w:rPr>
          <w:rFonts w:hint="eastAsia" w:ascii="宋体" w:hAnsi="宋体" w:cs="宋体"/>
          <w:sz w:val="36"/>
          <w:szCs w:val="36"/>
          <w:highlight w:val="none"/>
        </w:rPr>
      </w:r>
      <w:r/>
    </w:p>
    <w:p>
      <w:pPr>
        <w:pStyle w:val="951"/>
        <w:ind w:left="2315" w:hanging="1475"/>
        <w:jc w:val="left"/>
        <w:spacing w:line="360" w:lineRule="auto"/>
        <w:rPr>
          <w:rFonts w:hint="eastAsia" w:ascii="宋体" w:hAnsi="宋体" w:eastAsia="宋体" w:cs="宋体"/>
          <w:b w:val="0"/>
          <w:bCs w:val="0"/>
          <w:sz w:val="36"/>
          <w:szCs w:val="36"/>
          <w:highlight w:val="none"/>
        </w:rPr>
      </w:pPr>
      <w:r>
        <w:rPr>
          <w:rFonts w:hint="eastAsia" w:ascii="宋体" w:hAnsi="宋体" w:eastAsia="宋体" w:cs="宋体"/>
          <w:b w:val="0"/>
          <w:bCs w:val="0"/>
          <w:sz w:val="36"/>
          <w:szCs w:val="36"/>
          <w:highlight w:val="none"/>
        </w:rPr>
        <w:t xml:space="preserve">项目编号：JSZC-320000-HWZX-G2026-0485</w:t>
      </w:r>
      <w:r>
        <w:rPr>
          <w:rFonts w:hint="eastAsia" w:ascii="宋体" w:hAnsi="宋体" w:eastAsia="宋体" w:cs="宋体"/>
          <w:b w:val="0"/>
          <w:bCs w:val="0"/>
          <w:sz w:val="36"/>
          <w:szCs w:val="36"/>
          <w:highlight w:val="none"/>
        </w:rPr>
      </w:r>
      <w:r/>
    </w:p>
    <w:p>
      <w:pPr>
        <w:pStyle w:val="919"/>
        <w:ind w:left="2503" w:hanging="1663"/>
        <w:jc w:val="left"/>
        <w:spacing w:line="360" w:lineRule="auto"/>
        <w:rPr>
          <w:rFonts w:hint="eastAsia" w:ascii="宋体" w:hAnsi="宋体" w:cs="宋体"/>
          <w:sz w:val="36"/>
          <w:szCs w:val="36"/>
          <w:highlight w:val="none"/>
        </w:rPr>
      </w:pPr>
      <w:r>
        <w:rPr>
          <w:rFonts w:hint="eastAsia" w:ascii="宋体" w:hAnsi="宋体" w:cs="宋体"/>
          <w:sz w:val="36"/>
          <w:szCs w:val="36"/>
          <w:highlight w:val="none"/>
        </w:rPr>
        <w:t xml:space="preserve">代理机构项目编号：0675-266JOC004603</w:t>
      </w:r>
      <w:r>
        <w:rPr>
          <w:rFonts w:hint="eastAsia" w:ascii="宋体" w:hAnsi="宋体" w:cs="宋体"/>
          <w:sz w:val="36"/>
          <w:szCs w:val="36"/>
          <w:highlight w:val="none"/>
        </w:rPr>
      </w:r>
      <w:r/>
    </w:p>
    <w:p>
      <w:pPr>
        <w:pStyle w:val="919"/>
        <w:ind w:left="2503" w:hanging="1663"/>
        <w:jc w:val="left"/>
        <w:spacing w:line="360" w:lineRule="auto"/>
        <w:rPr>
          <w:rFonts w:hint="eastAsia" w:ascii="宋体" w:hAnsi="宋体" w:cs="宋体"/>
          <w:sz w:val="36"/>
          <w:szCs w:val="36"/>
          <w:highlight w:val="none"/>
        </w:rPr>
      </w:pPr>
      <w:r>
        <w:rPr>
          <w:rFonts w:hint="eastAsia" w:ascii="宋体" w:hAnsi="宋体" w:cs="宋体"/>
          <w:sz w:val="36"/>
          <w:szCs w:val="36"/>
          <w:highlight w:val="none"/>
        </w:rPr>
        <w:t xml:space="preserve">采 购 人：江苏省特种设备安全监督检验研究院</w:t>
      </w:r>
      <w:r>
        <w:rPr>
          <w:rFonts w:hint="eastAsia" w:ascii="宋体" w:hAnsi="宋体" w:cs="宋体"/>
          <w:sz w:val="36"/>
          <w:szCs w:val="36"/>
          <w:highlight w:val="none"/>
        </w:rPr>
      </w:r>
      <w:r/>
    </w:p>
    <w:p>
      <w:pPr>
        <w:pStyle w:val="919"/>
        <w:ind w:left="2503" w:hanging="1663"/>
        <w:jc w:val="left"/>
        <w:spacing w:line="360" w:lineRule="auto"/>
        <w:rPr>
          <w:rFonts w:ascii="宋体" w:hAnsi="宋体" w:cs="宋体"/>
          <w:sz w:val="36"/>
          <w:szCs w:val="36"/>
          <w:highlight w:val="none"/>
        </w:rPr>
      </w:pPr>
      <w:r>
        <w:rPr>
          <w:rFonts w:hint="eastAsia" w:ascii="宋体" w:hAnsi="宋体" w:cs="宋体"/>
          <w:sz w:val="36"/>
          <w:szCs w:val="36"/>
          <w:highlight w:val="none"/>
        </w:rPr>
        <w:t xml:space="preserve">采购类别：货物类</w:t>
      </w:r>
      <w:r>
        <w:rPr>
          <w:rFonts w:ascii="宋体" w:hAnsi="宋体" w:cs="宋体"/>
          <w:sz w:val="36"/>
          <w:szCs w:val="36"/>
          <w:highlight w:val="none"/>
        </w:rPr>
      </w:r>
      <w:r/>
    </w:p>
    <w:p>
      <w:pPr>
        <w:pStyle w:val="919"/>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919"/>
        <w:spacing w:line="360" w:lineRule="auto"/>
        <w:rPr>
          <w:rFonts w:hint="eastAsia" w:ascii="宋体" w:hAnsi="宋体" w:cs="宋体"/>
          <w:sz w:val="36"/>
          <w:szCs w:val="36"/>
          <w:highlight w:val="none"/>
        </w:rPr>
      </w:pPr>
      <w:r>
        <w:rPr>
          <w:rFonts w:hint="eastAsia" w:ascii="宋体" w:hAnsi="宋体" w:cs="宋体"/>
          <w:sz w:val="36"/>
          <w:szCs w:val="36"/>
          <w:highlight w:val="none"/>
        </w:rPr>
      </w:r>
      <w:r/>
    </w:p>
    <w:p>
      <w:pPr>
        <w:pStyle w:val="919"/>
        <w:ind w:left="1797" w:hanging="957"/>
        <w:spacing w:line="360" w:lineRule="auto"/>
        <w:rPr>
          <w:rFonts w:hint="eastAsia" w:ascii="宋体" w:hAnsi="宋体" w:cs="宋体"/>
          <w:highlight w:val="none"/>
        </w:rPr>
      </w:pPr>
      <w:r>
        <w:rPr>
          <w:rFonts w:hint="eastAsia" w:ascii="宋体" w:hAnsi="宋体" w:cs="宋体"/>
          <w:sz w:val="36"/>
          <w:szCs w:val="36"/>
          <w:highlight w:val="none"/>
        </w:rPr>
        <w:t xml:space="preserve">采购代理机构：江苏海外集团国际工程咨询有限公司</w:t>
      </w:r>
      <w:r>
        <w:rPr>
          <w:rFonts w:hint="eastAsia" w:ascii="宋体" w:hAnsi="宋体" w:cs="宋体"/>
          <w:highlight w:val="none"/>
        </w:rPr>
      </w:r>
      <w:r/>
    </w:p>
    <w:p>
      <w:pPr>
        <w:pStyle w:val="919"/>
        <w:jc w:val="center"/>
        <w:spacing w:line="360" w:lineRule="auto"/>
        <w:rPr>
          <w:rFonts w:hint="eastAsia" w:ascii="宋体" w:hAnsi="宋体" w:cs="宋体"/>
          <w:sz w:val="30"/>
          <w:szCs w:val="30"/>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cs="宋体"/>
          <w:spacing w:val="30"/>
          <w:sz w:val="32"/>
          <w:szCs w:val="32"/>
          <w:highlight w:val="none"/>
        </w:rPr>
        <w:t xml:space="preserve">二〇二六年</w:t>
      </w:r>
      <w:r>
        <w:rPr>
          <w:rFonts w:hint="eastAsia" w:ascii="宋体" w:hAnsi="宋体" w:cs="宋体"/>
          <w:spacing w:val="30"/>
          <w:sz w:val="32"/>
          <w:szCs w:val="32"/>
          <w:highlight w:val="none"/>
          <w:lang w:val="en-US" w:eastAsia="zh-CN"/>
        </w:rPr>
        <w:t xml:space="preserve">九</w:t>
      </w:r>
      <w:r>
        <w:rPr>
          <w:rFonts w:hint="eastAsia" w:ascii="宋体" w:hAnsi="宋体" w:cs="宋体"/>
          <w:spacing w:val="30"/>
          <w:sz w:val="32"/>
          <w:szCs w:val="32"/>
          <w:highlight w:val="none"/>
        </w:rPr>
        <w:t xml:space="preserve">月</w:t>
      </w:r>
      <w:r>
        <w:rPr>
          <w:rFonts w:hint="eastAsia" w:ascii="宋体" w:hAnsi="宋体" w:cs="宋体"/>
          <w:sz w:val="30"/>
          <w:szCs w:val="30"/>
          <w:highlight w:val="none"/>
        </w:rPr>
      </w:r>
      <w:r/>
    </w:p>
    <w:p>
      <w:pPr>
        <w:pStyle w:val="919"/>
        <w:jc w:val="center"/>
        <w:spacing w:line="360" w:lineRule="auto"/>
        <w:rPr>
          <w:rFonts w:hint="eastAsia" w:ascii="宋体" w:hAnsi="宋体" w:cs="宋体"/>
          <w:sz w:val="36"/>
          <w:szCs w:val="44"/>
          <w:highlight w:val="none"/>
        </w:rPr>
      </w:pPr>
      <w:r/>
      <w:bookmarkStart w:id="0" w:name="_Toc13812"/>
      <w:r>
        <w:rPr>
          <w:rFonts w:hint="eastAsia" w:ascii="宋体" w:hAnsi="宋体" w:cs="宋体"/>
          <w:sz w:val="36"/>
          <w:szCs w:val="44"/>
          <w:highlight w:val="none"/>
          <w:lang w:val="zh-CN"/>
        </w:rPr>
        <w:t xml:space="preserve">目录</w:t>
      </w:r>
      <w:bookmarkEnd w:id="0"/>
      <w:r>
        <w:rPr>
          <w:rFonts w:hint="eastAsia" w:ascii="宋体" w:hAnsi="宋体" w:cs="宋体"/>
          <w:sz w:val="36"/>
          <w:szCs w:val="44"/>
          <w:highlight w:val="none"/>
        </w:rPr>
      </w:r>
      <w:r/>
    </w:p>
    <w:p>
      <w:pPr>
        <w:pStyle w:val="971"/>
        <w:spacing w:line="360" w:lineRule="auto"/>
        <w:tabs>
          <w:tab w:val="right" w:pos="8296" w:leader="dot"/>
        </w:tabs>
        <w:rPr>
          <w:rFonts w:hint="eastAsia" w:ascii="宋体" w:hAnsi="宋体" w:cs="宋体"/>
          <w:sz w:val="28"/>
          <w:szCs w:val="28"/>
          <w:highlight w:val="none"/>
        </w:rPr>
      </w:pPr>
      <w:r>
        <w:rPr>
          <w:rFonts w:hint="eastAsia" w:ascii="宋体" w:hAnsi="宋体" w:cs="宋体"/>
          <w:sz w:val="28"/>
          <w:szCs w:val="28"/>
          <w:highlight w:val="none"/>
        </w:rPr>
      </w:r>
      <w:r/>
    </w:p>
    <w:p>
      <w:pPr>
        <w:pStyle w:val="971"/>
        <w:tabs>
          <w:tab w:val="right" w:pos="8506" w:leader="dot"/>
        </w:tabs>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rFonts w:hint="eastAsia" w:ascii="宋体" w:hAnsi="宋体" w:cs="宋体"/>
          <w:szCs w:val="28"/>
          <w:highlight w:val="none"/>
        </w:rPr>
        <w:fldChar w:fldCharType="begin"/>
      </w:r>
      <w:r>
        <w:rPr>
          <w:rFonts w:hint="eastAsia" w:ascii="宋体" w:hAnsi="宋体" w:cs="宋体"/>
          <w:szCs w:val="28"/>
          <w:highlight w:val="none"/>
        </w:rPr>
        <w:instrText xml:space="preserve"> HYPERLINK \l _Toc7340 </w:instrText>
      </w:r>
      <w:r>
        <w:rPr>
          <w:rFonts w:hint="eastAsia" w:ascii="宋体" w:hAnsi="宋体" w:cs="宋体"/>
          <w:szCs w:val="28"/>
          <w:highlight w:val="none"/>
        </w:rPr>
        <w:fldChar w:fldCharType="separate"/>
      </w:r>
      <w:r>
        <w:rPr>
          <w:rFonts w:hint="eastAsia" w:ascii="宋体" w:hAnsi="宋体" w:cs="宋体"/>
          <w:highlight w:val="none"/>
        </w:rPr>
        <w:t xml:space="preserve">第一章 招标公告</w:t>
      </w:r>
      <w:r>
        <w:tab/>
      </w:r>
      <w:r>
        <w:fldChar w:fldCharType="begin"/>
      </w:r>
      <w:r>
        <w:instrText xml:space="preserve"> PAGEREF _Toc7340 \h </w:instrText>
      </w:r>
      <w:r>
        <w:fldChar w:fldCharType="separate"/>
      </w:r>
      <w:r>
        <w:t xml:space="preserve">- 2 -</w:t>
      </w:r>
      <w:r>
        <w:fldChar w:fldCharType="end"/>
      </w:r>
      <w:r>
        <w:rPr>
          <w:rFonts w:hint="eastAsia" w:ascii="宋体" w:hAnsi="宋体" w:cs="宋体"/>
          <w:szCs w:val="28"/>
          <w:highlight w:val="none"/>
        </w:rPr>
        <w:fldChar w:fldCharType="end"/>
      </w:r>
      <w:r/>
    </w:p>
    <w:p>
      <w:pPr>
        <w:pStyle w:val="971"/>
        <w:tabs>
          <w:tab w:val="right" w:pos="8506" w:leader="dot"/>
        </w:tabs>
      </w:pPr>
      <w:r>
        <w:rPr>
          <w:rFonts w:hint="eastAsia" w:ascii="宋体" w:hAnsi="宋体" w:cs="宋体"/>
          <w:szCs w:val="28"/>
          <w:highlight w:val="none"/>
        </w:rPr>
        <w:fldChar w:fldCharType="begin"/>
      </w:r>
      <w:r>
        <w:rPr>
          <w:rFonts w:hint="eastAsia" w:ascii="宋体" w:hAnsi="宋体" w:cs="宋体"/>
          <w:szCs w:val="28"/>
          <w:highlight w:val="none"/>
        </w:rPr>
        <w:instrText xml:space="preserve"> HYPERLINK \l _Toc26859 </w:instrText>
      </w:r>
      <w:r>
        <w:rPr>
          <w:rFonts w:hint="eastAsia" w:ascii="宋体" w:hAnsi="宋体" w:cs="宋体"/>
          <w:szCs w:val="28"/>
          <w:highlight w:val="none"/>
        </w:rPr>
        <w:fldChar w:fldCharType="separate"/>
      </w:r>
      <w:r>
        <w:rPr>
          <w:rFonts w:hint="eastAsia" w:ascii="宋体" w:hAnsi="宋体" w:eastAsia="宋体" w:cs="宋体"/>
          <w:highlight w:val="none"/>
        </w:rPr>
        <w:t xml:space="preserve">第二章 投标人须知</w:t>
      </w:r>
      <w:r>
        <w:tab/>
      </w:r>
      <w:r>
        <w:fldChar w:fldCharType="begin"/>
      </w:r>
      <w:r>
        <w:instrText xml:space="preserve"> PAGEREF _Toc26859 \h </w:instrText>
      </w:r>
      <w:r>
        <w:fldChar w:fldCharType="separate"/>
      </w:r>
      <w:r>
        <w:t xml:space="preserve">- 6 -</w:t>
      </w:r>
      <w:r>
        <w:fldChar w:fldCharType="end"/>
      </w:r>
      <w:r>
        <w:rPr>
          <w:rFonts w:hint="eastAsia" w:ascii="宋体" w:hAnsi="宋体" w:cs="宋体"/>
          <w:szCs w:val="28"/>
          <w:highlight w:val="none"/>
        </w:rPr>
        <w:fldChar w:fldCharType="end"/>
      </w:r>
      <w:r/>
    </w:p>
    <w:p>
      <w:pPr>
        <w:pStyle w:val="971"/>
        <w:tabs>
          <w:tab w:val="right" w:pos="8506" w:leader="dot"/>
        </w:tabs>
      </w:pPr>
      <w:r>
        <w:rPr>
          <w:rFonts w:hint="eastAsia" w:ascii="宋体" w:hAnsi="宋体" w:cs="宋体"/>
          <w:szCs w:val="28"/>
          <w:highlight w:val="none"/>
        </w:rPr>
        <w:fldChar w:fldCharType="begin"/>
      </w:r>
      <w:r>
        <w:rPr>
          <w:rFonts w:hint="eastAsia" w:ascii="宋体" w:hAnsi="宋体" w:cs="宋体"/>
          <w:szCs w:val="28"/>
          <w:highlight w:val="none"/>
        </w:rPr>
        <w:instrText xml:space="preserve"> HYPERLINK \l _Toc5614 </w:instrText>
      </w:r>
      <w:r>
        <w:rPr>
          <w:rFonts w:hint="eastAsia" w:ascii="宋体" w:hAnsi="宋体" w:cs="宋体"/>
          <w:szCs w:val="28"/>
          <w:highlight w:val="none"/>
        </w:rPr>
        <w:fldChar w:fldCharType="separate"/>
      </w:r>
      <w:r>
        <w:rPr>
          <w:rFonts w:hint="eastAsia" w:ascii="宋体" w:hAnsi="宋体" w:cs="宋体"/>
          <w:highlight w:val="none"/>
        </w:rPr>
        <w:t xml:space="preserve">第三章 评标标准</w:t>
      </w:r>
      <w:r>
        <w:tab/>
      </w:r>
      <w:r>
        <w:fldChar w:fldCharType="begin"/>
      </w:r>
      <w:r>
        <w:instrText xml:space="preserve"> PAGEREF _Toc5614 \h </w:instrText>
      </w:r>
      <w:r>
        <w:fldChar w:fldCharType="separate"/>
      </w:r>
      <w:r>
        <w:t xml:space="preserve">- 20 -</w:t>
      </w:r>
      <w:r>
        <w:fldChar w:fldCharType="end"/>
      </w:r>
      <w:r>
        <w:rPr>
          <w:rFonts w:hint="eastAsia" w:ascii="宋体" w:hAnsi="宋体" w:cs="宋体"/>
          <w:szCs w:val="28"/>
          <w:highlight w:val="none"/>
        </w:rPr>
        <w:fldChar w:fldCharType="end"/>
      </w:r>
      <w:r/>
    </w:p>
    <w:p>
      <w:pPr>
        <w:pStyle w:val="971"/>
        <w:tabs>
          <w:tab w:val="right" w:pos="8506" w:leader="dot"/>
        </w:tabs>
      </w:pPr>
      <w:r>
        <w:rPr>
          <w:rFonts w:hint="eastAsia" w:ascii="宋体" w:hAnsi="宋体" w:cs="宋体"/>
          <w:szCs w:val="28"/>
          <w:highlight w:val="none"/>
        </w:rPr>
        <w:fldChar w:fldCharType="begin"/>
      </w:r>
      <w:r>
        <w:rPr>
          <w:rFonts w:hint="eastAsia" w:ascii="宋体" w:hAnsi="宋体" w:cs="宋体"/>
          <w:szCs w:val="28"/>
          <w:highlight w:val="none"/>
        </w:rPr>
        <w:instrText xml:space="preserve"> HYPERLINK \l _Toc18961 </w:instrText>
      </w:r>
      <w:r>
        <w:rPr>
          <w:rFonts w:hint="eastAsia" w:ascii="宋体" w:hAnsi="宋体" w:cs="宋体"/>
          <w:szCs w:val="28"/>
          <w:highlight w:val="none"/>
        </w:rPr>
        <w:fldChar w:fldCharType="separate"/>
      </w:r>
      <w:r>
        <w:rPr>
          <w:rFonts w:hint="eastAsia" w:ascii="宋体" w:hAnsi="宋体" w:cs="宋体"/>
          <w:highlight w:val="none"/>
        </w:rPr>
        <w:t xml:space="preserve">第四章 采购需求</w:t>
      </w:r>
      <w:r>
        <w:tab/>
      </w:r>
      <w:r>
        <w:fldChar w:fldCharType="begin"/>
      </w:r>
      <w:r>
        <w:instrText xml:space="preserve"> PAGEREF _Toc18961 \h </w:instrText>
      </w:r>
      <w:r>
        <w:fldChar w:fldCharType="separate"/>
      </w:r>
      <w:r>
        <w:t xml:space="preserve">- 31 -</w:t>
      </w:r>
      <w:r>
        <w:fldChar w:fldCharType="end"/>
      </w:r>
      <w:r>
        <w:rPr>
          <w:rFonts w:hint="eastAsia" w:ascii="宋体" w:hAnsi="宋体" w:cs="宋体"/>
          <w:szCs w:val="28"/>
          <w:highlight w:val="none"/>
        </w:rPr>
        <w:fldChar w:fldCharType="end"/>
      </w:r>
      <w:r/>
    </w:p>
    <w:p>
      <w:pPr>
        <w:pStyle w:val="971"/>
        <w:tabs>
          <w:tab w:val="right" w:pos="8506" w:leader="dot"/>
        </w:tabs>
      </w:pPr>
      <w:r>
        <w:rPr>
          <w:rFonts w:hint="eastAsia" w:ascii="宋体" w:hAnsi="宋体" w:cs="宋体"/>
          <w:szCs w:val="28"/>
          <w:highlight w:val="none"/>
        </w:rPr>
        <w:fldChar w:fldCharType="begin"/>
      </w:r>
      <w:r>
        <w:rPr>
          <w:rFonts w:hint="eastAsia" w:ascii="宋体" w:hAnsi="宋体" w:cs="宋体"/>
          <w:szCs w:val="28"/>
          <w:highlight w:val="none"/>
        </w:rPr>
        <w:instrText xml:space="preserve"> HYPERLINK \l _Toc27349 </w:instrText>
      </w:r>
      <w:r>
        <w:rPr>
          <w:rFonts w:hint="eastAsia" w:ascii="宋体" w:hAnsi="宋体" w:cs="宋体"/>
          <w:szCs w:val="28"/>
          <w:highlight w:val="none"/>
        </w:rPr>
        <w:fldChar w:fldCharType="separate"/>
      </w:r>
      <w:r>
        <w:rPr>
          <w:rFonts w:hint="eastAsia" w:ascii="宋体" w:hAnsi="宋体" w:cs="宋体"/>
          <w:highlight w:val="none"/>
        </w:rPr>
        <w:t xml:space="preserve">第五章 拟签订的合同文本</w:t>
      </w:r>
      <w:r>
        <w:tab/>
      </w:r>
      <w:r>
        <w:fldChar w:fldCharType="begin"/>
      </w:r>
      <w:r>
        <w:instrText xml:space="preserve"> PAGEREF _Toc27349 \h </w:instrText>
      </w:r>
      <w:r>
        <w:fldChar w:fldCharType="separate"/>
      </w:r>
      <w:r>
        <w:t xml:space="preserve">- 56 -</w:t>
      </w:r>
      <w:r>
        <w:fldChar w:fldCharType="end"/>
      </w:r>
      <w:r>
        <w:rPr>
          <w:rFonts w:hint="eastAsia" w:ascii="宋体" w:hAnsi="宋体" w:cs="宋体"/>
          <w:szCs w:val="28"/>
          <w:highlight w:val="none"/>
        </w:rPr>
        <w:fldChar w:fldCharType="end"/>
      </w:r>
      <w:r/>
    </w:p>
    <w:p>
      <w:pPr>
        <w:pStyle w:val="971"/>
        <w:tabs>
          <w:tab w:val="right" w:pos="8506" w:leader="dot"/>
        </w:tabs>
      </w:pPr>
      <w:r>
        <w:rPr>
          <w:rFonts w:hint="eastAsia" w:ascii="宋体" w:hAnsi="宋体" w:cs="宋体"/>
          <w:szCs w:val="28"/>
          <w:highlight w:val="none"/>
        </w:rPr>
        <w:fldChar w:fldCharType="begin"/>
      </w:r>
      <w:r>
        <w:rPr>
          <w:rFonts w:hint="eastAsia" w:ascii="宋体" w:hAnsi="宋体" w:cs="宋体"/>
          <w:szCs w:val="28"/>
          <w:highlight w:val="none"/>
        </w:rPr>
        <w:instrText xml:space="preserve"> HYPERLINK \l _Toc17651 </w:instrText>
      </w:r>
      <w:r>
        <w:rPr>
          <w:rFonts w:hint="eastAsia" w:ascii="宋体" w:hAnsi="宋体" w:cs="宋体"/>
          <w:szCs w:val="28"/>
          <w:highlight w:val="none"/>
        </w:rPr>
        <w:fldChar w:fldCharType="separate"/>
      </w:r>
      <w:r>
        <w:rPr>
          <w:rFonts w:hint="eastAsia" w:ascii="宋体" w:hAnsi="宋体" w:cs="宋体"/>
          <w:highlight w:val="none"/>
        </w:rPr>
        <w:t xml:space="preserve">第六章 投标文件格式</w:t>
      </w:r>
      <w:r>
        <w:tab/>
      </w:r>
      <w:r>
        <w:fldChar w:fldCharType="begin"/>
      </w:r>
      <w:r>
        <w:instrText xml:space="preserve"> PAGEREF _Toc17651 \h </w:instrText>
      </w:r>
      <w:r>
        <w:fldChar w:fldCharType="separate"/>
      </w:r>
      <w:r>
        <w:t xml:space="preserve">- 63 -</w:t>
      </w:r>
      <w:r>
        <w:fldChar w:fldCharType="end"/>
      </w:r>
      <w:r>
        <w:rPr>
          <w:rFonts w:hint="eastAsia" w:ascii="宋体" w:hAnsi="宋体" w:cs="宋体"/>
          <w:szCs w:val="28"/>
          <w:highlight w:val="none"/>
        </w:rPr>
        <w:fldChar w:fldCharType="end"/>
      </w:r>
      <w:r/>
    </w:p>
    <w:p>
      <w:pPr>
        <w:pStyle w:val="919"/>
        <w:spacing w:line="360" w:lineRule="auto"/>
        <w:rPr>
          <w:rFonts w:hint="eastAsia" w:ascii="宋体" w:hAnsi="宋体" w:cs="宋体"/>
          <w:sz w:val="28"/>
          <w:szCs w:val="28"/>
          <w:highlight w:val="none"/>
        </w:rPr>
      </w:pPr>
      <w:r>
        <w:rPr>
          <w:rFonts w:hint="eastAsia" w:ascii="宋体" w:hAnsi="宋体" w:cs="宋体"/>
          <w:szCs w:val="28"/>
          <w:highlight w:val="none"/>
        </w:rPr>
        <w:fldChar w:fldCharType="end"/>
      </w:r>
      <w:r>
        <w:rPr>
          <w:rFonts w:hint="eastAsia" w:ascii="宋体" w:hAnsi="宋体" w:cs="宋体"/>
          <w:sz w:val="28"/>
          <w:szCs w:val="28"/>
          <w:highlight w:val="none"/>
        </w:rPr>
      </w:r>
      <w:r/>
    </w:p>
    <w:p>
      <w:pPr>
        <w:pStyle w:val="919"/>
        <w:jc w:val="center"/>
        <w:spacing w:line="360" w:lineRule="auto"/>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920"/>
        <w:spacing w:line="360" w:lineRule="auto"/>
        <w:rPr>
          <w:rFonts w:hint="eastAsia" w:ascii="宋体" w:hAnsi="宋体" w:cs="宋体"/>
          <w:szCs w:val="21"/>
          <w:highlight w:val="none"/>
        </w:rPr>
        <w:sectPr>
          <w:headerReference w:type="default" r:id="rId12"/>
          <w:footerReference w:type="default" r:id="rId16"/>
          <w:footerReference w:type="first" r:id="rId17"/>
          <w:footnotePr/>
          <w:endnotePr/>
          <w:type w:val="nextPage"/>
          <w:pgSz w:w="11906" w:h="16838" w:orient="portrait"/>
          <w:pgMar w:top="1440" w:right="1800" w:bottom="1440" w:left="1600" w:header="851" w:footer="992" w:gutter="0"/>
          <w:pgNumType w:start="1"/>
          <w:cols w:num="1" w:sep="0" w:space="1701" w:equalWidth="1"/>
          <w:docGrid w:linePitch="360"/>
          <w:titlePg/>
        </w:sectPr>
      </w:pPr>
      <w:r/>
      <w:bookmarkStart w:id="1" w:name="_Toc481057143"/>
      <w:r>
        <w:rPr>
          <w:rFonts w:hint="eastAsia" w:ascii="宋体" w:hAnsi="宋体" w:cs="宋体"/>
          <w:szCs w:val="21"/>
          <w:highlight w:val="none"/>
        </w:rPr>
      </w:r>
      <w:r/>
    </w:p>
    <w:p>
      <w:pPr>
        <w:pStyle w:val="920"/>
        <w:numPr>
          <w:ilvl w:val="0"/>
          <w:numId w:val="0"/>
        </w:numPr>
        <w:spacing w:line="360" w:lineRule="auto"/>
        <w:rPr>
          <w:rFonts w:hint="eastAsia" w:ascii="宋体" w:hAnsi="宋体" w:cs="宋体"/>
          <w:szCs w:val="21"/>
          <w:highlight w:val="none"/>
        </w:rPr>
      </w:pPr>
      <w:r/>
      <w:bookmarkStart w:id="2" w:name="_Toc10504"/>
      <w:r/>
      <w:bookmarkStart w:id="3" w:name="_Toc43902848"/>
      <w:r/>
      <w:bookmarkStart w:id="4" w:name="_Toc7340"/>
      <w:r>
        <w:rPr>
          <w:rFonts w:hint="eastAsia" w:ascii="宋体" w:hAnsi="宋体" w:cs="宋体"/>
          <w:highlight w:val="none"/>
        </w:rPr>
        <w:t xml:space="preserve">第一章 招标公告</w:t>
      </w:r>
      <w:bookmarkEnd w:id="1"/>
      <w:r/>
      <w:bookmarkEnd w:id="2"/>
      <w:r/>
      <w:bookmarkEnd w:id="3"/>
      <w:r/>
      <w:bookmarkEnd w:id="4"/>
      <w:r>
        <w:rPr>
          <w:rFonts w:hint="eastAsia" w:ascii="宋体" w:hAnsi="宋体" w:cs="宋体"/>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919"/>
              <w:jc w:val="left"/>
              <w:spacing w:line="360" w:lineRule="auto"/>
              <w:rPr>
                <w:rFonts w:hint="eastAsia" w:ascii="宋体" w:hAnsi="宋体" w:cs="宋体"/>
                <w:b/>
                <w:bCs/>
                <w:sz w:val="24"/>
                <w:highlight w:val="none"/>
              </w:rPr>
              <w:pBdr>
                <w:top w:val="none" w:color="000000" w:sz="0" w:space="1"/>
                <w:left w:val="none" w:color="000000" w:sz="0" w:space="4"/>
                <w:bottom w:val="none" w:color="000000" w:sz="0" w:space="1"/>
                <w:right w:val="none" w:color="000000" w:sz="0" w:space="4"/>
              </w:pBdr>
            </w:pPr>
            <w:r>
              <w:rPr>
                <w:rFonts w:hint="eastAsia" w:ascii="宋体" w:hAnsi="宋体" w:cs="宋体"/>
                <w:b/>
                <w:bCs/>
                <w:sz w:val="24"/>
                <w:highlight w:val="none"/>
              </w:rPr>
              <w:t xml:space="preserve">项目概况：</w:t>
            </w:r>
            <w:r>
              <w:rPr>
                <w:rFonts w:hint="eastAsia" w:ascii="宋体" w:hAnsi="宋体" w:cs="宋体"/>
                <w:b/>
                <w:bCs/>
                <w:sz w:val="24"/>
                <w:highlight w:val="none"/>
              </w:rPr>
            </w:r>
            <w:r/>
          </w:p>
          <w:p>
            <w:pPr>
              <w:pStyle w:val="919"/>
              <w:ind w:firstLine="420"/>
              <w:spacing w:line="360" w:lineRule="auto"/>
              <w:rPr>
                <w:rFonts w:hint="eastAsia" w:ascii="宋体" w:hAnsi="宋体" w:cs="宋体"/>
                <w:highlight w:val="none"/>
              </w:rPr>
            </w:pPr>
            <w:r>
              <w:rPr>
                <w:rFonts w:hint="eastAsia" w:ascii="宋体" w:hAnsi="宋体" w:cs="宋体"/>
                <w:highlight w:val="none"/>
              </w:rPr>
              <w:t xml:space="preserve">江苏省特检院劳保服装采购（</w:t>
            </w:r>
            <w:r>
              <w:rPr>
                <w:rFonts w:hint="eastAsia" w:ascii="宋体" w:hAnsi="宋体" w:cs="宋体"/>
                <w:highlight w:val="none"/>
                <w:u w:val="single"/>
              </w:rPr>
              <w:t xml:space="preserve">项目编号：JSZC-320000-HWZX-G2026-0485</w:t>
            </w:r>
            <w:r>
              <w:rPr>
                <w:rFonts w:hint="eastAsia" w:ascii="宋体" w:hAnsi="宋体" w:cs="宋体"/>
                <w:highlight w:val="none"/>
              </w:rPr>
              <w:t xml:space="preserve">）招标项目的潜在投标人应在</w:t>
            </w:r>
            <w:r>
              <w:rPr>
                <w:rFonts w:hint="eastAsia" w:ascii="宋体" w:hAnsi="宋体" w:cs="宋体"/>
                <w:highlight w:val="none"/>
                <w:u w:val="single"/>
              </w:rPr>
              <w:t xml:space="preserve">江苏省政府采购交易系统（以下简称“苏采云”系统）</w:t>
            </w:r>
            <w:r>
              <w:rPr>
                <w:rFonts w:hint="eastAsia" w:ascii="宋体" w:hAnsi="宋体" w:cs="宋体"/>
                <w:highlight w:val="none"/>
              </w:rPr>
              <w:t xml:space="preserve">获取招标文件，并于</w:t>
            </w:r>
            <w:r>
              <w:rPr>
                <w:rFonts w:hint="eastAsia" w:ascii="宋体" w:hAnsi="宋体" w:cs="宋体"/>
                <w:highlight w:val="none"/>
                <w:u w:val="single"/>
              </w:rPr>
              <w:t xml:space="preserve">2026年10月</w:t>
            </w:r>
            <w:r>
              <w:rPr>
                <w:rFonts w:hint="eastAsia" w:ascii="宋体" w:hAnsi="宋体" w:cs="宋体"/>
                <w:highlight w:val="none"/>
                <w:u w:val="single"/>
                <w:lang w:val="en-US" w:eastAsia="zh-CN"/>
              </w:rPr>
              <w:t xml:space="preserve">21</w:t>
            </w:r>
            <w:r>
              <w:rPr>
                <w:rFonts w:hint="eastAsia" w:ascii="宋体" w:hAnsi="宋体" w:cs="宋体"/>
                <w:highlight w:val="none"/>
                <w:u w:val="single"/>
              </w:rPr>
              <w:t xml:space="preserve">日</w:t>
            </w:r>
            <w:r>
              <w:rPr>
                <w:rFonts w:hint="eastAsia" w:ascii="宋体" w:hAnsi="宋体" w:cs="宋体"/>
                <w:highlight w:val="none"/>
                <w:u w:val="single"/>
                <w:lang w:val="en-US" w:eastAsia="zh-CN"/>
              </w:rPr>
              <w:t xml:space="preserve">9</w:t>
            </w:r>
            <w:r>
              <w:rPr>
                <w:rFonts w:hint="eastAsia" w:ascii="宋体" w:hAnsi="宋体" w:cs="宋体"/>
                <w:highlight w:val="none"/>
                <w:u w:val="single"/>
              </w:rPr>
              <w:t xml:space="preserve">:</w:t>
            </w:r>
            <w:r>
              <w:rPr>
                <w:rFonts w:hint="eastAsia" w:ascii="宋体" w:hAnsi="宋体" w:cs="宋体"/>
                <w:highlight w:val="none"/>
                <w:u w:val="single"/>
                <w:lang w:val="en-US" w:eastAsia="zh-CN"/>
              </w:rPr>
              <w:t xml:space="preserve">3</w:t>
            </w:r>
            <w:r>
              <w:rPr>
                <w:rFonts w:hint="eastAsia" w:ascii="宋体" w:hAnsi="宋体" w:cs="宋体"/>
                <w:highlight w:val="none"/>
                <w:u w:val="single"/>
              </w:rPr>
              <w:t xml:space="preserve">0（北京时间）</w:t>
            </w:r>
            <w:r>
              <w:rPr>
                <w:rFonts w:hint="eastAsia" w:ascii="宋体" w:hAnsi="宋体" w:cs="宋体"/>
                <w:highlight w:val="none"/>
              </w:rPr>
              <w:t xml:space="preserve">前递交投标文件。</w:t>
            </w:r>
            <w:r>
              <w:rPr>
                <w:rFonts w:hint="eastAsia" w:ascii="宋体" w:hAnsi="宋体" w:cs="宋体"/>
                <w:highlight w:val="none"/>
              </w:rPr>
            </w:r>
            <w:r/>
          </w:p>
        </w:tc>
      </w:tr>
    </w:tbl>
    <w:p>
      <w:pPr>
        <w:pStyle w:val="919"/>
        <w:spacing w:line="360" w:lineRule="auto"/>
        <w:widowControl/>
        <w:rPr>
          <w:rFonts w:hint="eastAsia" w:ascii="宋体" w:hAnsi="宋体" w:cs="宋体"/>
          <w:spacing w:val="8"/>
          <w:sz w:val="24"/>
          <w:highlight w:val="none"/>
        </w:rPr>
      </w:pPr>
      <w:r>
        <w:rPr>
          <w:rFonts w:hint="eastAsia" w:ascii="宋体" w:hAnsi="宋体" w:cs="宋体"/>
          <w:spacing w:val="8"/>
          <w:sz w:val="24"/>
          <w:highlight w:val="none"/>
        </w:rPr>
        <w:t xml:space="preserve"> </w:t>
      </w:r>
      <w:r>
        <w:rPr>
          <w:rFonts w:hint="eastAsia" w:ascii="宋体" w:hAnsi="宋体" w:cs="宋体"/>
          <w:spacing w:val="8"/>
          <w:sz w:val="24"/>
          <w:highlight w:val="none"/>
        </w:rPr>
      </w:r>
      <w:r/>
    </w:p>
    <w:p>
      <w:pPr>
        <w:pStyle w:val="919"/>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一、项目基本情况</w:t>
      </w:r>
      <w:r>
        <w:rPr>
          <w:rFonts w:hint="eastAsia" w:ascii="宋体" w:hAnsi="宋体" w:cs="宋体"/>
          <w:b/>
          <w:spacing w:val="8"/>
          <w:sz w:val="24"/>
          <w:highlight w:val="none"/>
        </w:rPr>
      </w:r>
      <w:r/>
    </w:p>
    <w:p>
      <w:pPr>
        <w:pStyle w:val="919"/>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1.项目编号：JSZC-320000-HWZX-G2026-0485</w:t>
      </w:r>
      <w:r>
        <w:rPr>
          <w:rFonts w:hint="eastAsia" w:ascii="宋体" w:hAnsi="宋体" w:cs="宋体"/>
          <w:spacing w:val="8"/>
          <w:szCs w:val="21"/>
          <w:highlight w:val="none"/>
        </w:rPr>
      </w:r>
      <w:r/>
    </w:p>
    <w:p>
      <w:pPr>
        <w:pStyle w:val="919"/>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2.项目名称：江苏省特检院劳保服装采购</w:t>
      </w:r>
      <w:r>
        <w:rPr>
          <w:rFonts w:hint="eastAsia" w:ascii="宋体" w:hAnsi="宋体" w:cs="宋体"/>
          <w:spacing w:val="8"/>
          <w:szCs w:val="21"/>
          <w:highlight w:val="none"/>
        </w:rPr>
      </w:r>
      <w:r/>
    </w:p>
    <w:p>
      <w:pPr>
        <w:pStyle w:val="919"/>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3.预算金额：人民币2065380元</w:t>
      </w:r>
      <w:r>
        <w:rPr>
          <w:rFonts w:hint="eastAsia" w:ascii="宋体" w:hAnsi="宋体" w:cs="宋体"/>
          <w:spacing w:val="8"/>
          <w:szCs w:val="21"/>
          <w:highlight w:val="none"/>
        </w:rPr>
      </w:r>
      <w:r/>
    </w:p>
    <w:p>
      <w:pPr>
        <w:pStyle w:val="919"/>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4.最高限价：人民币2065380元，且单套服装不得超过“表1-1 采购需求一览表”中“单价预算”，投标总价超过最高限价或投标报价超过任一分项单价限价的，按无效投标处理。</w:t>
      </w:r>
      <w:r>
        <w:rPr>
          <w:rFonts w:hint="eastAsia" w:ascii="宋体" w:hAnsi="宋体" w:cs="宋体"/>
          <w:spacing w:val="8"/>
          <w:szCs w:val="21"/>
          <w:highlight w:val="none"/>
        </w:rPr>
      </w:r>
      <w:r/>
    </w:p>
    <w:p>
      <w:pPr>
        <w:pStyle w:val="919"/>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5.采购需求：江苏省特种设备安全监督检验研究院拟对劳保服装进行采购。本项目为1个采购分包（标段），采购内容包含茄克式长袖套装（夏季劳保服）、茄克式长袖套装（春秋季劳保服）、冲锋衣防寒服 （冬季劳保服）、连帽连体劳保服（春秋季连体劳保服）及相关服务。本项目合同期限内，各品类服装单价不变，具体技术参数详见第四章采购需求。</w:t>
      </w:r>
      <w:r>
        <w:rPr>
          <w:rFonts w:hint="eastAsia" w:ascii="宋体" w:hAnsi="宋体" w:cs="宋体"/>
          <w:spacing w:val="8"/>
          <w:szCs w:val="21"/>
          <w:highlight w:val="none"/>
        </w:rPr>
      </w:r>
      <w:r/>
    </w:p>
    <w:p>
      <w:pPr>
        <w:pStyle w:val="919"/>
        <w:jc w:val="center"/>
        <w:spacing w:line="360" w:lineRule="auto"/>
        <w:widowControl/>
        <w:rPr>
          <w:rFonts w:hint="eastAsia" w:ascii="宋体" w:hAnsi="宋体" w:cs="宋体"/>
          <w:spacing w:val="8"/>
          <w:szCs w:val="21"/>
          <w:highlight w:val="none"/>
        </w:rPr>
      </w:pPr>
      <w:r>
        <w:rPr>
          <w:rFonts w:hint="eastAsia" w:ascii="宋体" w:hAnsi="宋体" w:cs="宋体"/>
          <w:b/>
          <w:bCs/>
          <w:spacing w:val="8"/>
          <w:szCs w:val="21"/>
          <w:highlight w:val="none"/>
        </w:rPr>
        <w:t xml:space="preserve">表1-1 采购需求一览表</w:t>
      </w:r>
      <w:r>
        <w:rPr>
          <w:rFonts w:hint="eastAsia" w:ascii="宋体" w:hAnsi="宋体" w:cs="宋体"/>
          <w:spacing w:val="8"/>
          <w:szCs w:val="21"/>
          <w:highlight w:val="none"/>
        </w:rPr>
      </w:r>
      <w:r/>
    </w:p>
    <w:tbl>
      <w:tblPr>
        <w:tblW w:w="484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2616"/>
        <w:gridCol w:w="1121"/>
        <w:gridCol w:w="1551"/>
        <w:gridCol w:w="1574"/>
        <w:gridCol w:w="1268"/>
        <w:gridCol w:w="761"/>
      </w:tblGrid>
      <w:tr>
        <w:trPr>
          <w:trHeight w:val="946"/>
        </w:trPr>
        <w:tc>
          <w:tcPr>
            <w:tcW w:w="390"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序号</w:t>
            </w:r>
            <w:r>
              <w:rPr>
                <w:rFonts w:hint="eastAsia" w:ascii="宋体" w:hAnsi="宋体" w:cs="宋体"/>
                <w:spacing w:val="8"/>
                <w:szCs w:val="21"/>
                <w:highlight w:val="none"/>
              </w:rPr>
            </w:r>
            <w:r/>
          </w:p>
        </w:tc>
        <w:tc>
          <w:tcPr>
            <w:tcW w:w="1355"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采购品目</w:t>
            </w:r>
            <w:r>
              <w:rPr>
                <w:rFonts w:hint="eastAsia" w:ascii="宋体" w:hAnsi="宋体" w:cs="宋体"/>
                <w:spacing w:val="8"/>
                <w:szCs w:val="21"/>
                <w:highlight w:val="none"/>
              </w:rPr>
            </w:r>
            <w:r/>
          </w:p>
        </w:tc>
        <w:tc>
          <w:tcPr>
            <w:tcW w:w="581"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数量</w:t>
            </w:r>
            <w:r>
              <w:rPr>
                <w:rFonts w:hint="eastAsia" w:ascii="宋体" w:hAnsi="宋体" w:cs="宋体"/>
                <w:spacing w:val="8"/>
                <w:szCs w:val="21"/>
                <w:highlight w:val="none"/>
              </w:rPr>
            </w:r>
            <w:r/>
          </w:p>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（套）</w:t>
            </w:r>
            <w:r>
              <w:rPr>
                <w:rFonts w:hint="eastAsia" w:ascii="宋体" w:hAnsi="宋体" w:cs="宋体"/>
                <w:spacing w:val="8"/>
                <w:szCs w:val="21"/>
                <w:highlight w:val="none"/>
              </w:rPr>
            </w:r>
            <w:r/>
          </w:p>
        </w:tc>
        <w:tc>
          <w:tcPr>
            <w:tcW w:w="804"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单价/限价</w:t>
            </w:r>
            <w:r>
              <w:rPr>
                <w:rFonts w:hint="eastAsia" w:ascii="宋体" w:hAnsi="宋体" w:cs="宋体"/>
                <w:spacing w:val="8"/>
                <w:szCs w:val="21"/>
                <w:highlight w:val="none"/>
              </w:rPr>
            </w:r>
            <w:r/>
          </w:p>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（元/套）</w:t>
            </w:r>
            <w:r>
              <w:rPr>
                <w:rFonts w:hint="eastAsia" w:ascii="宋体" w:hAnsi="宋体" w:cs="宋体"/>
                <w:spacing w:val="8"/>
                <w:szCs w:val="21"/>
                <w:highlight w:val="none"/>
              </w:rPr>
            </w:r>
            <w:r/>
          </w:p>
        </w:tc>
        <w:tc>
          <w:tcPr>
            <w:tcW w:w="816"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总价/限价</w:t>
            </w:r>
            <w:r>
              <w:rPr>
                <w:rFonts w:hint="eastAsia" w:ascii="宋体" w:hAnsi="宋体" w:cs="宋体"/>
                <w:spacing w:val="8"/>
                <w:szCs w:val="21"/>
                <w:highlight w:val="none"/>
              </w:rPr>
            </w:r>
            <w:r/>
          </w:p>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（元）</w:t>
            </w:r>
            <w:r>
              <w:rPr>
                <w:rFonts w:hint="eastAsia" w:ascii="宋体" w:hAnsi="宋体" w:cs="宋体"/>
                <w:spacing w:val="8"/>
                <w:szCs w:val="21"/>
                <w:highlight w:val="none"/>
              </w:rPr>
            </w:r>
            <w:r/>
          </w:p>
        </w:tc>
        <w:tc>
          <w:tcPr>
            <w:tcW w:w="657"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是否接受进口产品投标</w:t>
            </w:r>
            <w:r>
              <w:rPr>
                <w:rFonts w:hint="eastAsia" w:ascii="宋体" w:hAnsi="宋体" w:cs="宋体"/>
                <w:spacing w:val="8"/>
                <w:szCs w:val="21"/>
                <w:highlight w:val="none"/>
              </w:rPr>
            </w:r>
            <w:r/>
          </w:p>
        </w:tc>
        <w:tc>
          <w:tcPr>
            <w:tcW w:w="394"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备注</w:t>
            </w:r>
            <w:r>
              <w:rPr>
                <w:rFonts w:hint="eastAsia" w:ascii="宋体" w:hAnsi="宋体" w:cs="宋体"/>
                <w:spacing w:val="8"/>
                <w:szCs w:val="21"/>
                <w:highlight w:val="none"/>
              </w:rPr>
            </w:r>
            <w:r/>
          </w:p>
        </w:tc>
      </w:tr>
      <w:tr>
        <w:trPr>
          <w:trHeight w:val="498"/>
        </w:trPr>
        <w:tc>
          <w:tcPr>
            <w:tcW w:w="390"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1</w:t>
            </w:r>
            <w:r>
              <w:rPr>
                <w:rFonts w:hint="eastAsia" w:ascii="宋体" w:hAnsi="宋体" w:cs="宋体"/>
                <w:spacing w:val="8"/>
                <w:szCs w:val="21"/>
                <w:highlight w:val="none"/>
              </w:rPr>
            </w:r>
            <w:r/>
          </w:p>
        </w:tc>
        <w:tc>
          <w:tcPr>
            <w:tcW w:w="1355"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茄克式长袖套装（夏季劳保服）</w:t>
            </w:r>
            <w:r>
              <w:rPr>
                <w:rFonts w:hint="eastAsia" w:ascii="宋体" w:hAnsi="宋体" w:cs="宋体"/>
                <w:spacing w:val="8"/>
                <w:szCs w:val="21"/>
                <w:highlight w:val="none"/>
              </w:rPr>
            </w:r>
            <w:r/>
          </w:p>
        </w:tc>
        <w:tc>
          <w:tcPr>
            <w:tcW w:w="581"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2718</w:t>
            </w:r>
            <w:r>
              <w:rPr>
                <w:rFonts w:ascii="宋体" w:hAnsi="宋体" w:cs="宋体"/>
                <w:highlight w:val="none"/>
              </w:rPr>
            </w:r>
            <w:r/>
          </w:p>
        </w:tc>
        <w:tc>
          <w:tcPr>
            <w:tcW w:w="80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250</w:t>
            </w:r>
            <w:r>
              <w:rPr>
                <w:rFonts w:hint="eastAsia" w:ascii="宋体" w:hAnsi="宋体" w:cs="宋体"/>
                <w:highlight w:val="none"/>
              </w:rPr>
            </w:r>
            <w:r/>
          </w:p>
        </w:tc>
        <w:tc>
          <w:tcPr>
            <w:tcW w:w="816"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679500</w:t>
            </w:r>
            <w:r>
              <w:rPr>
                <w:rFonts w:ascii="宋体" w:hAnsi="宋体" w:cs="宋体"/>
                <w:highlight w:val="none"/>
              </w:rPr>
            </w:r>
            <w:r/>
          </w:p>
        </w:tc>
        <w:tc>
          <w:tcPr>
            <w:tcW w:w="657"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39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r>
            <w:r/>
          </w:p>
        </w:tc>
      </w:tr>
      <w:tr>
        <w:trPr>
          <w:trHeight w:val="498"/>
        </w:trPr>
        <w:tc>
          <w:tcPr>
            <w:tcW w:w="390" w:type="dxa"/>
            <w:vAlign w:val="center"/>
            <w:textDirection w:val="lrTb"/>
            <w:noWrap w:val="false"/>
          </w:tcPr>
          <w:p>
            <w:pPr>
              <w:pStyle w:val="919"/>
              <w:jc w:val="center"/>
              <w:widowControl/>
              <w:rPr>
                <w:rFonts w:ascii="宋体" w:hAnsi="宋体" w:cs="宋体"/>
                <w:spacing w:val="8"/>
                <w:szCs w:val="21"/>
                <w:highlight w:val="none"/>
              </w:rPr>
            </w:pPr>
            <w:r>
              <w:rPr>
                <w:rFonts w:hint="eastAsia" w:ascii="宋体" w:hAnsi="宋体" w:cs="宋体"/>
                <w:spacing w:val="8"/>
                <w:szCs w:val="21"/>
                <w:highlight w:val="none"/>
              </w:rPr>
              <w:t xml:space="preserve">2</w:t>
            </w:r>
            <w:r>
              <w:rPr>
                <w:rFonts w:ascii="宋体" w:hAnsi="宋体" w:cs="宋体"/>
                <w:spacing w:val="8"/>
                <w:szCs w:val="21"/>
                <w:highlight w:val="none"/>
              </w:rPr>
            </w:r>
            <w:r/>
          </w:p>
        </w:tc>
        <w:tc>
          <w:tcPr>
            <w:tcW w:w="1355"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茄克式长袖套装（春秋季劳保服）</w:t>
            </w:r>
            <w:r>
              <w:rPr>
                <w:rFonts w:hint="eastAsia" w:ascii="宋体" w:hAnsi="宋体" w:cs="宋体"/>
                <w:spacing w:val="8"/>
                <w:szCs w:val="21"/>
                <w:highlight w:val="none"/>
              </w:rPr>
            </w:r>
            <w:r/>
          </w:p>
        </w:tc>
        <w:tc>
          <w:tcPr>
            <w:tcW w:w="581" w:type="dxa"/>
            <w:vAlign w:val="center"/>
            <w:textDirection w:val="lrTb"/>
            <w:noWrap w:val="false"/>
          </w:tcPr>
          <w:p>
            <w:pPr>
              <w:pStyle w:val="919"/>
              <w:jc w:val="center"/>
              <w:widowControl/>
              <w:rPr>
                <w:rFonts w:hint="eastAsia" w:ascii="宋体" w:hAnsi="宋体" w:cs="宋体"/>
                <w:szCs w:val="28"/>
                <w:highlight w:val="none"/>
              </w:rPr>
            </w:pPr>
            <w:r>
              <w:rPr>
                <w:rFonts w:hint="eastAsia" w:ascii="宋体" w:hAnsi="宋体" w:cs="宋体"/>
                <w:szCs w:val="28"/>
                <w:highlight w:val="none"/>
              </w:rPr>
              <w:t xml:space="preserve">2143</w:t>
            </w:r>
            <w:r>
              <w:rPr>
                <w:rFonts w:hint="eastAsia" w:ascii="宋体" w:hAnsi="宋体" w:cs="宋体"/>
                <w:szCs w:val="28"/>
                <w:highlight w:val="none"/>
              </w:rPr>
            </w:r>
            <w:r/>
          </w:p>
        </w:tc>
        <w:tc>
          <w:tcPr>
            <w:tcW w:w="80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280</w:t>
            </w:r>
            <w:r>
              <w:rPr>
                <w:rFonts w:hint="eastAsia" w:ascii="宋体" w:hAnsi="宋体" w:cs="宋体"/>
                <w:highlight w:val="none"/>
              </w:rPr>
            </w:r>
            <w:r/>
          </w:p>
        </w:tc>
        <w:tc>
          <w:tcPr>
            <w:tcW w:w="816"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600040</w:t>
            </w:r>
            <w:r>
              <w:rPr>
                <w:rFonts w:hint="eastAsia" w:ascii="宋体" w:hAnsi="宋体" w:cs="宋体"/>
                <w:highlight w:val="none"/>
              </w:rPr>
            </w:r>
            <w:r/>
          </w:p>
        </w:tc>
        <w:tc>
          <w:tcPr>
            <w:tcW w:w="657"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39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r>
            <w:r/>
          </w:p>
        </w:tc>
      </w:tr>
      <w:tr>
        <w:trPr>
          <w:trHeight w:val="498"/>
        </w:trPr>
        <w:tc>
          <w:tcPr>
            <w:tcW w:w="390" w:type="dxa"/>
            <w:vAlign w:val="center"/>
            <w:textDirection w:val="lrTb"/>
            <w:noWrap w:val="false"/>
          </w:tcPr>
          <w:p>
            <w:pPr>
              <w:pStyle w:val="919"/>
              <w:jc w:val="center"/>
              <w:widowControl/>
              <w:rPr>
                <w:rFonts w:ascii="宋体" w:hAnsi="宋体" w:cs="宋体"/>
                <w:spacing w:val="8"/>
                <w:szCs w:val="21"/>
                <w:highlight w:val="none"/>
              </w:rPr>
            </w:pPr>
            <w:r>
              <w:rPr>
                <w:rFonts w:hint="eastAsia" w:ascii="宋体" w:hAnsi="宋体" w:cs="宋体"/>
                <w:spacing w:val="8"/>
                <w:szCs w:val="21"/>
                <w:highlight w:val="none"/>
              </w:rPr>
              <w:t xml:space="preserve">3</w:t>
            </w:r>
            <w:r>
              <w:rPr>
                <w:rFonts w:ascii="宋体" w:hAnsi="宋体" w:cs="宋体"/>
                <w:spacing w:val="8"/>
                <w:szCs w:val="21"/>
                <w:highlight w:val="none"/>
              </w:rPr>
            </w:r>
            <w:r/>
          </w:p>
        </w:tc>
        <w:tc>
          <w:tcPr>
            <w:tcW w:w="1355"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冲锋衣防寒服 （冬季劳保服）</w:t>
            </w:r>
            <w:r>
              <w:rPr>
                <w:rFonts w:hint="eastAsia" w:ascii="宋体" w:hAnsi="宋体" w:cs="宋体"/>
                <w:spacing w:val="8"/>
                <w:szCs w:val="21"/>
                <w:highlight w:val="none"/>
              </w:rPr>
            </w:r>
            <w:r/>
          </w:p>
        </w:tc>
        <w:tc>
          <w:tcPr>
            <w:tcW w:w="581" w:type="dxa"/>
            <w:vAlign w:val="center"/>
            <w:textDirection w:val="lrTb"/>
            <w:noWrap w:val="false"/>
          </w:tcPr>
          <w:p>
            <w:pPr>
              <w:pStyle w:val="919"/>
              <w:jc w:val="center"/>
              <w:widowControl/>
              <w:rPr>
                <w:rFonts w:hint="eastAsia" w:ascii="宋体" w:hAnsi="宋体" w:cs="宋体"/>
                <w:szCs w:val="28"/>
                <w:highlight w:val="none"/>
              </w:rPr>
            </w:pPr>
            <w:r>
              <w:rPr>
                <w:rFonts w:hint="eastAsia" w:ascii="宋体" w:hAnsi="宋体" w:cs="宋体"/>
                <w:szCs w:val="28"/>
                <w:highlight w:val="none"/>
              </w:rPr>
              <w:t xml:space="preserve">1788</w:t>
            </w:r>
            <w:r>
              <w:rPr>
                <w:rFonts w:hint="eastAsia" w:ascii="宋体" w:hAnsi="宋体" w:cs="宋体"/>
                <w:szCs w:val="28"/>
                <w:highlight w:val="none"/>
              </w:rPr>
            </w:r>
            <w:r/>
          </w:p>
        </w:tc>
        <w:tc>
          <w:tcPr>
            <w:tcW w:w="80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380</w:t>
            </w:r>
            <w:r>
              <w:rPr>
                <w:rFonts w:hint="eastAsia" w:ascii="宋体" w:hAnsi="宋体" w:cs="宋体"/>
                <w:highlight w:val="none"/>
              </w:rPr>
            </w:r>
            <w:r/>
          </w:p>
        </w:tc>
        <w:tc>
          <w:tcPr>
            <w:tcW w:w="816"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679440</w:t>
            </w:r>
            <w:r>
              <w:rPr>
                <w:rFonts w:hint="eastAsia" w:ascii="宋体" w:hAnsi="宋体" w:cs="宋体"/>
                <w:highlight w:val="none"/>
              </w:rPr>
            </w:r>
            <w:r/>
          </w:p>
        </w:tc>
        <w:tc>
          <w:tcPr>
            <w:tcW w:w="657"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39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r>
            <w:r/>
          </w:p>
        </w:tc>
      </w:tr>
      <w:tr>
        <w:trPr>
          <w:trHeight w:val="500"/>
        </w:trPr>
        <w:tc>
          <w:tcPr>
            <w:tcW w:w="390"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4</w:t>
            </w:r>
            <w:r>
              <w:rPr>
                <w:rFonts w:hint="eastAsia" w:ascii="宋体" w:hAnsi="宋体" w:cs="宋体"/>
                <w:spacing w:val="8"/>
                <w:szCs w:val="21"/>
                <w:highlight w:val="none"/>
              </w:rPr>
            </w:r>
            <w:r/>
          </w:p>
        </w:tc>
        <w:tc>
          <w:tcPr>
            <w:tcW w:w="1355"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连帽连体劳保服（春秋季连体劳保服）</w:t>
            </w:r>
            <w:r>
              <w:rPr>
                <w:rFonts w:hint="eastAsia" w:ascii="宋体" w:hAnsi="宋体" w:cs="宋体"/>
                <w:spacing w:val="8"/>
                <w:szCs w:val="21"/>
                <w:highlight w:val="none"/>
              </w:rPr>
            </w:r>
            <w:r/>
          </w:p>
        </w:tc>
        <w:tc>
          <w:tcPr>
            <w:tcW w:w="581"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380</w:t>
            </w:r>
            <w:r>
              <w:rPr>
                <w:rFonts w:ascii="宋体" w:hAnsi="宋体" w:cs="宋体"/>
                <w:highlight w:val="none"/>
              </w:rPr>
            </w:r>
            <w:r/>
          </w:p>
        </w:tc>
        <w:tc>
          <w:tcPr>
            <w:tcW w:w="80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spacing w:val="8"/>
                <w:szCs w:val="21"/>
                <w:highlight w:val="none"/>
              </w:rPr>
              <w:t xml:space="preserve">280</w:t>
            </w:r>
            <w:r>
              <w:rPr>
                <w:rFonts w:hint="eastAsia" w:ascii="宋体" w:hAnsi="宋体" w:cs="宋体"/>
                <w:highlight w:val="none"/>
              </w:rPr>
            </w:r>
            <w:r/>
          </w:p>
        </w:tc>
        <w:tc>
          <w:tcPr>
            <w:tcW w:w="816"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106400</w:t>
            </w:r>
            <w:r>
              <w:rPr>
                <w:rFonts w:ascii="宋体" w:hAnsi="宋体" w:cs="宋体"/>
                <w:highlight w:val="none"/>
              </w:rPr>
            </w:r>
            <w:r/>
          </w:p>
        </w:tc>
        <w:tc>
          <w:tcPr>
            <w:tcW w:w="657"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394"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r>
            <w:r/>
          </w:p>
        </w:tc>
      </w:tr>
      <w:tr>
        <w:trPr>
          <w:trHeight w:val="640"/>
        </w:trPr>
        <w:tc>
          <w:tcPr>
            <w:gridSpan w:val="2"/>
            <w:tcW w:w="3368"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合计（最高限价）</w:t>
            </w:r>
            <w:r>
              <w:rPr>
                <w:rFonts w:hint="eastAsia" w:ascii="宋体" w:hAnsi="宋体" w:cs="宋体"/>
                <w:spacing w:val="8"/>
                <w:szCs w:val="21"/>
                <w:highlight w:val="none"/>
              </w:rPr>
            </w:r>
            <w:r/>
          </w:p>
        </w:tc>
        <w:tc>
          <w:tcPr>
            <w:gridSpan w:val="3"/>
            <w:tcW w:w="4246" w:type="dxa"/>
            <w:vAlign w:val="center"/>
            <w:textDirection w:val="lrTb"/>
            <w:noWrap w:val="false"/>
          </w:tcPr>
          <w:p>
            <w:pPr>
              <w:pStyle w:val="919"/>
              <w:ind w:firstLine="33"/>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2065380元</w:t>
            </w:r>
            <w:r>
              <w:rPr>
                <w:rFonts w:hint="eastAsia" w:ascii="宋体" w:hAnsi="宋体" w:cs="宋体"/>
                <w:szCs w:val="21"/>
                <w:highlight w:val="none"/>
              </w:rPr>
            </w:r>
            <w:r/>
          </w:p>
        </w:tc>
        <w:tc>
          <w:tcPr>
            <w:tcW w:w="657" w:type="dxa"/>
            <w:vAlign w:val="center"/>
            <w:textDirection w:val="lrTb"/>
            <w:noWrap w:val="false"/>
          </w:tcPr>
          <w:p>
            <w:pPr>
              <w:pStyle w:val="919"/>
              <w:ind w:firstLine="33"/>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94" w:type="dxa"/>
            <w:vAlign w:val="center"/>
            <w:textDirection w:val="lrTb"/>
            <w:noWrap w:val="false"/>
          </w:tcPr>
          <w:p>
            <w:pPr>
              <w:pStyle w:val="919"/>
              <w:ind w:firstLine="33"/>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919"/>
        <w:ind w:firstLine="340"/>
        <w:spacing w:line="360" w:lineRule="auto"/>
        <w:widowControl/>
        <w:rPr>
          <w:rFonts w:hint="eastAsia" w:ascii="宋体" w:hAnsi="宋体" w:cs="宋体"/>
          <w:b/>
          <w:spacing w:val="8"/>
          <w:szCs w:val="21"/>
          <w:highlight w:val="none"/>
        </w:rPr>
      </w:pPr>
      <w:r>
        <w:rPr>
          <w:rFonts w:hint="eastAsia" w:ascii="宋体" w:hAnsi="宋体" w:cs="宋体"/>
          <w:b/>
          <w:spacing w:val="8"/>
          <w:szCs w:val="21"/>
          <w:highlight w:val="none"/>
        </w:rPr>
      </w:r>
      <w:r/>
    </w:p>
    <w:p>
      <w:pPr>
        <w:pStyle w:val="919"/>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6.合同履行期限：1年，合同期自2026年起至2027年（合同期内补发均按本次采购投标单价）。</w:t>
      </w:r>
      <w:r>
        <w:rPr>
          <w:rFonts w:hint="eastAsia" w:ascii="宋体" w:hAnsi="宋体" w:cs="宋体"/>
          <w:spacing w:val="8"/>
          <w:szCs w:val="21"/>
          <w:highlight w:val="none"/>
        </w:rPr>
      </w:r>
      <w:r/>
    </w:p>
    <w:p>
      <w:pPr>
        <w:pStyle w:val="919"/>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7.</w:t>
      </w:r>
      <w:r>
        <w:rPr>
          <w:rFonts w:hint="eastAsia" w:ascii="宋体" w:hAnsi="宋体" w:cs="宋体"/>
          <w:sz w:val="22"/>
          <w:szCs w:val="22"/>
          <w:highlight w:val="none"/>
        </w:rPr>
        <w:t xml:space="preserve">本项目（是/否）接受联合体投标：</w:t>
      </w:r>
      <w:r>
        <w:rPr>
          <w:rFonts w:hint="eastAsia" w:ascii="宋体" w:hAnsi="宋体" w:cs="宋体"/>
          <w:b/>
          <w:bCs/>
          <w:sz w:val="22"/>
          <w:szCs w:val="22"/>
          <w:highlight w:val="none"/>
        </w:rPr>
        <w:t xml:space="preserve">否（不接受联合体）</w:t>
      </w:r>
      <w:r>
        <w:rPr>
          <w:rFonts w:hint="eastAsia" w:ascii="宋体" w:hAnsi="宋体" w:cs="宋体"/>
          <w:sz w:val="22"/>
          <w:szCs w:val="22"/>
          <w:highlight w:val="none"/>
        </w:rPr>
        <w:t xml:space="preserve">。</w:t>
      </w:r>
      <w:r>
        <w:rPr>
          <w:rFonts w:hint="eastAsia" w:ascii="宋体" w:hAnsi="宋体" w:cs="宋体"/>
          <w:spacing w:val="8"/>
          <w:szCs w:val="21"/>
          <w:highlight w:val="none"/>
        </w:rPr>
      </w:r>
      <w:r/>
    </w:p>
    <w:p>
      <w:pPr>
        <w:pStyle w:val="919"/>
        <w:spacing w:line="360" w:lineRule="auto"/>
        <w:widowControl/>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二、申请人的资格要求</w:t>
      </w:r>
      <w:r>
        <w:rPr>
          <w:rFonts w:hint="eastAsia" w:ascii="宋体" w:hAnsi="宋体" w:cs="宋体"/>
          <w:b/>
          <w:spacing w:val="8"/>
          <w:sz w:val="24"/>
          <w:highlight w:val="none"/>
        </w:rPr>
      </w:r>
      <w:r/>
    </w:p>
    <w:p>
      <w:pPr>
        <w:pStyle w:val="919"/>
        <w:ind w:firstLine="370"/>
        <w:spacing w:line="360" w:lineRule="auto"/>
        <w:widowControl/>
        <w:rPr>
          <w:rFonts w:hint="eastAsia" w:ascii="宋体" w:hAnsi="宋体" w:cs="宋体"/>
          <w:b/>
          <w:spacing w:val="8"/>
          <w:szCs w:val="21"/>
          <w:highlight w:val="none"/>
        </w:rPr>
      </w:pPr>
      <w:r>
        <w:rPr>
          <w:rFonts w:hint="eastAsia" w:ascii="宋体" w:hAnsi="宋体" w:cs="宋体"/>
          <w:b/>
          <w:bCs/>
          <w:sz w:val="22"/>
          <w:szCs w:val="22"/>
          <w:highlight w:val="none"/>
        </w:rPr>
        <w:t xml:space="preserve">（一）</w:t>
      </w:r>
      <w:r>
        <w:rPr>
          <w:rFonts w:hint="eastAsia" w:ascii="宋体" w:hAnsi="宋体" w:cs="宋体"/>
          <w:b/>
          <w:spacing w:val="8"/>
          <w:szCs w:val="21"/>
          <w:highlight w:val="none"/>
        </w:rPr>
        <w:t xml:space="preserve">满足《中华人民共和国政府采购法》第二十二条规定：</w:t>
      </w:r>
      <w:r>
        <w:rPr>
          <w:rFonts w:hint="eastAsia" w:ascii="宋体" w:hAnsi="宋体" w:cs="宋体"/>
          <w:b/>
          <w:spacing w:val="8"/>
          <w:szCs w:val="21"/>
          <w:highlight w:val="none"/>
        </w:rPr>
      </w:r>
      <w:r/>
    </w:p>
    <w:p>
      <w:pPr>
        <w:pStyle w:val="919"/>
        <w:ind w:firstLine="370"/>
        <w:spacing w:line="360" w:lineRule="auto"/>
        <w:widowControl/>
        <w:rPr>
          <w:rFonts w:hint="eastAsia" w:ascii="宋体" w:hAnsi="宋体" w:cs="宋体"/>
          <w:szCs w:val="21"/>
          <w:highlight w:val="none"/>
        </w:rPr>
      </w:pPr>
      <w:r>
        <w:rPr>
          <w:rFonts w:hint="eastAsia" w:ascii="宋体" w:hAnsi="宋体" w:cs="宋体"/>
          <w:szCs w:val="21"/>
          <w:highlight w:val="none"/>
        </w:rPr>
        <w:t xml:space="preserve">1.具有独立承担民事责任的能力（提供法人或者其他组织的营业执照；供应商为自然人的，提供其身份证）； </w:t>
      </w:r>
      <w:r>
        <w:rPr>
          <w:rFonts w:hint="eastAsia" w:ascii="宋体" w:hAnsi="宋体" w:cs="宋体"/>
          <w:szCs w:val="21"/>
          <w:highlight w:val="none"/>
        </w:rPr>
      </w:r>
      <w:r/>
    </w:p>
    <w:p>
      <w:pPr>
        <w:pStyle w:val="919"/>
        <w:ind w:firstLine="370"/>
        <w:spacing w:line="360" w:lineRule="auto"/>
        <w:widowControl/>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复印件并加盖公章放入投标文件中，否则视为未提供）；</w:t>
      </w:r>
      <w:r>
        <w:rPr>
          <w:rFonts w:hint="eastAsia" w:ascii="宋体" w:hAnsi="宋体" w:cs="宋体"/>
          <w:szCs w:val="21"/>
          <w:highlight w:val="none"/>
        </w:rPr>
      </w:r>
      <w:r/>
    </w:p>
    <w:p>
      <w:pPr>
        <w:pStyle w:val="919"/>
        <w:ind w:firstLine="370"/>
        <w:spacing w:line="360" w:lineRule="auto"/>
        <w:widowControl/>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宋体"/>
          <w:szCs w:val="21"/>
          <w:highlight w:val="none"/>
          <w:lang w:val="en-US" w:eastAsia="zh-CN"/>
        </w:rPr>
        <w:t xml:space="preserve">或声明函</w:t>
      </w:r>
      <w:r>
        <w:rPr>
          <w:rFonts w:hint="eastAsia" w:ascii="宋体" w:hAnsi="宋体" w:cs="宋体"/>
          <w:szCs w:val="21"/>
          <w:highlight w:val="none"/>
        </w:rPr>
        <w:t xml:space="preserve">）；</w:t>
      </w:r>
      <w:r>
        <w:rPr>
          <w:rFonts w:hint="eastAsia" w:ascii="宋体" w:hAnsi="宋体" w:cs="宋体"/>
          <w:szCs w:val="21"/>
          <w:highlight w:val="none"/>
        </w:rPr>
      </w:r>
      <w:r/>
    </w:p>
    <w:p>
      <w:pPr>
        <w:pStyle w:val="919"/>
        <w:ind w:firstLine="370"/>
        <w:spacing w:line="360" w:lineRule="auto"/>
        <w:widowControl/>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cs="宋体"/>
          <w:szCs w:val="21"/>
          <w:highlight w:val="none"/>
        </w:rPr>
      </w:r>
      <w:r/>
    </w:p>
    <w:p>
      <w:pPr>
        <w:pStyle w:val="919"/>
        <w:ind w:firstLine="370"/>
        <w:spacing w:line="360" w:lineRule="auto"/>
        <w:widowControl/>
        <w:rPr>
          <w:rFonts w:hint="eastAsia" w:ascii="宋体" w:hAnsi="宋体" w:cs="宋体"/>
          <w:szCs w:val="21"/>
          <w:highlight w:val="none"/>
        </w:rPr>
      </w:pPr>
      <w:r>
        <w:rPr>
          <w:rFonts w:hint="eastAsia" w:ascii="宋体" w:hAnsi="宋体" w:cs="宋体"/>
          <w:szCs w:val="21"/>
          <w:highlight w:val="none"/>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cs="宋体"/>
          <w:szCs w:val="21"/>
          <w:highlight w:val="none"/>
        </w:rPr>
      </w:r>
      <w:r/>
    </w:p>
    <w:p>
      <w:pPr>
        <w:pStyle w:val="919"/>
        <w:ind w:firstLine="370"/>
        <w:spacing w:line="360" w:lineRule="auto"/>
        <w:widowControl/>
        <w:rPr>
          <w:rFonts w:hint="eastAsia" w:ascii="宋体" w:hAnsi="宋体" w:cs="宋体"/>
          <w:szCs w:val="21"/>
          <w:highlight w:val="none"/>
        </w:rPr>
      </w:pPr>
      <w:r>
        <w:rPr>
          <w:rFonts w:hint="eastAsia" w:ascii="宋体" w:hAnsi="宋体" w:cs="宋体"/>
          <w:szCs w:val="21"/>
          <w:highlight w:val="none"/>
        </w:rPr>
        <w:t xml:space="preserve">6.法律、行政法规规定的其他条件：无。</w:t>
      </w:r>
      <w:r>
        <w:rPr>
          <w:rFonts w:hint="eastAsia" w:ascii="宋体" w:hAnsi="宋体" w:cs="宋体"/>
          <w:szCs w:val="21"/>
          <w:highlight w:val="none"/>
        </w:rPr>
      </w:r>
      <w:r/>
    </w:p>
    <w:p>
      <w:pPr>
        <w:pStyle w:val="919"/>
        <w:ind w:firstLine="370"/>
        <w:spacing w:line="360" w:lineRule="auto"/>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（二）落实政府采购政策需满足的资格要求：</w:t>
      </w:r>
      <w:r>
        <w:rPr>
          <w:rFonts w:hint="eastAsia" w:ascii="宋体" w:hAnsi="宋体" w:cs="宋体"/>
          <w:b/>
          <w:bCs/>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1.中小企业扶持相关要求</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（1）是否专门面向中小微企业：</w:t>
      </w:r>
      <w:r>
        <w:rPr>
          <w:rFonts w:hint="eastAsia" w:ascii="宋体" w:hAnsi="宋体" w:cs="宋体"/>
          <w:sz w:val="22"/>
          <w:szCs w:val="22"/>
          <w:highlight w:val="none"/>
          <w:u w:val="single"/>
        </w:rPr>
        <w:t xml:space="preserve">本项目</w:t>
      </w:r>
      <w:r>
        <w:rPr>
          <w:rFonts w:hint="eastAsia" w:ascii="宋体" w:hAnsi="宋体" w:cs="宋体"/>
          <w:b/>
          <w:bCs/>
          <w:sz w:val="22"/>
          <w:szCs w:val="22"/>
          <w:highlight w:val="none"/>
          <w:u w:val="single"/>
        </w:rPr>
        <w:t xml:space="preserve">非专门面向中小微企业</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（2）中小微企业划型标准严格对照《关于印发中小企业划型标准规定的通知》（工信部联企业〔2011〕300 号）执行（格式详见附件），本项目采购标的对应行业为</w:t>
      </w:r>
      <w:r>
        <w:rPr>
          <w:rFonts w:hint="eastAsia" w:ascii="宋体" w:hAnsi="宋体" w:cs="宋体"/>
          <w:sz w:val="22"/>
          <w:szCs w:val="22"/>
          <w:highlight w:val="none"/>
          <w:u w:val="single"/>
        </w:rPr>
        <w:t xml:space="preserve">工业</w:t>
      </w:r>
      <w:r>
        <w:rPr>
          <w:rFonts w:hint="eastAsia" w:ascii="宋体" w:hAnsi="宋体" w:cs="宋体"/>
          <w:sz w:val="22"/>
          <w:szCs w:val="22"/>
          <w:highlight w:val="none"/>
        </w:rPr>
        <w:t xml:space="preserve">。</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2.本国产品扶持相关要求</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（1）本项目对采购本国产品给予政策支持，具体内容见招标文件“第三章 评分标准”。</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（2）供应商须对所提供的本国产品出具《关于符合本国产品标准的声明函》（格式详见附件），并作为投标文件必备组成部分按要求提交。</w:t>
      </w:r>
      <w:r>
        <w:rPr>
          <w:rFonts w:hint="eastAsia" w:ascii="宋体" w:hAnsi="宋体" w:cs="宋体"/>
          <w:sz w:val="22"/>
          <w:szCs w:val="22"/>
          <w:highlight w:val="none"/>
        </w:rPr>
      </w:r>
      <w:r/>
    </w:p>
    <w:p>
      <w:pPr>
        <w:pStyle w:val="919"/>
        <w:ind w:firstLine="370"/>
        <w:spacing w:line="360" w:lineRule="auto"/>
        <w:widowControl/>
        <w:rPr>
          <w:rFonts w:hint="eastAsia" w:ascii="宋体" w:hAnsi="宋体" w:cs="宋体"/>
          <w:b/>
          <w:bCs/>
          <w:sz w:val="22"/>
          <w:szCs w:val="22"/>
          <w:highlight w:val="none"/>
        </w:rPr>
      </w:pPr>
      <w:r>
        <w:rPr>
          <w:rFonts w:hint="eastAsia" w:ascii="宋体" w:hAnsi="宋体" w:cs="宋体"/>
          <w:b/>
          <w:bCs/>
          <w:sz w:val="22"/>
          <w:szCs w:val="22"/>
          <w:highlight w:val="none"/>
        </w:rPr>
        <w:t xml:space="preserve">（三）本项目的特定资格要求：</w:t>
      </w:r>
      <w:r>
        <w:rPr>
          <w:rFonts w:hint="eastAsia" w:ascii="宋体" w:hAnsi="宋体" w:cs="宋体"/>
          <w:b/>
          <w:bCs/>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1.本项目</w:t>
      </w:r>
      <w:r>
        <w:rPr>
          <w:rFonts w:hint="eastAsia" w:ascii="宋体" w:hAnsi="宋体" w:cs="宋体"/>
          <w:b/>
          <w:bCs/>
          <w:sz w:val="22"/>
          <w:szCs w:val="22"/>
          <w:highlight w:val="none"/>
          <w:u w:val="single"/>
        </w:rPr>
        <w:t xml:space="preserve">不接受</w:t>
      </w:r>
      <w:r>
        <w:rPr>
          <w:rFonts w:hint="eastAsia" w:ascii="宋体" w:hAnsi="宋体" w:cs="宋体"/>
          <w:sz w:val="22"/>
          <w:szCs w:val="22"/>
          <w:highlight w:val="none"/>
        </w:rPr>
        <w:t xml:space="preserve">进口产品投标（本文件所称进口产品是指通过中国海关报关验放进入中国境内且产自关境外的产品，不含构成产品的零散零件、部件）。</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2.本项目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3.其他要求：</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（1）供应商在参加政府采购活动前3年内因违法经营被禁止在一定期限内参加政府采购活动，期限届满的，可以参加政府采购活动。</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sz w:val="22"/>
          <w:szCs w:val="22"/>
          <w:highlight w:val="none"/>
        </w:rPr>
      </w:pPr>
      <w:r>
        <w:rPr>
          <w:rFonts w:hint="eastAsia" w:ascii="宋体" w:hAnsi="宋体" w:cs="宋体"/>
          <w:sz w:val="22"/>
          <w:szCs w:val="22"/>
          <w:highlight w:val="none"/>
        </w:rPr>
        <w:t xml:space="preserve">（2）单位负责人为同一人或者存在直接控股、管理关系的不同供应商，不得参加同一合同项下的政府采购活动。</w:t>
      </w:r>
      <w:r>
        <w:rPr>
          <w:rFonts w:hint="eastAsia" w:ascii="宋体" w:hAnsi="宋体" w:cs="宋体"/>
          <w:sz w:val="22"/>
          <w:szCs w:val="22"/>
          <w:highlight w:val="none"/>
        </w:rPr>
      </w:r>
      <w:r/>
    </w:p>
    <w:p>
      <w:pPr>
        <w:pStyle w:val="919"/>
        <w:ind w:firstLine="440"/>
        <w:jc w:val="left"/>
        <w:spacing w:line="360" w:lineRule="auto"/>
        <w:tabs>
          <w:tab w:val="left" w:pos="0" w:leader="none"/>
        </w:tabs>
        <w:rPr>
          <w:rFonts w:hint="eastAsia" w:ascii="宋体" w:hAnsi="宋体" w:cs="宋体"/>
          <w:highlight w:val="none"/>
        </w:rPr>
      </w:pPr>
      <w:r>
        <w:rPr>
          <w:rFonts w:hint="eastAsia" w:ascii="宋体" w:hAnsi="宋体" w:cs="宋体"/>
          <w:sz w:val="22"/>
          <w:szCs w:val="22"/>
          <w:highlight w:val="none"/>
        </w:rPr>
        <w:t xml:space="preserve">（3）为采购项目提供整体设计、规范编制或者项目管理、监理、检测等服务的供应商，不得再参加该采购项目的其他采购活动。</w:t>
      </w:r>
      <w:r>
        <w:rPr>
          <w:rFonts w:hint="eastAsia" w:ascii="宋体" w:hAnsi="宋体" w:cs="宋体"/>
          <w:highlight w:val="none"/>
        </w:rPr>
      </w:r>
      <w:r/>
    </w:p>
    <w:p>
      <w:pPr>
        <w:pStyle w:val="919"/>
        <w:spacing w:line="360" w:lineRule="auto"/>
        <w:widowControl/>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三、招标文件发售信息</w:t>
      </w:r>
      <w:r>
        <w:rPr>
          <w:rFonts w:hint="eastAsia" w:ascii="宋体" w:hAnsi="宋体" w:cs="宋体"/>
          <w:b/>
          <w:spacing w:val="8"/>
          <w:sz w:val="24"/>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1.时间：自招标文件公告发布之日起5个工作日。</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bookmarkStart w:id="5" w:name="OLE_LINK20"/>
      <w:r>
        <w:rPr>
          <w:rFonts w:hint="eastAsia" w:ascii="宋体" w:hAnsi="宋体" w:cs="宋体"/>
          <w:spacing w:val="8"/>
          <w:szCs w:val="21"/>
          <w:highlight w:val="none"/>
        </w:rPr>
        <w:t xml:space="preserve">2.地址：江苏省政府采购管理交易系统（“苏采云”系统）。</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3.方式：本项目采用网上注册登记方式，供应商自行免费下载。</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bookmarkEnd w:id="5"/>
      <w:r>
        <w:rPr>
          <w:rFonts w:hint="eastAsia" w:ascii="宋体" w:hAnsi="宋体" w:cs="宋体"/>
          <w:spacing w:val="8"/>
          <w:szCs w:val="21"/>
          <w:highlight w:val="none"/>
        </w:rPr>
        <w:t xml:space="preserve">4.售价：0元，售出不退。</w:t>
      </w:r>
      <w:r>
        <w:rPr>
          <w:rFonts w:hint="eastAsia" w:ascii="宋体" w:hAnsi="宋体" w:cs="宋体"/>
          <w:spacing w:val="8"/>
          <w:szCs w:val="21"/>
          <w:highlight w:val="none"/>
        </w:rPr>
      </w:r>
      <w:r/>
    </w:p>
    <w:p>
      <w:pPr>
        <w:pStyle w:val="919"/>
        <w:spacing w:line="360" w:lineRule="auto"/>
        <w:widowControl/>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四、提交投标文件截止时间、开标时间和地点</w:t>
      </w:r>
      <w:r>
        <w:rPr>
          <w:rFonts w:hint="eastAsia" w:ascii="宋体" w:hAnsi="宋体" w:cs="宋体"/>
          <w:b/>
          <w:spacing w:val="8"/>
          <w:sz w:val="24"/>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1.提交投标文件截止时间：2026年</w:t>
      </w:r>
      <w:r>
        <w:rPr>
          <w:rFonts w:hint="eastAsia" w:ascii="宋体" w:hAnsi="宋体" w:cs="宋体"/>
          <w:spacing w:val="8"/>
          <w:szCs w:val="21"/>
          <w:highlight w:val="none"/>
          <w:lang w:eastAsia="zh-CN"/>
        </w:rPr>
        <w:t xml:space="preserve">10月21日9:30</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2.开标时间：2026年</w:t>
      </w:r>
      <w:r>
        <w:rPr>
          <w:rFonts w:hint="eastAsia" w:ascii="宋体" w:hAnsi="宋体" w:cs="宋体"/>
          <w:spacing w:val="8"/>
          <w:szCs w:val="21"/>
          <w:highlight w:val="none"/>
          <w:lang w:eastAsia="zh-CN"/>
        </w:rPr>
        <w:t xml:space="preserve">10月21日9:30</w:t>
      </w:r>
      <w:r>
        <w:rPr>
          <w:rFonts w:hint="eastAsia" w:ascii="宋体" w:hAnsi="宋体" w:cs="宋体"/>
          <w:spacing w:val="8"/>
          <w:szCs w:val="21"/>
          <w:highlight w:val="none"/>
        </w:rPr>
        <w:t xml:space="preserve">（北京时间）</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3.地址：江苏省政府采购交易系统（“苏采云”系统）网上开标大厅。</w:t>
      </w:r>
      <w:r>
        <w:rPr>
          <w:rFonts w:hint="eastAsia" w:ascii="宋体" w:hAnsi="宋体" w:cs="宋体"/>
          <w:spacing w:val="8"/>
          <w:szCs w:val="21"/>
          <w:highlight w:val="none"/>
        </w:rPr>
      </w:r>
      <w:r/>
    </w:p>
    <w:p>
      <w:pPr>
        <w:pStyle w:val="919"/>
        <w:spacing w:line="360" w:lineRule="auto"/>
        <w:widowControl/>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五、公告期限</w:t>
      </w:r>
      <w:r>
        <w:rPr>
          <w:rFonts w:hint="eastAsia" w:ascii="宋体" w:hAnsi="宋体" w:cs="宋体"/>
          <w:b/>
          <w:spacing w:val="8"/>
          <w:sz w:val="24"/>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招标公告及招标文件公告期限为自本公告发布之日起5个工作日。</w:t>
      </w:r>
      <w:r>
        <w:rPr>
          <w:rFonts w:hint="eastAsia" w:ascii="宋体" w:hAnsi="宋体" w:cs="宋体"/>
          <w:spacing w:val="8"/>
          <w:szCs w:val="21"/>
          <w:highlight w:val="none"/>
        </w:rPr>
      </w:r>
      <w:r/>
    </w:p>
    <w:p>
      <w:pPr>
        <w:pStyle w:val="919"/>
        <w:spacing w:line="360" w:lineRule="auto"/>
        <w:widowControl/>
        <w:rPr>
          <w:rFonts w:hint="eastAsia" w:ascii="宋体" w:hAnsi="宋体" w:cs="宋体"/>
          <w:b/>
          <w:spacing w:val="8"/>
          <w:sz w:val="24"/>
          <w:highlight w:val="none"/>
        </w:rPr>
        <w:outlineLvl w:val="1"/>
      </w:pPr>
      <w:r>
        <w:rPr>
          <w:rFonts w:hint="eastAsia" w:ascii="宋体" w:hAnsi="宋体" w:cs="宋体"/>
          <w:b/>
          <w:spacing w:val="8"/>
          <w:sz w:val="24"/>
          <w:highlight w:val="none"/>
        </w:rPr>
        <w:t xml:space="preserve">六、其他补充事宜</w:t>
      </w:r>
      <w:r>
        <w:rPr>
          <w:rFonts w:hint="eastAsia" w:ascii="宋体" w:hAnsi="宋体" w:cs="宋体"/>
          <w:b/>
          <w:spacing w:val="8"/>
          <w:sz w:val="24"/>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1.潜在供应商访问政府采购管理交易系统（苏采云）的网络地址和方法：</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（2）“CA数字证书”的获取：供应商需办理CA锁，“苏采云”系统目前仅支持“苏采云”系统下的政务CA，省内各地区办理的“苏采云”系统下的政务CA全省通用。</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（3）“CA数字证书”的办理材料以及供应商操作手册详见：http://jsxcmm.com/help/gys.html。</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（4）潜在供应商访问“苏采云”系统的网络地址和方法：“苏采云”系统的网址：http://jszfcg.jsczt.cn/jszc/login。</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（5）采购文件（后缀名为“kedt”）、供应商操作手册及政府采购客户端工具也可通过“苏采云”系统－已报名项目－报名详情页面内相应链接进行下载。</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（6）采购代理机构将数据电文形式的采购文件加载至“苏采云”系统，供潜在供应商下载或者查阅。    </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（7）“苏采云”系统使用谷歌浏览器参与不见面开标。</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2.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3.供应商如确定参加投标，可自行下载采购文件及有关资料，按照《操作手册》进行注册，领取CA和办理电子签章，并按《操作手册》要求制作、上传电子投标文件。</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4.投标保证金数额及缴纳办法：本次招标不收取投标保证金。</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5.公告媒体：本招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6.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7.本项目代理机构内部编号：0675-266JOC004603</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8.获取招标文件咨询联系方式：</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联系人：吴昊</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电话：025-84795433/5991</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邮箱：wh@jocite.com</w:t>
      </w:r>
      <w:r>
        <w:rPr>
          <w:rFonts w:hint="eastAsia" w:ascii="宋体" w:hAnsi="宋体" w:cs="宋体"/>
          <w:spacing w:val="8"/>
          <w:szCs w:val="21"/>
          <w:highlight w:val="none"/>
        </w:rPr>
      </w:r>
      <w:r/>
    </w:p>
    <w:p>
      <w:pPr>
        <w:pStyle w:val="919"/>
        <w:ind w:firstLine="456"/>
        <w:spacing w:line="360" w:lineRule="auto"/>
        <w:rPr>
          <w:rFonts w:hint="eastAsia" w:ascii="宋体" w:hAnsi="宋体" w:cs="宋体"/>
          <w:spacing w:val="8"/>
          <w:szCs w:val="21"/>
          <w:highlight w:val="none"/>
        </w:rPr>
      </w:pPr>
      <w:r>
        <w:rPr>
          <w:rFonts w:hint="eastAsia" w:ascii="宋体" w:hAnsi="宋体" w:cs="宋体"/>
          <w:spacing w:val="8"/>
          <w:szCs w:val="21"/>
          <w:highlight w:val="none"/>
        </w:rPr>
        <w:t xml:space="preserve">地址：南京市建邺区云龙山路58号大唐科技大厦A座高区15楼</w:t>
      </w:r>
      <w:r>
        <w:rPr>
          <w:rFonts w:hint="eastAsia" w:ascii="宋体" w:hAnsi="宋体" w:cs="宋体"/>
          <w:spacing w:val="8"/>
          <w:szCs w:val="21"/>
          <w:highlight w:val="none"/>
        </w:rPr>
      </w:r>
      <w:r/>
    </w:p>
    <w:p>
      <w:pPr>
        <w:pStyle w:val="919"/>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rPr>
          <w:rFonts w:hint="eastAsia" w:ascii="宋体" w:hAnsi="宋体" w:cs="宋体"/>
          <w:b/>
          <w:spacing w:val="8"/>
          <w:sz w:val="24"/>
          <w:highlight w:val="none"/>
        </w:rPr>
      </w:r>
      <w:r/>
    </w:p>
    <w:p>
      <w:pPr>
        <w:pStyle w:val="919"/>
        <w:ind w:firstLine="420"/>
        <w:jc w:val="left"/>
        <w:spacing w:line="360" w:lineRule="auto"/>
        <w:widowControl/>
        <w:rPr>
          <w:rFonts w:hint="eastAsia" w:ascii="宋体" w:hAnsi="宋体" w:cs="宋体"/>
          <w:spacing w:val="8"/>
          <w:szCs w:val="21"/>
          <w:highlight w:val="none"/>
          <w:lang w:val="zh-CN"/>
        </w:rPr>
      </w:pPr>
      <w:r>
        <w:rPr>
          <w:rFonts w:hint="eastAsia" w:ascii="宋体" w:hAnsi="宋体" w:cs="宋体"/>
          <w:bCs/>
          <w:highlight w:val="none"/>
        </w:rPr>
        <w:t xml:space="preserve">1</w:t>
      </w:r>
      <w:r>
        <w:rPr>
          <w:rFonts w:hint="eastAsia" w:ascii="宋体" w:hAnsi="宋体" w:cs="宋体"/>
          <w:spacing w:val="8"/>
          <w:szCs w:val="21"/>
          <w:highlight w:val="none"/>
        </w:rPr>
        <w:t xml:space="preserve">.</w:t>
      </w:r>
      <w:r>
        <w:rPr>
          <w:rFonts w:hint="eastAsia" w:ascii="宋体" w:hAnsi="宋体" w:cs="宋体"/>
          <w:spacing w:val="8"/>
          <w:szCs w:val="21"/>
          <w:highlight w:val="none"/>
          <w:lang w:val="zh-CN"/>
        </w:rPr>
        <w:t xml:space="preserve">采购人信息</w:t>
      </w:r>
      <w:r>
        <w:rPr>
          <w:rFonts w:hint="eastAsia" w:ascii="宋体" w:hAnsi="宋体" w:cs="宋体"/>
          <w:spacing w:val="8"/>
          <w:szCs w:val="21"/>
          <w:highlight w:val="none"/>
          <w:lang w:val="zh-CN"/>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名称：江苏省特种设备安全监督检验研究院</w:t>
      </w:r>
      <w:r>
        <w:rPr>
          <w:rFonts w:hint="eastAsia" w:ascii="宋体" w:hAnsi="宋体" w:cs="宋体"/>
          <w:spacing w:val="8"/>
          <w:szCs w:val="21"/>
          <w:highlight w:val="none"/>
        </w:rPr>
      </w:r>
      <w:r/>
    </w:p>
    <w:p>
      <w:pPr>
        <w:pStyle w:val="919"/>
        <w:ind w:firstLine="452"/>
        <w:jc w:val="left"/>
        <w:spacing w:line="360" w:lineRule="auto"/>
        <w:widowControl/>
        <w:rPr>
          <w:rFonts w:hint="eastAsia" w:ascii="宋体" w:hAnsi="宋体" w:cs="宋体"/>
          <w:spacing w:val="8"/>
          <w:szCs w:val="21"/>
          <w:highlight w:val="none"/>
          <w:lang w:val="zh-CN"/>
        </w:rPr>
      </w:pPr>
      <w:r>
        <w:rPr>
          <w:rFonts w:hint="eastAsia" w:ascii="宋体" w:hAnsi="宋体" w:cs="宋体"/>
          <w:spacing w:val="8"/>
          <w:szCs w:val="21"/>
          <w:highlight w:val="none"/>
          <w:lang w:val="zh-CN"/>
        </w:rPr>
        <w:t xml:space="preserve">地址：江苏省南京市鼓楼区草场门大街107号</w:t>
      </w:r>
      <w:r>
        <w:rPr>
          <w:rFonts w:hint="eastAsia" w:ascii="宋体" w:hAnsi="宋体" w:cs="宋体"/>
          <w:spacing w:val="8"/>
          <w:szCs w:val="21"/>
          <w:highlight w:val="none"/>
          <w:lang w:val="zh-CN"/>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lang w:val="zh-CN"/>
        </w:rPr>
        <w:t xml:space="preserve">联系人：</w:t>
      </w:r>
      <w:r>
        <w:rPr>
          <w:rFonts w:hint="eastAsia" w:ascii="宋体" w:hAnsi="宋体" w:cs="宋体"/>
          <w:spacing w:val="8"/>
          <w:szCs w:val="21"/>
          <w:highlight w:val="none"/>
        </w:rPr>
        <w:t xml:space="preserve">李风华</w:t>
      </w:r>
      <w:r>
        <w:rPr>
          <w:rFonts w:hint="eastAsia" w:ascii="宋体" w:hAnsi="宋体" w:cs="宋体"/>
          <w:spacing w:val="8"/>
          <w:szCs w:val="21"/>
          <w:highlight w:val="none"/>
        </w:rPr>
      </w:r>
      <w:r/>
    </w:p>
    <w:p>
      <w:pPr>
        <w:pStyle w:val="919"/>
        <w:ind w:firstLine="452"/>
        <w:jc w:val="left"/>
        <w:spacing w:line="360" w:lineRule="auto"/>
        <w:widowControl/>
        <w:rPr>
          <w:rFonts w:hint="eastAsia" w:ascii="宋体" w:hAnsi="宋体" w:cs="宋体"/>
          <w:spacing w:val="8"/>
          <w:szCs w:val="21"/>
          <w:highlight w:val="none"/>
          <w:lang w:val="zh-CN"/>
        </w:rPr>
      </w:pPr>
      <w:r>
        <w:rPr>
          <w:rFonts w:hint="eastAsia" w:ascii="宋体" w:hAnsi="宋体" w:cs="宋体"/>
          <w:spacing w:val="8"/>
          <w:szCs w:val="21"/>
          <w:highlight w:val="none"/>
          <w:lang w:val="zh-CN"/>
        </w:rPr>
        <w:t xml:space="preserve">电话：</w:t>
      </w:r>
      <w:r>
        <w:rPr>
          <w:rFonts w:hint="eastAsia" w:ascii="宋体" w:hAnsi="宋体" w:cs="宋体"/>
          <w:spacing w:val="8"/>
          <w:szCs w:val="21"/>
          <w:highlight w:val="none"/>
        </w:rPr>
        <w:t xml:space="preserve"> 025-89621099</w:t>
      </w:r>
      <w:r>
        <w:rPr>
          <w:rFonts w:hint="eastAsia" w:ascii="宋体" w:hAnsi="宋体" w:cs="宋体"/>
          <w:spacing w:val="8"/>
          <w:szCs w:val="21"/>
          <w:highlight w:val="none"/>
          <w:lang w:val="zh-CN"/>
        </w:rPr>
      </w:r>
      <w:r/>
    </w:p>
    <w:p>
      <w:pPr>
        <w:pStyle w:val="919"/>
        <w:ind w:firstLine="420"/>
        <w:jc w:val="left"/>
        <w:spacing w:line="360" w:lineRule="auto"/>
        <w:widowControl/>
        <w:rPr>
          <w:rFonts w:hint="eastAsia" w:ascii="宋体" w:hAnsi="宋体" w:cs="宋体"/>
          <w:spacing w:val="8"/>
          <w:szCs w:val="21"/>
          <w:highlight w:val="none"/>
          <w:lang w:val="zh-CN"/>
        </w:rPr>
      </w:pPr>
      <w:r>
        <w:rPr>
          <w:rFonts w:hint="eastAsia" w:ascii="宋体" w:hAnsi="宋体" w:cs="宋体"/>
          <w:bCs/>
          <w:highlight w:val="none"/>
        </w:rPr>
        <w:t xml:space="preserve">2</w:t>
      </w:r>
      <w:r>
        <w:rPr>
          <w:rFonts w:hint="eastAsia" w:ascii="宋体" w:hAnsi="宋体" w:cs="宋体"/>
          <w:spacing w:val="8"/>
          <w:szCs w:val="21"/>
          <w:highlight w:val="none"/>
        </w:rPr>
        <w:t xml:space="preserve">.</w:t>
      </w:r>
      <w:r>
        <w:rPr>
          <w:rFonts w:hint="eastAsia" w:ascii="宋体" w:hAnsi="宋体" w:cs="宋体"/>
          <w:spacing w:val="8"/>
          <w:szCs w:val="21"/>
          <w:highlight w:val="none"/>
          <w:lang w:val="zh-CN"/>
        </w:rPr>
        <w:t xml:space="preserve">采购代理机构信息</w:t>
      </w:r>
      <w:r>
        <w:rPr>
          <w:rFonts w:hint="eastAsia" w:ascii="宋体" w:hAnsi="宋体" w:cs="宋体"/>
          <w:spacing w:val="8"/>
          <w:szCs w:val="21"/>
          <w:highlight w:val="none"/>
          <w:lang w:val="zh-CN"/>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名 称：江苏海外集团国际工程咨询有限公司</w:t>
      </w:r>
      <w:r>
        <w:rPr>
          <w:rFonts w:hint="eastAsia" w:ascii="宋体" w:hAnsi="宋体" w:cs="宋体"/>
          <w:spacing w:val="8"/>
          <w:szCs w:val="21"/>
          <w:highlight w:val="none"/>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地址：南京市建邺区云龙山路58号大唐科技大厦A座高区14-15楼</w:t>
      </w:r>
      <w:r>
        <w:rPr>
          <w:rFonts w:hint="eastAsia" w:ascii="宋体" w:hAnsi="宋体" w:cs="宋体"/>
          <w:spacing w:val="8"/>
          <w:szCs w:val="21"/>
          <w:highlight w:val="none"/>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联系人：吴昊、方东、郭秀华  </w:t>
      </w:r>
      <w:r>
        <w:rPr>
          <w:rFonts w:hint="eastAsia" w:ascii="宋体" w:hAnsi="宋体" w:cs="宋体"/>
          <w:spacing w:val="8"/>
          <w:szCs w:val="21"/>
          <w:highlight w:val="none"/>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联系电话：025-84795433 </w:t>
      </w:r>
      <w:r>
        <w:rPr>
          <w:rFonts w:hint="eastAsia" w:ascii="宋体" w:hAnsi="宋体" w:cs="宋体"/>
          <w:spacing w:val="8"/>
          <w:szCs w:val="21"/>
          <w:highlight w:val="none"/>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邮箱：wh@jocite.com</w:t>
      </w:r>
      <w:r>
        <w:rPr>
          <w:rFonts w:hint="eastAsia" w:ascii="宋体" w:hAnsi="宋体" w:cs="宋体"/>
          <w:spacing w:val="8"/>
          <w:szCs w:val="21"/>
          <w:highlight w:val="none"/>
        </w:rPr>
      </w:r>
      <w:r/>
    </w:p>
    <w:p>
      <w:pPr>
        <w:pStyle w:val="919"/>
        <w:ind w:firstLine="420"/>
        <w:jc w:val="left"/>
        <w:spacing w:line="360" w:lineRule="auto"/>
        <w:widowControl/>
        <w:rPr>
          <w:rFonts w:hint="eastAsia" w:ascii="宋体" w:hAnsi="宋体" w:cs="宋体"/>
          <w:spacing w:val="8"/>
          <w:szCs w:val="21"/>
          <w:highlight w:val="none"/>
          <w:lang w:val="zh-CN"/>
        </w:rPr>
      </w:pPr>
      <w:r>
        <w:rPr>
          <w:rFonts w:hint="eastAsia" w:ascii="宋体" w:hAnsi="宋体" w:cs="宋体"/>
          <w:bCs/>
          <w:highlight w:val="none"/>
        </w:rPr>
        <w:t xml:space="preserve">3</w:t>
      </w:r>
      <w:r>
        <w:rPr>
          <w:rFonts w:hint="eastAsia" w:ascii="宋体" w:hAnsi="宋体" w:cs="宋体"/>
          <w:spacing w:val="8"/>
          <w:szCs w:val="21"/>
          <w:highlight w:val="none"/>
        </w:rPr>
        <w:t xml:space="preserve">.</w:t>
      </w:r>
      <w:r>
        <w:rPr>
          <w:rFonts w:hint="eastAsia" w:ascii="宋体" w:hAnsi="宋体" w:cs="宋体"/>
          <w:spacing w:val="8"/>
          <w:szCs w:val="21"/>
          <w:highlight w:val="none"/>
          <w:lang w:val="zh-CN"/>
        </w:rPr>
        <w:t xml:space="preserve">项目联系方式</w:t>
      </w:r>
      <w:r>
        <w:rPr>
          <w:rFonts w:hint="eastAsia" w:ascii="宋体" w:hAnsi="宋体" w:cs="宋体"/>
          <w:spacing w:val="8"/>
          <w:szCs w:val="21"/>
          <w:highlight w:val="none"/>
          <w:lang w:val="zh-CN"/>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项目联系人：方东</w:t>
      </w:r>
      <w:r>
        <w:rPr>
          <w:rFonts w:hint="eastAsia" w:ascii="宋体" w:hAnsi="宋体" w:cs="宋体"/>
          <w:spacing w:val="8"/>
          <w:szCs w:val="21"/>
          <w:highlight w:val="none"/>
        </w:rPr>
      </w:r>
      <w:r/>
    </w:p>
    <w:p>
      <w:pPr>
        <w:pStyle w:val="919"/>
        <w:ind w:firstLine="452"/>
        <w:jc w:val="left"/>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电话：025-84795433 </w:t>
      </w:r>
      <w:r>
        <w:rPr>
          <w:rFonts w:hint="eastAsia" w:ascii="宋体" w:hAnsi="宋体" w:cs="宋体"/>
          <w:spacing w:val="8"/>
          <w:szCs w:val="21"/>
          <w:highlight w:val="none"/>
        </w:rPr>
      </w:r>
      <w:r/>
    </w:p>
    <w:p>
      <w:pPr>
        <w:pStyle w:val="919"/>
        <w:ind w:firstLine="420"/>
        <w:jc w:val="center"/>
        <w:spacing w:line="360" w:lineRule="auto"/>
        <w:rPr>
          <w:rFonts w:hint="eastAsia" w:ascii="宋体" w:hAnsi="宋体" w:cs="宋体"/>
          <w:highlight w:val="none"/>
        </w:rPr>
      </w:pPr>
      <w:r>
        <w:rPr>
          <w:rFonts w:hint="eastAsia" w:ascii="宋体" w:hAnsi="宋体" w:cs="宋体"/>
          <w:highlight w:val="none"/>
        </w:rPr>
        <w:br w:type="page" w:clear="all"/>
      </w:r>
      <w:bookmarkStart w:id="6" w:name="_Toc12505"/>
      <w:r/>
      <w:bookmarkStart w:id="7" w:name="_Toc26859"/>
      <w:r>
        <w:rPr>
          <w:rStyle w:val="999"/>
          <w:rFonts w:hint="eastAsia" w:ascii="宋体" w:hAnsi="宋体" w:eastAsia="宋体" w:cs="宋体"/>
          <w:highlight w:val="none"/>
        </w:rPr>
        <w:t xml:space="preserve">第二章 投标人须知</w:t>
      </w:r>
      <w:bookmarkEnd w:id="6"/>
      <w:r/>
      <w:bookmarkEnd w:id="7"/>
      <w:r>
        <w:rPr>
          <w:rFonts w:hint="eastAsia" w:ascii="宋体" w:hAnsi="宋体" w:cs="宋体"/>
          <w:highlight w:val="none"/>
        </w:rPr>
      </w:r>
      <w:r/>
    </w:p>
    <w:p>
      <w:pPr>
        <w:pStyle w:val="919"/>
        <w:ind w:firstLine="440"/>
        <w:spacing w:line="360" w:lineRule="auto"/>
        <w:rPr>
          <w:rFonts w:hint="eastAsia" w:ascii="宋体" w:hAnsi="宋体" w:cs="宋体"/>
          <w:sz w:val="22"/>
          <w:szCs w:val="22"/>
          <w:highlight w:val="none"/>
        </w:rPr>
      </w:pPr>
      <w:r>
        <w:rPr>
          <w:rFonts w:hint="eastAsia" w:ascii="宋体" w:hAnsi="宋体" w:cs="宋体"/>
          <w:sz w:val="22"/>
          <w:szCs w:val="22"/>
          <w:highlight w:val="none"/>
        </w:rPr>
        <w:t xml:space="preserve">江苏海外集团国际工程咨询有限公司（以下简称“采购代理机构”）受江苏省特种设备安全监督检验研究院（采购单位名称，以下简称“采购人”）委托，就江苏省特检院劳保服装采购采用公开招标方式采购，兹邀请符合资格条件的投标人提交投标文件和相关材料。</w:t>
      </w:r>
      <w:r>
        <w:rPr>
          <w:rFonts w:hint="eastAsia" w:ascii="宋体" w:hAnsi="宋体" w:cs="宋体"/>
          <w:sz w:val="22"/>
          <w:szCs w:val="22"/>
          <w:highlight w:val="none"/>
        </w:rPr>
      </w:r>
      <w:r/>
    </w:p>
    <w:p>
      <w:pPr>
        <w:pStyle w:val="921"/>
        <w:jc w:val="center"/>
        <w:spacing w:line="360" w:lineRule="auto"/>
        <w:rPr>
          <w:rFonts w:hint="eastAsia" w:ascii="宋体" w:hAnsi="宋体" w:cs="宋体"/>
          <w:sz w:val="24"/>
          <w:highlight w:val="none"/>
        </w:rPr>
      </w:pPr>
      <w:r/>
      <w:bookmarkStart w:id="8" w:name="_Toc22319"/>
      <w:r>
        <w:rPr>
          <w:rFonts w:hint="eastAsia" w:ascii="宋体" w:hAnsi="宋体" w:cs="宋体"/>
          <w:sz w:val="24"/>
          <w:highlight w:val="none"/>
        </w:rPr>
        <w:t xml:space="preserve">投标人须知前附表：</w:t>
      </w:r>
      <w:bookmarkEnd w:id="8"/>
      <w:r>
        <w:rPr>
          <w:rFonts w:hint="eastAsia" w:ascii="宋体" w:hAnsi="宋体" w:cs="宋体"/>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407"/>
        <w:gridCol w:w="6702"/>
      </w:tblGrid>
      <w:tr>
        <w:trPr>
          <w:tblHeader/>
        </w:trPr>
        <w:tc>
          <w:tcPr>
            <w:tcW w:w="427" w:type="dxa"/>
            <w:vAlign w:val="center"/>
            <w:textDirection w:val="lrTb"/>
            <w:noWrap w:val="false"/>
          </w:tcPr>
          <w:p>
            <w:pPr>
              <w:pStyle w:val="919"/>
              <w:jc w:val="center"/>
              <w:spacing w:line="360" w:lineRule="auto"/>
              <w:rPr>
                <w:rFonts w:hint="eastAsia" w:ascii="宋体" w:hAnsi="宋体" w:cs="宋体"/>
                <w:b/>
                <w:bCs/>
                <w:sz w:val="22"/>
                <w:highlight w:val="none"/>
              </w:rPr>
            </w:pPr>
            <w:r>
              <w:rPr>
                <w:rFonts w:hint="eastAsia" w:ascii="宋体" w:hAnsi="宋体" w:cs="宋体"/>
                <w:b/>
                <w:bCs/>
                <w:sz w:val="22"/>
                <w:highlight w:val="none"/>
              </w:rPr>
              <w:t xml:space="preserve">序号</w:t>
            </w:r>
            <w:r>
              <w:rPr>
                <w:rFonts w:hint="eastAsia" w:ascii="宋体" w:hAnsi="宋体" w:cs="宋体"/>
                <w:b/>
                <w:bCs/>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b/>
                <w:bCs/>
                <w:sz w:val="22"/>
                <w:highlight w:val="none"/>
              </w:rPr>
            </w:pPr>
            <w:r>
              <w:rPr>
                <w:rFonts w:hint="eastAsia" w:ascii="宋体" w:hAnsi="宋体" w:cs="宋体"/>
                <w:b/>
                <w:bCs/>
                <w:sz w:val="22"/>
                <w:highlight w:val="none"/>
              </w:rPr>
              <w:t xml:space="preserve">项目</w:t>
            </w:r>
            <w:r>
              <w:rPr>
                <w:rFonts w:hint="eastAsia" w:ascii="宋体" w:hAnsi="宋体" w:cs="宋体"/>
                <w:b/>
                <w:bCs/>
                <w:sz w:val="22"/>
                <w:highlight w:val="none"/>
              </w:rPr>
            </w:r>
            <w:r/>
          </w:p>
        </w:tc>
        <w:tc>
          <w:tcPr>
            <w:tcW w:w="3364" w:type="dxa"/>
            <w:vAlign w:val="center"/>
            <w:textDirection w:val="lrTb"/>
            <w:noWrap w:val="false"/>
          </w:tcPr>
          <w:p>
            <w:pPr>
              <w:pStyle w:val="919"/>
              <w:jc w:val="center"/>
              <w:spacing w:line="360" w:lineRule="auto"/>
              <w:rPr>
                <w:rFonts w:hint="eastAsia" w:ascii="宋体" w:hAnsi="宋体" w:cs="宋体"/>
                <w:b/>
                <w:bCs/>
                <w:sz w:val="22"/>
                <w:highlight w:val="none"/>
              </w:rPr>
            </w:pPr>
            <w:r>
              <w:rPr>
                <w:rFonts w:hint="eastAsia" w:ascii="宋体" w:hAnsi="宋体" w:cs="宋体"/>
                <w:b/>
                <w:bCs/>
                <w:sz w:val="22"/>
                <w:highlight w:val="none"/>
              </w:rPr>
              <w:t xml:space="preserve">具体内容</w:t>
            </w:r>
            <w:r>
              <w:rPr>
                <w:rFonts w:hint="eastAsia" w:ascii="宋体" w:hAnsi="宋体" w:cs="宋体"/>
                <w:b/>
                <w:bCs/>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项目名称</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江苏省特检院劳保服装采购</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2</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采购方式</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公开招标</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3</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项目编号</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项目编号：JSZC-320000-HWZX-G2026-0485</w:t>
            </w:r>
            <w:r>
              <w:rPr>
                <w:rFonts w:hint="eastAsia" w:ascii="宋体" w:hAnsi="宋体" w:cs="宋体"/>
                <w:sz w:val="22"/>
                <w:highlight w:val="none"/>
              </w:rPr>
            </w:r>
            <w:r/>
          </w:p>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代理机构内部编号：0675-266JOC004603</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4</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采购分包</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采购分包1</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5</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采购代理</w:t>
            </w:r>
            <w:r>
              <w:rPr>
                <w:rFonts w:hint="eastAsia" w:ascii="宋体" w:hAnsi="宋体" w:cs="宋体"/>
                <w:sz w:val="22"/>
                <w:highlight w:val="none"/>
              </w:rPr>
            </w:r>
            <w:r/>
          </w:p>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机构</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江苏海外集团国际工程咨询有限公司</w:t>
            </w:r>
            <w:r>
              <w:rPr>
                <w:rFonts w:hint="eastAsia" w:ascii="宋体" w:hAnsi="宋体" w:cs="宋体"/>
                <w:sz w:val="22"/>
                <w:highlight w:val="none"/>
              </w:rPr>
            </w:r>
            <w:r/>
          </w:p>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项目负责人：方东</w:t>
            </w:r>
            <w:r>
              <w:rPr>
                <w:rFonts w:hint="eastAsia" w:ascii="宋体" w:hAnsi="宋体" w:cs="宋体"/>
                <w:sz w:val="22"/>
                <w:highlight w:val="none"/>
              </w:rPr>
            </w:r>
            <w:r/>
          </w:p>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电话：025-84795433/15195998576</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6</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采购人</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江苏省特种设备安全监督检验研究院</w:t>
            </w:r>
            <w:r>
              <w:rPr>
                <w:rFonts w:hint="eastAsia" w:ascii="宋体" w:hAnsi="宋体" w:cs="宋体"/>
                <w:sz w:val="22"/>
                <w:highlight w:val="none"/>
              </w:rPr>
            </w:r>
            <w:r/>
          </w:p>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联系人：李风华         </w:t>
            </w:r>
            <w:r>
              <w:rPr>
                <w:rFonts w:hint="eastAsia" w:ascii="宋体" w:hAnsi="宋体" w:cs="宋体"/>
                <w:sz w:val="22"/>
                <w:highlight w:val="none"/>
              </w:rPr>
            </w:r>
            <w:r/>
          </w:p>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电话：025-89621099</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7</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预算金额</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人民币2065380元。</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8</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最高限价</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人民币2065380元，且单套服装不得超过</w:t>
            </w:r>
            <w:r>
              <w:rPr>
                <w:rFonts w:hint="eastAsia" w:ascii="宋体" w:hAnsi="宋体" w:cs="宋体"/>
                <w:sz w:val="22"/>
                <w:highlight w:val="none"/>
                <w:lang w:val="en-US" w:eastAsia="zh-CN"/>
              </w:rPr>
              <w:t xml:space="preserve">招标公告</w:t>
            </w:r>
            <w:r>
              <w:rPr>
                <w:rFonts w:hint="eastAsia" w:ascii="宋体" w:hAnsi="宋体" w:cs="宋体"/>
                <w:sz w:val="22"/>
                <w:highlight w:val="none"/>
              </w:rPr>
              <w:t xml:space="preserve">“表1-1 采购需求一览表”中“单价预算”</w:t>
            </w:r>
            <w:r>
              <w:rPr>
                <w:rFonts w:hint="eastAsia" w:ascii="宋体" w:hAnsi="宋体" w:cs="宋体"/>
                <w:color w:val="ff0000"/>
                <w:sz w:val="22"/>
                <w:highlight w:val="none"/>
              </w:rPr>
              <w:t xml:space="preserve">，投标总价超过最高限价或投标报价超过任一分项单价限价的，按无效投标处理。</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9</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报价方式</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所有投标报价均以人民币报价。投标人的投标报价应遵守《中华人民共和国价格法》。该报价为到采购人现场的全部费用（含相关税费、运输费、保险费、安装费及相关服务费等一切可能发生的费用）。具体报价格式参照招标文件附件“报价一览表格式”。</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10</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投标保证金</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无</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11</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招标文件获取</w:t>
            </w:r>
            <w:r>
              <w:rPr>
                <w:rFonts w:hint="eastAsia" w:ascii="宋体" w:hAnsi="宋体" w:cs="宋体"/>
                <w:sz w:val="22"/>
                <w:highlight w:val="none"/>
              </w:rPr>
            </w:r>
            <w:r/>
          </w:p>
        </w:tc>
        <w:tc>
          <w:tcPr>
            <w:tcW w:w="3364" w:type="dxa"/>
            <w:vAlign w:val="center"/>
            <w:textDirection w:val="lrTb"/>
            <w:noWrap w:val="false"/>
          </w:tcPr>
          <w:p>
            <w:pPr>
              <w:pStyle w:val="919"/>
              <w:spacing w:line="360" w:lineRule="auto"/>
              <w:tabs>
                <w:tab w:val="left" w:pos="5250" w:leader="none"/>
              </w:tabs>
              <w:rPr>
                <w:rFonts w:hint="eastAsia" w:ascii="宋体" w:hAnsi="宋体" w:cs="宋体"/>
                <w:sz w:val="22"/>
                <w:highlight w:val="none"/>
              </w:rPr>
            </w:pPr>
            <w:r>
              <w:rPr>
                <w:rFonts w:hint="eastAsia" w:ascii="宋体" w:hAnsi="宋体" w:cs="宋体"/>
                <w:sz w:val="22"/>
                <w:highlight w:val="none"/>
              </w:rPr>
              <w:t xml:space="preserve">“苏采云”政府采购交易系统。</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12</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答疑</w:t>
            </w:r>
            <w:r>
              <w:rPr>
                <w:rFonts w:hint="eastAsia" w:ascii="宋体" w:hAnsi="宋体" w:cs="宋体"/>
                <w:sz w:val="22"/>
                <w:highlight w:val="none"/>
              </w:rPr>
            </w:r>
            <w:r/>
          </w:p>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（勘查现场）</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b/>
                <w:bCs/>
                <w:sz w:val="22"/>
                <w:highlight w:val="none"/>
              </w:rPr>
            </w:pPr>
            <w:r>
              <w:rPr>
                <w:rFonts w:hint="eastAsia" w:ascii="宋体" w:hAnsi="宋体" w:cs="宋体"/>
                <w:sz w:val="22"/>
                <w:highlight w:val="none"/>
              </w:rPr>
              <w:t xml:space="preserve">采购人不集中组织，投标人可自行联系采购项目负责人答疑。未考察现场或考察工作不充分的投标人，中标后不得以不完全了解现场情况为由向采购人提出任何索赔或其他要求，对此采购人不承担任何责任，且将不作任何答复。</w:t>
            </w:r>
            <w:r>
              <w:rPr>
                <w:rFonts w:hint="eastAsia" w:ascii="宋体" w:hAnsi="宋体" w:cs="宋体"/>
                <w:b/>
                <w:bCs/>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13</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投标文件接收截止时间及地点</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截止时间（同开标时间）：详见招标公告</w:t>
            </w:r>
            <w:r>
              <w:rPr>
                <w:rFonts w:hint="eastAsia" w:ascii="宋体" w:hAnsi="宋体" w:cs="宋体"/>
                <w:sz w:val="22"/>
                <w:highlight w:val="none"/>
              </w:rPr>
            </w:r>
            <w:r/>
          </w:p>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接收地点：“苏采云”政府采购交易系统网上开标大厅</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14</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投标文件</w:t>
            </w:r>
            <w:r>
              <w:rPr>
                <w:rFonts w:hint="eastAsia" w:ascii="宋体" w:hAnsi="宋体" w:cs="宋体"/>
                <w:sz w:val="22"/>
                <w:highlight w:val="none"/>
              </w:rPr>
            </w:r>
            <w:r/>
          </w:p>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形式</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15</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评标时间</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2026年</w:t>
            </w:r>
            <w:r>
              <w:rPr>
                <w:rFonts w:hint="eastAsia" w:ascii="宋体" w:hAnsi="宋体" w:cs="宋体"/>
                <w:sz w:val="22"/>
                <w:highlight w:val="none"/>
                <w:lang w:eastAsia="zh-CN"/>
              </w:rPr>
              <w:t xml:space="preserve">10月21日9:30</w:t>
            </w:r>
            <w:r>
              <w:rPr>
                <w:rFonts w:hint="eastAsia" w:ascii="宋体" w:hAnsi="宋体" w:cs="宋体"/>
                <w:sz w:val="22"/>
                <w:highlight w:val="none"/>
              </w:rPr>
              <w:t xml:space="preserve">后（北京时间）</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16</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投标文件</w:t>
            </w:r>
            <w:r>
              <w:rPr>
                <w:rFonts w:hint="eastAsia" w:ascii="宋体" w:hAnsi="宋体" w:cs="宋体"/>
                <w:sz w:val="22"/>
                <w:highlight w:val="none"/>
              </w:rPr>
            </w:r>
            <w:r/>
          </w:p>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完整性</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招标文件中有明确规定需要签字和盖章的必须有签字和盖章，且加盖的公章仅能使用与投标人名称一致的公章/电子签章，不得使用其他形式（如带有“专用章”“合同章”“财务章”“业务章”等字样）的印章，否则，按无效投标文件处理。</w:t>
            </w:r>
            <w:r>
              <w:rPr>
                <w:rFonts w:hint="eastAsia" w:ascii="宋体" w:hAnsi="宋体" w:cs="宋体"/>
                <w:sz w:val="22"/>
                <w:highlight w:val="none"/>
              </w:rPr>
            </w:r>
            <w:r/>
          </w:p>
        </w:tc>
      </w:tr>
      <w:tr>
        <w:trPr>
          <w:trHeight w:val="400"/>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17</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投标文件有效期</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投标人提交投标文件截止之日起90天</w:t>
            </w:r>
            <w:r>
              <w:rPr>
                <w:rFonts w:hint="eastAsia" w:ascii="宋体" w:hAnsi="宋体" w:cs="宋体"/>
                <w:sz w:val="22"/>
                <w:highlight w:val="none"/>
              </w:rPr>
            </w:r>
            <w:r/>
          </w:p>
        </w:tc>
      </w:tr>
      <w:tr>
        <w:trPr>
          <w:trHeight w:val="352"/>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18</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关于联合体投标</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本项目不接受联合体投标</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19</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中标候选人及中标人数量</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中标候选人：3名/包；中标人：1名/包</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20</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采购代理费用</w:t>
            </w:r>
            <w:r>
              <w:rPr>
                <w:rFonts w:hint="eastAsia" w:ascii="宋体" w:hAnsi="宋体" w:cs="宋体"/>
                <w:sz w:val="22"/>
                <w:highlight w:val="none"/>
              </w:rPr>
            </w:r>
            <w:r/>
          </w:p>
        </w:tc>
        <w:tc>
          <w:tcPr>
            <w:tcW w:w="3364" w:type="dxa"/>
            <w:vAlign w:val="center"/>
            <w:textDirection w:val="lrTb"/>
            <w:noWrap w:val="false"/>
          </w:tcPr>
          <w:p>
            <w:pPr>
              <w:pStyle w:val="919"/>
              <w:spacing w:line="300" w:lineRule="auto"/>
              <w:rPr>
                <w:rFonts w:hint="eastAsia" w:ascii="宋体" w:hAnsi="宋体" w:cs="宋体"/>
                <w:sz w:val="22"/>
                <w:szCs w:val="22"/>
                <w:highlight w:val="none"/>
              </w:rPr>
            </w:pPr>
            <w:r>
              <w:rPr>
                <w:rFonts w:hint="eastAsia" w:ascii="宋体" w:hAnsi="宋体" w:cs="宋体"/>
                <w:sz w:val="22"/>
                <w:szCs w:val="22"/>
                <w:highlight w:val="none"/>
              </w:rPr>
              <w:t xml:space="preserve">一、服务费约定：</w:t>
            </w:r>
            <w:r>
              <w:rPr>
                <w:rFonts w:hint="eastAsia" w:ascii="宋体" w:hAnsi="宋体" w:cs="宋体"/>
                <w:sz w:val="22"/>
                <w:szCs w:val="22"/>
                <w:highlight w:val="none"/>
              </w:rPr>
            </w:r>
            <w:r/>
          </w:p>
          <w:p>
            <w:pPr>
              <w:pStyle w:val="919"/>
              <w:spacing w:line="300" w:lineRule="auto"/>
              <w:rPr>
                <w:rFonts w:hint="eastAsia" w:ascii="宋体" w:hAnsi="宋体" w:cs="宋体"/>
                <w:sz w:val="22"/>
                <w:szCs w:val="22"/>
                <w:highlight w:val="none"/>
              </w:rPr>
            </w:pPr>
            <w:r>
              <w:rPr>
                <w:rFonts w:hint="eastAsia" w:ascii="宋体" w:hAnsi="宋体" w:cs="宋体"/>
                <w:sz w:val="22"/>
                <w:szCs w:val="22"/>
                <w:highlight w:val="none"/>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cs="宋体"/>
                <w:sz w:val="22"/>
                <w:szCs w:val="22"/>
                <w:highlight w:val="none"/>
              </w:rPr>
            </w:r>
            <w:r/>
          </w:p>
          <w:p>
            <w:pPr>
              <w:pStyle w:val="919"/>
              <w:spacing w:line="300" w:lineRule="auto"/>
              <w:rPr>
                <w:rFonts w:hint="eastAsia" w:ascii="宋体" w:hAnsi="宋体" w:cs="宋体"/>
                <w:bCs/>
                <w:color w:val="c00000"/>
                <w:sz w:val="22"/>
                <w:szCs w:val="22"/>
                <w:highlight w:val="none"/>
              </w:rPr>
            </w:pPr>
            <w:r>
              <w:rPr>
                <w:rFonts w:hint="eastAsia" w:ascii="宋体" w:hAnsi="宋体" w:cs="宋体"/>
                <w:color w:val="c00000"/>
                <w:sz w:val="22"/>
                <w:szCs w:val="22"/>
                <w:highlight w:val="none"/>
              </w:rPr>
              <w:t xml:space="preserve">二、</w:t>
            </w:r>
            <w:r>
              <w:rPr>
                <w:rFonts w:hint="eastAsia" w:ascii="宋体" w:hAnsi="宋体" w:cs="宋体"/>
                <w:bCs/>
                <w:color w:val="c00000"/>
                <w:sz w:val="22"/>
                <w:szCs w:val="22"/>
                <w:highlight w:val="none"/>
              </w:rPr>
              <w:t xml:space="preserve">支付主体及原因：</w:t>
            </w:r>
            <w:r>
              <w:rPr>
                <w:rFonts w:hint="eastAsia" w:ascii="宋体" w:hAnsi="宋体" w:cs="宋体"/>
                <w:bCs/>
                <w:color w:val="c00000"/>
                <w:sz w:val="22"/>
                <w:szCs w:val="22"/>
                <w:highlight w:val="none"/>
              </w:rPr>
            </w:r>
            <w:r/>
          </w:p>
          <w:p>
            <w:pPr>
              <w:pStyle w:val="919"/>
              <w:spacing w:line="300" w:lineRule="auto"/>
              <w:rPr>
                <w:rFonts w:hint="eastAsia" w:ascii="宋体" w:hAnsi="宋体" w:cs="宋体"/>
                <w:bCs/>
                <w:color w:val="c00000"/>
                <w:sz w:val="22"/>
                <w:szCs w:val="22"/>
                <w:highlight w:val="none"/>
              </w:rPr>
            </w:pPr>
            <w:r>
              <w:rPr>
                <w:rFonts w:hint="eastAsia" w:ascii="宋体" w:hAnsi="宋体" w:cs="宋体"/>
                <w:bCs/>
                <w:color w:val="c00000"/>
                <w:sz w:val="22"/>
                <w:szCs w:val="22"/>
                <w:highlight w:val="none"/>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cs="宋体"/>
                <w:color w:val="c00000"/>
                <w:sz w:val="22"/>
                <w:szCs w:val="22"/>
                <w:highlight w:val="none"/>
              </w:rPr>
              <w:t xml:space="preserve">由中标供应商承担并包含在投标报价中，该笔费用综合包含于投标人投标总报价内，投标人报价表无需单独列示此项费用。</w:t>
            </w:r>
            <w:r>
              <w:rPr>
                <w:rFonts w:hint="eastAsia" w:ascii="宋体" w:hAnsi="宋体" w:cs="宋体"/>
                <w:bCs/>
                <w:color w:val="c00000"/>
                <w:sz w:val="22"/>
                <w:szCs w:val="22"/>
                <w:highlight w:val="none"/>
              </w:rPr>
            </w:r>
            <w:r/>
          </w:p>
          <w:p>
            <w:pPr>
              <w:pStyle w:val="919"/>
              <w:spacing w:line="300" w:lineRule="auto"/>
              <w:rPr>
                <w:rFonts w:hint="eastAsia" w:ascii="宋体" w:hAnsi="宋体" w:cs="宋体"/>
                <w:bCs/>
                <w:sz w:val="22"/>
                <w:szCs w:val="22"/>
                <w:highlight w:val="none"/>
              </w:rPr>
            </w:pPr>
            <w:r>
              <w:rPr>
                <w:rFonts w:hint="eastAsia" w:ascii="宋体" w:hAnsi="宋体" w:cs="宋体"/>
                <w:bCs/>
                <w:sz w:val="22"/>
                <w:szCs w:val="22"/>
                <w:highlight w:val="none"/>
              </w:rPr>
              <w:t xml:space="preserve">三、计费依据及标准:</w:t>
            </w:r>
            <w:r>
              <w:rPr>
                <w:rFonts w:hint="eastAsia" w:ascii="宋体" w:hAnsi="宋体" w:cs="宋体"/>
                <w:bCs/>
                <w:sz w:val="22"/>
                <w:szCs w:val="22"/>
                <w:highlight w:val="none"/>
              </w:rPr>
            </w:r>
            <w:r/>
          </w:p>
          <w:p>
            <w:pPr>
              <w:pStyle w:val="919"/>
              <w:spacing w:line="300" w:lineRule="auto"/>
              <w:rPr>
                <w:rFonts w:hint="eastAsia" w:ascii="宋体" w:hAnsi="宋体" w:cs="宋体"/>
                <w:bCs/>
                <w:color w:val="c00000"/>
                <w:sz w:val="22"/>
                <w:szCs w:val="22"/>
                <w:highlight w:val="none"/>
              </w:rPr>
            </w:pPr>
            <w:r>
              <w:rPr>
                <w:rFonts w:hint="eastAsia" w:ascii="宋体" w:hAnsi="宋体" w:cs="宋体"/>
                <w:bCs/>
                <w:color w:val="c00000"/>
                <w:sz w:val="22"/>
                <w:szCs w:val="22"/>
                <w:highlight w:val="none"/>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cs="宋体"/>
                <w:bCs/>
                <w:color w:val="c00000"/>
                <w:sz w:val="22"/>
                <w:szCs w:val="22"/>
                <w:highlight w:val="none"/>
              </w:rPr>
            </w:r>
            <w:r/>
          </w:p>
          <w:p>
            <w:pPr>
              <w:pStyle w:val="919"/>
              <w:spacing w:line="300" w:lineRule="auto"/>
              <w:rPr>
                <w:rFonts w:hint="eastAsia" w:ascii="宋体" w:hAnsi="宋体" w:cs="宋体"/>
                <w:sz w:val="22"/>
                <w:szCs w:val="22"/>
                <w:highlight w:val="none"/>
              </w:rPr>
            </w:pPr>
            <w:r>
              <w:rPr>
                <w:sz w:val="22"/>
                <w:szCs w:val="22"/>
                <w:highlight w:val="none"/>
              </w:rPr>
              <mc:AlternateContent>
                <mc:Choice Requires="wpg">
                  <w:drawing>
                    <wp:inline xmlns:wp="http://schemas.openxmlformats.org/drawingml/2006/wordprocessingDrawing" distT="0" distB="0" distL="0" distR="0">
                      <wp:extent cx="4097795" cy="2174913"/>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2.7pt;height:171.3pt;mso-wrap-distance-left:0.0pt;mso-wrap-distance-top:0.0pt;mso-wrap-distance-right:0.0pt;mso-wrap-distance-bottom:0.0pt;" stroked="f">
                      <v:path textboxrect="0,0,0,0"/>
                      <v:imagedata r:id="rId20" o:title=""/>
                    </v:shape>
                  </w:pict>
                </mc:Fallback>
              </mc:AlternateContent>
            </w:r>
            <w:r>
              <w:rPr>
                <w:rFonts w:hint="eastAsia" w:ascii="宋体" w:hAnsi="宋体" w:cs="宋体"/>
                <w:sz w:val="22"/>
                <w:szCs w:val="22"/>
                <w:highlight w:val="none"/>
              </w:rPr>
            </w:r>
            <w:r/>
          </w:p>
          <w:p>
            <w:pPr>
              <w:pStyle w:val="919"/>
              <w:spacing w:line="300" w:lineRule="auto"/>
              <w:rPr>
                <w:rFonts w:hint="eastAsia" w:ascii="宋体" w:hAnsi="宋体" w:cs="宋体"/>
                <w:sz w:val="22"/>
                <w:szCs w:val="22"/>
                <w:highlight w:val="none"/>
              </w:rPr>
            </w:pPr>
            <w:r>
              <w:rPr>
                <w:rFonts w:hint="eastAsia" w:ascii="宋体" w:hAnsi="宋体" w:cs="宋体"/>
                <w:sz w:val="22"/>
                <w:szCs w:val="22"/>
                <w:highlight w:val="none"/>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cs="宋体"/>
                <w:sz w:val="22"/>
                <w:szCs w:val="22"/>
                <w:highlight w:val="none"/>
              </w:rPr>
            </w:r>
            <w:r/>
          </w:p>
          <w:p>
            <w:pPr>
              <w:pStyle w:val="919"/>
              <w:spacing w:line="300" w:lineRule="auto"/>
              <w:rPr>
                <w:rFonts w:hint="eastAsia" w:ascii="宋体" w:hAnsi="宋体" w:cs="宋体"/>
                <w:sz w:val="22"/>
                <w:szCs w:val="22"/>
                <w:highlight w:val="none"/>
              </w:rPr>
            </w:pPr>
            <w:r>
              <w:rPr>
                <w:rFonts w:hint="eastAsia" w:ascii="宋体" w:hAnsi="宋体" w:cs="宋体"/>
                <w:sz w:val="22"/>
                <w:szCs w:val="22"/>
                <w:highlight w:val="none"/>
              </w:rPr>
              <w:t xml:space="preserve">四、缴纳时间与方式</w:t>
            </w:r>
            <w:r>
              <w:rPr>
                <w:rFonts w:hint="eastAsia" w:ascii="宋体" w:hAnsi="宋体" w:cs="宋体"/>
                <w:sz w:val="22"/>
                <w:szCs w:val="22"/>
                <w:highlight w:val="none"/>
              </w:rPr>
            </w:r>
            <w:r/>
          </w:p>
          <w:p>
            <w:pPr>
              <w:pStyle w:val="919"/>
              <w:spacing w:line="300" w:lineRule="auto"/>
              <w:rPr>
                <w:rFonts w:hint="eastAsia" w:ascii="宋体" w:hAnsi="宋体" w:cs="宋体"/>
                <w:sz w:val="22"/>
                <w:szCs w:val="22"/>
                <w:highlight w:val="none"/>
              </w:rPr>
            </w:pPr>
            <w:r>
              <w:rPr>
                <w:rFonts w:hint="eastAsia" w:ascii="宋体" w:hAnsi="宋体" w:cs="宋体"/>
                <w:sz w:val="22"/>
                <w:szCs w:val="22"/>
                <w:highlight w:val="none"/>
              </w:rPr>
              <w:t xml:space="preserve">缴纳时间：中标供应商在领取中标通知书，一次性足额缴纳全部代理服务费。</w:t>
            </w:r>
            <w:r>
              <w:rPr>
                <w:rFonts w:hint="eastAsia" w:ascii="宋体" w:hAnsi="宋体" w:cs="宋体"/>
                <w:sz w:val="22"/>
                <w:szCs w:val="22"/>
                <w:highlight w:val="none"/>
              </w:rPr>
            </w:r>
            <w:r/>
          </w:p>
          <w:p>
            <w:pPr>
              <w:pStyle w:val="919"/>
              <w:spacing w:line="360" w:lineRule="auto"/>
              <w:rPr>
                <w:rFonts w:hint="eastAsia" w:ascii="宋体" w:hAnsi="宋体" w:cs="宋体"/>
                <w:sz w:val="22"/>
                <w:highlight w:val="none"/>
              </w:rPr>
            </w:pPr>
            <w:r>
              <w:rPr>
                <w:rFonts w:hint="eastAsia" w:ascii="宋体" w:hAnsi="宋体" w:cs="宋体"/>
                <w:sz w:val="22"/>
                <w:szCs w:val="22"/>
                <w:highlight w:val="none"/>
              </w:rPr>
              <w:t xml:space="preserve">缴纳方式：可采用银行电汇、对公转账方式缴纳（以代理机构指定账户/收款要求为准）。</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21</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评审费用支付</w:t>
            </w:r>
            <w:r>
              <w:rPr>
                <w:rFonts w:hint="eastAsia" w:ascii="宋体" w:hAnsi="宋体" w:cs="宋体"/>
                <w:sz w:val="22"/>
                <w:highlight w:val="none"/>
              </w:rPr>
            </w:r>
            <w:r/>
          </w:p>
        </w:tc>
        <w:tc>
          <w:tcPr>
            <w:tcW w:w="3364" w:type="dxa"/>
            <w:vAlign w:val="center"/>
            <w:textDirection w:val="lrTb"/>
            <w:noWrap w:val="false"/>
          </w:tcPr>
          <w:p>
            <w:pPr>
              <w:pStyle w:val="919"/>
              <w:spacing w:line="360" w:lineRule="auto"/>
              <w:rPr>
                <w:rFonts w:hint="eastAsia" w:ascii="宋体" w:hAnsi="宋体" w:cs="宋体"/>
                <w:sz w:val="22"/>
                <w:highlight w:val="none"/>
              </w:rPr>
            </w:pPr>
            <w:r>
              <w:rPr>
                <w:rFonts w:hint="eastAsia" w:ascii="宋体" w:hAnsi="宋体" w:cs="宋体"/>
                <w:sz w:val="22"/>
                <w:highlight w:val="none"/>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cs="宋体"/>
                <w:sz w:val="22"/>
                <w:highlight w:val="none"/>
              </w:rPr>
            </w:r>
            <w:r/>
          </w:p>
        </w:tc>
      </w:tr>
      <w:tr>
        <w:trPr/>
        <w:tc>
          <w:tcPr>
            <w:tcW w:w="427"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22</w:t>
            </w:r>
            <w:r>
              <w:rPr>
                <w:rFonts w:hint="eastAsia" w:ascii="宋体" w:hAnsi="宋体" w:cs="宋体"/>
                <w:sz w:val="22"/>
                <w:highlight w:val="none"/>
              </w:rPr>
            </w:r>
            <w:r/>
          </w:p>
        </w:tc>
        <w:tc>
          <w:tcPr>
            <w:tcW w:w="1208" w:type="dxa"/>
            <w:vAlign w:val="center"/>
            <w:textDirection w:val="lrTb"/>
            <w:noWrap w:val="false"/>
          </w:tcPr>
          <w:p>
            <w:pPr>
              <w:pStyle w:val="919"/>
              <w:jc w:val="center"/>
              <w:spacing w:line="360" w:lineRule="auto"/>
              <w:rPr>
                <w:rFonts w:hint="eastAsia" w:ascii="宋体" w:hAnsi="宋体" w:cs="宋体"/>
                <w:sz w:val="22"/>
                <w:highlight w:val="none"/>
              </w:rPr>
            </w:pPr>
            <w:r>
              <w:rPr>
                <w:rFonts w:hint="eastAsia" w:ascii="宋体" w:hAnsi="宋体" w:cs="宋体"/>
                <w:sz w:val="22"/>
                <w:highlight w:val="none"/>
              </w:rPr>
              <w:t xml:space="preserve">其他要求</w:t>
            </w:r>
            <w:r>
              <w:rPr>
                <w:rFonts w:hint="eastAsia" w:ascii="宋体" w:hAnsi="宋体" w:cs="宋体"/>
                <w:sz w:val="22"/>
                <w:highlight w:val="none"/>
              </w:rPr>
            </w:r>
            <w:r/>
          </w:p>
        </w:tc>
        <w:tc>
          <w:tcPr>
            <w:tcW w:w="3364" w:type="dxa"/>
            <w:vAlign w:val="center"/>
            <w:textDirection w:val="lrTb"/>
            <w:noWrap w:val="false"/>
          </w:tcPr>
          <w:p>
            <w:pPr>
              <w:pStyle w:val="919"/>
              <w:jc w:val="left"/>
              <w:spacing w:line="360" w:lineRule="auto"/>
              <w:rPr>
                <w:rFonts w:hint="eastAsia" w:ascii="宋体" w:hAnsi="宋体" w:cs="宋体"/>
                <w:sz w:val="22"/>
                <w:highlight w:val="none"/>
              </w:rPr>
            </w:pPr>
            <w:r>
              <w:rPr>
                <w:rFonts w:hint="eastAsia" w:ascii="宋体" w:hAnsi="宋体" w:cs="宋体"/>
                <w:sz w:val="22"/>
                <w:highlight w:val="none"/>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cs="宋体"/>
                <w:sz w:val="22"/>
                <w:highlight w:val="none"/>
              </w:rPr>
            </w:r>
            <w:r/>
          </w:p>
          <w:p>
            <w:pPr>
              <w:pStyle w:val="919"/>
              <w:jc w:val="left"/>
              <w:spacing w:line="360" w:lineRule="auto"/>
              <w:rPr>
                <w:rFonts w:hint="eastAsia" w:ascii="宋体" w:hAnsi="宋体" w:cs="宋体"/>
                <w:sz w:val="22"/>
                <w:highlight w:val="none"/>
              </w:rPr>
            </w:pPr>
            <w:r>
              <w:rPr>
                <w:rFonts w:hint="eastAsia" w:ascii="宋体" w:hAnsi="宋体" w:cs="宋体"/>
                <w:sz w:val="22"/>
                <w:highlight w:val="none"/>
              </w:rPr>
              <w:t xml:space="preserve">请投标人务必认真阅读本招标文件，严格遵照上述要求应标。</w:t>
            </w:r>
            <w:r>
              <w:rPr>
                <w:rFonts w:hint="eastAsia" w:ascii="宋体" w:hAnsi="宋体" w:cs="宋体"/>
                <w:sz w:val="22"/>
                <w:highlight w:val="none"/>
              </w:rPr>
            </w:r>
            <w:r/>
          </w:p>
        </w:tc>
      </w:tr>
    </w:tbl>
    <w:p>
      <w:pPr>
        <w:pStyle w:val="919"/>
        <w:numPr>
          <w:ilvl w:val="0"/>
          <w:numId w:val="3"/>
        </w:numPr>
        <w:spacing w:line="360" w:lineRule="auto"/>
        <w:rPr>
          <w:rFonts w:hint="eastAsia" w:ascii="宋体" w:hAnsi="宋体" w:cs="宋体"/>
          <w:b/>
          <w:bCs/>
          <w:szCs w:val="21"/>
          <w:highlight w:val="none"/>
        </w:rPr>
        <w:outlineLvl w:val="1"/>
      </w:pPr>
      <w:r/>
      <w:bookmarkStart w:id="9" w:name="_Toc27197"/>
      <w:r>
        <w:rPr>
          <w:rFonts w:hint="eastAsia" w:ascii="宋体" w:hAnsi="宋体" w:cs="宋体"/>
          <w:highlight w:val="none"/>
        </w:rPr>
        <w:br w:type="page" w:clear="all"/>
      </w:r>
      <w:bookmarkEnd w:id="9"/>
      <w:r/>
      <w:bookmarkStart w:id="10" w:name="_Toc209510674"/>
      <w:r/>
      <w:bookmarkStart w:id="11" w:name="_Toc20838"/>
      <w:r/>
      <w:bookmarkStart w:id="12" w:name="_Toc28411"/>
      <w:r/>
      <w:bookmarkStart w:id="13" w:name="_Toc28104"/>
      <w:r/>
      <w:bookmarkStart w:id="14" w:name="_Toc17556"/>
      <w:r/>
      <w:bookmarkStart w:id="15" w:name="_Toc209510615"/>
      <w:r>
        <w:rPr>
          <w:rFonts w:hint="eastAsia" w:ascii="宋体" w:hAnsi="宋体" w:cs="宋体"/>
          <w:b/>
          <w:bCs/>
          <w:szCs w:val="21"/>
          <w:highlight w:val="none"/>
          <w:lang w:val="zh-CN"/>
        </w:rPr>
        <w:t xml:space="preserve">总则</w:t>
      </w:r>
      <w:bookmarkEnd w:id="10"/>
      <w:r/>
      <w:bookmarkEnd w:id="11"/>
      <w:r/>
      <w:bookmarkEnd w:id="12"/>
      <w:r/>
      <w:bookmarkEnd w:id="13"/>
      <w:r/>
      <w:bookmarkEnd w:id="14"/>
      <w:r/>
      <w:bookmarkEnd w:id="15"/>
      <w:r>
        <w:rPr>
          <w:rFonts w:hint="eastAsia" w:ascii="宋体" w:hAnsi="宋体" w:cs="宋体"/>
          <w:b/>
          <w:bCs/>
          <w:szCs w:val="21"/>
          <w:highlight w:val="none"/>
        </w:rPr>
      </w:r>
      <w:r/>
    </w:p>
    <w:p>
      <w:pPr>
        <w:pStyle w:val="919"/>
        <w:numPr>
          <w:ilvl w:val="0"/>
          <w:numId w:val="4"/>
        </w:numPr>
        <w:ind w:firstLine="422"/>
        <w:spacing w:line="360" w:lineRule="auto"/>
        <w:rPr>
          <w:rFonts w:hint="eastAsia" w:ascii="宋体" w:hAnsi="宋体" w:cs="宋体"/>
          <w:b/>
          <w:bCs/>
          <w:szCs w:val="21"/>
          <w:highlight w:val="none"/>
        </w:rPr>
      </w:pPr>
      <w:r/>
      <w:bookmarkStart w:id="16" w:name="_Toc209510675"/>
      <w:r>
        <w:rPr>
          <w:rFonts w:hint="eastAsia" w:ascii="宋体" w:hAnsi="宋体" w:cs="宋体"/>
          <w:b/>
          <w:bCs/>
          <w:szCs w:val="21"/>
          <w:highlight w:val="none"/>
        </w:rPr>
        <w:t xml:space="preserve">适用法律</w:t>
      </w:r>
      <w:bookmarkEnd w:id="16"/>
      <w:r>
        <w:rPr>
          <w:rFonts w:hint="eastAsia" w:ascii="宋体" w:hAnsi="宋体" w:cs="宋体"/>
          <w:b/>
          <w:bCs/>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highlight w:val="none"/>
        </w:rPr>
      </w:r>
      <w:r/>
    </w:p>
    <w:p>
      <w:pPr>
        <w:pStyle w:val="919"/>
        <w:numPr>
          <w:ilvl w:val="0"/>
          <w:numId w:val="4"/>
        </w:numPr>
        <w:ind w:firstLine="422"/>
        <w:spacing w:line="360" w:lineRule="auto"/>
        <w:rPr>
          <w:rFonts w:hint="eastAsia" w:ascii="宋体" w:hAnsi="宋体" w:cs="宋体"/>
          <w:b/>
          <w:bCs/>
          <w:szCs w:val="21"/>
          <w:highlight w:val="none"/>
        </w:rPr>
      </w:pPr>
      <w:r/>
      <w:bookmarkStart w:id="17" w:name="_Toc209510676"/>
      <w:r>
        <w:rPr>
          <w:rFonts w:hint="eastAsia" w:ascii="宋体" w:hAnsi="宋体" w:cs="宋体"/>
          <w:b/>
          <w:bCs/>
          <w:szCs w:val="21"/>
          <w:highlight w:val="none"/>
        </w:rPr>
        <w:t xml:space="preserve">定义</w:t>
      </w:r>
      <w:bookmarkEnd w:id="17"/>
      <w:r>
        <w:rPr>
          <w:rFonts w:hint="eastAsia" w:ascii="宋体" w:hAnsi="宋体" w:cs="宋体"/>
          <w:b/>
          <w:bCs/>
          <w:szCs w:val="21"/>
          <w:highlight w:val="none"/>
        </w:rPr>
      </w:r>
      <w:r/>
    </w:p>
    <w:p>
      <w:pPr>
        <w:pStyle w:val="919"/>
        <w:numPr>
          <w:ilvl w:val="0"/>
          <w:numId w:val="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“采购人”是指依法进行政府采购的国家机关、事业单位、团体组织。</w:t>
      </w:r>
      <w:r>
        <w:rPr>
          <w:rFonts w:hint="eastAsia" w:ascii="宋体" w:hAnsi="宋体" w:cs="宋体"/>
          <w:szCs w:val="21"/>
          <w:highlight w:val="none"/>
        </w:rPr>
      </w:r>
      <w:r/>
    </w:p>
    <w:p>
      <w:pPr>
        <w:pStyle w:val="919"/>
        <w:numPr>
          <w:ilvl w:val="0"/>
          <w:numId w:val="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“投标人（供应商）”是指参加投标竞争，并符合招标文件规定资格条件的法人、其他组织或者自然人。</w:t>
      </w:r>
      <w:r>
        <w:rPr>
          <w:rFonts w:hint="eastAsia" w:ascii="宋体" w:hAnsi="宋体" w:cs="宋体"/>
          <w:szCs w:val="21"/>
          <w:highlight w:val="none"/>
        </w:rPr>
      </w:r>
      <w:r/>
    </w:p>
    <w:p>
      <w:pPr>
        <w:pStyle w:val="919"/>
        <w:numPr>
          <w:ilvl w:val="0"/>
          <w:numId w:val="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“采购代理机构”是指集中采购机构和集中采购机构以外的采购代理机构，集中采购机构以外的采购代理机构，是从事采购代理业务的社会中介机构。</w:t>
      </w:r>
      <w:r>
        <w:rPr>
          <w:rFonts w:hint="eastAsia" w:ascii="宋体" w:hAnsi="宋体" w:cs="宋体"/>
          <w:szCs w:val="21"/>
          <w:highlight w:val="none"/>
        </w:rPr>
      </w:r>
      <w:r/>
    </w:p>
    <w:p>
      <w:pPr>
        <w:pStyle w:val="919"/>
        <w:numPr>
          <w:ilvl w:val="0"/>
          <w:numId w:val="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“货物和服务”指本招标文件中所述产品及相关服务。</w:t>
      </w:r>
      <w:r>
        <w:rPr>
          <w:rFonts w:hint="eastAsia" w:ascii="宋体" w:hAnsi="宋体" w:cs="宋体"/>
          <w:szCs w:val="21"/>
          <w:highlight w:val="none"/>
        </w:rPr>
      </w:r>
      <w:r/>
    </w:p>
    <w:p>
      <w:pPr>
        <w:pStyle w:val="919"/>
        <w:numPr>
          <w:ilvl w:val="0"/>
          <w:numId w:val="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“用户或使用单位”是指使用货物，接受服务的单位。</w:t>
      </w:r>
      <w:r>
        <w:rPr>
          <w:rFonts w:hint="eastAsia" w:ascii="宋体" w:hAnsi="宋体" w:cs="宋体"/>
          <w:szCs w:val="21"/>
          <w:highlight w:val="none"/>
        </w:rPr>
      </w:r>
      <w:r/>
    </w:p>
    <w:p>
      <w:pPr>
        <w:pStyle w:val="919"/>
        <w:numPr>
          <w:ilvl w:val="0"/>
          <w:numId w:val="4"/>
        </w:numPr>
        <w:ind w:firstLine="422"/>
        <w:spacing w:line="360" w:lineRule="auto"/>
        <w:rPr>
          <w:rFonts w:hint="eastAsia" w:ascii="宋体" w:hAnsi="宋体" w:cs="宋体"/>
          <w:b/>
          <w:bCs/>
          <w:szCs w:val="21"/>
          <w:highlight w:val="none"/>
        </w:rPr>
      </w:pPr>
      <w:r/>
      <w:bookmarkStart w:id="18" w:name="_Toc209510677"/>
      <w:r>
        <w:rPr>
          <w:rFonts w:hint="eastAsia" w:ascii="宋体" w:hAnsi="宋体" w:cs="宋体"/>
          <w:b/>
          <w:bCs/>
          <w:szCs w:val="21"/>
          <w:highlight w:val="none"/>
        </w:rPr>
        <w:t xml:space="preserve">政策功能</w:t>
      </w:r>
      <w:bookmarkEnd w:id="18"/>
      <w:r>
        <w:rPr>
          <w:rFonts w:hint="eastAsia" w:ascii="宋体" w:hAnsi="宋体" w:cs="宋体"/>
          <w:b/>
          <w:bCs/>
          <w:szCs w:val="21"/>
          <w:highlight w:val="none"/>
        </w:rPr>
      </w:r>
      <w:r/>
    </w:p>
    <w:p>
      <w:pPr>
        <w:pStyle w:val="919"/>
        <w:numPr>
          <w:ilvl w:val="0"/>
          <w:numId w:val="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的通知》国统2017〕213号）。</w:t>
      </w:r>
      <w:r>
        <w:rPr>
          <w:rFonts w:hint="eastAsia" w:ascii="宋体" w:hAnsi="宋体" w:cs="宋体"/>
          <w:szCs w:val="21"/>
          <w:highlight w:val="none"/>
        </w:rPr>
      </w:r>
      <w:r/>
    </w:p>
    <w:p>
      <w:pPr>
        <w:pStyle w:val="919"/>
        <w:numPr>
          <w:ilvl w:val="0"/>
          <w:numId w:val="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Cs w:val="21"/>
          <w:highlight w:val="none"/>
        </w:rPr>
      </w:r>
      <w:r/>
    </w:p>
    <w:p>
      <w:pPr>
        <w:pStyle w:val="919"/>
        <w:numPr>
          <w:ilvl w:val="0"/>
          <w:numId w:val="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highlight w:val="none"/>
        </w:rPr>
      </w:r>
      <w:r/>
    </w:p>
    <w:p>
      <w:pPr>
        <w:pStyle w:val="919"/>
        <w:numPr>
          <w:ilvl w:val="0"/>
          <w:numId w:val="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szCs w:val="21"/>
          <w:highlight w:val="none"/>
        </w:rPr>
      </w:r>
      <w:r/>
    </w:p>
    <w:p>
      <w:pPr>
        <w:pStyle w:val="919"/>
        <w:numPr>
          <w:ilvl w:val="0"/>
          <w:numId w:val="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szCs w:val="21"/>
          <w:highlight w:val="none"/>
        </w:rPr>
      </w:r>
      <w:r/>
    </w:p>
    <w:p>
      <w:pPr>
        <w:pStyle w:val="919"/>
        <w:numPr>
          <w:ilvl w:val="0"/>
          <w:numId w:val="6"/>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进口产品政策</w:t>
      </w:r>
      <w:r>
        <w:rPr>
          <w:rFonts w:hint="eastAsia" w:ascii="宋体" w:hAnsi="宋体" w:cs="宋体"/>
          <w:szCs w:val="21"/>
          <w:highlight w:val="none"/>
          <w:lang w:eastAsia="en-US"/>
        </w:rPr>
      </w:r>
      <w:r/>
    </w:p>
    <w:p>
      <w:pPr>
        <w:pStyle w:val="919"/>
        <w:numPr>
          <w:ilvl w:val="0"/>
          <w:numId w:val="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cs="宋体"/>
          <w:szCs w:val="21"/>
          <w:highlight w:val="none"/>
        </w:rPr>
      </w:r>
      <w:r/>
    </w:p>
    <w:p>
      <w:pPr>
        <w:pStyle w:val="919"/>
        <w:numPr>
          <w:ilvl w:val="0"/>
          <w:numId w:val="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允许进口产品参加的，满足需求的国内产品可以参加。</w:t>
      </w:r>
      <w:r>
        <w:rPr>
          <w:rFonts w:hint="eastAsia" w:ascii="宋体" w:hAnsi="宋体" w:cs="宋体"/>
          <w:szCs w:val="21"/>
          <w:highlight w:val="none"/>
        </w:rPr>
      </w:r>
      <w:r/>
    </w:p>
    <w:p>
      <w:pPr>
        <w:pStyle w:val="919"/>
        <w:numPr>
          <w:ilvl w:val="0"/>
          <w:numId w:val="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允许进口产品参加的，优先采购向我国企业转让技术、与我国企业签订消化吸收再创新方案的投标人的进口产品。</w:t>
      </w:r>
      <w:r>
        <w:rPr>
          <w:rFonts w:hint="eastAsia" w:ascii="宋体" w:hAnsi="宋体" w:cs="宋体"/>
          <w:szCs w:val="21"/>
          <w:highlight w:val="none"/>
        </w:rPr>
      </w:r>
      <w:r/>
    </w:p>
    <w:p>
      <w:pPr>
        <w:pStyle w:val="919"/>
        <w:numPr>
          <w:ilvl w:val="0"/>
          <w:numId w:val="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未按要求提供相关材料的，不享受相关政策。</w:t>
      </w:r>
      <w:r>
        <w:rPr>
          <w:rFonts w:hint="eastAsia" w:ascii="宋体" w:hAnsi="宋体" w:cs="宋体"/>
          <w:szCs w:val="21"/>
          <w:highlight w:val="none"/>
        </w:rPr>
      </w:r>
      <w:r/>
    </w:p>
    <w:p>
      <w:pPr>
        <w:pStyle w:val="919"/>
        <w:numPr>
          <w:ilvl w:val="0"/>
          <w:numId w:val="3"/>
        </w:numPr>
        <w:spacing w:line="360" w:lineRule="auto"/>
        <w:rPr>
          <w:rFonts w:hint="eastAsia" w:ascii="宋体" w:hAnsi="宋体" w:cs="宋体"/>
          <w:b/>
          <w:bCs/>
          <w:szCs w:val="21"/>
          <w:highlight w:val="none"/>
        </w:rPr>
        <w:outlineLvl w:val="1"/>
      </w:pPr>
      <w:r/>
      <w:bookmarkStart w:id="19" w:name="_Toc7274"/>
      <w:r/>
      <w:bookmarkStart w:id="20" w:name="_Toc18152"/>
      <w:r/>
      <w:bookmarkStart w:id="21" w:name="_Toc9697"/>
      <w:r/>
      <w:bookmarkStart w:id="22" w:name="_Toc12636"/>
      <w:r/>
      <w:bookmarkStart w:id="23" w:name="_Toc209510678"/>
      <w:r/>
      <w:bookmarkStart w:id="24" w:name="_Toc209510616"/>
      <w:r/>
      <w:bookmarkStart w:id="25" w:name="_Toc20589"/>
      <w:r/>
      <w:bookmarkStart w:id="26" w:name="_Toc17507"/>
      <w:r>
        <w:rPr>
          <w:rFonts w:hint="eastAsia" w:ascii="宋体" w:hAnsi="宋体" w:cs="宋体"/>
          <w:b/>
          <w:bCs/>
          <w:szCs w:val="21"/>
          <w:highlight w:val="none"/>
        </w:rPr>
        <w:t xml:space="preserve">招标文件构成</w:t>
      </w:r>
      <w:bookmarkEnd w:id="19"/>
      <w:r/>
      <w:bookmarkEnd w:id="20"/>
      <w:r/>
      <w:bookmarkEnd w:id="21"/>
      <w:r/>
      <w:bookmarkEnd w:id="22"/>
      <w:r/>
      <w:bookmarkEnd w:id="23"/>
      <w:r/>
      <w:bookmarkEnd w:id="24"/>
      <w:r/>
      <w:bookmarkEnd w:id="25"/>
      <w:r/>
      <w:bookmarkEnd w:id="26"/>
      <w:r>
        <w:rPr>
          <w:rFonts w:hint="eastAsia" w:ascii="宋体" w:hAnsi="宋体" w:cs="宋体"/>
          <w:b/>
          <w:bCs/>
          <w:szCs w:val="21"/>
          <w:highlight w:val="none"/>
        </w:rPr>
      </w:r>
      <w:r/>
    </w:p>
    <w:p>
      <w:pPr>
        <w:pStyle w:val="919"/>
        <w:numPr>
          <w:ilvl w:val="0"/>
          <w:numId w:val="4"/>
        </w:numPr>
        <w:ind w:firstLine="422"/>
        <w:spacing w:line="360" w:lineRule="auto"/>
        <w:rPr>
          <w:rFonts w:hint="eastAsia" w:ascii="宋体" w:hAnsi="宋体" w:cs="宋体"/>
          <w:b/>
          <w:bCs/>
          <w:szCs w:val="21"/>
          <w:highlight w:val="none"/>
        </w:rPr>
      </w:pPr>
      <w:r/>
      <w:bookmarkStart w:id="27" w:name="_Toc209510679"/>
      <w:r>
        <w:rPr>
          <w:rFonts w:hint="eastAsia" w:ascii="宋体" w:hAnsi="宋体" w:cs="宋体"/>
          <w:b/>
          <w:bCs/>
          <w:szCs w:val="21"/>
          <w:highlight w:val="none"/>
        </w:rPr>
        <w:t xml:space="preserve">招标文件组成</w:t>
      </w:r>
      <w:bookmarkEnd w:id="27"/>
      <w:r>
        <w:rPr>
          <w:rFonts w:hint="eastAsia" w:ascii="宋体" w:hAnsi="宋体" w:cs="宋体"/>
          <w:b/>
          <w:bCs/>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招标文件包括以下主要内容：</w:t>
      </w:r>
      <w:r>
        <w:rPr>
          <w:rFonts w:hint="eastAsia" w:ascii="宋体" w:hAnsi="宋体" w:cs="宋体"/>
          <w:szCs w:val="21"/>
          <w:highlight w:val="none"/>
        </w:rPr>
      </w:r>
      <w:r/>
    </w:p>
    <w:p>
      <w:pPr>
        <w:pStyle w:val="919"/>
        <w:numPr>
          <w:ilvl w:val="0"/>
          <w:numId w:val="8"/>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招标公告；</w:t>
      </w:r>
      <w:r>
        <w:rPr>
          <w:rFonts w:hint="eastAsia" w:ascii="宋体" w:hAnsi="宋体" w:cs="宋体"/>
          <w:szCs w:val="21"/>
          <w:highlight w:val="none"/>
          <w:lang w:eastAsia="en-US"/>
        </w:rPr>
      </w:r>
      <w:r/>
    </w:p>
    <w:p>
      <w:pPr>
        <w:pStyle w:val="919"/>
        <w:numPr>
          <w:ilvl w:val="0"/>
          <w:numId w:val="8"/>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投标人须知；</w:t>
      </w:r>
      <w:r>
        <w:rPr>
          <w:rFonts w:hint="eastAsia" w:ascii="宋体" w:hAnsi="宋体" w:cs="宋体"/>
          <w:szCs w:val="21"/>
          <w:highlight w:val="none"/>
          <w:lang w:eastAsia="en-US"/>
        </w:rPr>
      </w:r>
      <w:r/>
    </w:p>
    <w:p>
      <w:pPr>
        <w:pStyle w:val="919"/>
        <w:numPr>
          <w:ilvl w:val="0"/>
          <w:numId w:val="8"/>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评标标准；</w:t>
      </w:r>
      <w:r>
        <w:rPr>
          <w:rFonts w:hint="eastAsia" w:ascii="宋体" w:hAnsi="宋体" w:cs="宋体"/>
          <w:szCs w:val="21"/>
          <w:highlight w:val="none"/>
          <w:lang w:eastAsia="en-US"/>
        </w:rPr>
      </w:r>
      <w:r/>
    </w:p>
    <w:p>
      <w:pPr>
        <w:pStyle w:val="919"/>
        <w:numPr>
          <w:ilvl w:val="0"/>
          <w:numId w:val="8"/>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采购需求；</w:t>
      </w:r>
      <w:r>
        <w:rPr>
          <w:rFonts w:hint="eastAsia" w:ascii="宋体" w:hAnsi="宋体" w:cs="宋体"/>
          <w:szCs w:val="21"/>
          <w:highlight w:val="none"/>
          <w:lang w:eastAsia="en-US"/>
        </w:rPr>
      </w:r>
      <w:r/>
    </w:p>
    <w:p>
      <w:pPr>
        <w:pStyle w:val="919"/>
        <w:numPr>
          <w:ilvl w:val="0"/>
          <w:numId w:val="8"/>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合同主要条款及格式；</w:t>
      </w:r>
      <w:r>
        <w:rPr>
          <w:rFonts w:hint="eastAsia" w:ascii="宋体" w:hAnsi="宋体" w:cs="宋体"/>
          <w:szCs w:val="21"/>
          <w:highlight w:val="none"/>
          <w:lang w:eastAsia="en-US"/>
        </w:rPr>
      </w:r>
      <w:r/>
    </w:p>
    <w:p>
      <w:pPr>
        <w:pStyle w:val="919"/>
        <w:numPr>
          <w:ilvl w:val="0"/>
          <w:numId w:val="8"/>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投标文件格式及附件。</w:t>
      </w:r>
      <w:r>
        <w:rPr>
          <w:rFonts w:hint="eastAsia" w:ascii="宋体" w:hAnsi="宋体" w:cs="宋体"/>
          <w:szCs w:val="21"/>
          <w:highlight w:val="none"/>
          <w:lang w:eastAsia="en-US"/>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如标书制作工具中格式和内容与“江苏政府采购网”发布的招标文件不一致的，以上述网站发布的招标文件为准。</w:t>
      </w:r>
      <w:r>
        <w:rPr>
          <w:rFonts w:hint="eastAsia" w:ascii="宋体" w:hAnsi="宋体" w:cs="宋体"/>
          <w:szCs w:val="21"/>
          <w:highlight w:val="none"/>
        </w:rPr>
      </w:r>
      <w:r/>
    </w:p>
    <w:p>
      <w:pPr>
        <w:pStyle w:val="919"/>
        <w:numPr>
          <w:ilvl w:val="0"/>
          <w:numId w:val="9"/>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szCs w:val="21"/>
          <w:highlight w:val="none"/>
        </w:rPr>
      </w:r>
      <w:r/>
    </w:p>
    <w:p>
      <w:pPr>
        <w:pStyle w:val="919"/>
        <w:numPr>
          <w:ilvl w:val="0"/>
          <w:numId w:val="9"/>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采购代理机构如果要求投标人按照招标文件规定提交备选投标方案的，投标人可以提交备选方案；否则，备选方案将被拒绝。</w:t>
      </w:r>
      <w:r>
        <w:rPr>
          <w:rFonts w:hint="eastAsia" w:ascii="宋体" w:hAnsi="宋体" w:cs="宋体"/>
          <w:szCs w:val="21"/>
          <w:highlight w:val="none"/>
        </w:rPr>
      </w:r>
      <w:r/>
    </w:p>
    <w:p>
      <w:pPr>
        <w:pStyle w:val="919"/>
        <w:numPr>
          <w:ilvl w:val="0"/>
          <w:numId w:val="9"/>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招标文件中要求的产品品牌或型号，是采购人根据项目所要实现的功能推荐的品牌或型号，仅供投标人参考，并不是限制条件。</w:t>
      </w:r>
      <w:r>
        <w:rPr>
          <w:rFonts w:hint="eastAsia" w:ascii="宋体" w:hAnsi="宋体" w:cs="宋体"/>
          <w:szCs w:val="21"/>
          <w:highlight w:val="none"/>
        </w:rPr>
      </w:r>
      <w:r/>
    </w:p>
    <w:p>
      <w:pPr>
        <w:pStyle w:val="919"/>
        <w:numPr>
          <w:ilvl w:val="0"/>
          <w:numId w:val="4"/>
        </w:numPr>
        <w:ind w:firstLine="422"/>
        <w:spacing w:line="360" w:lineRule="auto"/>
        <w:rPr>
          <w:rFonts w:hint="eastAsia" w:ascii="宋体" w:hAnsi="宋体" w:cs="宋体"/>
          <w:b/>
          <w:bCs/>
          <w:szCs w:val="21"/>
          <w:highlight w:val="none"/>
        </w:rPr>
      </w:pPr>
      <w:r/>
      <w:bookmarkStart w:id="28" w:name="_Toc209510680"/>
      <w:r>
        <w:rPr>
          <w:rFonts w:hint="eastAsia" w:ascii="宋体" w:hAnsi="宋体" w:cs="宋体"/>
          <w:b/>
          <w:bCs/>
          <w:szCs w:val="21"/>
          <w:highlight w:val="none"/>
        </w:rPr>
        <w:t xml:space="preserve">招标文件的澄清或者修改</w:t>
      </w:r>
      <w:bookmarkEnd w:id="28"/>
      <w:r>
        <w:rPr>
          <w:rFonts w:hint="eastAsia" w:ascii="宋体" w:hAnsi="宋体" w:cs="宋体"/>
          <w:b/>
          <w:bCs/>
          <w:szCs w:val="21"/>
          <w:highlight w:val="none"/>
        </w:rPr>
      </w:r>
      <w:r/>
    </w:p>
    <w:p>
      <w:pPr>
        <w:pStyle w:val="919"/>
        <w:numPr>
          <w:ilvl w:val="0"/>
          <w:numId w:val="10"/>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cs="宋体"/>
          <w:szCs w:val="21"/>
          <w:highlight w:val="none"/>
          <w:lang w:eastAsia="en-US"/>
        </w:rPr>
        <w:t xml:space="preserve">澄清或者修改的内容为招标文件的组成部分。</w:t>
      </w:r>
      <w:r>
        <w:rPr>
          <w:rFonts w:hint="eastAsia" w:ascii="宋体" w:hAnsi="宋体" w:cs="宋体"/>
          <w:szCs w:val="21"/>
          <w:highlight w:val="none"/>
          <w:lang w:eastAsia="en-US"/>
        </w:rPr>
      </w:r>
      <w:r/>
    </w:p>
    <w:p>
      <w:pPr>
        <w:pStyle w:val="919"/>
        <w:numPr>
          <w:ilvl w:val="0"/>
          <w:numId w:val="1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Cs w:val="21"/>
          <w:highlight w:val="none"/>
        </w:rPr>
      </w:r>
      <w:r/>
    </w:p>
    <w:p>
      <w:pPr>
        <w:pStyle w:val="919"/>
        <w:numPr>
          <w:ilvl w:val="0"/>
          <w:numId w:val="1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Cs w:val="21"/>
          <w:highlight w:val="none"/>
        </w:rPr>
      </w:r>
      <w:r/>
    </w:p>
    <w:p>
      <w:pPr>
        <w:pStyle w:val="919"/>
        <w:numPr>
          <w:ilvl w:val="0"/>
          <w:numId w:val="3"/>
        </w:numPr>
        <w:spacing w:line="360" w:lineRule="auto"/>
        <w:rPr>
          <w:rFonts w:hint="eastAsia" w:ascii="宋体" w:hAnsi="宋体" w:cs="宋体"/>
          <w:b/>
          <w:bCs/>
          <w:szCs w:val="21"/>
          <w:highlight w:val="none"/>
        </w:rPr>
        <w:outlineLvl w:val="1"/>
      </w:pPr>
      <w:r/>
      <w:bookmarkStart w:id="29" w:name="_Toc7702"/>
      <w:r/>
      <w:bookmarkStart w:id="30" w:name="_Toc22828"/>
      <w:r/>
      <w:bookmarkStart w:id="31" w:name="_Toc3559"/>
      <w:r/>
      <w:bookmarkStart w:id="32" w:name="_Toc9205"/>
      <w:r/>
      <w:bookmarkStart w:id="33" w:name="_Toc209510681"/>
      <w:r/>
      <w:bookmarkStart w:id="34" w:name="_Toc19603"/>
      <w:r/>
      <w:bookmarkStart w:id="35" w:name="_Toc209510617"/>
      <w:r/>
      <w:bookmarkStart w:id="36" w:name="_Toc6845"/>
      <w:r>
        <w:rPr>
          <w:rFonts w:hint="eastAsia" w:ascii="宋体" w:hAnsi="宋体" w:cs="宋体"/>
          <w:b/>
          <w:bCs/>
          <w:szCs w:val="21"/>
          <w:highlight w:val="none"/>
        </w:rPr>
        <w:t xml:space="preserve">投标文件的编制</w:t>
      </w:r>
      <w:bookmarkEnd w:id="29"/>
      <w:r/>
      <w:bookmarkEnd w:id="30"/>
      <w:r/>
      <w:bookmarkEnd w:id="31"/>
      <w:r/>
      <w:bookmarkEnd w:id="32"/>
      <w:r/>
      <w:bookmarkEnd w:id="33"/>
      <w:r/>
      <w:bookmarkEnd w:id="34"/>
      <w:r/>
      <w:bookmarkEnd w:id="35"/>
      <w:r/>
      <w:bookmarkEnd w:id="36"/>
      <w:r>
        <w:rPr>
          <w:rFonts w:hint="eastAsia" w:ascii="宋体" w:hAnsi="宋体" w:cs="宋体"/>
          <w:b/>
          <w:bCs/>
          <w:szCs w:val="21"/>
          <w:highlight w:val="none"/>
        </w:rPr>
      </w:r>
      <w:r/>
    </w:p>
    <w:p>
      <w:pPr>
        <w:pStyle w:val="919"/>
        <w:numPr>
          <w:ilvl w:val="0"/>
          <w:numId w:val="11"/>
        </w:numPr>
        <w:ind w:left="0" w:firstLine="422"/>
        <w:spacing w:line="360" w:lineRule="auto"/>
        <w:rPr>
          <w:rFonts w:hint="eastAsia" w:ascii="宋体" w:hAnsi="宋体" w:cs="宋体"/>
          <w:b/>
          <w:bCs/>
          <w:szCs w:val="21"/>
          <w:highlight w:val="none"/>
        </w:rPr>
      </w:pPr>
      <w:r/>
      <w:bookmarkStart w:id="37" w:name="_Toc209510682"/>
      <w:r>
        <w:rPr>
          <w:rFonts w:hint="eastAsia" w:ascii="宋体" w:hAnsi="宋体" w:cs="宋体"/>
          <w:b/>
          <w:bCs/>
          <w:szCs w:val="21"/>
          <w:highlight w:val="none"/>
        </w:rPr>
        <w:t xml:space="preserve">投标文件的语言、计量单位、货币和编制</w:t>
      </w:r>
      <w:bookmarkEnd w:id="37"/>
      <w:r>
        <w:rPr>
          <w:rFonts w:hint="eastAsia" w:ascii="宋体" w:hAnsi="宋体" w:cs="宋体"/>
          <w:b/>
          <w:bCs/>
          <w:szCs w:val="21"/>
          <w:highlight w:val="none"/>
        </w:rPr>
      </w:r>
      <w:r/>
    </w:p>
    <w:p>
      <w:pPr>
        <w:pStyle w:val="919"/>
        <w:numPr>
          <w:ilvl w:val="0"/>
          <w:numId w:val="1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highlight w:val="none"/>
        </w:rPr>
      </w:r>
      <w:r/>
    </w:p>
    <w:p>
      <w:pPr>
        <w:pStyle w:val="919"/>
        <w:numPr>
          <w:ilvl w:val="0"/>
          <w:numId w:val="1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投标人所使用的计量单位应为国家法定计量单位。</w:t>
      </w:r>
      <w:r>
        <w:rPr>
          <w:rFonts w:hint="eastAsia" w:ascii="宋体" w:hAnsi="宋体" w:cs="宋体"/>
          <w:szCs w:val="21"/>
          <w:highlight w:val="none"/>
        </w:rPr>
      </w:r>
      <w:r/>
    </w:p>
    <w:p>
      <w:pPr>
        <w:pStyle w:val="919"/>
        <w:numPr>
          <w:ilvl w:val="0"/>
          <w:numId w:val="1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投标人应用人民币报价。投标产品如果是进口产品的，应提供人民币与</w:t>
      </w:r>
      <w:r>
        <w:rPr>
          <w:rFonts w:hint="eastAsia" w:ascii="宋体" w:hAnsi="宋体" w:cs="宋体"/>
          <w:b/>
          <w:szCs w:val="21"/>
          <w:highlight w:val="none"/>
        </w:rPr>
        <w:t xml:space="preserve">外币之间的汇率。</w:t>
      </w:r>
      <w:r>
        <w:rPr>
          <w:rFonts w:hint="eastAsia" w:ascii="宋体" w:hAnsi="宋体" w:cs="宋体"/>
          <w:szCs w:val="21"/>
          <w:highlight w:val="none"/>
        </w:rPr>
      </w:r>
      <w:r/>
    </w:p>
    <w:p>
      <w:pPr>
        <w:pStyle w:val="919"/>
        <w:numPr>
          <w:ilvl w:val="0"/>
          <w:numId w:val="1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投标文件应按照招标文件的规定编写并制作目录。</w:t>
      </w:r>
      <w:r>
        <w:rPr>
          <w:rFonts w:hint="eastAsia" w:ascii="宋体" w:hAnsi="宋体" w:cs="宋体"/>
          <w:szCs w:val="21"/>
          <w:highlight w:val="none"/>
        </w:rPr>
      </w:r>
      <w:r/>
    </w:p>
    <w:p>
      <w:pPr>
        <w:pStyle w:val="919"/>
        <w:numPr>
          <w:ilvl w:val="0"/>
          <w:numId w:val="1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投标人应在投标文件中写清相应的项目编号、项目名称、投标人全称、地址、电话、传真等。</w:t>
      </w:r>
      <w:r>
        <w:rPr>
          <w:rFonts w:hint="eastAsia" w:ascii="宋体" w:hAnsi="宋体" w:cs="宋体"/>
          <w:szCs w:val="21"/>
          <w:highlight w:val="none"/>
        </w:rPr>
      </w:r>
      <w:r/>
    </w:p>
    <w:p>
      <w:pPr>
        <w:pStyle w:val="919"/>
        <w:numPr>
          <w:ilvl w:val="0"/>
          <w:numId w:val="1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cs="宋体"/>
          <w:szCs w:val="21"/>
          <w:highlight w:val="none"/>
        </w:rPr>
      </w:r>
      <w:r/>
    </w:p>
    <w:p>
      <w:pPr>
        <w:pStyle w:val="919"/>
        <w:numPr>
          <w:ilvl w:val="0"/>
          <w:numId w:val="11"/>
        </w:numPr>
        <w:ind w:left="0"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联合体投标（本项目不适用）</w:t>
      </w:r>
      <w:r>
        <w:rPr>
          <w:rFonts w:hint="eastAsia" w:ascii="宋体" w:hAnsi="宋体" w:cs="宋体"/>
          <w:b/>
          <w:szCs w:val="21"/>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投标文件的组成</w:t>
      </w:r>
      <w:r>
        <w:rPr>
          <w:rFonts w:hint="eastAsia" w:ascii="宋体" w:hAnsi="宋体" w:cs="宋体"/>
          <w:b/>
          <w:szCs w:val="21"/>
          <w:highlight w:val="none"/>
          <w:lang w:eastAsia="en-US"/>
        </w:rPr>
      </w:r>
      <w:r/>
    </w:p>
    <w:p>
      <w:pPr>
        <w:pStyle w:val="919"/>
        <w:numPr>
          <w:ilvl w:val="0"/>
          <w:numId w:val="13"/>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供应商编写的投标文件应包括资格证明文件、符合性证明文件、投标分项报价表、响应及偏离表、其他证明文件、投标函、开标一览表等部分</w:t>
      </w:r>
      <w:r>
        <w:rPr>
          <w:rFonts w:hint="eastAsia" w:ascii="宋体" w:hAnsi="宋体" w:cs="宋体"/>
          <w:b/>
          <w:szCs w:val="21"/>
          <w:highlight w:val="none"/>
        </w:rPr>
        <w:t xml:space="preserve">。</w:t>
      </w:r>
      <w:r>
        <w:rPr>
          <w:rFonts w:hint="eastAsia" w:ascii="宋体" w:hAnsi="宋体" w:cs="宋体"/>
          <w:szCs w:val="21"/>
          <w:highlight w:val="none"/>
        </w:rPr>
      </w:r>
      <w:r/>
    </w:p>
    <w:p>
      <w:pPr>
        <w:pStyle w:val="919"/>
        <w:numPr>
          <w:ilvl w:val="0"/>
          <w:numId w:val="13"/>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如标书制作工具中格式和内容与“江苏政府采购网”发布的招标文件不一致，以“江苏政府采购网”发布的招标文件为准。</w:t>
      </w:r>
      <w:r>
        <w:rPr>
          <w:rFonts w:hint="eastAsia" w:ascii="宋体" w:hAnsi="宋体" w:cs="宋体"/>
          <w:szCs w:val="21"/>
          <w:highlight w:val="none"/>
        </w:rPr>
      </w:r>
      <w:r/>
    </w:p>
    <w:p>
      <w:pPr>
        <w:pStyle w:val="919"/>
        <w:numPr>
          <w:ilvl w:val="0"/>
          <w:numId w:val="13"/>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供应商应当根据招标文件要求编制投标文件，投标文件应对招标文件提出的要求和条件作出实质性响</w:t>
      </w:r>
      <w:r>
        <w:rPr>
          <w:rFonts w:hint="eastAsia" w:ascii="宋体" w:hAnsi="宋体" w:cs="宋体"/>
          <w:szCs w:val="21"/>
          <w:highlight w:val="none"/>
        </w:rPr>
        <w:t xml:space="preserve">应，并在《商务条款偏离表》和《技术条款偏离表》等处逐条标明满足与否。对带星号（“★”）的技术条款须在投标文件中提供招标文件技术参数中所要求的技术支持资料（如白皮书、彩页、手册或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cs="宋体"/>
          <w:szCs w:val="21"/>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投标文件的商务内容</w:t>
      </w:r>
      <w:r>
        <w:rPr>
          <w:rFonts w:hint="eastAsia" w:ascii="宋体" w:hAnsi="宋体" w:cs="宋体"/>
          <w:b/>
          <w:szCs w:val="21"/>
          <w:highlight w:val="none"/>
          <w:lang w:eastAsia="en-US"/>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w:t>
      </w:r>
      <w:r>
        <w:rPr>
          <w:rFonts w:hint="eastAsia" w:ascii="宋体" w:hAnsi="宋体" w:cs="宋体"/>
          <w:sz w:val="22"/>
          <w:szCs w:val="22"/>
          <w:highlight w:val="none"/>
        </w:rPr>
        <w:t xml:space="preserve">※</w:t>
      </w:r>
      <w:r>
        <w:rPr>
          <w:rFonts w:hint="eastAsia" w:ascii="宋体" w:hAnsi="宋体" w:cs="宋体"/>
          <w:b/>
          <w:szCs w:val="21"/>
          <w:highlight w:val="none"/>
        </w:rPr>
        <w:t xml:space="preserve">”所述材料不得有缺失或提供不全或不满足招标文件的实质性要求</w:t>
      </w:r>
      <w:r>
        <w:rPr>
          <w:rFonts w:hint="eastAsia" w:ascii="宋体" w:hAnsi="宋体" w:cs="宋体"/>
          <w:szCs w:val="21"/>
          <w:highlight w:val="none"/>
        </w:rPr>
        <w:t xml:space="preserve">）：</w:t>
      </w:r>
      <w:r>
        <w:rPr>
          <w:rFonts w:hint="eastAsia" w:ascii="宋体" w:hAnsi="宋体" w:cs="宋体"/>
          <w:szCs w:val="21"/>
          <w:highlight w:val="none"/>
        </w:rPr>
      </w:r>
      <w:r/>
    </w:p>
    <w:p>
      <w:pPr>
        <w:pStyle w:val="919"/>
        <w:numPr>
          <w:ilvl w:val="0"/>
          <w:numId w:val="1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※投标函（投标申请及声明）；</w:t>
      </w:r>
      <w:r>
        <w:rPr>
          <w:rFonts w:hint="eastAsia" w:ascii="宋体" w:hAnsi="宋体" w:cs="宋体"/>
          <w:szCs w:val="21"/>
          <w:highlight w:val="none"/>
        </w:rPr>
      </w:r>
      <w:r/>
    </w:p>
    <w:p>
      <w:pPr>
        <w:pStyle w:val="919"/>
        <w:numPr>
          <w:ilvl w:val="0"/>
          <w:numId w:val="1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※法人授权书(法人代表授权书及法定代表人、授权代表身份证复印件)</w:t>
      </w:r>
      <w:r>
        <w:rPr>
          <w:rFonts w:hint="eastAsia" w:ascii="宋体" w:hAnsi="宋体" w:cs="宋体"/>
          <w:szCs w:val="21"/>
          <w:highlight w:val="none"/>
        </w:rPr>
      </w:r>
      <w:r/>
    </w:p>
    <w:p>
      <w:pPr>
        <w:pStyle w:val="919"/>
        <w:numPr>
          <w:ilvl w:val="0"/>
          <w:numId w:val="1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※投标人资格资信证明文件；</w:t>
      </w:r>
      <w:r>
        <w:rPr>
          <w:rFonts w:hint="eastAsia" w:ascii="宋体" w:hAnsi="宋体" w:cs="宋体"/>
          <w:szCs w:val="21"/>
          <w:highlight w:val="none"/>
        </w:rPr>
      </w:r>
      <w:r/>
    </w:p>
    <w:p>
      <w:pPr>
        <w:pStyle w:val="919"/>
        <w:numPr>
          <w:ilvl w:val="0"/>
          <w:numId w:val="1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※开标一览表（格式见附件）；</w:t>
      </w:r>
      <w:r>
        <w:rPr>
          <w:rFonts w:hint="eastAsia" w:ascii="宋体" w:hAnsi="宋体" w:cs="宋体"/>
          <w:szCs w:val="21"/>
          <w:highlight w:val="none"/>
        </w:rPr>
      </w:r>
      <w:r/>
    </w:p>
    <w:p>
      <w:pPr>
        <w:pStyle w:val="919"/>
        <w:numPr>
          <w:ilvl w:val="0"/>
          <w:numId w:val="1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※《商务条款偏离表》；</w:t>
      </w:r>
      <w:r>
        <w:rPr>
          <w:rFonts w:hint="eastAsia" w:ascii="宋体" w:hAnsi="宋体" w:cs="宋体"/>
          <w:szCs w:val="21"/>
          <w:highlight w:val="none"/>
        </w:rPr>
      </w:r>
      <w:r/>
    </w:p>
    <w:p>
      <w:pPr>
        <w:pStyle w:val="919"/>
        <w:ind w:firstLine="399"/>
        <w:spacing w:line="360" w:lineRule="auto"/>
        <w:widowControl/>
        <w:rPr>
          <w:rFonts w:hint="eastAsia" w:ascii="宋体" w:hAnsi="宋体" w:cs="宋体"/>
          <w:szCs w:val="21"/>
          <w:highlight w:val="none"/>
        </w:rPr>
      </w:pPr>
      <w:r>
        <w:rPr>
          <w:rFonts w:hint="eastAsia" w:ascii="宋体" w:hAnsi="宋体" w:cs="宋体"/>
          <w:szCs w:val="21"/>
          <w:highlight w:val="none"/>
        </w:rPr>
        <w:t xml:space="preserve">（6）分项报价表（格式见附件）；</w:t>
      </w:r>
      <w:r>
        <w:rPr>
          <w:rFonts w:hint="eastAsia" w:ascii="宋体" w:hAnsi="宋体" w:cs="宋体"/>
          <w:szCs w:val="21"/>
          <w:highlight w:val="none"/>
        </w:rPr>
      </w:r>
      <w:r/>
    </w:p>
    <w:p>
      <w:pPr>
        <w:pStyle w:val="919"/>
        <w:ind w:firstLine="399"/>
        <w:spacing w:line="360" w:lineRule="auto"/>
        <w:widowControl/>
        <w:rPr>
          <w:rFonts w:hint="eastAsia" w:ascii="宋体" w:hAnsi="宋体" w:cs="宋体"/>
          <w:szCs w:val="21"/>
          <w:highlight w:val="none"/>
        </w:rPr>
      </w:pPr>
      <w:r>
        <w:rPr>
          <w:rFonts w:hint="eastAsia" w:ascii="宋体" w:hAnsi="宋体" w:cs="宋体"/>
          <w:szCs w:val="21"/>
          <w:highlight w:val="none"/>
        </w:rPr>
        <w:t xml:space="preserve">（7）第三章评标标准中对应的其他所需证明材料（如有自行添加）；</w:t>
      </w:r>
      <w:r>
        <w:rPr>
          <w:rFonts w:hint="eastAsia" w:ascii="宋体" w:hAnsi="宋体" w:cs="宋体"/>
          <w:szCs w:val="21"/>
          <w:highlight w:val="none"/>
        </w:rPr>
      </w:r>
      <w:r/>
    </w:p>
    <w:p>
      <w:pPr>
        <w:pStyle w:val="919"/>
        <w:ind w:firstLine="399"/>
        <w:spacing w:line="360" w:lineRule="auto"/>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rPr>
          <w:rFonts w:hint="eastAsia" w:ascii="宋体" w:hAnsi="宋体" w:cs="宋体"/>
          <w:szCs w:val="21"/>
          <w:highlight w:val="none"/>
        </w:rPr>
      </w:r>
      <w:r/>
    </w:p>
    <w:p>
      <w:pPr>
        <w:pStyle w:val="919"/>
        <w:ind w:firstLine="399"/>
        <w:spacing w:line="360" w:lineRule="auto"/>
        <w:widowControl/>
        <w:rPr>
          <w:rFonts w:hint="eastAsia" w:ascii="宋体" w:hAnsi="宋体" w:cs="宋体"/>
          <w:szCs w:val="21"/>
          <w:highlight w:val="none"/>
        </w:rPr>
      </w:pPr>
      <w:r>
        <w:rPr>
          <w:rFonts w:hint="eastAsia" w:ascii="宋体" w:hAnsi="宋体" w:cs="宋体"/>
          <w:szCs w:val="21"/>
          <w:highlight w:val="none"/>
        </w:rPr>
        <w:t xml:space="preserve">（9）供应商认为需要提供的其他资格证明文件和商务资料。</w:t>
      </w:r>
      <w:r>
        <w:rPr>
          <w:rFonts w:hint="eastAsia" w:ascii="宋体" w:hAnsi="宋体" w:cs="宋体"/>
          <w:szCs w:val="21"/>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投标文件的技术内容</w:t>
      </w:r>
      <w:r>
        <w:rPr>
          <w:rFonts w:hint="eastAsia" w:ascii="宋体" w:hAnsi="宋体" w:cs="宋体"/>
          <w:b/>
          <w:szCs w:val="21"/>
          <w:highlight w:val="none"/>
          <w:lang w:eastAsia="en-US"/>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cs="宋体"/>
          <w:sz w:val="22"/>
          <w:szCs w:val="22"/>
          <w:highlight w:val="none"/>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（1）货物、服务内容的详细说明；</w:t>
      </w:r>
      <w:r>
        <w:rPr>
          <w:rFonts w:hint="eastAsia" w:ascii="宋体" w:hAnsi="宋体" w:cs="宋体"/>
          <w:sz w:val="22"/>
          <w:szCs w:val="22"/>
          <w:highlight w:val="none"/>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（2）※《技术条款偏离表》；</w:t>
      </w:r>
      <w:r>
        <w:rPr>
          <w:rFonts w:hint="eastAsia" w:ascii="宋体" w:hAnsi="宋体" w:cs="宋体"/>
          <w:sz w:val="22"/>
          <w:szCs w:val="22"/>
          <w:highlight w:val="none"/>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（3）投标产品配置清单及技术说明；</w:t>
      </w:r>
      <w:r>
        <w:rPr>
          <w:rFonts w:hint="eastAsia" w:ascii="宋体" w:hAnsi="宋体" w:cs="宋体"/>
          <w:sz w:val="22"/>
          <w:szCs w:val="22"/>
          <w:highlight w:val="none"/>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（4）货物安装、验收标准、货物技术资料；</w:t>
      </w:r>
      <w:r>
        <w:rPr>
          <w:rFonts w:hint="eastAsia" w:ascii="宋体" w:hAnsi="宋体" w:cs="宋体"/>
          <w:sz w:val="22"/>
          <w:szCs w:val="22"/>
          <w:highlight w:val="none"/>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（5）项目实施方案；</w:t>
      </w:r>
      <w:r>
        <w:rPr>
          <w:rFonts w:hint="eastAsia" w:ascii="宋体" w:hAnsi="宋体" w:cs="宋体"/>
          <w:sz w:val="22"/>
          <w:szCs w:val="22"/>
          <w:highlight w:val="none"/>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（6）服务承诺；</w:t>
      </w:r>
      <w:r>
        <w:rPr>
          <w:rFonts w:hint="eastAsia" w:ascii="宋体" w:hAnsi="宋体" w:cs="宋体"/>
          <w:sz w:val="22"/>
          <w:szCs w:val="22"/>
          <w:highlight w:val="none"/>
        </w:rPr>
      </w:r>
      <w:r/>
    </w:p>
    <w:p>
      <w:pPr>
        <w:pStyle w:val="919"/>
        <w:ind w:firstLine="418"/>
        <w:spacing w:line="360" w:lineRule="auto"/>
        <w:widowControl/>
        <w:rPr>
          <w:rFonts w:hint="eastAsia" w:ascii="宋体" w:hAnsi="宋体" w:cs="宋体"/>
          <w:sz w:val="22"/>
          <w:szCs w:val="22"/>
          <w:highlight w:val="none"/>
        </w:rPr>
      </w:pPr>
      <w:r>
        <w:rPr>
          <w:rFonts w:hint="eastAsia" w:ascii="宋体" w:hAnsi="宋体" w:cs="宋体"/>
          <w:sz w:val="22"/>
          <w:szCs w:val="22"/>
          <w:highlight w:val="none"/>
        </w:rPr>
        <w:t xml:space="preserve">（7）供应商认为需要提供的其他技术资料。</w:t>
      </w:r>
      <w:r>
        <w:rPr>
          <w:rFonts w:hint="eastAsia" w:ascii="宋体" w:hAnsi="宋体" w:cs="宋体"/>
          <w:sz w:val="22"/>
          <w:szCs w:val="22"/>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投标文件的价格内容</w:t>
      </w:r>
      <w:r>
        <w:rPr>
          <w:rFonts w:hint="eastAsia" w:ascii="宋体" w:hAnsi="宋体" w:cs="宋体"/>
          <w:b/>
          <w:szCs w:val="21"/>
          <w:highlight w:val="none"/>
          <w:lang w:eastAsia="en-US"/>
        </w:rPr>
      </w:r>
      <w:r/>
    </w:p>
    <w:p>
      <w:pPr>
        <w:pStyle w:val="919"/>
        <w:numPr>
          <w:ilvl w:val="0"/>
          <w:numId w:val="1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价格部分内容是对采购标的价格构成的说明，招标文件如无特别说明，每一项货物及服务仅接受一个价格。</w:t>
      </w:r>
      <w:r>
        <w:rPr>
          <w:rFonts w:hint="eastAsia" w:ascii="宋体" w:hAnsi="宋体" w:cs="宋体"/>
          <w:szCs w:val="21"/>
          <w:highlight w:val="none"/>
        </w:rPr>
      </w:r>
      <w:r/>
    </w:p>
    <w:p>
      <w:pPr>
        <w:pStyle w:val="919"/>
        <w:numPr>
          <w:ilvl w:val="0"/>
          <w:numId w:val="1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w:t>
      </w:r>
      <w:r>
        <w:rPr>
          <w:rFonts w:hint="eastAsia" w:ascii="宋体" w:hAnsi="宋体" w:cs="宋体"/>
          <w:b/>
          <w:szCs w:val="21"/>
          <w:highlight w:val="none"/>
        </w:rPr>
        <w:t xml:space="preserve">。</w:t>
      </w:r>
      <w:r>
        <w:rPr>
          <w:rFonts w:hint="eastAsia" w:ascii="宋体" w:hAnsi="宋体" w:cs="宋体"/>
          <w:szCs w:val="21"/>
          <w:highlight w:val="none"/>
        </w:rPr>
      </w:r>
      <w:r/>
    </w:p>
    <w:p>
      <w:pPr>
        <w:pStyle w:val="919"/>
        <w:numPr>
          <w:ilvl w:val="0"/>
          <w:numId w:val="15"/>
        </w:numPr>
        <w:ind w:firstLine="440"/>
        <w:spacing w:line="360" w:lineRule="auto"/>
        <w:rPr>
          <w:rFonts w:hint="eastAsia" w:ascii="宋体" w:hAnsi="宋体" w:cs="宋体"/>
          <w:szCs w:val="21"/>
          <w:highlight w:val="none"/>
        </w:rPr>
      </w:pPr>
      <w:r>
        <w:rPr>
          <w:rFonts w:hint="eastAsia" w:ascii="宋体" w:hAnsi="宋体" w:cs="宋体"/>
          <w:sz w:val="22"/>
          <w:szCs w:val="22"/>
          <w:highlight w:val="none"/>
        </w:rPr>
        <w:t xml:space="preserve">报价时应充分考虑所有可能影响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投标文件的其他部分</w:t>
      </w:r>
      <w:r>
        <w:rPr>
          <w:rFonts w:hint="eastAsia" w:ascii="宋体" w:hAnsi="宋体" w:cs="宋体"/>
          <w:b/>
          <w:szCs w:val="21"/>
          <w:highlight w:val="none"/>
          <w:lang w:eastAsia="en-US"/>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12.1 其他部分由投标人根据编制投标文件需要提供的其他相关文件组成。</w:t>
      </w:r>
      <w:r>
        <w:rPr>
          <w:rFonts w:hint="eastAsia" w:ascii="宋体" w:hAnsi="宋体" w:cs="宋体"/>
          <w:szCs w:val="21"/>
          <w:highlight w:val="none"/>
        </w:rPr>
      </w:r>
      <w:r/>
    </w:p>
    <w:p>
      <w:pPr>
        <w:pStyle w:val="919"/>
        <w:numPr>
          <w:ilvl w:val="0"/>
          <w:numId w:val="11"/>
        </w:numPr>
        <w:ind w:left="0"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投标保证金（本项目无需缴纳投标保证金）</w:t>
      </w:r>
      <w:r>
        <w:rPr>
          <w:rFonts w:hint="eastAsia" w:ascii="宋体" w:hAnsi="宋体" w:cs="宋体"/>
          <w:b/>
          <w:szCs w:val="21"/>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投标有效期</w:t>
      </w:r>
      <w:r>
        <w:rPr>
          <w:rFonts w:hint="eastAsia" w:ascii="宋体" w:hAnsi="宋体" w:cs="宋体"/>
          <w:b/>
          <w:szCs w:val="21"/>
          <w:highlight w:val="none"/>
          <w:lang w:eastAsia="en-US"/>
        </w:rPr>
      </w:r>
      <w:r/>
    </w:p>
    <w:p>
      <w:pPr>
        <w:pStyle w:val="919"/>
        <w:numPr>
          <w:ilvl w:val="0"/>
          <w:numId w:val="1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自开标之日起</w:t>
      </w:r>
      <w:r>
        <w:rPr>
          <w:rFonts w:hint="eastAsia" w:ascii="宋体" w:hAnsi="宋体" w:cs="宋体"/>
          <w:b/>
          <w:szCs w:val="21"/>
          <w:highlight w:val="none"/>
        </w:rPr>
        <w:t xml:space="preserve">90</w:t>
      </w:r>
      <w:r>
        <w:rPr>
          <w:rFonts w:hint="eastAsia" w:ascii="宋体" w:hAnsi="宋体" w:cs="宋体"/>
          <w:szCs w:val="21"/>
          <w:highlight w:val="none"/>
        </w:rPr>
        <w:t xml:space="preserve">天内投标有效</w:t>
      </w:r>
      <w:r>
        <w:rPr>
          <w:rFonts w:hint="eastAsia" w:ascii="宋体" w:hAnsi="宋体" w:cs="宋体"/>
          <w:b/>
          <w:szCs w:val="21"/>
          <w:highlight w:val="none"/>
        </w:rPr>
        <w:t xml:space="preserve">，投标有效期从提交投标文件的截止之日起算。投标文件中承诺的投标有效期应当不少于招标文件中载明的投标有效期。</w:t>
      </w:r>
      <w:r>
        <w:rPr>
          <w:rFonts w:hint="eastAsia" w:ascii="宋体" w:hAnsi="宋体" w:cs="宋体"/>
          <w:szCs w:val="21"/>
          <w:highlight w:val="none"/>
        </w:rPr>
      </w:r>
      <w:r/>
    </w:p>
    <w:p>
      <w:pPr>
        <w:pStyle w:val="919"/>
        <w:numPr>
          <w:ilvl w:val="0"/>
          <w:numId w:val="1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szCs w:val="21"/>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投标文件签署</w:t>
      </w:r>
      <w:r>
        <w:rPr>
          <w:rFonts w:hint="eastAsia" w:ascii="宋体" w:hAnsi="宋体" w:cs="宋体"/>
          <w:b/>
          <w:szCs w:val="21"/>
          <w:highlight w:val="none"/>
          <w:lang w:eastAsia="en-US"/>
        </w:rPr>
      </w:r>
      <w:r/>
    </w:p>
    <w:p>
      <w:pPr>
        <w:pStyle w:val="919"/>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15.1 投标文件应按照招标文件要求加盖电子公章，否则视为无效投标。</w:t>
      </w:r>
      <w:r>
        <w:rPr>
          <w:rFonts w:hint="eastAsia" w:ascii="宋体" w:hAnsi="宋体" w:cs="宋体"/>
          <w:szCs w:val="21"/>
          <w:highlight w:val="none"/>
        </w:rPr>
      </w:r>
      <w:r/>
    </w:p>
    <w:p>
      <w:pPr>
        <w:pStyle w:val="919"/>
        <w:numPr>
          <w:ilvl w:val="0"/>
          <w:numId w:val="11"/>
        </w:numPr>
        <w:ind w:left="0" w:firstLine="422"/>
        <w:spacing w:line="360" w:lineRule="auto"/>
        <w:rPr>
          <w:rFonts w:hint="eastAsia" w:ascii="宋体" w:hAnsi="宋体" w:cs="宋体"/>
          <w:b/>
          <w:szCs w:val="21"/>
          <w:highlight w:val="none"/>
          <w:lang w:eastAsia="en-US"/>
        </w:rPr>
      </w:pPr>
      <w:r>
        <w:rPr>
          <w:rFonts w:hint="eastAsia" w:ascii="宋体" w:hAnsi="宋体" w:cs="宋体"/>
          <w:b/>
          <w:szCs w:val="21"/>
          <w:highlight w:val="none"/>
          <w:lang w:eastAsia="en-US"/>
        </w:rPr>
        <w:t xml:space="preserve">投标费用</w:t>
      </w:r>
      <w:r>
        <w:rPr>
          <w:rFonts w:hint="eastAsia" w:ascii="宋体" w:hAnsi="宋体" w:cs="宋体"/>
          <w:b/>
          <w:szCs w:val="21"/>
          <w:highlight w:val="none"/>
          <w:lang w:eastAsia="en-US"/>
        </w:rPr>
      </w:r>
      <w:r/>
    </w:p>
    <w:p>
      <w:pPr>
        <w:pStyle w:val="919"/>
        <w:ind w:left="420"/>
        <w:spacing w:line="360" w:lineRule="auto"/>
        <w:rPr>
          <w:rFonts w:hint="eastAsia" w:ascii="宋体" w:hAnsi="宋体" w:cs="宋体"/>
          <w:szCs w:val="21"/>
          <w:highlight w:val="none"/>
        </w:rPr>
      </w:pPr>
      <w:r>
        <w:rPr>
          <w:rFonts w:hint="eastAsia" w:ascii="宋体" w:hAnsi="宋体" w:cs="宋体"/>
          <w:szCs w:val="21"/>
          <w:highlight w:val="none"/>
        </w:rPr>
        <w:t xml:space="preserve">16.1投标人应自行承担为准备及参与投标所发生的一切费用，无论投标结果如何，采购人和采购代理机构对该等费用不承担任何义务与责任。</w:t>
      </w:r>
      <w:r>
        <w:rPr>
          <w:rFonts w:hint="eastAsia" w:ascii="宋体" w:hAnsi="宋体" w:cs="宋体"/>
          <w:szCs w:val="21"/>
          <w:highlight w:val="none"/>
        </w:rPr>
      </w:r>
      <w:r/>
    </w:p>
    <w:p>
      <w:pPr>
        <w:pStyle w:val="919"/>
        <w:ind w:left="420"/>
        <w:spacing w:line="360" w:lineRule="auto"/>
        <w:rPr>
          <w:rFonts w:hint="eastAsia" w:ascii="宋体" w:hAnsi="宋体" w:cs="宋体"/>
          <w:bCs/>
          <w:szCs w:val="21"/>
          <w:highlight w:val="none"/>
        </w:rPr>
      </w:pPr>
      <w:r>
        <w:rPr>
          <w:rFonts w:hint="eastAsia" w:ascii="宋体" w:hAnsi="宋体" w:cs="宋体"/>
          <w:bCs/>
          <w:szCs w:val="21"/>
          <w:highlight w:val="none"/>
        </w:rPr>
        <w:t xml:space="preserve">16.2代理服务费</w:t>
      </w:r>
      <w:r>
        <w:rPr>
          <w:rFonts w:hint="eastAsia" w:ascii="宋体" w:hAnsi="宋体" w:cs="宋体"/>
          <w:bCs/>
          <w:szCs w:val="21"/>
          <w:highlight w:val="none"/>
        </w:rPr>
      </w:r>
      <w:r/>
    </w:p>
    <w:p>
      <w:pPr>
        <w:pStyle w:val="919"/>
        <w:ind w:firstLine="420"/>
        <w:spacing w:line="360" w:lineRule="auto"/>
        <w:rPr>
          <w:rFonts w:hint="eastAsia" w:ascii="宋体" w:hAnsi="宋体" w:cs="宋体"/>
          <w:bCs/>
          <w:color w:val="c00000"/>
          <w:szCs w:val="21"/>
          <w:highlight w:val="none"/>
        </w:rPr>
      </w:pPr>
      <w:r>
        <w:rPr>
          <w:rFonts w:hint="eastAsia" w:ascii="宋体" w:hAnsi="宋体" w:cs="宋体"/>
          <w:bCs/>
          <w:color w:val="c00000"/>
          <w:szCs w:val="21"/>
          <w:highlight w:val="none"/>
        </w:rPr>
        <w:t xml:space="preserve">16.2.1支付主体及原因：本项目的代理服务费用</w:t>
      </w:r>
      <w:r>
        <w:rPr>
          <w:rFonts w:hint="eastAsia" w:ascii="宋体" w:hAnsi="宋体" w:cs="宋体"/>
          <w:bCs/>
          <w:color w:val="c00000"/>
          <w:szCs w:val="21"/>
          <w:highlight w:val="none"/>
          <w:lang w:eastAsia="zh-CN"/>
        </w:rPr>
        <w:t xml:space="preserve">已</w:t>
      </w:r>
      <w:r>
        <w:rPr>
          <w:rFonts w:hint="eastAsia" w:ascii="宋体" w:hAnsi="宋体" w:cs="宋体"/>
          <w:bCs/>
          <w:color w:val="c00000"/>
          <w:szCs w:val="21"/>
          <w:highlight w:val="none"/>
        </w:rPr>
        <w:t xml:space="preserve">纳入采购项目预算。根据《政府采购代理机构管理暂行办法》(财库(2018)2号)第十五条及《关于进一步规范政府采购活动相关费用管理的通知》(苏财规(2026)1号)相关规定，该项费用</w:t>
      </w:r>
      <w:r>
        <w:rPr>
          <w:rFonts w:hint="eastAsia" w:ascii="宋体" w:hAnsi="宋体" w:cs="宋体"/>
          <w:color w:val="c00000"/>
          <w:sz w:val="22"/>
          <w:highlight w:val="none"/>
        </w:rPr>
        <w:t xml:space="preserve">由中标供应商承担并包含在投标报价中，该笔费用综合包含于投标人投标总报价内，投标人报价表无需单独列示此项费用。</w:t>
      </w:r>
      <w:r>
        <w:rPr>
          <w:rFonts w:hint="eastAsia" w:ascii="宋体" w:hAnsi="宋体" w:cs="宋体"/>
          <w:bCs/>
          <w:color w:val="c00000"/>
          <w:szCs w:val="21"/>
          <w:highlight w:val="none"/>
        </w:rPr>
      </w:r>
      <w:r/>
    </w:p>
    <w:p>
      <w:pPr>
        <w:pStyle w:val="919"/>
        <w:ind w:firstLine="420"/>
        <w:spacing w:line="360" w:lineRule="auto"/>
        <w:rPr>
          <w:rFonts w:hint="eastAsia" w:ascii="宋体" w:hAnsi="宋体" w:cs="宋体"/>
          <w:bCs/>
          <w:color w:val="c00000"/>
          <w:szCs w:val="21"/>
          <w:highlight w:val="none"/>
        </w:rPr>
      </w:pPr>
      <w:r>
        <w:rPr>
          <w:rFonts w:hint="eastAsia" w:ascii="宋体" w:hAnsi="宋体" w:cs="宋体"/>
          <w:bCs/>
          <w:color w:val="c00000"/>
          <w:szCs w:val="21"/>
          <w:highlight w:val="none"/>
        </w:rPr>
        <w:t xml:space="preserve">16.2.2计费依据及标准:本项目代理服务费的计费标准依据采购人与采购代理机构签订的委托代理协议执行。费用以中标金额为基数，按照下表所列费率采用差额定率累进法计算后，按基准费金额的80%计取。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cs="宋体"/>
          <w:bCs/>
          <w:color w:val="c00000"/>
          <w:szCs w:val="21"/>
          <w:highlight w:val="none"/>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919"/>
              <w:ind w:right="241"/>
              <w:jc w:val="right"/>
              <w:rPr>
                <w:rFonts w:hint="eastAsia" w:ascii="宋体" w:hAnsi="宋体" w:cs="宋体"/>
                <w:bCs/>
                <w:szCs w:val="21"/>
                <w:highlight w:val="none"/>
              </w:rPr>
            </w:pPr>
            <w:r>
              <w:rPr>
                <w:rFonts w:hint="eastAsia" w:ascii="宋体" w:hAnsi="宋体" w:cs="宋体"/>
                <w:bCs/>
                <w:szCs w:val="21"/>
                <w:highlight w:val="none"/>
              </w:rPr>
              <w:t xml:space="preserve">分类</w:t>
            </w:r>
            <w:r>
              <w:rPr>
                <w:rFonts w:hint="eastAsia" w:ascii="宋体" w:hAnsi="宋体" w:cs="宋体"/>
                <w:bCs/>
                <w:szCs w:val="21"/>
                <w:highlight w:val="none"/>
              </w:rPr>
            </w:r>
            <w:r/>
          </w:p>
          <w:p>
            <w:pPr>
              <w:pStyle w:val="919"/>
              <w:ind w:firstLine="210"/>
              <w:jc w:val="left"/>
              <w:rPr>
                <w:rFonts w:hint="eastAsia" w:ascii="宋体" w:hAnsi="宋体" w:cs="宋体"/>
                <w:szCs w:val="21"/>
                <w:highlight w:val="none"/>
              </w:rPr>
            </w:pPr>
            <w:r>
              <w:rPr>
                <w:rFonts w:hint="eastAsia" w:ascii="宋体" w:hAnsi="宋体" w:cs="宋体"/>
                <w:szCs w:val="21"/>
                <w:highlight w:val="none"/>
              </w:rPr>
              <w:t xml:space="preserve">费率</w:t>
            </w:r>
            <w:r>
              <w:rPr>
                <w:rFonts w:hint="eastAsia" w:ascii="宋体" w:hAnsi="宋体" w:cs="宋体"/>
                <w:szCs w:val="21"/>
                <w:highlight w:val="none"/>
              </w:rPr>
            </w:r>
            <w:r/>
          </w:p>
        </w:tc>
        <w:tc>
          <w:tcPr>
            <w:tcW w:w="2332" w:type="dxa"/>
            <w:vAlign w:val="center"/>
            <w:vMerge w:val="restart"/>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货物项目</w:t>
            </w:r>
            <w:r>
              <w:rPr>
                <w:rFonts w:hint="eastAsia" w:ascii="宋体" w:hAnsi="宋体" w:cs="宋体"/>
                <w:szCs w:val="21"/>
                <w:highlight w:val="none"/>
              </w:rPr>
            </w:r>
            <w:r/>
          </w:p>
        </w:tc>
        <w:tc>
          <w:tcPr>
            <w:tcW w:w="2259" w:type="dxa"/>
            <w:vAlign w:val="center"/>
            <w:vMerge w:val="restart"/>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服务项目</w:t>
            </w:r>
            <w:r>
              <w:rPr>
                <w:rFonts w:hint="eastAsia" w:ascii="宋体" w:hAnsi="宋体" w:cs="宋体"/>
                <w:szCs w:val="21"/>
                <w:highlight w:val="none"/>
              </w:rPr>
            </w:r>
            <w:r/>
          </w:p>
        </w:tc>
        <w:tc>
          <w:tcPr>
            <w:tcW w:w="2277" w:type="dxa"/>
            <w:vAlign w:val="center"/>
            <w:vMerge w:val="restart"/>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工程项目</w:t>
            </w:r>
            <w:r>
              <w:rPr>
                <w:rFonts w:hint="eastAsia" w:ascii="宋体" w:hAnsi="宋体" w:cs="宋体"/>
                <w:szCs w:val="21"/>
                <w:highlight w:val="none"/>
              </w:rPr>
            </w:r>
            <w:r/>
          </w:p>
        </w:tc>
      </w:tr>
      <w:tr>
        <w:trPr>
          <w:trHeight w:val="449"/>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中标金额（万元）</w:t>
            </w:r>
            <w:r>
              <w:rPr>
                <w:rFonts w:hint="eastAsia" w:ascii="宋体" w:hAnsi="宋体" w:cs="宋体"/>
                <w:szCs w:val="21"/>
                <w:highlight w:val="none"/>
              </w:rPr>
            </w:r>
            <w:r/>
          </w:p>
        </w:tc>
        <w:tc>
          <w:tcPr>
            <w:tcW w:w="2332" w:type="dxa"/>
            <w:vAlign w:val="center"/>
            <w:vMerge w:val="continue"/>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r>
            <w:r/>
          </w:p>
        </w:tc>
        <w:tc>
          <w:tcPr>
            <w:tcW w:w="2259" w:type="dxa"/>
            <w:vAlign w:val="center"/>
            <w:vMerge w:val="continue"/>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r>
            <w:r/>
          </w:p>
        </w:tc>
        <w:tc>
          <w:tcPr>
            <w:tcW w:w="2277" w:type="dxa"/>
            <w:vAlign w:val="center"/>
            <w:vMerge w:val="continue"/>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r>
            <w:r/>
          </w:p>
        </w:tc>
      </w:tr>
      <w:tr>
        <w:trPr>
          <w:trHeight w:val="516"/>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100以下</w:t>
            </w:r>
            <w:r>
              <w:rPr>
                <w:rFonts w:hint="eastAsia" w:ascii="宋体" w:hAnsi="宋体" w:cs="宋体"/>
                <w:szCs w:val="21"/>
                <w:highlight w:val="none"/>
              </w:rPr>
            </w:r>
            <w:r/>
          </w:p>
        </w:tc>
        <w:tc>
          <w:tcPr>
            <w:tcW w:w="2332"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1.5%</w:t>
            </w:r>
            <w:r>
              <w:rPr>
                <w:rFonts w:hint="eastAsia" w:ascii="宋体" w:hAnsi="宋体" w:cs="宋体"/>
                <w:szCs w:val="21"/>
                <w:highlight w:val="none"/>
              </w:rPr>
            </w:r>
            <w:r/>
          </w:p>
        </w:tc>
        <w:tc>
          <w:tcPr>
            <w:tcW w:w="2259"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1.5%</w:t>
            </w:r>
            <w:r>
              <w:rPr>
                <w:rFonts w:hint="eastAsia" w:ascii="宋体" w:hAnsi="宋体" w:cs="宋体"/>
                <w:szCs w:val="21"/>
                <w:highlight w:val="none"/>
              </w:rPr>
            </w:r>
            <w:r/>
          </w:p>
        </w:tc>
        <w:tc>
          <w:tcPr>
            <w:tcW w:w="2277"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1.0%</w:t>
            </w:r>
            <w:r>
              <w:rPr>
                <w:rFonts w:hint="eastAsia" w:ascii="宋体" w:hAnsi="宋体" w:cs="宋体"/>
                <w:szCs w:val="21"/>
                <w:highlight w:val="none"/>
              </w:rPr>
            </w:r>
            <w:r/>
          </w:p>
        </w:tc>
      </w:tr>
      <w:tr>
        <w:trPr>
          <w:trHeight w:val="516"/>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100-500</w:t>
            </w:r>
            <w:r>
              <w:rPr>
                <w:rFonts w:hint="eastAsia" w:ascii="宋体" w:hAnsi="宋体" w:cs="宋体"/>
                <w:szCs w:val="21"/>
                <w:highlight w:val="none"/>
              </w:rPr>
            </w:r>
            <w:r/>
          </w:p>
        </w:tc>
        <w:tc>
          <w:tcPr>
            <w:tcW w:w="2332"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2259"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0.8%</w:t>
            </w:r>
            <w:r>
              <w:rPr>
                <w:rFonts w:hint="eastAsia" w:ascii="宋体" w:hAnsi="宋体" w:cs="宋体"/>
                <w:szCs w:val="21"/>
                <w:highlight w:val="none"/>
              </w:rPr>
            </w:r>
            <w:r/>
          </w:p>
        </w:tc>
        <w:tc>
          <w:tcPr>
            <w:tcW w:w="2277"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0.7%</w:t>
            </w:r>
            <w:r>
              <w:rPr>
                <w:rFonts w:hint="eastAsia" w:ascii="宋体" w:hAnsi="宋体" w:cs="宋体"/>
                <w:szCs w:val="21"/>
                <w:highlight w:val="none"/>
              </w:rPr>
            </w:r>
            <w:r/>
          </w:p>
        </w:tc>
      </w:tr>
      <w:tr>
        <w:trPr>
          <w:trHeight w:val="516"/>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500-1000</w:t>
            </w:r>
            <w:r>
              <w:rPr>
                <w:rFonts w:hint="eastAsia" w:ascii="宋体" w:hAnsi="宋体" w:cs="宋体"/>
                <w:szCs w:val="21"/>
                <w:highlight w:val="none"/>
              </w:rPr>
            </w:r>
            <w:r/>
          </w:p>
        </w:tc>
        <w:tc>
          <w:tcPr>
            <w:tcW w:w="2332"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0.8%</w:t>
            </w:r>
            <w:r>
              <w:rPr>
                <w:rFonts w:hint="eastAsia" w:ascii="宋体" w:hAnsi="宋体" w:cs="宋体"/>
                <w:szCs w:val="21"/>
                <w:highlight w:val="none"/>
              </w:rPr>
            </w:r>
            <w:r/>
          </w:p>
        </w:tc>
        <w:tc>
          <w:tcPr>
            <w:tcW w:w="2259"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0.45%</w:t>
            </w:r>
            <w:r>
              <w:rPr>
                <w:rFonts w:hint="eastAsia" w:ascii="宋体" w:hAnsi="宋体" w:cs="宋体"/>
                <w:szCs w:val="21"/>
                <w:highlight w:val="none"/>
              </w:rPr>
            </w:r>
            <w:r/>
          </w:p>
        </w:tc>
        <w:tc>
          <w:tcPr>
            <w:tcW w:w="2277"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0.55%</w:t>
            </w:r>
            <w:r>
              <w:rPr>
                <w:rFonts w:hint="eastAsia" w:ascii="宋体" w:hAnsi="宋体" w:cs="宋体"/>
                <w:szCs w:val="21"/>
                <w:highlight w:val="none"/>
              </w:rPr>
            </w:r>
            <w:r/>
          </w:p>
        </w:tc>
      </w:tr>
      <w:tr>
        <w:trPr>
          <w:trHeight w:val="516"/>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1000-5000</w:t>
            </w:r>
            <w:r>
              <w:rPr>
                <w:rFonts w:hint="eastAsia" w:ascii="宋体" w:hAnsi="宋体" w:cs="宋体"/>
                <w:szCs w:val="21"/>
                <w:highlight w:val="none"/>
              </w:rPr>
            </w:r>
            <w:r/>
          </w:p>
        </w:tc>
        <w:tc>
          <w:tcPr>
            <w:tcW w:w="2332"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0.5%</w:t>
            </w:r>
            <w:r>
              <w:rPr>
                <w:rFonts w:hint="eastAsia" w:ascii="宋体" w:hAnsi="宋体" w:cs="宋体"/>
                <w:szCs w:val="21"/>
                <w:highlight w:val="none"/>
              </w:rPr>
            </w:r>
            <w:r/>
          </w:p>
        </w:tc>
        <w:tc>
          <w:tcPr>
            <w:tcW w:w="2259"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0.25%</w:t>
            </w:r>
            <w:r>
              <w:rPr>
                <w:rFonts w:hint="eastAsia" w:ascii="宋体" w:hAnsi="宋体" w:cs="宋体"/>
                <w:szCs w:val="21"/>
                <w:highlight w:val="none"/>
              </w:rPr>
            </w:r>
            <w:r/>
          </w:p>
        </w:tc>
        <w:tc>
          <w:tcPr>
            <w:tcW w:w="2277"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0.35%</w:t>
            </w:r>
            <w:r>
              <w:rPr>
                <w:rFonts w:hint="eastAsia" w:ascii="宋体" w:hAnsi="宋体" w:cs="宋体"/>
                <w:szCs w:val="21"/>
                <w:highlight w:val="none"/>
              </w:rPr>
            </w:r>
            <w:r/>
          </w:p>
        </w:tc>
      </w:tr>
      <w:tr>
        <w:trPr>
          <w:trHeight w:val="516"/>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5000-10000</w:t>
            </w:r>
            <w:r>
              <w:rPr>
                <w:rFonts w:hint="eastAsia" w:ascii="宋体" w:hAnsi="宋体" w:cs="宋体"/>
                <w:szCs w:val="21"/>
                <w:highlight w:val="none"/>
              </w:rPr>
            </w:r>
            <w:r/>
          </w:p>
        </w:tc>
        <w:tc>
          <w:tcPr>
            <w:tcW w:w="2332"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0.25%</w:t>
            </w:r>
            <w:r>
              <w:rPr>
                <w:rFonts w:hint="eastAsia" w:ascii="宋体" w:hAnsi="宋体" w:cs="宋体"/>
                <w:szCs w:val="21"/>
                <w:highlight w:val="none"/>
              </w:rPr>
            </w:r>
            <w:r/>
          </w:p>
        </w:tc>
        <w:tc>
          <w:tcPr>
            <w:tcW w:w="2259"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0.1%</w:t>
            </w:r>
            <w:r>
              <w:rPr>
                <w:rFonts w:hint="eastAsia" w:ascii="宋体" w:hAnsi="宋体" w:cs="宋体"/>
                <w:szCs w:val="21"/>
                <w:highlight w:val="none"/>
              </w:rPr>
            </w:r>
            <w:r/>
          </w:p>
        </w:tc>
        <w:tc>
          <w:tcPr>
            <w:tcW w:w="2277"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0.2%</w:t>
            </w:r>
            <w:r>
              <w:rPr>
                <w:rFonts w:hint="eastAsia" w:ascii="宋体" w:hAnsi="宋体" w:cs="宋体"/>
                <w:szCs w:val="21"/>
                <w:highlight w:val="none"/>
              </w:rPr>
            </w:r>
            <w:r/>
          </w:p>
        </w:tc>
      </w:tr>
      <w:tr>
        <w:trPr>
          <w:trHeight w:val="516"/>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10000-100000</w:t>
            </w:r>
            <w:r>
              <w:rPr>
                <w:rFonts w:hint="eastAsia" w:ascii="宋体" w:hAnsi="宋体" w:cs="宋体"/>
                <w:szCs w:val="21"/>
                <w:highlight w:val="none"/>
              </w:rPr>
            </w:r>
            <w:r/>
          </w:p>
        </w:tc>
        <w:tc>
          <w:tcPr>
            <w:tcW w:w="2332"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0.05%</w:t>
            </w:r>
            <w:r>
              <w:rPr>
                <w:rFonts w:hint="eastAsia" w:ascii="宋体" w:hAnsi="宋体" w:cs="宋体"/>
                <w:szCs w:val="21"/>
                <w:highlight w:val="none"/>
              </w:rPr>
            </w:r>
            <w:r/>
          </w:p>
        </w:tc>
        <w:tc>
          <w:tcPr>
            <w:tcW w:w="2259"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0.05%</w:t>
            </w:r>
            <w:r>
              <w:rPr>
                <w:rFonts w:hint="eastAsia" w:ascii="宋体" w:hAnsi="宋体" w:cs="宋体"/>
                <w:szCs w:val="21"/>
                <w:highlight w:val="none"/>
              </w:rPr>
            </w:r>
            <w:r/>
          </w:p>
        </w:tc>
        <w:tc>
          <w:tcPr>
            <w:tcW w:w="2277"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0.05%</w:t>
            </w:r>
            <w:r>
              <w:rPr>
                <w:rFonts w:hint="eastAsia" w:ascii="宋体" w:hAnsi="宋体" w:cs="宋体"/>
                <w:szCs w:val="21"/>
                <w:highlight w:val="none"/>
              </w:rPr>
            </w:r>
            <w:r/>
          </w:p>
        </w:tc>
      </w:tr>
      <w:tr>
        <w:trPr>
          <w:trHeight w:val="507"/>
        </w:trPr>
        <w:tc>
          <w:tcPr>
            <w:tcW w:w="2410"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1000000以上</w:t>
            </w:r>
            <w:r>
              <w:rPr>
                <w:rFonts w:hint="eastAsia" w:ascii="宋体" w:hAnsi="宋体" w:cs="宋体"/>
                <w:szCs w:val="21"/>
                <w:highlight w:val="none"/>
              </w:rPr>
            </w:r>
            <w:r/>
          </w:p>
        </w:tc>
        <w:tc>
          <w:tcPr>
            <w:tcW w:w="2332"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0.01%</w:t>
            </w:r>
            <w:r>
              <w:rPr>
                <w:rFonts w:hint="eastAsia" w:ascii="宋体" w:hAnsi="宋体" w:cs="宋体"/>
                <w:szCs w:val="21"/>
                <w:highlight w:val="none"/>
              </w:rPr>
            </w:r>
            <w:r/>
          </w:p>
        </w:tc>
        <w:tc>
          <w:tcPr>
            <w:tcW w:w="2259"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0.01%</w:t>
            </w:r>
            <w:r>
              <w:rPr>
                <w:rFonts w:hint="eastAsia" w:ascii="宋体" w:hAnsi="宋体" w:cs="宋体"/>
                <w:szCs w:val="21"/>
                <w:highlight w:val="none"/>
              </w:rPr>
            </w:r>
            <w:r/>
          </w:p>
        </w:tc>
        <w:tc>
          <w:tcPr>
            <w:tcW w:w="2277" w:type="dxa"/>
            <w:vAlign w:val="center"/>
            <w:textDirection w:val="lrTb"/>
            <w:noWrap w:val="false"/>
          </w:tcPr>
          <w:p>
            <w:pPr>
              <w:pStyle w:val="919"/>
              <w:jc w:val="center"/>
              <w:rPr>
                <w:rFonts w:hint="eastAsia" w:ascii="宋体" w:hAnsi="宋体" w:cs="宋体"/>
                <w:szCs w:val="21"/>
                <w:highlight w:val="none"/>
              </w:rPr>
            </w:pPr>
            <w:r>
              <w:rPr>
                <w:rFonts w:hint="eastAsia" w:ascii="宋体" w:hAnsi="宋体" w:cs="宋体"/>
                <w:szCs w:val="21"/>
                <w:highlight w:val="none"/>
              </w:rPr>
              <w:t xml:space="preserve">0.01%</w:t>
            </w:r>
            <w:r>
              <w:rPr>
                <w:rFonts w:hint="eastAsia" w:ascii="宋体" w:hAnsi="宋体" w:cs="宋体"/>
                <w:szCs w:val="21"/>
                <w:highlight w:val="none"/>
              </w:rPr>
            </w:r>
            <w:r/>
          </w:p>
        </w:tc>
      </w:tr>
    </w:tbl>
    <w:p>
      <w:pPr>
        <w:pStyle w:val="91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16.2.3缴纳时间与方式：</w:t>
      </w:r>
      <w:r>
        <w:rPr>
          <w:rFonts w:hint="eastAsia" w:ascii="宋体" w:hAnsi="宋体" w:cs="宋体"/>
          <w:bCs/>
          <w:szCs w:val="21"/>
          <w:highlight w:val="none"/>
        </w:rPr>
      </w:r>
      <w:r/>
    </w:p>
    <w:p>
      <w:pPr>
        <w:pStyle w:val="919"/>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（1）缴纳时间：中标供应商在领取中标通知书，一次性足额缴纳全部代理服务费；</w:t>
      </w:r>
      <w:r>
        <w:rPr>
          <w:rFonts w:hint="eastAsia" w:ascii="宋体" w:hAnsi="宋体" w:cs="宋体"/>
          <w:bCs/>
          <w:szCs w:val="21"/>
          <w:highlight w:val="none"/>
        </w:rPr>
      </w:r>
      <w:r/>
    </w:p>
    <w:p>
      <w:pPr>
        <w:pStyle w:val="919"/>
        <w:ind w:firstLine="420"/>
        <w:spacing w:line="360" w:lineRule="auto"/>
        <w:rPr>
          <w:rFonts w:hint="eastAsia" w:ascii="宋体" w:hAnsi="宋体" w:cs="宋体"/>
          <w:b/>
          <w:szCs w:val="21"/>
          <w:highlight w:val="none"/>
        </w:rPr>
      </w:pPr>
      <w:r>
        <w:rPr>
          <w:rFonts w:hint="eastAsia" w:ascii="宋体" w:hAnsi="宋体" w:cs="宋体"/>
          <w:bCs/>
          <w:color w:val="c00000"/>
          <w:szCs w:val="21"/>
          <w:highlight w:val="none"/>
        </w:rPr>
        <w:t xml:space="preserve">（2）缴纳方式：可采用银行电汇、对公转账方式缴纳（以代理机构指定账户/收款要求为准）。</w:t>
      </w:r>
      <w:r>
        <w:rPr>
          <w:rFonts w:hint="eastAsia" w:ascii="宋体" w:hAnsi="宋体" w:cs="宋体"/>
          <w:b/>
          <w:szCs w:val="21"/>
          <w:highlight w:val="none"/>
        </w:rPr>
      </w:r>
      <w:r/>
    </w:p>
    <w:p>
      <w:pPr>
        <w:pStyle w:val="919"/>
        <w:numPr>
          <w:ilvl w:val="0"/>
          <w:numId w:val="3"/>
        </w:numPr>
        <w:ind w:firstLine="422"/>
        <w:spacing w:line="360" w:lineRule="auto"/>
        <w:rPr>
          <w:rFonts w:hint="eastAsia" w:ascii="宋体" w:hAnsi="宋体" w:cs="宋体"/>
          <w:b/>
          <w:bCs/>
          <w:szCs w:val="21"/>
          <w:highlight w:val="none"/>
        </w:rPr>
        <w:outlineLvl w:val="1"/>
      </w:pPr>
      <w:r/>
      <w:bookmarkStart w:id="38" w:name="_Toc3953"/>
      <w:r/>
      <w:bookmarkStart w:id="39" w:name="_Toc209510618"/>
      <w:r/>
      <w:bookmarkStart w:id="40" w:name="_Toc17969"/>
      <w:r/>
      <w:bookmarkStart w:id="41" w:name="_Toc1619"/>
      <w:r/>
      <w:bookmarkStart w:id="42" w:name="_Toc23001"/>
      <w:r/>
      <w:bookmarkStart w:id="43" w:name="_Toc19595"/>
      <w:r/>
      <w:bookmarkStart w:id="44" w:name="_Toc209510683"/>
      <w:r/>
      <w:bookmarkStart w:id="45" w:name="_Toc30521"/>
      <w:r>
        <w:rPr>
          <w:rFonts w:hint="eastAsia" w:ascii="宋体" w:hAnsi="宋体" w:cs="宋体"/>
          <w:b/>
          <w:bCs/>
          <w:szCs w:val="21"/>
          <w:highlight w:val="none"/>
        </w:rPr>
        <w:t xml:space="preserve">投标文件的递交</w:t>
      </w:r>
      <w:bookmarkEnd w:id="38"/>
      <w:r/>
      <w:bookmarkEnd w:id="39"/>
      <w:r/>
      <w:bookmarkEnd w:id="40"/>
      <w:r/>
      <w:bookmarkEnd w:id="41"/>
      <w:r/>
      <w:bookmarkEnd w:id="42"/>
      <w:r/>
      <w:bookmarkEnd w:id="43"/>
      <w:r/>
      <w:bookmarkEnd w:id="44"/>
      <w:r/>
      <w:bookmarkEnd w:id="45"/>
      <w:r>
        <w:rPr>
          <w:rFonts w:hint="eastAsia" w:ascii="宋体" w:hAnsi="宋体" w:cs="宋体"/>
          <w:b/>
          <w:bCs/>
          <w:szCs w:val="21"/>
          <w:highlight w:val="none"/>
        </w:rPr>
      </w:r>
      <w:r/>
    </w:p>
    <w:p>
      <w:pPr>
        <w:pStyle w:val="919"/>
        <w:numPr>
          <w:ilvl w:val="0"/>
          <w:numId w:val="17"/>
        </w:numPr>
        <w:ind w:firstLine="422"/>
        <w:spacing w:line="360" w:lineRule="auto"/>
        <w:rPr>
          <w:rFonts w:hint="eastAsia" w:ascii="宋体" w:hAnsi="宋体" w:cs="宋体"/>
          <w:b/>
          <w:bCs/>
          <w:szCs w:val="21"/>
          <w:highlight w:val="none"/>
        </w:rPr>
      </w:pPr>
      <w:r/>
      <w:bookmarkStart w:id="46" w:name="_Toc209510684"/>
      <w:r>
        <w:rPr>
          <w:rFonts w:hint="eastAsia" w:ascii="宋体" w:hAnsi="宋体" w:cs="宋体"/>
          <w:b/>
          <w:bCs/>
          <w:szCs w:val="21"/>
          <w:highlight w:val="none"/>
        </w:rPr>
        <w:t xml:space="preserve">投标文件的递交</w:t>
      </w:r>
      <w:bookmarkEnd w:id="46"/>
      <w:r>
        <w:rPr>
          <w:rFonts w:hint="eastAsia" w:ascii="宋体" w:hAnsi="宋体" w:cs="宋体"/>
          <w:b/>
          <w:bCs/>
          <w:szCs w:val="21"/>
          <w:highlight w:val="none"/>
        </w:rPr>
      </w:r>
      <w:r/>
    </w:p>
    <w:p>
      <w:pPr>
        <w:pStyle w:val="919"/>
        <w:ind w:firstLine="422"/>
        <w:jc w:val="left"/>
        <w:spacing w:line="360" w:lineRule="auto"/>
        <w:rPr>
          <w:rFonts w:hint="eastAsia" w:ascii="宋体" w:hAnsi="宋体" w:cs="宋体"/>
          <w:b/>
          <w:szCs w:val="21"/>
          <w:highlight w:val="none"/>
        </w:rPr>
      </w:pPr>
      <w:r>
        <w:rPr>
          <w:rFonts w:hint="eastAsia" w:ascii="宋体" w:hAnsi="宋体" w:cs="宋体"/>
          <w:b/>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b/>
          <w:szCs w:val="21"/>
          <w:highlight w:val="none"/>
        </w:rPr>
      </w:r>
      <w:r/>
    </w:p>
    <w:p>
      <w:pPr>
        <w:pStyle w:val="919"/>
        <w:numPr>
          <w:ilvl w:val="0"/>
          <w:numId w:val="17"/>
        </w:numPr>
        <w:ind w:firstLine="422"/>
        <w:spacing w:line="360" w:lineRule="auto"/>
        <w:rPr>
          <w:rFonts w:hint="eastAsia" w:ascii="宋体" w:hAnsi="宋体" w:cs="宋体"/>
          <w:b/>
          <w:bCs/>
          <w:szCs w:val="21"/>
          <w:highlight w:val="none"/>
        </w:rPr>
      </w:pPr>
      <w:r/>
      <w:bookmarkStart w:id="47" w:name="_Toc209510685"/>
      <w:r>
        <w:rPr>
          <w:rFonts w:hint="eastAsia" w:ascii="宋体" w:hAnsi="宋体" w:cs="宋体"/>
          <w:b/>
          <w:bCs/>
          <w:szCs w:val="21"/>
          <w:highlight w:val="none"/>
        </w:rPr>
        <w:t xml:space="preserve">投标文件的解密</w:t>
      </w:r>
      <w:bookmarkEnd w:id="47"/>
      <w:r>
        <w:rPr>
          <w:rFonts w:hint="eastAsia" w:ascii="宋体" w:hAnsi="宋体" w:cs="宋体"/>
          <w:b/>
          <w:bCs/>
          <w:szCs w:val="21"/>
          <w:highlight w:val="none"/>
        </w:rPr>
      </w:r>
      <w:r/>
    </w:p>
    <w:p>
      <w:pPr>
        <w:pStyle w:val="919"/>
        <w:numPr>
          <w:ilvl w:val="0"/>
          <w:numId w:val="18"/>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作无效投标处理。</w:t>
      </w:r>
      <w:r>
        <w:rPr>
          <w:rFonts w:hint="eastAsia" w:ascii="宋体" w:hAnsi="宋体" w:cs="宋体"/>
          <w:b/>
          <w:szCs w:val="21"/>
          <w:highlight w:val="none"/>
        </w:rPr>
      </w:r>
      <w:r/>
    </w:p>
    <w:p>
      <w:pPr>
        <w:pStyle w:val="919"/>
        <w:numPr>
          <w:ilvl w:val="0"/>
          <w:numId w:val="18"/>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采购人可以按照规定，通过修改招标文件酌情延长投标截止时间，在此情况下，投标人的所有权利和义务均以延长后新的截止时间为准。</w:t>
      </w:r>
      <w:r>
        <w:rPr>
          <w:rFonts w:hint="eastAsia" w:ascii="宋体" w:hAnsi="宋体" w:cs="宋体"/>
          <w:b/>
          <w:szCs w:val="21"/>
          <w:highlight w:val="none"/>
        </w:rPr>
      </w:r>
      <w:r/>
    </w:p>
    <w:p>
      <w:pPr>
        <w:pStyle w:val="919"/>
        <w:numPr>
          <w:ilvl w:val="0"/>
          <w:numId w:val="17"/>
        </w:numPr>
        <w:ind w:firstLine="422"/>
        <w:spacing w:line="360" w:lineRule="auto"/>
        <w:rPr>
          <w:rFonts w:hint="eastAsia" w:ascii="宋体" w:hAnsi="宋体" w:cs="宋体"/>
          <w:b/>
          <w:bCs/>
          <w:szCs w:val="21"/>
          <w:highlight w:val="none"/>
        </w:rPr>
      </w:pPr>
      <w:r/>
      <w:bookmarkStart w:id="48" w:name="_Toc209510686"/>
      <w:r>
        <w:rPr>
          <w:rFonts w:hint="eastAsia" w:ascii="宋体" w:hAnsi="宋体" w:cs="宋体"/>
          <w:b/>
          <w:bCs/>
          <w:szCs w:val="21"/>
          <w:highlight w:val="none"/>
        </w:rPr>
        <w:t xml:space="preserve">投标文件的修改和撤回</w:t>
      </w:r>
      <w:bookmarkEnd w:id="48"/>
      <w:r>
        <w:rPr>
          <w:rFonts w:hint="eastAsia" w:ascii="宋体" w:hAnsi="宋体" w:cs="宋体"/>
          <w:b/>
          <w:bCs/>
          <w:szCs w:val="21"/>
          <w:highlight w:val="none"/>
        </w:rPr>
      </w:r>
      <w:r/>
    </w:p>
    <w:p>
      <w:pPr>
        <w:pStyle w:val="919"/>
        <w:numPr>
          <w:ilvl w:val="0"/>
          <w:numId w:val="19"/>
        </w:num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投标文件的撤回</w:t>
      </w:r>
      <w:r>
        <w:rPr>
          <w:rFonts w:hint="eastAsia" w:ascii="宋体" w:hAnsi="宋体" w:cs="宋体"/>
          <w:b/>
          <w:szCs w:val="21"/>
          <w:highlight w:val="none"/>
        </w:rPr>
      </w:r>
      <w:r/>
    </w:p>
    <w:p>
      <w:pPr>
        <w:pStyle w:val="919"/>
        <w:numPr>
          <w:ilvl w:val="0"/>
          <w:numId w:val="2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投标人可在投标截止时间前撤回其电子投标文件，具体操作方法见《操作手册》。</w:t>
      </w:r>
      <w:r>
        <w:rPr>
          <w:rFonts w:hint="eastAsia" w:ascii="宋体" w:hAnsi="宋体" w:cs="宋体"/>
          <w:szCs w:val="21"/>
          <w:highlight w:val="none"/>
        </w:rPr>
      </w:r>
      <w:r/>
    </w:p>
    <w:p>
      <w:pPr>
        <w:pStyle w:val="919"/>
        <w:numPr>
          <w:ilvl w:val="0"/>
          <w:numId w:val="20"/>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投标人撤回电子投标文件，则认为其不再参与本项目投标活动。</w:t>
      </w:r>
      <w:r>
        <w:rPr>
          <w:rFonts w:hint="eastAsia" w:ascii="宋体" w:hAnsi="宋体" w:cs="宋体"/>
          <w:szCs w:val="21"/>
          <w:highlight w:val="none"/>
        </w:rPr>
      </w:r>
      <w:r/>
    </w:p>
    <w:p>
      <w:pPr>
        <w:pStyle w:val="919"/>
        <w:numPr>
          <w:ilvl w:val="0"/>
          <w:numId w:val="19"/>
        </w:num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投标文件的修改</w:t>
      </w:r>
      <w:r>
        <w:rPr>
          <w:rFonts w:hint="eastAsia" w:ascii="宋体" w:hAnsi="宋体" w:cs="宋体"/>
          <w:b/>
          <w:bCs/>
          <w:szCs w:val="21"/>
          <w:highlight w:val="none"/>
        </w:rPr>
      </w:r>
      <w:r/>
    </w:p>
    <w:p>
      <w:pPr>
        <w:pStyle w:val="919"/>
        <w:numPr>
          <w:ilvl w:val="0"/>
          <w:numId w:val="2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投标人可在投标截止时间前对其电子投标文件进行修改，具体操作方法见《操作手册》。</w:t>
      </w:r>
      <w:r>
        <w:rPr>
          <w:rFonts w:hint="eastAsia" w:ascii="宋体" w:hAnsi="宋体" w:cs="宋体"/>
          <w:szCs w:val="21"/>
          <w:highlight w:val="none"/>
        </w:rPr>
      </w:r>
      <w:r/>
    </w:p>
    <w:p>
      <w:pPr>
        <w:pStyle w:val="919"/>
        <w:numPr>
          <w:ilvl w:val="0"/>
          <w:numId w:val="2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投标截止时间之后，投标人不得对其电子投标文件作任何修改。</w:t>
      </w:r>
      <w:r>
        <w:rPr>
          <w:rFonts w:hint="eastAsia" w:ascii="宋体" w:hAnsi="宋体" w:cs="宋体"/>
          <w:szCs w:val="21"/>
          <w:highlight w:val="none"/>
        </w:rPr>
      </w:r>
      <w:r/>
    </w:p>
    <w:p>
      <w:pPr>
        <w:pStyle w:val="919"/>
        <w:numPr>
          <w:ilvl w:val="0"/>
          <w:numId w:val="2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在投标截止时间至招标文件中规定的投标有效期满之间的这段时间内，投标人不得撤回其投标。</w:t>
      </w:r>
      <w:r>
        <w:rPr>
          <w:rFonts w:hint="eastAsia" w:ascii="宋体" w:hAnsi="宋体" w:cs="宋体"/>
          <w:szCs w:val="21"/>
          <w:highlight w:val="none"/>
        </w:rPr>
      </w:r>
      <w:r/>
    </w:p>
    <w:p>
      <w:pPr>
        <w:pStyle w:val="919"/>
        <w:numPr>
          <w:ilvl w:val="0"/>
          <w:numId w:val="17"/>
        </w:numPr>
        <w:ind w:firstLine="422"/>
        <w:spacing w:line="360" w:lineRule="auto"/>
        <w:rPr>
          <w:rFonts w:hint="eastAsia" w:ascii="宋体" w:hAnsi="宋体" w:cs="宋体"/>
          <w:b/>
          <w:bCs/>
          <w:szCs w:val="21"/>
          <w:highlight w:val="none"/>
        </w:rPr>
      </w:pPr>
      <w:r/>
      <w:bookmarkStart w:id="49" w:name="_Toc209510687"/>
      <w:r>
        <w:rPr>
          <w:rFonts w:hint="eastAsia" w:ascii="宋体" w:hAnsi="宋体" w:cs="宋体"/>
          <w:b/>
          <w:bCs/>
          <w:szCs w:val="21"/>
          <w:highlight w:val="none"/>
        </w:rPr>
        <w:t xml:space="preserve">诚实信用</w:t>
      </w:r>
      <w:bookmarkEnd w:id="49"/>
      <w:r>
        <w:rPr>
          <w:rFonts w:hint="eastAsia" w:ascii="宋体" w:hAnsi="宋体" w:cs="宋体"/>
          <w:b/>
          <w:bCs/>
          <w:szCs w:val="21"/>
          <w:highlight w:val="none"/>
        </w:rPr>
      </w:r>
      <w:r/>
    </w:p>
    <w:p>
      <w:pPr>
        <w:pStyle w:val="919"/>
        <w:numPr>
          <w:ilvl w:val="0"/>
          <w:numId w:val="2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投标人应当遵循公平竞争的原则，不得恶意串通，不得妨碍其他投标人的竞争行为，不得损害采购人或者其他投标人的合法权益。</w:t>
      </w:r>
      <w:r>
        <w:rPr>
          <w:rFonts w:hint="eastAsia" w:ascii="宋体" w:hAnsi="宋体" w:cs="宋体"/>
          <w:szCs w:val="21"/>
          <w:highlight w:val="none"/>
        </w:rPr>
      </w:r>
      <w:r/>
    </w:p>
    <w:p>
      <w:pPr>
        <w:pStyle w:val="919"/>
        <w:numPr>
          <w:ilvl w:val="0"/>
          <w:numId w:val="2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在评标过程中发现投标人有上述情形的，评标委员会应当认定其投标无效，并书面报告本级财政部门。</w:t>
      </w:r>
      <w:r>
        <w:rPr>
          <w:rFonts w:hint="eastAsia" w:ascii="宋体" w:hAnsi="宋体" w:cs="宋体"/>
          <w:szCs w:val="21"/>
          <w:highlight w:val="none"/>
        </w:rPr>
      </w:r>
      <w:r/>
    </w:p>
    <w:p>
      <w:pPr>
        <w:pStyle w:val="919"/>
        <w:numPr>
          <w:ilvl w:val="0"/>
          <w:numId w:val="3"/>
        </w:numPr>
        <w:ind w:firstLine="422"/>
        <w:spacing w:line="360" w:lineRule="auto"/>
        <w:rPr>
          <w:rFonts w:hint="eastAsia" w:ascii="宋体" w:hAnsi="宋体" w:cs="宋体"/>
          <w:b/>
          <w:bCs/>
          <w:szCs w:val="21"/>
          <w:highlight w:val="none"/>
        </w:rPr>
        <w:outlineLvl w:val="1"/>
      </w:pPr>
      <w:r/>
      <w:bookmarkStart w:id="50" w:name="_Toc24742"/>
      <w:r/>
      <w:bookmarkStart w:id="51" w:name="_Toc32274"/>
      <w:r/>
      <w:bookmarkStart w:id="52" w:name="_Toc9280"/>
      <w:r/>
      <w:bookmarkStart w:id="53" w:name="_Toc209510688"/>
      <w:r/>
      <w:bookmarkStart w:id="54" w:name="_Toc18325"/>
      <w:r/>
      <w:bookmarkStart w:id="55" w:name="_Toc29919"/>
      <w:r/>
      <w:bookmarkStart w:id="56" w:name="_Toc1446"/>
      <w:r/>
      <w:bookmarkStart w:id="57" w:name="_Toc209510619"/>
      <w:r>
        <w:rPr>
          <w:rFonts w:hint="eastAsia" w:ascii="宋体" w:hAnsi="宋体" w:cs="宋体"/>
          <w:b/>
          <w:bCs/>
          <w:szCs w:val="21"/>
          <w:highlight w:val="none"/>
        </w:rPr>
        <w:t xml:space="preserve">开标、评标与定标</w:t>
      </w:r>
      <w:bookmarkEnd w:id="50"/>
      <w:r/>
      <w:bookmarkEnd w:id="51"/>
      <w:r/>
      <w:bookmarkEnd w:id="52"/>
      <w:r/>
      <w:bookmarkEnd w:id="53"/>
      <w:r/>
      <w:bookmarkEnd w:id="54"/>
      <w:r/>
      <w:bookmarkEnd w:id="55"/>
      <w:r/>
      <w:bookmarkEnd w:id="56"/>
      <w:r/>
      <w:bookmarkEnd w:id="57"/>
      <w:r>
        <w:rPr>
          <w:rFonts w:hint="eastAsia" w:ascii="宋体" w:hAnsi="宋体" w:cs="宋体"/>
          <w:b/>
          <w:bCs/>
          <w:szCs w:val="21"/>
          <w:highlight w:val="none"/>
        </w:rPr>
      </w:r>
      <w:r/>
    </w:p>
    <w:p>
      <w:pPr>
        <w:pStyle w:val="919"/>
        <w:numPr>
          <w:ilvl w:val="0"/>
          <w:numId w:val="23"/>
        </w:numPr>
        <w:ind w:firstLine="422"/>
        <w:spacing w:line="360" w:lineRule="auto"/>
        <w:rPr>
          <w:rFonts w:hint="eastAsia" w:ascii="宋体" w:hAnsi="宋体" w:cs="宋体"/>
          <w:b/>
          <w:bCs/>
          <w:szCs w:val="21"/>
          <w:highlight w:val="none"/>
        </w:rPr>
      </w:pPr>
      <w:r/>
      <w:bookmarkStart w:id="58" w:name="_Toc209510689"/>
      <w:r>
        <w:rPr>
          <w:rFonts w:hint="eastAsia" w:ascii="宋体" w:hAnsi="宋体" w:cs="宋体"/>
          <w:b/>
          <w:bCs/>
          <w:szCs w:val="21"/>
          <w:highlight w:val="none"/>
        </w:rPr>
        <w:t xml:space="preserve">开标</w:t>
      </w:r>
      <w:bookmarkEnd w:id="58"/>
      <w:r>
        <w:rPr>
          <w:rFonts w:hint="eastAsia" w:ascii="宋体" w:hAnsi="宋体" w:cs="宋体"/>
          <w:b/>
          <w:bCs/>
          <w:szCs w:val="21"/>
          <w:highlight w:val="none"/>
        </w:rPr>
      </w:r>
      <w:r/>
    </w:p>
    <w:p>
      <w:pPr>
        <w:pStyle w:val="919"/>
        <w:numPr>
          <w:ilvl w:val="0"/>
          <w:numId w:val="24"/>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rPr>
        <w:t xml:space="preserve">采购人在招标公告中规定的时间和地点组织公开开标。投标人按照《操作手册》规定参加开标活动，并在苏采云系统规定的时间内对投标文件进行解密。</w:t>
      </w:r>
      <w:r>
        <w:rPr>
          <w:rFonts w:hint="eastAsia" w:ascii="宋体" w:hAnsi="宋体" w:cs="宋体"/>
          <w:szCs w:val="21"/>
          <w:highlight w:val="none"/>
          <w:lang w:eastAsia="en-US"/>
        </w:rPr>
        <w:t xml:space="preserve">苏采云系统公布各投标人名称和投标价格。</w:t>
      </w:r>
      <w:r>
        <w:rPr>
          <w:rFonts w:hint="eastAsia" w:ascii="宋体" w:hAnsi="宋体" w:cs="宋体"/>
          <w:szCs w:val="21"/>
          <w:highlight w:val="none"/>
          <w:lang w:eastAsia="en-US"/>
        </w:rPr>
      </w:r>
      <w:r/>
    </w:p>
    <w:p>
      <w:pPr>
        <w:pStyle w:val="919"/>
        <w:numPr>
          <w:ilvl w:val="0"/>
          <w:numId w:val="2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投标人在开标过程中涉及的投标文件解密、开标结果确认等工作，应按照《操作手册》规定执行。</w:t>
      </w:r>
      <w:r>
        <w:rPr>
          <w:rFonts w:hint="eastAsia" w:ascii="宋体" w:hAnsi="宋体" w:cs="宋体"/>
          <w:szCs w:val="21"/>
          <w:highlight w:val="none"/>
        </w:rPr>
      </w:r>
      <w:r/>
    </w:p>
    <w:p>
      <w:pPr>
        <w:pStyle w:val="919"/>
        <w:numPr>
          <w:ilvl w:val="0"/>
          <w:numId w:val="2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投标人不足3家的，不得开标。</w:t>
      </w:r>
      <w:r>
        <w:rPr>
          <w:rFonts w:hint="eastAsia" w:ascii="宋体" w:hAnsi="宋体" w:cs="宋体"/>
          <w:szCs w:val="21"/>
          <w:highlight w:val="none"/>
        </w:rPr>
      </w:r>
      <w:r/>
    </w:p>
    <w:p>
      <w:pPr>
        <w:pStyle w:val="919"/>
        <w:numPr>
          <w:ilvl w:val="0"/>
          <w:numId w:val="2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投标人如果对开标过程和开标结果有疑义，应当根据《操作手册》规定提出，“苏采云”系统中《开标记录表》公布后5分钟内未提出的，视同认可开标结果。</w:t>
      </w:r>
      <w:r>
        <w:rPr>
          <w:rFonts w:hint="eastAsia" w:ascii="宋体" w:hAnsi="宋体" w:cs="宋体"/>
          <w:szCs w:val="21"/>
          <w:highlight w:val="none"/>
        </w:rPr>
      </w:r>
      <w:r/>
    </w:p>
    <w:p>
      <w:pPr>
        <w:pStyle w:val="919"/>
        <w:numPr>
          <w:ilvl w:val="0"/>
          <w:numId w:val="23"/>
        </w:numPr>
        <w:ind w:firstLine="422"/>
        <w:spacing w:line="360" w:lineRule="auto"/>
        <w:rPr>
          <w:rFonts w:hint="eastAsia" w:ascii="宋体" w:hAnsi="宋体" w:cs="宋体"/>
          <w:b/>
          <w:bCs/>
          <w:szCs w:val="21"/>
          <w:highlight w:val="none"/>
        </w:rPr>
      </w:pPr>
      <w:r/>
      <w:bookmarkStart w:id="59" w:name="_Toc209510690"/>
      <w:r>
        <w:rPr>
          <w:rFonts w:hint="eastAsia" w:ascii="宋体" w:hAnsi="宋体" w:cs="宋体"/>
          <w:b/>
          <w:bCs/>
          <w:szCs w:val="21"/>
          <w:highlight w:val="none"/>
        </w:rPr>
        <w:t xml:space="preserve">评标</w:t>
      </w:r>
      <w:bookmarkEnd w:id="59"/>
      <w:r>
        <w:rPr>
          <w:rFonts w:hint="eastAsia" w:ascii="宋体" w:hAnsi="宋体" w:cs="宋体"/>
          <w:b/>
          <w:bCs/>
          <w:szCs w:val="21"/>
          <w:highlight w:val="none"/>
        </w:rPr>
      </w:r>
      <w:r/>
    </w:p>
    <w:p>
      <w:pPr>
        <w:pStyle w:val="919"/>
        <w:numPr>
          <w:ilvl w:val="0"/>
          <w:numId w:val="25"/>
        </w:num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评标委员会</w:t>
      </w:r>
      <w:r>
        <w:rPr>
          <w:rFonts w:hint="eastAsia" w:ascii="宋体" w:hAnsi="宋体" w:cs="宋体"/>
          <w:b/>
          <w:bCs/>
          <w:szCs w:val="21"/>
          <w:highlight w:val="none"/>
        </w:rPr>
      </w:r>
      <w:r/>
    </w:p>
    <w:p>
      <w:pPr>
        <w:pStyle w:val="919"/>
        <w:numPr>
          <w:ilvl w:val="0"/>
          <w:numId w:val="26"/>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评标由评标委员会（以下简称“评委会”）进行。</w:t>
      </w:r>
      <w:r>
        <w:rPr>
          <w:rFonts w:hint="eastAsia" w:ascii="宋体" w:hAnsi="宋体" w:cs="宋体"/>
          <w:bCs/>
          <w:szCs w:val="21"/>
          <w:highlight w:val="none"/>
        </w:rPr>
      </w:r>
      <w:r/>
    </w:p>
    <w:p>
      <w:pPr>
        <w:pStyle w:val="919"/>
        <w:numPr>
          <w:ilvl w:val="0"/>
          <w:numId w:val="26"/>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评委会由采购人代表和有关技术、经济等方面的专家组成，且人员构成符合政府采购有关规定。</w:t>
      </w:r>
      <w:r>
        <w:rPr>
          <w:rFonts w:hint="eastAsia" w:ascii="宋体" w:hAnsi="宋体" w:cs="宋体"/>
          <w:bCs/>
          <w:szCs w:val="21"/>
          <w:highlight w:val="none"/>
        </w:rPr>
      </w:r>
      <w:r/>
    </w:p>
    <w:p>
      <w:pPr>
        <w:pStyle w:val="919"/>
        <w:numPr>
          <w:ilvl w:val="0"/>
          <w:numId w:val="26"/>
        </w:num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评委会独立工作，负责评审所有投标文件并推荐中标候选人，或根据采购人授权直接确定中标人。</w:t>
      </w:r>
      <w:r>
        <w:rPr>
          <w:rFonts w:hint="eastAsia" w:ascii="宋体" w:hAnsi="宋体" w:cs="宋体"/>
          <w:bCs/>
          <w:szCs w:val="21"/>
          <w:highlight w:val="none"/>
        </w:rPr>
      </w:r>
      <w:r/>
    </w:p>
    <w:p>
      <w:pPr>
        <w:pStyle w:val="919"/>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22.1.1评标委员会负责具体评标事务，并独立履行下列职责：</w:t>
      </w:r>
      <w:r>
        <w:rPr>
          <w:rFonts w:hint="eastAsia" w:ascii="宋体" w:hAnsi="宋体" w:cs="宋体"/>
          <w:b/>
          <w:szCs w:val="21"/>
          <w:highlight w:val="none"/>
        </w:rPr>
      </w:r>
      <w:r/>
    </w:p>
    <w:p>
      <w:pPr>
        <w:pStyle w:val="919"/>
        <w:numPr>
          <w:ilvl w:val="0"/>
          <w:numId w:val="2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审查、评价投标文件是否符合招标文件的商务、技术等实质性要求；</w:t>
      </w:r>
      <w:r>
        <w:rPr>
          <w:rFonts w:hint="eastAsia" w:ascii="宋体" w:hAnsi="宋体" w:cs="宋体"/>
          <w:szCs w:val="21"/>
          <w:highlight w:val="none"/>
        </w:rPr>
      </w:r>
      <w:r/>
    </w:p>
    <w:p>
      <w:pPr>
        <w:pStyle w:val="919"/>
        <w:numPr>
          <w:ilvl w:val="0"/>
          <w:numId w:val="2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要求投标人对投标文件有关事项作出澄清或者说明；</w:t>
      </w:r>
      <w:r>
        <w:rPr>
          <w:rFonts w:hint="eastAsia" w:ascii="宋体" w:hAnsi="宋体" w:cs="宋体"/>
          <w:szCs w:val="21"/>
          <w:highlight w:val="none"/>
        </w:rPr>
      </w:r>
      <w:r/>
    </w:p>
    <w:p>
      <w:pPr>
        <w:pStyle w:val="919"/>
        <w:numPr>
          <w:ilvl w:val="0"/>
          <w:numId w:val="2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对投标文件进行比较和评价；</w:t>
      </w:r>
      <w:r>
        <w:rPr>
          <w:rFonts w:hint="eastAsia" w:ascii="宋体" w:hAnsi="宋体" w:cs="宋体"/>
          <w:szCs w:val="21"/>
          <w:highlight w:val="none"/>
        </w:rPr>
      </w:r>
      <w:r/>
    </w:p>
    <w:p>
      <w:pPr>
        <w:pStyle w:val="919"/>
        <w:numPr>
          <w:ilvl w:val="0"/>
          <w:numId w:val="2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确定中标候选人名单，以及根据采购人委托直接确定中标人；</w:t>
      </w:r>
      <w:r>
        <w:rPr>
          <w:rFonts w:hint="eastAsia" w:ascii="宋体" w:hAnsi="宋体" w:cs="宋体"/>
          <w:szCs w:val="21"/>
          <w:highlight w:val="none"/>
        </w:rPr>
      </w:r>
      <w:r/>
    </w:p>
    <w:p>
      <w:pPr>
        <w:pStyle w:val="919"/>
        <w:numPr>
          <w:ilvl w:val="0"/>
          <w:numId w:val="2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向采购人、采购代理机构或者有关部门报告评标中发现的违法行为。</w:t>
      </w:r>
      <w:r>
        <w:rPr>
          <w:rFonts w:hint="eastAsia" w:ascii="宋体" w:hAnsi="宋体" w:cs="宋体"/>
          <w:szCs w:val="21"/>
          <w:highlight w:val="none"/>
        </w:rPr>
      </w:r>
      <w:r/>
    </w:p>
    <w:p>
      <w:pPr>
        <w:pStyle w:val="919"/>
        <w:numPr>
          <w:ilvl w:val="0"/>
          <w:numId w:val="25"/>
        </w:num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评标程序</w:t>
      </w:r>
      <w:r>
        <w:rPr>
          <w:rFonts w:hint="eastAsia" w:ascii="宋体" w:hAnsi="宋体" w:cs="宋体"/>
          <w:b/>
          <w:bCs/>
          <w:szCs w:val="21"/>
          <w:highlight w:val="none"/>
        </w:rPr>
      </w:r>
      <w:r/>
    </w:p>
    <w:p>
      <w:pPr>
        <w:pStyle w:val="919"/>
        <w:numPr>
          <w:ilvl w:val="0"/>
          <w:numId w:val="28"/>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投标文件的资格性检查。</w:t>
      </w:r>
      <w:r>
        <w:rPr>
          <w:rFonts w:hint="eastAsia" w:ascii="宋体" w:hAnsi="宋体" w:cs="宋体"/>
          <w:szCs w:val="21"/>
          <w:highlight w:val="none"/>
        </w:rPr>
        <w:t xml:space="preserve">公开招标采购项目开标结束后，采购人或者采购代理机构应当依法对投标人的资格进行审查。合格投标人不足3家的，不得评标。</w:t>
      </w:r>
      <w:r>
        <w:rPr>
          <w:rFonts w:hint="eastAsia" w:ascii="宋体" w:hAnsi="宋体" w:cs="宋体"/>
          <w:b/>
          <w:szCs w:val="21"/>
          <w:highlight w:val="none"/>
        </w:rPr>
      </w:r>
      <w:r/>
    </w:p>
    <w:p>
      <w:pPr>
        <w:pStyle w:val="919"/>
        <w:numPr>
          <w:ilvl w:val="0"/>
          <w:numId w:val="28"/>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投标人在“苏采云”系统规定的时间内未成功解密电子投标文件的；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投标人未按照招标文件要求上传电子投标文件的；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同一投标人提交两个（含两个）以上不同的投标报价的；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投标文件未按照招标文件要求加盖电子公章的；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不具备招标文件中规定的资格要求的；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报价超过招标文件中规定的预算金额或者最高限价的；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投标文件含有采购人不能接受的附加条件的；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投标文件内容不全或不符合招标文件中规定的其他实质性要求的；</w:t>
      </w:r>
      <w:r>
        <w:rPr>
          <w:rFonts w:hint="eastAsia" w:ascii="宋体" w:hAnsi="宋体" w:cs="宋体"/>
          <w:b/>
          <w:szCs w:val="21"/>
          <w:highlight w:val="none"/>
        </w:rPr>
      </w:r>
      <w:r/>
    </w:p>
    <w:p>
      <w:pPr>
        <w:pStyle w:val="919"/>
        <w:numPr>
          <w:ilvl w:val="0"/>
          <w:numId w:val="29"/>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现行法律、法规、规章和招标文件规定的其他无效情形。</w:t>
      </w:r>
      <w:r>
        <w:rPr>
          <w:rFonts w:hint="eastAsia" w:ascii="宋体" w:hAnsi="宋体" w:cs="宋体"/>
          <w:b/>
          <w:szCs w:val="21"/>
          <w:highlight w:val="none"/>
        </w:rPr>
      </w:r>
      <w:r/>
    </w:p>
    <w:p>
      <w:pPr>
        <w:pStyle w:val="919"/>
        <w:numPr>
          <w:ilvl w:val="0"/>
          <w:numId w:val="30"/>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实质性要求是指本招标文件中用带星号（“★”）或者其他明确要求的废标的商务和技术要求。</w:t>
      </w:r>
      <w:r>
        <w:rPr>
          <w:rFonts w:hint="eastAsia" w:ascii="宋体" w:hAnsi="宋体" w:cs="宋体"/>
          <w:b/>
          <w:szCs w:val="21"/>
          <w:highlight w:val="none"/>
        </w:rPr>
      </w:r>
      <w:r/>
    </w:p>
    <w:p>
      <w:pPr>
        <w:pStyle w:val="919"/>
        <w:numPr>
          <w:ilvl w:val="0"/>
          <w:numId w:val="30"/>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未通过资格审查或符合性审查的投标人，代理机构将通过“苏采云”系统告知其具体原因，评标结束后不再接受有关询问。</w:t>
      </w:r>
      <w:r>
        <w:rPr>
          <w:rFonts w:hint="eastAsia" w:ascii="宋体" w:hAnsi="宋体" w:cs="宋体"/>
          <w:b/>
          <w:szCs w:val="21"/>
          <w:highlight w:val="none"/>
        </w:rPr>
      </w:r>
      <w:r/>
    </w:p>
    <w:p>
      <w:pPr>
        <w:pStyle w:val="919"/>
        <w:numPr>
          <w:ilvl w:val="0"/>
          <w:numId w:val="30"/>
        </w:num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有下列情形之一的予以废标：</w:t>
      </w:r>
      <w:r>
        <w:rPr>
          <w:rFonts w:hint="eastAsia" w:ascii="宋体" w:hAnsi="宋体" w:cs="宋体"/>
          <w:b/>
          <w:szCs w:val="21"/>
          <w:highlight w:val="none"/>
        </w:rPr>
      </w:r>
      <w:r/>
    </w:p>
    <w:p>
      <w:pPr>
        <w:pStyle w:val="919"/>
        <w:numPr>
          <w:ilvl w:val="0"/>
          <w:numId w:val="3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符合专业条件的投标人或者对招标文件作实质性响应的投标人不足三家的；</w:t>
      </w:r>
      <w:r>
        <w:rPr>
          <w:rFonts w:hint="eastAsia" w:ascii="宋体" w:hAnsi="宋体" w:cs="宋体"/>
          <w:szCs w:val="21"/>
          <w:highlight w:val="none"/>
        </w:rPr>
      </w:r>
      <w:r/>
    </w:p>
    <w:p>
      <w:pPr>
        <w:pStyle w:val="919"/>
        <w:numPr>
          <w:ilvl w:val="0"/>
          <w:numId w:val="3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919"/>
        <w:numPr>
          <w:ilvl w:val="0"/>
          <w:numId w:val="3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919"/>
        <w:numPr>
          <w:ilvl w:val="0"/>
          <w:numId w:val="3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因苏采云系统故障造成开标不成功的；</w:t>
      </w:r>
      <w:r>
        <w:rPr>
          <w:rFonts w:hint="eastAsia" w:ascii="宋体" w:hAnsi="宋体" w:cs="宋体"/>
          <w:szCs w:val="21"/>
          <w:highlight w:val="none"/>
        </w:rPr>
      </w:r>
      <w:r/>
    </w:p>
    <w:p>
      <w:pPr>
        <w:pStyle w:val="919"/>
        <w:numPr>
          <w:ilvl w:val="0"/>
          <w:numId w:val="3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919"/>
        <w:numPr>
          <w:ilvl w:val="0"/>
          <w:numId w:val="31"/>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投标人以明显低于其他通过符合性审查投标人的报价，有可能影响产品质量或者不能诚信履约，且不能证明其报价合理性的。</w:t>
      </w:r>
      <w:r>
        <w:rPr>
          <w:rFonts w:hint="eastAsia" w:ascii="宋体" w:hAnsi="宋体" w:cs="宋体"/>
          <w:szCs w:val="21"/>
          <w:highlight w:val="none"/>
        </w:rPr>
      </w:r>
      <w:r/>
    </w:p>
    <w:p>
      <w:pPr>
        <w:pStyle w:val="919"/>
        <w:numPr>
          <w:ilvl w:val="0"/>
          <w:numId w:val="28"/>
        </w:numPr>
        <w:ind w:firstLine="422"/>
        <w:spacing w:line="360" w:lineRule="auto"/>
        <w:rPr>
          <w:rFonts w:hint="eastAsia" w:ascii="宋体" w:hAnsi="宋体" w:cs="宋体"/>
          <w:szCs w:val="21"/>
          <w:highlight w:val="none"/>
          <w:lang w:eastAsia="en-US"/>
        </w:rPr>
      </w:pPr>
      <w:r>
        <w:rPr>
          <w:rFonts w:hint="eastAsia" w:ascii="宋体" w:hAnsi="宋体" w:cs="宋体"/>
          <w:b/>
          <w:szCs w:val="21"/>
          <w:highlight w:val="none"/>
          <w:lang w:eastAsia="en-US"/>
        </w:rPr>
        <w:t xml:space="preserve">澄清有关问题</w:t>
      </w:r>
      <w:r>
        <w:rPr>
          <w:rFonts w:hint="eastAsia" w:ascii="宋体" w:hAnsi="宋体" w:cs="宋体"/>
          <w:szCs w:val="21"/>
          <w:highlight w:val="none"/>
          <w:lang w:eastAsia="en-US"/>
        </w:rPr>
        <w:t xml:space="preserve">。</w:t>
      </w:r>
      <w:r>
        <w:rPr>
          <w:rFonts w:hint="eastAsia" w:ascii="宋体" w:hAnsi="宋体" w:cs="宋体"/>
          <w:szCs w:val="21"/>
          <w:highlight w:val="none"/>
          <w:lang w:eastAsia="en-US"/>
        </w:rPr>
      </w:r>
      <w:r/>
    </w:p>
    <w:p>
      <w:pPr>
        <w:pStyle w:val="919"/>
        <w:numPr>
          <w:ilvl w:val="0"/>
          <w:numId w:val="3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评标期间，评委会对投标文件中含义不明确、同类问题表述不一致或者有明显文字和计算错误的内容，有权要求投标人作出必要的澄清、说明或者补正。</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评委会并非对每个投标人都作出澄清要求。</w:t>
      </w:r>
      <w:r>
        <w:rPr>
          <w:rFonts w:hint="eastAsia" w:ascii="宋体" w:hAnsi="宋体" w:cs="宋体"/>
          <w:szCs w:val="21"/>
          <w:highlight w:val="none"/>
        </w:rPr>
      </w:r>
      <w:r/>
    </w:p>
    <w:p>
      <w:pPr>
        <w:pStyle w:val="919"/>
        <w:numPr>
          <w:ilvl w:val="0"/>
          <w:numId w:val="3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Cs w:val="21"/>
          <w:highlight w:val="none"/>
        </w:rPr>
      </w:r>
      <w:r/>
    </w:p>
    <w:p>
      <w:pPr>
        <w:pStyle w:val="919"/>
        <w:numPr>
          <w:ilvl w:val="0"/>
          <w:numId w:val="3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接到评委会澄清、说明和补正要求的，投标人如未按规定作出澄清、说明和补正，其风险由投标人自行承担。</w:t>
      </w:r>
      <w:r>
        <w:rPr>
          <w:rFonts w:hint="eastAsia" w:ascii="宋体" w:hAnsi="宋体" w:cs="宋体"/>
          <w:szCs w:val="21"/>
          <w:highlight w:val="none"/>
        </w:rPr>
      </w:r>
      <w:r/>
    </w:p>
    <w:p>
      <w:pPr>
        <w:pStyle w:val="919"/>
        <w:numPr>
          <w:ilvl w:val="0"/>
          <w:numId w:val="32"/>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投标人在开、评标全过程中应保持通信畅通，及时登录苏采云系统查阅、答复相关信息，并安排专人与代理机构及评委会联系。</w:t>
      </w:r>
      <w:r>
        <w:rPr>
          <w:rFonts w:hint="eastAsia" w:ascii="宋体" w:hAnsi="宋体" w:cs="宋体"/>
          <w:szCs w:val="21"/>
          <w:highlight w:val="none"/>
        </w:rPr>
      </w:r>
      <w:r/>
    </w:p>
    <w:p>
      <w:pPr>
        <w:pStyle w:val="919"/>
        <w:numPr>
          <w:ilvl w:val="0"/>
          <w:numId w:val="28"/>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比较与评价。评标委员会应当按照招标文件中规定的评标方法和标准，对符合性审查合格的投标文件进行商务和技术评估，综合比较与评价。</w:t>
      </w:r>
      <w:r>
        <w:rPr>
          <w:rFonts w:hint="eastAsia" w:ascii="宋体" w:hAnsi="宋体" w:cs="宋体"/>
          <w:szCs w:val="21"/>
          <w:highlight w:val="none"/>
        </w:rPr>
      </w:r>
      <w:r/>
    </w:p>
    <w:p>
      <w:pPr>
        <w:pStyle w:val="919"/>
        <w:numPr>
          <w:ilvl w:val="0"/>
          <w:numId w:val="28"/>
        </w:numPr>
        <w:ind w:firstLine="420"/>
        <w:spacing w:line="360" w:lineRule="auto"/>
        <w:rPr>
          <w:rFonts w:hint="eastAsia" w:ascii="宋体" w:hAnsi="宋体" w:cs="宋体"/>
          <w:szCs w:val="21"/>
          <w:highlight w:val="none"/>
          <w:lang w:eastAsia="en-US"/>
        </w:rPr>
      </w:pPr>
      <w:r>
        <w:rPr>
          <w:rFonts w:hint="eastAsia" w:ascii="宋体" w:hAnsi="宋体" w:cs="宋体"/>
          <w:szCs w:val="21"/>
          <w:highlight w:val="none"/>
          <w:lang w:eastAsia="en-US"/>
        </w:rPr>
        <w:t xml:space="preserve">相同品牌产品的投标</w:t>
      </w:r>
      <w:r>
        <w:rPr>
          <w:rFonts w:hint="eastAsia" w:ascii="宋体" w:hAnsi="宋体" w:cs="宋体"/>
          <w:szCs w:val="21"/>
          <w:highlight w:val="none"/>
          <w:lang w:eastAsia="en-US"/>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szCs w:val="21"/>
          <w:highlight w:val="none"/>
        </w:rPr>
      </w:r>
      <w:r/>
    </w:p>
    <w:p>
      <w:pPr>
        <w:pStyle w:val="919"/>
        <w:ind w:left="118" w:firstLine="422"/>
        <w:jc w:val="left"/>
        <w:spacing w:line="360" w:lineRule="auto"/>
        <w:rPr>
          <w:rFonts w:hint="eastAsia" w:ascii="宋体" w:hAnsi="宋体" w:cs="宋体"/>
          <w:szCs w:val="21"/>
          <w:highlight w:val="none"/>
        </w:rPr>
      </w:pPr>
      <w:r>
        <w:rPr>
          <w:rFonts w:hint="eastAsia" w:ascii="宋体" w:hAnsi="宋体" w:cs="宋体"/>
          <w:b/>
          <w:bCs/>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szCs w:val="21"/>
          <w:highlight w:val="none"/>
        </w:rPr>
      </w:r>
      <w:r/>
    </w:p>
    <w:p>
      <w:pPr>
        <w:pStyle w:val="919"/>
        <w:ind w:left="118" w:firstLine="422"/>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非单一产品采购项目，确定核心产品的方法在招标文件技术需求中载明。多家投标人提供的核心产品品牌相同的，按前两款规定处理。</w:t>
      </w:r>
      <w:r>
        <w:rPr>
          <w:rFonts w:hint="eastAsia" w:ascii="宋体" w:hAnsi="宋体" w:cs="宋体"/>
          <w:b/>
          <w:bCs/>
          <w:szCs w:val="21"/>
          <w:highlight w:val="none"/>
        </w:rPr>
      </w:r>
      <w:r/>
    </w:p>
    <w:p>
      <w:pPr>
        <w:pStyle w:val="919"/>
        <w:numPr>
          <w:ilvl w:val="0"/>
          <w:numId w:val="25"/>
        </w:num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评标方法和标准</w:t>
      </w:r>
      <w:r>
        <w:rPr>
          <w:rFonts w:hint="eastAsia" w:ascii="宋体" w:hAnsi="宋体" w:cs="宋体"/>
          <w:b/>
          <w:bCs/>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22.3.2评审过程中出现下列情形之一的，评审委员会应当启动异常低价投标（响应）审查程序：</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（1）投标（响应）报价低于全部通过符合性审查供应商投标（响应）报价平均值65%的，即投标（响应）报价&lt;全部通过符合性审查供应商投标（响应）报价平均值×65%； </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（2）投标（响应）报价低于通过符合性审查的次低报价供应商投标（响应）报价65%的，即投标（响应）报价&lt;通过符合性审查的次低报价供应商投标（响应）报价×65%； </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（3）投标（响应）报价低于采购项目最高限价65%的，即投标（响应）报价&lt;采购项目最高限价×65%； </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（4）评审委员会基于专业判断，认为供应商报价过低，有可能影响产品质量或者不能诚信履约的其他情形。 </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s="宋体"/>
          <w:szCs w:val="21"/>
          <w:highlight w:val="none"/>
        </w:rPr>
      </w:r>
      <w:r/>
    </w:p>
    <w:p>
      <w:pPr>
        <w:pStyle w:val="919"/>
        <w:numPr>
          <w:ilvl w:val="0"/>
          <w:numId w:val="23"/>
        </w:numPr>
        <w:ind w:firstLine="422"/>
        <w:spacing w:line="360" w:lineRule="auto"/>
        <w:rPr>
          <w:rFonts w:hint="eastAsia" w:ascii="宋体" w:hAnsi="宋体" w:cs="宋体"/>
          <w:b/>
          <w:bCs/>
          <w:szCs w:val="21"/>
          <w:highlight w:val="none"/>
        </w:rPr>
      </w:pPr>
      <w:r/>
      <w:bookmarkStart w:id="60" w:name="_Toc209510691"/>
      <w:r>
        <w:rPr>
          <w:rFonts w:hint="eastAsia" w:ascii="宋体" w:hAnsi="宋体" w:cs="宋体"/>
          <w:b/>
          <w:bCs/>
          <w:szCs w:val="21"/>
          <w:highlight w:val="none"/>
        </w:rPr>
        <w:t xml:space="preserve">确定中标人</w:t>
      </w:r>
      <w:bookmarkEnd w:id="60"/>
      <w:r>
        <w:rPr>
          <w:rFonts w:hint="eastAsia" w:ascii="宋体" w:hAnsi="宋体" w:cs="宋体"/>
          <w:b/>
          <w:bCs/>
          <w:szCs w:val="21"/>
          <w:highlight w:val="none"/>
        </w:rPr>
      </w:r>
      <w:r/>
    </w:p>
    <w:p>
      <w:pPr>
        <w:pStyle w:val="919"/>
        <w:numPr>
          <w:ilvl w:val="0"/>
          <w:numId w:val="33"/>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cs="宋体"/>
          <w:szCs w:val="21"/>
          <w:highlight w:val="none"/>
        </w:rPr>
      </w:r>
      <w:r/>
    </w:p>
    <w:p>
      <w:pPr>
        <w:pStyle w:val="919"/>
        <w:numPr>
          <w:ilvl w:val="0"/>
          <w:numId w:val="33"/>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按以下第（2）种方式确定中标人：</w:t>
      </w:r>
      <w:r>
        <w:rPr>
          <w:rFonts w:hint="eastAsia" w:ascii="宋体" w:hAnsi="宋体" w:cs="宋体"/>
          <w:szCs w:val="21"/>
          <w:highlight w:val="none"/>
        </w:rPr>
      </w:r>
      <w:r/>
    </w:p>
    <w:p>
      <w:pPr>
        <w:pStyle w:val="919"/>
        <w:numPr>
          <w:ilvl w:val="0"/>
          <w:numId w:val="3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评委会直接确定排名第一的中标候选人为中标人；</w:t>
      </w:r>
      <w:r>
        <w:rPr>
          <w:rFonts w:hint="eastAsia" w:ascii="宋体" w:hAnsi="宋体" w:cs="宋体"/>
          <w:szCs w:val="21"/>
          <w:highlight w:val="none"/>
        </w:rPr>
      </w:r>
      <w:r/>
    </w:p>
    <w:p>
      <w:pPr>
        <w:pStyle w:val="919"/>
        <w:numPr>
          <w:ilvl w:val="0"/>
          <w:numId w:val="34"/>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采购人在评委会推荐的中标候选人中按顺序确定中标人。</w:t>
      </w:r>
      <w:r>
        <w:rPr>
          <w:rFonts w:hint="eastAsia" w:ascii="宋体" w:hAnsi="宋体" w:cs="宋体"/>
          <w:szCs w:val="21"/>
          <w:highlight w:val="none"/>
        </w:rPr>
      </w:r>
      <w:r/>
    </w:p>
    <w:p>
      <w:pPr>
        <w:pStyle w:val="919"/>
        <w:ind w:left="118"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szCs w:val="21"/>
          <w:highlight w:val="none"/>
        </w:rPr>
      </w:r>
      <w:r/>
    </w:p>
    <w:p>
      <w:pPr>
        <w:pStyle w:val="919"/>
        <w:numPr>
          <w:ilvl w:val="0"/>
          <w:numId w:val="33"/>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中标人确定后，将在“江苏政府采购网”发布中标公告，公告期限为1个工作日。</w:t>
      </w:r>
      <w:r>
        <w:rPr>
          <w:rFonts w:hint="eastAsia" w:ascii="宋体" w:hAnsi="宋体" w:cs="宋体"/>
          <w:szCs w:val="21"/>
          <w:highlight w:val="none"/>
        </w:rPr>
      </w:r>
      <w:r/>
    </w:p>
    <w:p>
      <w:pPr>
        <w:pStyle w:val="919"/>
        <w:numPr>
          <w:ilvl w:val="0"/>
          <w:numId w:val="23"/>
        </w:numPr>
        <w:ind w:firstLine="422"/>
        <w:spacing w:line="360" w:lineRule="auto"/>
        <w:rPr>
          <w:rFonts w:hint="eastAsia" w:ascii="宋体" w:hAnsi="宋体" w:cs="宋体"/>
          <w:b/>
          <w:bCs/>
          <w:szCs w:val="21"/>
          <w:highlight w:val="none"/>
        </w:rPr>
      </w:pPr>
      <w:r/>
      <w:bookmarkStart w:id="61" w:name="_Toc209510692"/>
      <w:r>
        <w:rPr>
          <w:rFonts w:hint="eastAsia" w:ascii="宋体" w:hAnsi="宋体" w:cs="宋体"/>
          <w:b/>
          <w:bCs/>
          <w:szCs w:val="21"/>
          <w:highlight w:val="none"/>
        </w:rPr>
        <w:t xml:space="preserve">中标通知书</w:t>
      </w:r>
      <w:bookmarkEnd w:id="61"/>
      <w:r>
        <w:rPr>
          <w:rFonts w:hint="eastAsia" w:ascii="宋体" w:hAnsi="宋体" w:cs="宋体"/>
          <w:b/>
          <w:bCs/>
          <w:szCs w:val="21"/>
          <w:highlight w:val="none"/>
        </w:rPr>
      </w:r>
      <w:r/>
    </w:p>
    <w:p>
      <w:pPr>
        <w:pStyle w:val="919"/>
        <w:numPr>
          <w:ilvl w:val="0"/>
          <w:numId w:val="3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szCs w:val="21"/>
          <w:highlight w:val="none"/>
        </w:rPr>
      </w:r>
      <w:r/>
    </w:p>
    <w:p>
      <w:pPr>
        <w:pStyle w:val="919"/>
        <w:numPr>
          <w:ilvl w:val="0"/>
          <w:numId w:val="35"/>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cs="宋体"/>
          <w:szCs w:val="21"/>
          <w:highlight w:val="none"/>
        </w:rPr>
      </w:r>
      <w:r/>
    </w:p>
    <w:p>
      <w:pPr>
        <w:pStyle w:val="919"/>
        <w:numPr>
          <w:ilvl w:val="0"/>
          <w:numId w:val="23"/>
        </w:numPr>
        <w:ind w:firstLine="422"/>
        <w:spacing w:line="360" w:lineRule="auto"/>
        <w:rPr>
          <w:rFonts w:hint="eastAsia" w:ascii="宋体" w:hAnsi="宋体" w:cs="宋体"/>
          <w:b/>
          <w:bCs/>
          <w:szCs w:val="21"/>
          <w:highlight w:val="none"/>
        </w:rPr>
      </w:pPr>
      <w:r/>
      <w:bookmarkStart w:id="62" w:name="_Toc209510693"/>
      <w:r>
        <w:rPr>
          <w:rFonts w:hint="eastAsia" w:ascii="宋体" w:hAnsi="宋体" w:cs="宋体"/>
          <w:b/>
          <w:bCs/>
          <w:szCs w:val="21"/>
          <w:highlight w:val="none"/>
        </w:rPr>
        <w:t xml:space="preserve">评标过程的保密性</w:t>
      </w:r>
      <w:bookmarkEnd w:id="62"/>
      <w:r>
        <w:rPr>
          <w:rFonts w:hint="eastAsia" w:ascii="宋体" w:hAnsi="宋体" w:cs="宋体"/>
          <w:b/>
          <w:bCs/>
          <w:szCs w:val="21"/>
          <w:highlight w:val="none"/>
        </w:rPr>
      </w:r>
      <w:r/>
    </w:p>
    <w:p>
      <w:pPr>
        <w:pStyle w:val="919"/>
        <w:numPr>
          <w:ilvl w:val="0"/>
          <w:numId w:val="3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凡是与审查、澄清、评价和比较投标有关的资料以及投标建议等，采购人、评标委员会均不得向投标人或与评标无关的其他人员透露。</w:t>
      </w:r>
      <w:r>
        <w:rPr>
          <w:rFonts w:hint="eastAsia" w:ascii="宋体" w:hAnsi="宋体" w:cs="宋体"/>
          <w:szCs w:val="21"/>
          <w:highlight w:val="none"/>
        </w:rPr>
      </w:r>
      <w:r/>
    </w:p>
    <w:p>
      <w:pPr>
        <w:pStyle w:val="919"/>
        <w:numPr>
          <w:ilvl w:val="0"/>
          <w:numId w:val="3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投标人不得以任何方式影响评标，否则其投标文件将被作为无效投标文件。</w:t>
      </w:r>
      <w:r>
        <w:rPr>
          <w:rFonts w:hint="eastAsia" w:ascii="宋体" w:hAnsi="宋体" w:cs="宋体"/>
          <w:szCs w:val="21"/>
          <w:highlight w:val="none"/>
        </w:rPr>
      </w:r>
      <w:r/>
    </w:p>
    <w:p>
      <w:pPr>
        <w:pStyle w:val="919"/>
        <w:numPr>
          <w:ilvl w:val="0"/>
          <w:numId w:val="3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采购人和评委会不向未中标的投标人解释未中标原因，也不公布评标过程中的相关细节。</w:t>
      </w:r>
      <w:r>
        <w:rPr>
          <w:rFonts w:hint="eastAsia" w:ascii="宋体" w:hAnsi="宋体" w:cs="宋体"/>
          <w:szCs w:val="21"/>
          <w:highlight w:val="none"/>
        </w:rPr>
      </w:r>
      <w:r/>
    </w:p>
    <w:p>
      <w:pPr>
        <w:pStyle w:val="919"/>
        <w:numPr>
          <w:ilvl w:val="0"/>
          <w:numId w:val="36"/>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采用综合评分法的项目，未中标的投标人可于中标结果公告期限届满之日起通过苏采云系统查看本单位的评审得分及排名情况。</w:t>
      </w:r>
      <w:r>
        <w:rPr>
          <w:rFonts w:hint="eastAsia" w:ascii="宋体" w:hAnsi="宋体" w:cs="宋体"/>
          <w:szCs w:val="21"/>
          <w:highlight w:val="none"/>
        </w:rPr>
      </w:r>
      <w:r/>
    </w:p>
    <w:p>
      <w:pPr>
        <w:pStyle w:val="919"/>
        <w:numPr>
          <w:ilvl w:val="0"/>
          <w:numId w:val="3"/>
        </w:numPr>
        <w:ind w:firstLine="422"/>
        <w:spacing w:line="360" w:lineRule="auto"/>
        <w:rPr>
          <w:rFonts w:hint="eastAsia" w:ascii="宋体" w:hAnsi="宋体" w:cs="宋体"/>
          <w:b/>
          <w:bCs/>
          <w:szCs w:val="21"/>
          <w:highlight w:val="none"/>
        </w:rPr>
        <w:outlineLvl w:val="1"/>
      </w:pPr>
      <w:r/>
      <w:bookmarkStart w:id="63" w:name="_Toc464"/>
      <w:r/>
      <w:bookmarkStart w:id="64" w:name="_Toc209510620"/>
      <w:r/>
      <w:bookmarkStart w:id="65" w:name="_Toc209510694"/>
      <w:r/>
      <w:bookmarkStart w:id="66" w:name="_Toc22453"/>
      <w:r/>
      <w:bookmarkStart w:id="67" w:name="_Toc17865"/>
      <w:r/>
      <w:bookmarkStart w:id="68" w:name="_Toc15223"/>
      <w:r/>
      <w:bookmarkStart w:id="69" w:name="_Toc13036"/>
      <w:r/>
      <w:bookmarkStart w:id="70" w:name="_Toc7293"/>
      <w:r>
        <w:rPr>
          <w:rFonts w:hint="eastAsia" w:ascii="宋体" w:hAnsi="宋体" w:cs="宋体"/>
          <w:b/>
          <w:bCs/>
          <w:szCs w:val="21"/>
          <w:highlight w:val="none"/>
        </w:rPr>
        <w:t xml:space="preserve">签订合同</w:t>
      </w:r>
      <w:bookmarkEnd w:id="63"/>
      <w:r/>
      <w:bookmarkEnd w:id="64"/>
      <w:r/>
      <w:bookmarkEnd w:id="65"/>
      <w:r/>
      <w:bookmarkEnd w:id="66"/>
      <w:r/>
      <w:bookmarkEnd w:id="67"/>
      <w:r/>
      <w:bookmarkEnd w:id="68"/>
      <w:r/>
      <w:bookmarkEnd w:id="69"/>
      <w:r/>
      <w:bookmarkEnd w:id="70"/>
      <w:r>
        <w:rPr>
          <w:rFonts w:hint="eastAsia" w:ascii="宋体" w:hAnsi="宋体" w:cs="宋体"/>
          <w:b/>
          <w:bCs/>
          <w:szCs w:val="21"/>
          <w:highlight w:val="none"/>
        </w:rPr>
      </w:r>
      <w:r/>
    </w:p>
    <w:p>
      <w:pPr>
        <w:pStyle w:val="919"/>
        <w:ind w:firstLine="422"/>
        <w:spacing w:line="360" w:lineRule="auto"/>
        <w:rPr>
          <w:rFonts w:hint="eastAsia" w:ascii="宋体" w:hAnsi="宋体" w:cs="宋体"/>
          <w:b/>
          <w:bCs/>
          <w:szCs w:val="21"/>
          <w:highlight w:val="none"/>
        </w:rPr>
      </w:pPr>
      <w:r/>
      <w:bookmarkStart w:id="71" w:name="_Toc209510695"/>
      <w:r>
        <w:rPr>
          <w:rFonts w:hint="eastAsia" w:ascii="宋体" w:hAnsi="宋体" w:cs="宋体"/>
          <w:b/>
          <w:bCs/>
          <w:szCs w:val="21"/>
          <w:highlight w:val="none"/>
        </w:rPr>
        <w:t xml:space="preserve">26、签订合同</w:t>
      </w:r>
      <w:bookmarkEnd w:id="71"/>
      <w:r>
        <w:rPr>
          <w:rFonts w:hint="eastAsia" w:ascii="宋体" w:hAnsi="宋体" w:cs="宋体"/>
          <w:b/>
          <w:bCs/>
          <w:szCs w:val="21"/>
          <w:highlight w:val="none"/>
        </w:rPr>
      </w:r>
      <w:r/>
    </w:p>
    <w:p>
      <w:pPr>
        <w:pStyle w:val="919"/>
        <w:numPr>
          <w:ilvl w:val="0"/>
          <w:numId w:val="3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中标人应当在《中标通知书》发出之日起三十日内，按照招标文件确定的事项与采购人签订政府采购合同。</w:t>
      </w:r>
      <w:r>
        <w:rPr>
          <w:rFonts w:hint="eastAsia" w:ascii="宋体" w:hAnsi="宋体" w:cs="宋体"/>
          <w:szCs w:val="21"/>
          <w:highlight w:val="none"/>
        </w:rPr>
      </w:r>
      <w:r/>
    </w:p>
    <w:p>
      <w:pPr>
        <w:pStyle w:val="919"/>
        <w:numPr>
          <w:ilvl w:val="0"/>
          <w:numId w:val="37"/>
        </w:numPr>
        <w:ind w:firstLine="420"/>
        <w:spacing w:line="360" w:lineRule="auto"/>
        <w:rPr>
          <w:rFonts w:hint="eastAsia" w:ascii="宋体" w:hAnsi="宋体" w:cs="宋体"/>
          <w:b/>
          <w:szCs w:val="21"/>
          <w:highlight w:val="none"/>
        </w:rPr>
      </w:pPr>
      <w:r>
        <w:rPr>
          <w:rFonts w:hint="eastAsia" w:ascii="宋体" w:hAnsi="宋体" w:cs="宋体"/>
          <w:szCs w:val="21"/>
          <w:highlight w:val="none"/>
        </w:rPr>
        <w:t xml:space="preserve">招标文件、中标人的投标文件及招标过程中有关澄清、承诺文件均作为合同附件</w:t>
      </w:r>
      <w:r>
        <w:rPr>
          <w:rFonts w:hint="eastAsia" w:ascii="宋体" w:hAnsi="宋体" w:cs="宋体"/>
          <w:b/>
          <w:szCs w:val="21"/>
          <w:highlight w:val="none"/>
        </w:rPr>
        <w:t xml:space="preserve">。</w:t>
      </w:r>
      <w:r>
        <w:rPr>
          <w:rFonts w:hint="eastAsia" w:ascii="宋体" w:hAnsi="宋体" w:cs="宋体"/>
          <w:b/>
          <w:szCs w:val="21"/>
          <w:highlight w:val="none"/>
        </w:rPr>
      </w:r>
      <w:r/>
    </w:p>
    <w:p>
      <w:pPr>
        <w:pStyle w:val="919"/>
        <w:numPr>
          <w:ilvl w:val="0"/>
          <w:numId w:val="3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Cs w:val="21"/>
          <w:highlight w:val="none"/>
        </w:rPr>
      </w:r>
      <w:r/>
    </w:p>
    <w:p>
      <w:pPr>
        <w:pStyle w:val="919"/>
        <w:numPr>
          <w:ilvl w:val="0"/>
          <w:numId w:val="3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中标人因自身原因拒绝与采购人签订合同的，不得参加采购人重新组织的采购活动，且可能被拒绝参加该采购人一年内的其他政府采购活动。</w:t>
      </w:r>
      <w:r>
        <w:rPr>
          <w:rFonts w:hint="eastAsia" w:ascii="宋体" w:hAnsi="宋体" w:cs="宋体"/>
          <w:szCs w:val="21"/>
          <w:highlight w:val="none"/>
        </w:rPr>
      </w:r>
      <w:r/>
    </w:p>
    <w:p>
      <w:pPr>
        <w:pStyle w:val="919"/>
        <w:numPr>
          <w:ilvl w:val="0"/>
          <w:numId w:val="3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中标人因不可抗力或者自身原因不能履行合同的，采购人可以重新招标，也可以视情与排位在中标供应商之后第一位的中标候选人签订采购合同。</w:t>
      </w:r>
      <w:r>
        <w:rPr>
          <w:rFonts w:hint="eastAsia" w:ascii="宋体" w:hAnsi="宋体" w:cs="宋体"/>
          <w:szCs w:val="21"/>
          <w:highlight w:val="none"/>
        </w:rPr>
      </w:r>
      <w:r/>
    </w:p>
    <w:p>
      <w:pPr>
        <w:pStyle w:val="919"/>
        <w:numPr>
          <w:ilvl w:val="0"/>
          <w:numId w:val="37"/>
        </w:num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采购人与中标人应当根据合同的约定依法履行合同义务。</w:t>
      </w:r>
      <w:r>
        <w:rPr>
          <w:rFonts w:hint="eastAsia" w:ascii="宋体" w:hAnsi="宋体" w:cs="宋体"/>
          <w:szCs w:val="21"/>
          <w:highlight w:val="none"/>
        </w:rPr>
      </w:r>
      <w:r/>
    </w:p>
    <w:p>
      <w:pPr>
        <w:pStyle w:val="919"/>
        <w:numPr>
          <w:ilvl w:val="0"/>
          <w:numId w:val="3"/>
        </w:numPr>
        <w:ind w:firstLine="422"/>
        <w:spacing w:line="360" w:lineRule="auto"/>
        <w:rPr>
          <w:rFonts w:hint="eastAsia" w:ascii="宋体" w:hAnsi="宋体" w:cs="宋体"/>
          <w:b/>
          <w:bCs/>
          <w:szCs w:val="21"/>
          <w:highlight w:val="none"/>
        </w:rPr>
        <w:outlineLvl w:val="1"/>
      </w:pPr>
      <w:r/>
      <w:bookmarkStart w:id="72" w:name="_Toc22926"/>
      <w:r/>
      <w:bookmarkStart w:id="73" w:name="_Toc28967"/>
      <w:r/>
      <w:bookmarkStart w:id="74" w:name="_Toc8885"/>
      <w:r/>
      <w:bookmarkStart w:id="75" w:name="_Toc209510696"/>
      <w:r/>
      <w:bookmarkStart w:id="76" w:name="_Toc24959"/>
      <w:r/>
      <w:bookmarkStart w:id="77" w:name="_Toc209510621"/>
      <w:r/>
      <w:bookmarkStart w:id="78" w:name="_Toc5690"/>
      <w:r/>
      <w:bookmarkStart w:id="79" w:name="_Toc10685"/>
      <w:r>
        <w:rPr>
          <w:rFonts w:hint="eastAsia" w:ascii="宋体" w:hAnsi="宋体" w:cs="宋体"/>
          <w:b/>
          <w:bCs/>
          <w:szCs w:val="21"/>
          <w:highlight w:val="none"/>
        </w:rPr>
        <w:t xml:space="preserve">质疑和投诉</w:t>
      </w:r>
      <w:bookmarkEnd w:id="72"/>
      <w:r/>
      <w:bookmarkEnd w:id="73"/>
      <w:r/>
      <w:bookmarkEnd w:id="74"/>
      <w:r/>
      <w:bookmarkEnd w:id="75"/>
      <w:r/>
      <w:bookmarkEnd w:id="76"/>
      <w:r/>
      <w:bookmarkEnd w:id="77"/>
      <w:r/>
      <w:bookmarkEnd w:id="78"/>
      <w:r/>
      <w:bookmarkEnd w:id="79"/>
      <w:r>
        <w:rPr>
          <w:rFonts w:hint="eastAsia" w:ascii="宋体" w:hAnsi="宋体" w:cs="宋体"/>
          <w:b/>
          <w:bCs/>
          <w:szCs w:val="21"/>
          <w:highlight w:val="none"/>
        </w:rPr>
      </w:r>
      <w:r/>
    </w:p>
    <w:p>
      <w:pPr>
        <w:pStyle w:val="919"/>
        <w:ind w:firstLine="422"/>
        <w:spacing w:line="360" w:lineRule="auto"/>
        <w:rPr>
          <w:rFonts w:hint="eastAsia" w:ascii="宋体" w:hAnsi="宋体" w:cs="宋体"/>
          <w:b/>
          <w:bCs/>
          <w:szCs w:val="21"/>
          <w:highlight w:val="none"/>
        </w:rPr>
      </w:pPr>
      <w:r/>
      <w:bookmarkStart w:id="80" w:name="_Toc209510622"/>
      <w:r/>
      <w:bookmarkStart w:id="81" w:name="_Toc7947"/>
      <w:r/>
      <w:bookmarkStart w:id="82" w:name="_Toc29346"/>
      <w:r/>
      <w:bookmarkStart w:id="83" w:name="_Toc209510697"/>
      <w:r>
        <w:rPr>
          <w:rFonts w:hint="eastAsia" w:ascii="宋体" w:hAnsi="宋体" w:cs="宋体"/>
          <w:b/>
          <w:bCs/>
          <w:szCs w:val="21"/>
          <w:highlight w:val="none"/>
        </w:rPr>
        <w:t xml:space="preserve">27.询问</w:t>
      </w:r>
      <w:bookmarkEnd w:id="80"/>
      <w:r/>
      <w:bookmarkEnd w:id="81"/>
      <w:r/>
      <w:bookmarkEnd w:id="82"/>
      <w:r/>
      <w:bookmarkEnd w:id="83"/>
      <w:r>
        <w:rPr>
          <w:rFonts w:hint="eastAsia" w:ascii="宋体" w:hAnsi="宋体" w:cs="宋体"/>
          <w:b/>
          <w:bCs/>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27.1 供应商对招标活动事项有疑问的，可以向代理机构或采购人提出询问，代理机构或采购人将在两个工作日内作出答复，但答复的内容不涉及商业秘密。</w:t>
      </w:r>
      <w:r>
        <w:rPr>
          <w:rFonts w:hint="eastAsia" w:ascii="宋体" w:hAnsi="宋体" w:cs="宋体"/>
          <w:szCs w:val="21"/>
          <w:highlight w:val="none"/>
        </w:rPr>
      </w:r>
      <w:r/>
    </w:p>
    <w:p>
      <w:pPr>
        <w:pStyle w:val="91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28.质疑</w:t>
      </w:r>
      <w:r>
        <w:rPr>
          <w:rFonts w:hint="eastAsia" w:ascii="宋体" w:hAnsi="宋体" w:cs="宋体"/>
          <w:b/>
          <w:bCs/>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28.1供应商的质疑行为应符合《政府采购质疑和投诉办法》（财政部令第94号）相关规定。质疑供应商是指直接参加本次采购活动的供应商，未参加采购活动的供应商或在采购活动中自身权益未受到损害的供应商所提出的质疑，不予受理。</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采购代理机构、采购人将只对供应商第一次质疑作出答复。</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28.3上述应知其权益受到损害之日是指：</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（1）对招标文件提出质疑的，</w:t>
      </w:r>
      <w:r>
        <w:rPr>
          <w:rFonts w:hint="eastAsia" w:ascii="宋体" w:hAnsi="宋体" w:cs="宋体"/>
          <w:szCs w:val="21"/>
          <w:highlight w:val="none"/>
          <w:lang w:eastAsia="zh-CN"/>
        </w:rPr>
        <w:t xml:space="preserve">从</w:t>
      </w:r>
      <w:r>
        <w:rPr>
          <w:rFonts w:hint="eastAsia" w:ascii="宋体" w:hAnsi="宋体" w:cs="宋体"/>
          <w:szCs w:val="21"/>
          <w:highlight w:val="none"/>
        </w:rPr>
        <w:t xml:space="preserve">招标文件公告期限届满之日起计算；</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（2）对采购过程提出质疑的，自采购程序环节结束之日起计算；</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（3）对中标/成交结果提出质疑的，自中标/成交结果公告期限届满之日起计算。  </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28.4 质疑文件应包括以下主要内容，并按照“谁主张、谁举证”的原则，附上相关证明材料。否则，代理人不予受理：</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（1）质疑项目名称、项目编号、采购公告发布时间、开标时间；</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（2）提起质疑的日期、具体的质疑事项及事实根据（具体条款）；</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（3）认为自己合法权益受到损害或可能受到损害的相关证据材料。</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（4）质疑供应商名称、地址、邮编、联系人、联系电话（包括座机、手机、传真号码等）；</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（5）质疑函应当署名，质疑人为自然人的，应当由本人签字并附有效身份证明；质疑人为法人或其他组织的，应当由法定代表人签字并加盖单位公章。</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（6）供应商委托代理质疑的，应当提交授权委托书，并载明委托代理的具体权限和事项。</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28.5质疑材料接收信息：</w:t>
      </w:r>
      <w:r>
        <w:rPr>
          <w:rFonts w:hint="eastAsia" w:ascii="宋体" w:hAnsi="宋体" w:cs="宋体"/>
          <w:szCs w:val="21"/>
          <w:highlight w:val="none"/>
        </w:rPr>
      </w:r>
      <w:r/>
    </w:p>
    <w:p>
      <w:pPr>
        <w:pStyle w:val="91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（1）接收单位：江苏海外集团国际工程咨询有限公司</w:t>
      </w:r>
      <w:r>
        <w:rPr>
          <w:rFonts w:hint="eastAsia" w:ascii="宋体" w:hAnsi="宋体" w:eastAsia="宋体" w:cs="宋体"/>
          <w:szCs w:val="21"/>
          <w:highlight w:val="none"/>
        </w:rPr>
      </w:r>
      <w:r/>
    </w:p>
    <w:p>
      <w:pPr>
        <w:pStyle w:val="91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（2）联 系 人：方东</w:t>
      </w:r>
      <w:r>
        <w:rPr>
          <w:rFonts w:hint="eastAsia" w:ascii="宋体" w:hAnsi="宋体" w:eastAsia="宋体" w:cs="宋体"/>
          <w:szCs w:val="21"/>
          <w:highlight w:val="none"/>
        </w:rPr>
      </w:r>
      <w:r/>
    </w:p>
    <w:p>
      <w:pPr>
        <w:pStyle w:val="91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（3）联系电话：025-84795433</w:t>
      </w:r>
      <w:r>
        <w:rPr>
          <w:rFonts w:hint="eastAsia" w:ascii="宋体" w:hAnsi="宋体" w:eastAsia="宋体" w:cs="宋体"/>
          <w:szCs w:val="21"/>
          <w:highlight w:val="none"/>
        </w:rPr>
      </w:r>
      <w:r/>
    </w:p>
    <w:p>
      <w:pPr>
        <w:pStyle w:val="91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（4）联系邮箱：fangdong@jocite.com</w:t>
      </w:r>
      <w:r>
        <w:rPr>
          <w:rFonts w:hint="eastAsia" w:ascii="宋体" w:hAnsi="宋体" w:eastAsia="宋体" w:cs="宋体"/>
          <w:szCs w:val="21"/>
          <w:highlight w:val="none"/>
        </w:rPr>
      </w:r>
      <w:r/>
    </w:p>
    <w:p>
      <w:pPr>
        <w:pStyle w:val="91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（5）接收地址：南京市建邺区云龙山路58号大唐科技大厦A座高区15楼</w:t>
      </w:r>
      <w:r>
        <w:rPr>
          <w:rFonts w:hint="eastAsia" w:ascii="宋体" w:hAnsi="宋体" w:eastAsia="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 28.6 以下情形的质疑不予受理：</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（1）内容不符合《政府采购质疑和投诉办法》第十二条规定的质疑。</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（2）超出政府采购法定期限的质疑。</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（3）以传真、电子邮件等方式递交的非原件形式的质疑。</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（4）未参加采购活动的供应商或在采购活动中自身权益未受到损害的供应商所提出的质疑。</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（5）供应商组成联合体参加投标，联合体中任何一方或多方未按要求签字、盖章、加盖公章的质疑。</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cs="宋体"/>
          <w:szCs w:val="21"/>
          <w:highlight w:val="none"/>
        </w:rPr>
      </w:r>
      <w:r/>
    </w:p>
    <w:p>
      <w:pPr>
        <w:pStyle w:val="919"/>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29.投诉</w:t>
      </w:r>
      <w:r>
        <w:rPr>
          <w:rFonts w:hint="eastAsia" w:ascii="宋体" w:hAnsi="宋体" w:cs="宋体"/>
          <w:b/>
          <w:bCs/>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29.2质疑供应商的投诉应当有明确的请求和必要的证明材料，其投诉的事项不得超出已质疑事项的范围。</w:t>
      </w:r>
      <w:r>
        <w:rPr>
          <w:rFonts w:hint="eastAsia" w:ascii="宋体" w:hAnsi="宋体" w:cs="宋体"/>
          <w:szCs w:val="21"/>
          <w:highlight w:val="none"/>
        </w:rPr>
      </w:r>
      <w:r/>
    </w:p>
    <w:p>
      <w:pPr>
        <w:pStyle w:val="919"/>
        <w:jc w:val="left"/>
        <w:spacing w:line="360" w:lineRule="auto"/>
        <w:widowControl/>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920"/>
        <w:numPr>
          <w:ilvl w:val="0"/>
          <w:numId w:val="0"/>
        </w:numPr>
        <w:spacing w:before="0" w:after="0" w:line="360" w:lineRule="auto"/>
        <w:rPr>
          <w:rFonts w:hint="eastAsia" w:ascii="宋体" w:hAnsi="宋体" w:cs="宋体"/>
          <w:highlight w:val="none"/>
        </w:rPr>
      </w:pPr>
      <w:r/>
      <w:bookmarkStart w:id="84" w:name="_Toc43902850"/>
      <w:r/>
      <w:bookmarkStart w:id="85" w:name="_Toc16052"/>
      <w:r/>
      <w:bookmarkStart w:id="86" w:name="_Toc5614"/>
      <w:r/>
      <w:bookmarkStart w:id="87" w:name="_Toc481057145"/>
      <w:r>
        <w:rPr>
          <w:rFonts w:hint="eastAsia" w:ascii="宋体" w:hAnsi="宋体" w:cs="宋体"/>
          <w:highlight w:val="none"/>
        </w:rPr>
        <w:t xml:space="preserve">第三章 评标标准</w:t>
      </w:r>
      <w:bookmarkEnd w:id="84"/>
      <w:r/>
      <w:bookmarkEnd w:id="85"/>
      <w:r/>
      <w:bookmarkEnd w:id="86"/>
      <w:r>
        <w:rPr>
          <w:rFonts w:hint="eastAsia" w:ascii="宋体" w:hAnsi="宋体" w:cs="宋体"/>
          <w:highlight w:val="none"/>
        </w:rPr>
      </w:r>
      <w:r/>
    </w:p>
    <w:p>
      <w:pPr>
        <w:pStyle w:val="919"/>
        <w:ind w:firstLine="480"/>
        <w:spacing w:line="360" w:lineRule="auto"/>
        <w:rPr>
          <w:rFonts w:hint="eastAsia" w:ascii="宋体" w:hAnsi="宋体" w:cs="宋体"/>
          <w:sz w:val="24"/>
          <w:highlight w:val="none"/>
        </w:rPr>
      </w:pPr>
      <w:r/>
      <w:bookmarkEnd w:id="87"/>
      <w:r>
        <w:rPr>
          <w:rFonts w:hint="eastAsia" w:ascii="宋体" w:hAnsi="宋体" w:cs="宋体"/>
          <w:sz w:val="24"/>
          <w:highlight w:val="none"/>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w:t>
      </w:r>
      <w:r>
        <w:rPr>
          <w:rFonts w:hint="eastAsia" w:ascii="宋体" w:hAnsi="宋体" w:cs="宋体"/>
          <w:sz w:val="24"/>
          <w:highlight w:val="none"/>
          <w:lang w:eastAsia="zh-CN"/>
        </w:rPr>
        <w:t xml:space="preserve">按技术部分指标（样品评审）优劣顺序</w:t>
      </w:r>
      <w:r>
        <w:rPr>
          <w:rFonts w:hint="eastAsia" w:ascii="宋体" w:hAnsi="宋体" w:cs="宋体"/>
          <w:sz w:val="24"/>
          <w:highlight w:val="none"/>
        </w:rPr>
        <w:t xml:space="preserve">排列。</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cs="宋体"/>
          <w:sz w:val="24"/>
          <w:highlight w:val="none"/>
        </w:rPr>
      </w:r>
      <w:r/>
    </w:p>
    <w:p>
      <w:pPr>
        <w:pStyle w:val="919"/>
        <w:ind w:firstLine="482"/>
        <w:spacing w:line="360" w:lineRule="auto"/>
        <w:rPr>
          <w:rFonts w:hint="eastAsia" w:ascii="宋体" w:hAnsi="宋体" w:cs="宋体"/>
          <w:sz w:val="24"/>
          <w:highlight w:val="none"/>
        </w:rPr>
      </w:pPr>
      <w:r>
        <w:rPr>
          <w:rFonts w:hint="eastAsia" w:ascii="宋体" w:hAnsi="宋体" w:cs="宋体"/>
          <w:b/>
          <w:bCs/>
          <w:sz w:val="24"/>
          <w:highlight w:val="none"/>
          <w:lang w:val="zh-CN"/>
        </w:rPr>
        <w:t xml:space="preserve">评标细则</w:t>
      </w:r>
      <w:r>
        <w:rPr>
          <w:rFonts w:hint="eastAsia" w:ascii="宋体" w:hAnsi="宋体" w:cs="宋体"/>
          <w:sz w:val="24"/>
          <w:highlight w:val="none"/>
        </w:rPr>
      </w:r>
      <w:r/>
    </w:p>
    <w:p>
      <w:pPr>
        <w:pStyle w:val="919"/>
        <w:ind w:firstLine="482"/>
        <w:spacing w:line="360" w:lineRule="auto"/>
        <w:rPr>
          <w:rFonts w:hint="eastAsia" w:ascii="宋体" w:hAnsi="宋体" w:cs="宋体"/>
          <w:b/>
          <w:sz w:val="24"/>
          <w:highlight w:val="none"/>
        </w:rPr>
        <w:outlineLvl w:val="1"/>
      </w:pPr>
      <w:r/>
      <w:bookmarkStart w:id="88" w:name="_Toc19179"/>
      <w:r>
        <w:rPr>
          <w:rFonts w:hint="eastAsia" w:ascii="宋体" w:hAnsi="宋体" w:cs="宋体"/>
          <w:b/>
          <w:sz w:val="24"/>
          <w:highlight w:val="none"/>
        </w:rPr>
        <w:t xml:space="preserve">一、资格性审查</w:t>
      </w:r>
      <w:r>
        <w:rPr>
          <w:rFonts w:hint="eastAsia" w:ascii="宋体" w:hAnsi="宋体" w:cs="宋体"/>
          <w:sz w:val="24"/>
          <w:highlight w:val="none"/>
          <w:lang w:val="zh-CN"/>
        </w:rPr>
        <w:t xml:space="preserve">（通过/未通过）</w:t>
      </w:r>
      <w:r>
        <w:rPr>
          <w:rFonts w:hint="eastAsia" w:ascii="宋体" w:hAnsi="宋体" w:cs="宋体"/>
          <w:b/>
          <w:sz w:val="24"/>
          <w:highlight w:val="none"/>
        </w:rPr>
        <w:t xml:space="preserve">：</w:t>
      </w:r>
      <w:bookmarkEnd w:id="88"/>
      <w:r>
        <w:rPr>
          <w:rFonts w:hint="eastAsia" w:ascii="宋体" w:hAnsi="宋体" w:cs="宋体"/>
          <w:b/>
          <w:sz w:val="24"/>
          <w:highlight w:val="none"/>
        </w:rPr>
      </w:r>
      <w:r/>
    </w:p>
    <w:tbl>
      <w:tblPr>
        <w:tblW w:w="450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15"/>
        <w:gridCol w:w="4445"/>
        <w:gridCol w:w="1728"/>
        <w:gridCol w:w="1490"/>
      </w:tblGrid>
      <w:tr>
        <w:trPr>
          <w:trHeight w:val="695"/>
        </w:trPr>
        <w:tc>
          <w:tcPr>
            <w:tcBorders>
              <w:top w:val="single" w:color="000000" w:sz="2" w:space="0"/>
              <w:left w:val="single" w:color="000000" w:sz="2" w:space="0"/>
              <w:bottom w:val="single" w:color="000000" w:sz="2" w:space="0"/>
              <w:right w:val="single" w:color="000000" w:sz="2" w:space="0"/>
            </w:tcBorders>
            <w:tcW w:w="732"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序号</w:t>
            </w:r>
            <w:r>
              <w:rPr>
                <w:rFonts w:hint="eastAsia" w:ascii="宋体" w:hAnsi="宋体" w:cs="宋体"/>
                <w:b/>
                <w:bCs/>
                <w:sz w:val="22"/>
                <w:highlight w:val="none"/>
                <w:lang w:val="zh-CN"/>
              </w:rPr>
            </w:r>
            <w:r/>
          </w:p>
        </w:tc>
        <w:tc>
          <w:tcPr>
            <w:tcBorders>
              <w:top w:val="single" w:color="000000" w:sz="2" w:space="0"/>
              <w:left w:val="single" w:color="000000" w:sz="2" w:space="0"/>
              <w:bottom w:val="single" w:color="000000" w:sz="2" w:space="0"/>
              <w:right w:val="single" w:color="000000" w:sz="2" w:space="0"/>
            </w:tcBorders>
            <w:tcW w:w="2474"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评定标准</w:t>
            </w:r>
            <w:r>
              <w:rPr>
                <w:rFonts w:hint="eastAsia" w:ascii="宋体" w:hAnsi="宋体" w:cs="宋体"/>
                <w:b/>
                <w:bCs/>
                <w:sz w:val="22"/>
                <w:highlight w:val="none"/>
                <w:lang w:val="zh-CN"/>
              </w:rPr>
            </w:r>
            <w:r/>
          </w:p>
        </w:tc>
        <w:tc>
          <w:tcPr>
            <w:tcBorders>
              <w:top w:val="single" w:color="000000" w:sz="2" w:space="0"/>
              <w:left w:val="single" w:color="000000" w:sz="2" w:space="0"/>
              <w:bottom w:val="single" w:color="000000" w:sz="2" w:space="0"/>
              <w:right w:val="single" w:color="000000" w:sz="2" w:space="0"/>
            </w:tcBorders>
            <w:tcW w:w="962"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通过√</w:t>
            </w:r>
            <w:r>
              <w:rPr>
                <w:rFonts w:hint="eastAsia" w:ascii="宋体" w:hAnsi="宋体" w:cs="宋体"/>
                <w:b/>
                <w:bCs/>
                <w:sz w:val="22"/>
                <w:highlight w:val="none"/>
                <w:lang w:val="zh-CN"/>
              </w:rPr>
            </w:r>
            <w:r/>
          </w:p>
        </w:tc>
        <w:tc>
          <w:tcPr>
            <w:tcBorders>
              <w:top w:val="single" w:color="000000" w:sz="2" w:space="0"/>
              <w:left w:val="single" w:color="000000" w:sz="2" w:space="0"/>
              <w:bottom w:val="single" w:color="000000" w:sz="2" w:space="0"/>
              <w:right w:val="single" w:color="000000" w:sz="2" w:space="0"/>
            </w:tcBorders>
            <w:tcW w:w="829"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未通过×</w:t>
            </w:r>
            <w:r>
              <w:rPr>
                <w:rFonts w:hint="eastAsia" w:ascii="宋体" w:hAnsi="宋体" w:cs="宋体"/>
                <w:b/>
                <w:bCs/>
                <w:sz w:val="22"/>
                <w:highlight w:val="none"/>
                <w:lang w:val="zh-CN"/>
              </w:rPr>
            </w:r>
            <w:r/>
          </w:p>
        </w:tc>
      </w:tr>
      <w:tr>
        <w:trPr>
          <w:trHeight w:val="539"/>
        </w:trPr>
        <w:tc>
          <w:tcPr>
            <w:tcBorders>
              <w:top w:val="single" w:color="000000" w:sz="2" w:space="0"/>
              <w:left w:val="single" w:color="000000" w:sz="2" w:space="0"/>
              <w:bottom w:val="single" w:color="000000" w:sz="2" w:space="0"/>
              <w:right w:val="single" w:color="000000" w:sz="2" w:space="0"/>
            </w:tcBorders>
            <w:tcW w:w="732"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t xml:space="preserve">1</w:t>
            </w: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2474"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rPr>
            </w:pPr>
            <w:r>
              <w:rPr>
                <w:rFonts w:hint="eastAsia" w:ascii="宋体" w:hAnsi="宋体" w:cs="宋体"/>
                <w:sz w:val="22"/>
                <w:highlight w:val="none"/>
              </w:rPr>
              <w:t xml:space="preserve">供应商资质要求</w:t>
            </w:r>
            <w:r>
              <w:rPr>
                <w:rFonts w:hint="eastAsia" w:ascii="宋体" w:hAnsi="宋体" w:cs="宋体"/>
                <w:sz w:val="22"/>
                <w:highlight w:val="none"/>
              </w:rPr>
            </w:r>
            <w:r/>
          </w:p>
        </w:tc>
        <w:tc>
          <w:tcPr>
            <w:tcBorders>
              <w:top w:val="single" w:color="000000" w:sz="2" w:space="0"/>
              <w:left w:val="single" w:color="000000" w:sz="2" w:space="0"/>
              <w:bottom w:val="single" w:color="000000" w:sz="2" w:space="0"/>
              <w:right w:val="single" w:color="000000" w:sz="2" w:space="0"/>
            </w:tcBorders>
            <w:tcW w:w="962"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829"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r>
    </w:tbl>
    <w:p>
      <w:pPr>
        <w:pStyle w:val="919"/>
        <w:ind w:firstLine="442"/>
        <w:spacing w:line="360" w:lineRule="auto"/>
        <w:rPr>
          <w:rFonts w:hint="eastAsia" w:ascii="宋体" w:hAnsi="宋体" w:cs="宋体"/>
          <w:b/>
          <w:sz w:val="22"/>
          <w:szCs w:val="22"/>
          <w:highlight w:val="none"/>
        </w:rPr>
      </w:pPr>
      <w:r>
        <w:rPr>
          <w:rFonts w:hint="eastAsia" w:ascii="宋体" w:hAnsi="宋体" w:cs="宋体"/>
          <w:b/>
          <w:sz w:val="22"/>
          <w:szCs w:val="22"/>
          <w:highlight w:val="none"/>
        </w:rPr>
      </w:r>
      <w:r/>
    </w:p>
    <w:p>
      <w:pPr>
        <w:pStyle w:val="919"/>
        <w:ind w:firstLine="482"/>
        <w:spacing w:line="360" w:lineRule="auto"/>
        <w:rPr>
          <w:rFonts w:hint="eastAsia" w:ascii="宋体" w:hAnsi="宋体" w:cs="宋体"/>
          <w:b/>
          <w:sz w:val="24"/>
          <w:highlight w:val="none"/>
        </w:rPr>
        <w:outlineLvl w:val="1"/>
      </w:pPr>
      <w:r/>
      <w:bookmarkStart w:id="89" w:name="_Toc20345"/>
      <w:r>
        <w:rPr>
          <w:rFonts w:hint="eastAsia" w:ascii="宋体" w:hAnsi="宋体" w:cs="宋体"/>
          <w:b/>
          <w:sz w:val="24"/>
          <w:highlight w:val="none"/>
        </w:rPr>
        <w:t xml:space="preserve">二、符合性审查</w:t>
      </w:r>
      <w:r>
        <w:rPr>
          <w:rFonts w:hint="eastAsia" w:ascii="宋体" w:hAnsi="宋体" w:cs="宋体"/>
          <w:sz w:val="24"/>
          <w:highlight w:val="none"/>
          <w:lang w:val="zh-CN"/>
        </w:rPr>
        <w:t xml:space="preserve">（通过/未通过）</w:t>
      </w:r>
      <w:r>
        <w:rPr>
          <w:rFonts w:hint="eastAsia" w:ascii="宋体" w:hAnsi="宋体" w:cs="宋体"/>
          <w:b/>
          <w:sz w:val="24"/>
          <w:highlight w:val="none"/>
        </w:rPr>
        <w:t xml:space="preserve">：</w:t>
      </w:r>
      <w:bookmarkEnd w:id="89"/>
      <w:r>
        <w:rPr>
          <w:rFonts w:hint="eastAsia" w:ascii="宋体" w:hAnsi="宋体" w:cs="宋体"/>
          <w:b/>
          <w:sz w:val="24"/>
          <w:highlight w:val="none"/>
        </w:rPr>
      </w:r>
      <w:r/>
    </w:p>
    <w:tbl>
      <w:tblPr>
        <w:tblW w:w="4483"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82"/>
        <w:gridCol w:w="4429"/>
        <w:gridCol w:w="1671"/>
        <w:gridCol w:w="1550"/>
      </w:tblGrid>
      <w:tr>
        <w:trPr>
          <w:trHeight w:val="641"/>
        </w:trPr>
        <w:tc>
          <w:tcPr>
            <w:tcBorders>
              <w:top w:val="single" w:color="000000" w:sz="2" w:space="0"/>
              <w:left w:val="single" w:color="000000" w:sz="2" w:space="0"/>
              <w:bottom w:val="single" w:color="000000" w:sz="2" w:space="0"/>
              <w:right w:val="single" w:color="000000" w:sz="2" w:space="0"/>
            </w:tcBorders>
            <w:tcW w:w="718"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序号</w:t>
            </w:r>
            <w:r>
              <w:rPr>
                <w:rFonts w:hint="eastAsia" w:ascii="宋体" w:hAnsi="宋体" w:cs="宋体"/>
                <w:b/>
                <w:bCs/>
                <w:sz w:val="22"/>
                <w:highlight w:val="none"/>
                <w:lang w:val="zh-CN"/>
              </w:rPr>
            </w:r>
            <w:r/>
          </w:p>
        </w:tc>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评定标准</w:t>
            </w:r>
            <w:r>
              <w:rPr>
                <w:rFonts w:hint="eastAsia" w:ascii="宋体" w:hAnsi="宋体" w:cs="宋体"/>
                <w:b/>
                <w:bCs/>
                <w:sz w:val="22"/>
                <w:highlight w:val="none"/>
                <w:lang w:val="zh-CN"/>
              </w:rPr>
            </w:r>
            <w:r/>
          </w:p>
        </w:tc>
        <w:tc>
          <w:tcPr>
            <w:tcBorders>
              <w:top w:val="single" w:color="000000" w:sz="2" w:space="0"/>
              <w:left w:val="single" w:color="000000" w:sz="2" w:space="0"/>
              <w:bottom w:val="single" w:color="000000" w:sz="2" w:space="0"/>
              <w:right w:val="single" w:color="000000" w:sz="2" w:space="0"/>
            </w:tcBorders>
            <w:tcW w:w="935"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通过√</w:t>
            </w:r>
            <w:r>
              <w:rPr>
                <w:rFonts w:hint="eastAsia" w:ascii="宋体" w:hAnsi="宋体" w:cs="宋体"/>
                <w:b/>
                <w:bCs/>
                <w:sz w:val="22"/>
                <w:highlight w:val="none"/>
                <w:lang w:val="zh-CN"/>
              </w:rPr>
            </w:r>
            <w:r/>
          </w:p>
        </w:tc>
        <w:tc>
          <w:tcPr>
            <w:tcBorders>
              <w:top w:val="single" w:color="000000" w:sz="2" w:space="0"/>
              <w:left w:val="single" w:color="000000" w:sz="2" w:space="0"/>
              <w:bottom w:val="single" w:color="000000" w:sz="2" w:space="0"/>
              <w:right w:val="single" w:color="000000" w:sz="2" w:space="0"/>
            </w:tcBorders>
            <w:tcW w:w="867" w:type="dxa"/>
            <w:vAlign w:val="center"/>
            <w:textDirection w:val="lrTb"/>
            <w:noWrap w:val="false"/>
          </w:tcPr>
          <w:p>
            <w:pPr>
              <w:pStyle w:val="919"/>
              <w:ind w:right="-130"/>
              <w:jc w:val="center"/>
              <w:spacing w:line="360" w:lineRule="auto"/>
              <w:tabs>
                <w:tab w:val="left" w:pos="709" w:leader="none"/>
              </w:tabs>
              <w:rPr>
                <w:rFonts w:hint="eastAsia" w:ascii="宋体" w:hAnsi="宋体" w:cs="宋体"/>
                <w:b/>
                <w:bCs/>
                <w:sz w:val="22"/>
                <w:highlight w:val="none"/>
                <w:lang w:val="zh-CN"/>
              </w:rPr>
            </w:pPr>
            <w:r>
              <w:rPr>
                <w:rFonts w:hint="eastAsia" w:ascii="宋体" w:hAnsi="宋体" w:cs="宋体"/>
                <w:b/>
                <w:bCs/>
                <w:sz w:val="22"/>
                <w:highlight w:val="none"/>
                <w:lang w:val="zh-CN"/>
              </w:rPr>
              <w:t xml:space="preserve">未通过×</w:t>
            </w:r>
            <w:r>
              <w:rPr>
                <w:rFonts w:hint="eastAsia" w:ascii="宋体" w:hAnsi="宋体" w:cs="宋体"/>
                <w:b/>
                <w:bCs/>
                <w:sz w:val="22"/>
                <w:highlight w:val="none"/>
                <w:lang w:val="zh-CN"/>
              </w:rPr>
            </w:r>
            <w:r/>
          </w:p>
        </w:tc>
      </w:tr>
      <w:tr>
        <w:trPr>
          <w:trHeight w:val="501"/>
        </w:trPr>
        <w:tc>
          <w:tcPr>
            <w:tcBorders>
              <w:top w:val="single" w:color="000000" w:sz="2" w:space="0"/>
              <w:left w:val="single" w:color="000000" w:sz="2" w:space="0"/>
              <w:bottom w:val="single" w:color="000000" w:sz="2" w:space="0"/>
              <w:right w:val="single" w:color="000000" w:sz="2" w:space="0"/>
            </w:tcBorders>
            <w:tcW w:w="71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t xml:space="preserve">1</w:t>
            </w: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rPr>
              <w:t xml:space="preserve">投标报价是否超过预算金额或最高限价</w:t>
            </w: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935"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867"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r>
      <w:tr>
        <w:trPr>
          <w:trHeight w:val="450"/>
        </w:trPr>
        <w:tc>
          <w:tcPr>
            <w:tcBorders>
              <w:top w:val="single" w:color="000000" w:sz="2" w:space="0"/>
              <w:left w:val="single" w:color="000000" w:sz="2" w:space="0"/>
              <w:bottom w:val="single" w:color="000000" w:sz="2" w:space="0"/>
              <w:right w:val="single" w:color="000000" w:sz="2" w:space="0"/>
            </w:tcBorders>
            <w:tcW w:w="71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t xml:space="preserve">2</w:t>
            </w: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rPr>
            </w:pPr>
            <w:r>
              <w:rPr>
                <w:rFonts w:hint="eastAsia" w:ascii="宋体" w:hAnsi="宋体" w:cs="宋体"/>
                <w:sz w:val="22"/>
                <w:highlight w:val="none"/>
                <w:lang w:val="zh-CN"/>
              </w:rPr>
              <w:t xml:space="preserve">投标文件的有效性（</w:t>
            </w:r>
            <w:r>
              <w:rPr>
                <w:rFonts w:hint="eastAsia" w:ascii="宋体" w:hAnsi="宋体" w:cs="宋体"/>
                <w:sz w:val="22"/>
                <w:highlight w:val="none"/>
              </w:rPr>
              <w:t xml:space="preserve">是否签字盖章）</w:t>
            </w:r>
            <w:r>
              <w:rPr>
                <w:rFonts w:hint="eastAsia" w:ascii="宋体" w:hAnsi="宋体" w:cs="宋体"/>
                <w:sz w:val="22"/>
                <w:highlight w:val="none"/>
              </w:rPr>
            </w:r>
            <w:r/>
          </w:p>
        </w:tc>
        <w:tc>
          <w:tcPr>
            <w:tcBorders>
              <w:top w:val="single" w:color="000000" w:sz="2" w:space="0"/>
              <w:left w:val="single" w:color="000000" w:sz="2" w:space="0"/>
              <w:bottom w:val="single" w:color="000000" w:sz="2" w:space="0"/>
              <w:right w:val="single" w:color="000000" w:sz="2" w:space="0"/>
            </w:tcBorders>
            <w:tcW w:w="935"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867"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r>
      <w:tr>
        <w:trPr>
          <w:trHeight w:val="498"/>
        </w:trPr>
        <w:tc>
          <w:tcPr>
            <w:tcBorders>
              <w:top w:val="single" w:color="000000" w:sz="2" w:space="0"/>
              <w:left w:val="single" w:color="000000" w:sz="2" w:space="0"/>
              <w:bottom w:val="single" w:color="000000" w:sz="2" w:space="0"/>
              <w:right w:val="single" w:color="000000" w:sz="2" w:space="0"/>
            </w:tcBorders>
            <w:tcW w:w="71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rPr>
              <w:t xml:space="preserve">3</w:t>
            </w: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t xml:space="preserve">不存在重大负偏离</w:t>
            </w: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935"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867"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r>
      <w:tr>
        <w:trPr>
          <w:trHeight w:val="498"/>
        </w:trPr>
        <w:tc>
          <w:tcPr>
            <w:tcBorders>
              <w:top w:val="single" w:color="000000" w:sz="2" w:space="0"/>
              <w:left w:val="single" w:color="000000" w:sz="2" w:space="0"/>
              <w:bottom w:val="single" w:color="000000" w:sz="2" w:space="0"/>
              <w:right w:val="single" w:color="000000" w:sz="2" w:space="0"/>
            </w:tcBorders>
            <w:tcW w:w="71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rPr>
            </w:pPr>
            <w:r>
              <w:rPr>
                <w:rFonts w:hint="eastAsia" w:ascii="宋体" w:hAnsi="宋体" w:cs="宋体"/>
                <w:sz w:val="22"/>
                <w:highlight w:val="none"/>
              </w:rPr>
              <w:t xml:space="preserve">4</w:t>
            </w:r>
            <w:r>
              <w:rPr>
                <w:rFonts w:hint="eastAsia" w:ascii="宋体" w:hAnsi="宋体" w:cs="宋体"/>
                <w:sz w:val="22"/>
                <w:highlight w:val="none"/>
              </w:rPr>
            </w:r>
            <w:r/>
          </w:p>
        </w:tc>
        <w:tc>
          <w:tcPr>
            <w:tcBorders>
              <w:top w:val="single" w:color="000000" w:sz="2" w:space="0"/>
              <w:left w:val="single" w:color="000000" w:sz="2" w:space="0"/>
              <w:bottom w:val="single" w:color="000000" w:sz="2" w:space="0"/>
              <w:right w:val="single" w:color="000000" w:sz="2" w:space="0"/>
            </w:tcBorders>
            <w:tcW w:w="2478"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t xml:space="preserve">法律、法规和招标文件规定的其他无效情形</w:t>
            </w: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935"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c>
          <w:tcPr>
            <w:tcBorders>
              <w:top w:val="single" w:color="000000" w:sz="2" w:space="0"/>
              <w:left w:val="single" w:color="000000" w:sz="2" w:space="0"/>
              <w:bottom w:val="single" w:color="000000" w:sz="2" w:space="0"/>
              <w:right w:val="single" w:color="000000" w:sz="2" w:space="0"/>
            </w:tcBorders>
            <w:tcW w:w="867" w:type="dxa"/>
            <w:vAlign w:val="center"/>
            <w:textDirection w:val="lrTb"/>
            <w:noWrap w:val="false"/>
          </w:tcPr>
          <w:p>
            <w:pPr>
              <w:pStyle w:val="919"/>
              <w:ind w:right="-130"/>
              <w:jc w:val="center"/>
              <w:spacing w:before="120" w:after="120" w:line="360" w:lineRule="auto"/>
              <w:tabs>
                <w:tab w:val="left" w:pos="709" w:leader="none"/>
              </w:tabs>
              <w:rPr>
                <w:rFonts w:hint="eastAsia" w:ascii="宋体" w:hAnsi="宋体" w:cs="宋体"/>
                <w:sz w:val="22"/>
                <w:highlight w:val="none"/>
                <w:lang w:val="zh-CN"/>
              </w:rPr>
            </w:pPr>
            <w:r>
              <w:rPr>
                <w:rFonts w:hint="eastAsia" w:ascii="宋体" w:hAnsi="宋体" w:cs="宋体"/>
                <w:sz w:val="22"/>
                <w:highlight w:val="none"/>
                <w:lang w:val="zh-CN"/>
              </w:rPr>
            </w:r>
            <w:r/>
          </w:p>
        </w:tc>
      </w:tr>
    </w:tbl>
    <w:p>
      <w:pPr>
        <w:pStyle w:val="919"/>
        <w:ind w:firstLine="442"/>
        <w:spacing w:line="360" w:lineRule="auto"/>
        <w:rPr>
          <w:rFonts w:hint="eastAsia" w:ascii="宋体" w:hAnsi="宋体" w:cs="宋体"/>
          <w:b/>
          <w:sz w:val="22"/>
          <w:szCs w:val="22"/>
          <w:highlight w:val="none"/>
        </w:rPr>
        <w:outlineLvl w:val="1"/>
      </w:pPr>
      <w:r/>
      <w:bookmarkStart w:id="90" w:name="_Toc12969"/>
      <w:r/>
      <w:bookmarkStart w:id="91" w:name="_Toc8227"/>
      <w:r>
        <w:rPr>
          <w:rFonts w:hint="eastAsia" w:ascii="宋体" w:hAnsi="宋体" w:cs="宋体"/>
          <w:b/>
          <w:sz w:val="22"/>
          <w:szCs w:val="22"/>
          <w:highlight w:val="none"/>
        </w:rPr>
      </w:r>
      <w:r/>
    </w:p>
    <w:p>
      <w:pPr>
        <w:pStyle w:val="919"/>
        <w:ind w:firstLine="482"/>
        <w:spacing w:line="360" w:lineRule="auto"/>
        <w:rPr>
          <w:rFonts w:hint="eastAsia" w:ascii="宋体" w:hAnsi="宋体" w:cs="宋体"/>
          <w:b/>
          <w:sz w:val="24"/>
          <w:highlight w:val="none"/>
        </w:rPr>
        <w:outlineLvl w:val="1"/>
      </w:pPr>
      <w:r>
        <w:rPr>
          <w:rFonts w:hint="eastAsia" w:ascii="宋体" w:hAnsi="宋体" w:cs="宋体"/>
          <w:b/>
          <w:sz w:val="24"/>
          <w:highlight w:val="none"/>
        </w:rPr>
        <w:t xml:space="preserve">三、异常低价投标（响应）审查</w:t>
      </w:r>
      <w:bookmarkEnd w:id="90"/>
      <w:r>
        <w:rPr>
          <w:rFonts w:hint="eastAsia" w:ascii="宋体" w:hAnsi="宋体" w:cs="宋体"/>
          <w:b/>
          <w:sz w:val="24"/>
          <w:highlight w:val="none"/>
        </w:rPr>
        <w:t xml:space="preserve">：</w:t>
      </w:r>
      <w:bookmarkEnd w:id="91"/>
      <w:r>
        <w:rPr>
          <w:rFonts w:hint="eastAsia" w:ascii="宋体" w:hAnsi="宋体" w:cs="宋体"/>
          <w:b/>
          <w:sz w:val="24"/>
          <w:highlight w:val="none"/>
        </w:rPr>
      </w:r>
      <w:r/>
    </w:p>
    <w:p>
      <w:pPr>
        <w:pStyle w:val="919"/>
        <w:ind w:firstLine="480"/>
        <w:spacing w:line="360" w:lineRule="auto"/>
        <w:rPr>
          <w:rFonts w:hint="eastAsia" w:ascii="宋体" w:hAnsi="宋体" w:cs="宋体"/>
          <w:sz w:val="24"/>
          <w:highlight w:val="none"/>
        </w:rPr>
      </w:pPr>
      <w:r/>
      <w:bookmarkStart w:id="92" w:name="_Toc9964"/>
      <w:r>
        <w:rPr>
          <w:rFonts w:hint="eastAsia" w:ascii="宋体" w:hAnsi="宋体" w:cs="宋体"/>
          <w:sz w:val="24"/>
          <w:highlight w:val="none"/>
        </w:rPr>
        <w:t xml:space="preserve">1.依据《关于推动解决政府采购异常低价问题的通知》（财库〔2026〕2号），政府采购评审中出现下列情形之一的，评审委员会应当启动异常低价投标（响应）审查程序：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（1）投标（响应）报价低于全部通过符合性审查供应商投标（响应）报价平均值65%的，即投标（响应）报价&lt;全部通过符合性审查供应商投标（响应）报价平均值×65%；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（2）投标（响应）报价低于通过符合性审查的次低报价供应商投标（响应）报价65%的，即投标（响应）报价&lt;通过符合性审查的次低报价供应商投标（响应）报价×65%；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（3）投标（响应）报价低于采购项目最高限价65%的，即投标（响应）报价&lt;采购项目最高限价×65%；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（4）评审委员会基于专业判断，认为供应商报价过低，有可能影响产品质量或者不能诚信履约的其他情形。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采购人可以结合具体项目实际情况，提高上述第（1）项至第（3）项中启动异常低价投标（响应）审查的数值标准，但是最高不得超过65%。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相关法律法规对供应商报价有规定的，从其规定。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highlight w:val="none"/>
        </w:rPr>
      </w:r>
      <w:r/>
    </w:p>
    <w:p>
      <w:pPr>
        <w:pStyle w:val="919"/>
        <w:ind w:firstLine="442"/>
        <w:spacing w:line="360" w:lineRule="auto"/>
        <w:rPr>
          <w:rFonts w:hint="eastAsia" w:ascii="宋体" w:hAnsi="宋体" w:cs="宋体"/>
          <w:b/>
          <w:sz w:val="22"/>
          <w:szCs w:val="22"/>
          <w:highlight w:val="none"/>
        </w:rPr>
        <w:outlineLvl w:val="1"/>
      </w:pPr>
      <w:r>
        <w:rPr>
          <w:rFonts w:hint="eastAsia" w:ascii="宋体" w:hAnsi="宋体" w:cs="宋体"/>
          <w:b/>
          <w:sz w:val="22"/>
          <w:szCs w:val="22"/>
          <w:highlight w:val="none"/>
        </w:rPr>
        <w:t xml:space="preserve">四、评分表（综合评分法）：</w:t>
      </w:r>
      <w:bookmarkEnd w:id="92"/>
      <w:r>
        <w:rPr>
          <w:rFonts w:hint="eastAsia" w:ascii="宋体" w:hAnsi="宋体" w:cs="宋体"/>
          <w:b/>
          <w:sz w:val="22"/>
          <w:szCs w:val="22"/>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597"/>
        <w:gridCol w:w="912"/>
        <w:gridCol w:w="6568"/>
        <w:gridCol w:w="766"/>
      </w:tblGrid>
      <w:tr>
        <w:trPr>
          <w:trHeight w:val="553"/>
          <w:tblHeader/>
        </w:trPr>
        <w:tc>
          <w:tcPr>
            <w:tcW w:w="558" w:type="dxa"/>
            <w:vAlign w:val="center"/>
            <w:textDirection w:val="lrTb"/>
            <w:noWrap w:val="false"/>
          </w:tcPr>
          <w:p>
            <w:pPr>
              <w:pStyle w:val="919"/>
              <w:jc w:val="center"/>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序号</w:t>
            </w:r>
            <w:r>
              <w:rPr>
                <w:rFonts w:hint="eastAsia" w:ascii="宋体" w:hAnsi="宋体" w:cs="宋体"/>
                <w:sz w:val="24"/>
                <w:szCs w:val="32"/>
                <w:highlight w:val="none"/>
              </w:rPr>
            </w:r>
            <w:r/>
          </w:p>
        </w:tc>
        <w:tc>
          <w:tcPr>
            <w:gridSpan w:val="2"/>
            <w:tcW w:w="1509" w:type="dxa"/>
            <w:vAlign w:val="center"/>
            <w:textDirection w:val="lrTb"/>
            <w:noWrap w:val="false"/>
          </w:tcPr>
          <w:p>
            <w:pPr>
              <w:pStyle w:val="919"/>
              <w:jc w:val="center"/>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评分因素</w:t>
            </w:r>
            <w:r>
              <w:rPr>
                <w:rFonts w:hint="eastAsia" w:ascii="宋体" w:hAnsi="宋体" w:cs="宋体"/>
                <w:sz w:val="24"/>
                <w:szCs w:val="32"/>
                <w:highlight w:val="none"/>
              </w:rPr>
            </w:r>
            <w:r/>
          </w:p>
        </w:tc>
        <w:tc>
          <w:tcPr>
            <w:tcW w:w="3297" w:type="dxa"/>
            <w:vAlign w:val="center"/>
            <w:textDirection w:val="lrTb"/>
            <w:noWrap w:val="false"/>
          </w:tcPr>
          <w:p>
            <w:pPr>
              <w:pStyle w:val="919"/>
              <w:jc w:val="center"/>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评审细则</w:t>
            </w:r>
            <w:r>
              <w:rPr>
                <w:rFonts w:hint="eastAsia" w:ascii="宋体" w:hAnsi="宋体" w:cs="宋体"/>
                <w:sz w:val="24"/>
                <w:szCs w:val="32"/>
                <w:highlight w:val="none"/>
              </w:rPr>
            </w:r>
            <w:r/>
          </w:p>
        </w:tc>
        <w:tc>
          <w:tcPr>
            <w:tcW w:w="384" w:type="dxa"/>
            <w:vAlign w:val="center"/>
            <w:textDirection w:val="lrTb"/>
            <w:noWrap w:val="false"/>
          </w:tcPr>
          <w:p>
            <w:pPr>
              <w:pStyle w:val="919"/>
              <w:jc w:val="center"/>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分值</w:t>
            </w:r>
            <w:r>
              <w:rPr>
                <w:rFonts w:hint="eastAsia" w:ascii="宋体" w:hAnsi="宋体" w:cs="宋体"/>
                <w:sz w:val="24"/>
                <w:szCs w:val="32"/>
                <w:highlight w:val="none"/>
              </w:rPr>
            </w:r>
            <w:r/>
          </w:p>
        </w:tc>
      </w:tr>
      <w:tr>
        <w:trPr>
          <w:trHeight w:val="1397"/>
        </w:trPr>
        <w:tc>
          <w:tcPr>
            <w:tcW w:w="558" w:type="dxa"/>
            <w:vAlign w:val="center"/>
            <w:textDirection w:val="lrTb"/>
            <w:noWrap w:val="false"/>
          </w:tcPr>
          <w:p>
            <w:pPr>
              <w:pStyle w:val="919"/>
              <w:jc w:val="center"/>
              <w:rPr>
                <w:rFonts w:hint="eastAsia" w:ascii="宋体" w:hAnsi="宋体" w:cs="宋体"/>
                <w:highlight w:val="none"/>
              </w:rPr>
            </w:pPr>
            <w:r>
              <w:rPr>
                <w:rFonts w:hint="eastAsia" w:ascii="宋体" w:hAnsi="宋体" w:cs="宋体"/>
                <w:highlight w:val="none"/>
              </w:rPr>
              <w:t xml:space="preserve">1</w:t>
            </w:r>
            <w:r>
              <w:rPr>
                <w:rFonts w:hint="eastAsia" w:ascii="宋体" w:hAnsi="宋体" w:cs="宋体"/>
                <w:sz w:val="24"/>
                <w:highlight w:val="none"/>
              </w:rPr>
              <w:t xml:space="preserve">.</w:t>
            </w:r>
            <w:r>
              <w:rPr>
                <w:rFonts w:hint="eastAsia" w:ascii="宋体" w:hAnsi="宋体" w:cs="宋体"/>
                <w:highlight w:val="none"/>
              </w:rPr>
              <w:t xml:space="preserve">价格</w:t>
            </w:r>
            <w:r>
              <w:rPr>
                <w:rFonts w:hint="eastAsia" w:ascii="宋体" w:hAnsi="宋体" w:cs="宋体"/>
                <w:highlight w:val="none"/>
              </w:rPr>
            </w:r>
            <w:r/>
          </w:p>
          <w:p>
            <w:pPr>
              <w:pStyle w:val="919"/>
              <w:jc w:val="center"/>
              <w:rPr>
                <w:rFonts w:hint="eastAsia" w:ascii="宋体" w:hAnsi="宋体" w:cs="宋体"/>
                <w:highlight w:val="none"/>
              </w:rPr>
            </w:pPr>
            <w:r>
              <w:rPr>
                <w:rFonts w:hint="eastAsia" w:ascii="宋体" w:hAnsi="宋体" w:cs="宋体"/>
                <w:highlight w:val="none"/>
              </w:rPr>
              <w:t xml:space="preserve">（30分）</w:t>
            </w:r>
            <w:r>
              <w:rPr>
                <w:rFonts w:hint="eastAsia" w:ascii="宋体" w:hAnsi="宋体" w:cs="宋体"/>
                <w:highlight w:val="none"/>
              </w:rPr>
            </w:r>
            <w:r/>
          </w:p>
        </w:tc>
        <w:tc>
          <w:tcPr>
            <w:gridSpan w:val="2"/>
            <w:tcW w:w="1509"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价格</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采用低价优先法计算，即满足招标文件要求且投标价格最低的投标报价为评标基准价，其价格分为满分。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其他投标人的价格按照下列公式计算：投标报价得分=(评标基准价/投标报价)×30（小数点后保留两位）</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30</w:t>
            </w:r>
            <w:r>
              <w:rPr>
                <w:rFonts w:hint="eastAsia" w:ascii="宋体" w:hAnsi="宋体" w:cs="宋体"/>
                <w:highlight w:val="none"/>
              </w:rPr>
            </w:r>
            <w:r/>
          </w:p>
        </w:tc>
      </w:tr>
      <w:tr>
        <w:trPr>
          <w:trHeight w:val="1045"/>
        </w:trPr>
        <w:tc>
          <w:tcPr>
            <w:tcW w:w="558" w:type="dxa"/>
            <w:vAlign w:val="center"/>
            <w:vMerge w:val="restart"/>
            <w:textDirection w:val="lrTb"/>
            <w:noWrap w:val="false"/>
          </w:tcPr>
          <w:p>
            <w:pPr>
              <w:pStyle w:val="919"/>
              <w:jc w:val="center"/>
              <w:rPr>
                <w:rFonts w:hint="eastAsia" w:ascii="宋体" w:hAnsi="宋体" w:eastAsia="宋体" w:cs="宋体"/>
                <w:highlight w:val="none"/>
                <w:lang w:eastAsia="zh-CN"/>
              </w:rPr>
            </w:pPr>
            <w:r>
              <w:rPr>
                <w:rFonts w:hint="eastAsia" w:ascii="宋体" w:hAnsi="宋体" w:cs="宋体"/>
                <w:highlight w:val="none"/>
              </w:rPr>
              <w:t xml:space="preserve">2</w:t>
            </w:r>
            <w:r>
              <w:rPr>
                <w:rFonts w:hint="eastAsia" w:ascii="宋体" w:hAnsi="宋体" w:cs="宋体"/>
                <w:sz w:val="24"/>
                <w:highlight w:val="none"/>
              </w:rPr>
              <w:t xml:space="preserve">.</w:t>
            </w:r>
            <w:r>
              <w:rPr>
                <w:rFonts w:hint="eastAsia" w:ascii="宋体" w:hAnsi="宋体" w:cs="宋体"/>
                <w:highlight w:val="none"/>
              </w:rPr>
              <w:t xml:space="preserve">样品</w:t>
            </w:r>
            <w:r>
              <w:rPr>
                <w:rFonts w:hint="eastAsia" w:ascii="宋体" w:hAnsi="宋体" w:cs="宋体"/>
                <w:highlight w:val="none"/>
                <w:lang w:val="en-US" w:eastAsia="zh-CN"/>
              </w:rPr>
              <w:t xml:space="preserve">评审</w:t>
            </w:r>
            <w:r>
              <w:rPr>
                <w:rFonts w:hint="eastAsia" w:ascii="宋体" w:hAnsi="宋体" w:eastAsia="宋体" w:cs="宋体"/>
                <w:highlight w:val="none"/>
                <w:lang w:eastAsia="zh-CN"/>
              </w:rPr>
            </w:r>
            <w:r/>
          </w:p>
          <w:p>
            <w:pPr>
              <w:pStyle w:val="919"/>
              <w:jc w:val="center"/>
              <w:rPr>
                <w:rFonts w:hint="eastAsia" w:ascii="宋体" w:hAnsi="宋体" w:cs="宋体"/>
                <w:highlight w:val="none"/>
              </w:rPr>
            </w:pPr>
            <w:r>
              <w:rPr>
                <w:rFonts w:hint="eastAsia" w:ascii="宋体" w:hAnsi="宋体" w:cs="宋体"/>
                <w:highlight w:val="none"/>
              </w:rPr>
              <w:t xml:space="preserve">（28分）</w:t>
            </w:r>
            <w:r>
              <w:rPr>
                <w:rFonts w:hint="eastAsia" w:ascii="宋体" w:hAnsi="宋体" w:cs="宋体"/>
                <w:highlight w:val="none"/>
              </w:rPr>
            </w:r>
            <w:r/>
          </w:p>
        </w:tc>
        <w:tc>
          <w:tcPr>
            <w:gridSpan w:val="2"/>
            <w:tcW w:w="1509"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样品评价</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评审评委对投标人提交的样衣及面料样品进行现场外观综合评价，主要从样品颜色、面料、样式及整体外观质量等维度进行评审打分，具体评价标准及评分细则如下：</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（1）颜色（3分）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样品颜色符合招标文件对应技术要求的得3分，不符合招标文件技术要求的不得分。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（2）样式（3分）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样品样式符合招标文件对应技术要求的得3分，不符合招标文件技术要求的不得分。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（3）面料（2分）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样品面料与提交样衣的面料材质、质感保持一致的得2分，不符合要求的不得分。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（4）外观质量-线迹（4分）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以样品缝制工艺为准，样品线迹规整、松紧均匀适宜，明线距边宽窄统一，无抽皱、跳线、断线等瑕疵。样品外观质量优于招标文件技术要求得4分；完全符合招标文件技术要求得2分；未满足招标文件基础要求的不得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（5）外观质量-前身、后身（4分）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样品服装胸部挺括饱满，面、里、衬贴合服帖，胸号眼平整平服；背部版型顺直平整、贴身自然，无吊边、起臃、褶皱等问题，整体版型规整。样品外观质量优于招标文件技术要求得4分；完全符合招标文件技术要求得2分；未满足招标文件基础要求的不得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（6）外观质量-裤腰、裤腿（4分）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样品裤身面、衬、里层平整服帖，整体成型挺括规整；腰口平服顺直、无抽皱变形，带袢位置精准、左右对称；裤腿烫迹线顺直平挺、长短统一、左右对称，无开步、歪斜、褶皱等缺陷。样品外观质量优于招标文件技术要求得4分；完全符合招标文件技术要求得2分；未满足招标文件基础要求的不得分。</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20</w:t>
            </w:r>
            <w:r>
              <w:rPr>
                <w:rFonts w:hint="eastAsia" w:ascii="宋体" w:hAnsi="宋体" w:cs="宋体"/>
                <w:highlight w:val="none"/>
              </w:rPr>
            </w:r>
            <w:r/>
          </w:p>
        </w:tc>
      </w:tr>
      <w:tr>
        <w:trPr>
          <w:trHeight w:val="1045"/>
        </w:trPr>
        <w:tc>
          <w:tcPr>
            <w:tcW w:w="558" w:type="dxa"/>
            <w:vAlign w:val="center"/>
            <w:vMerge w:val="continue"/>
            <w:textDirection w:val="lrTb"/>
            <w:noWrap w:val="false"/>
          </w:tcPr>
          <w:p>
            <w:pPr>
              <w:pStyle w:val="919"/>
              <w:jc w:val="center"/>
              <w:rPr>
                <w:rFonts w:hint="eastAsia" w:ascii="宋体" w:hAnsi="宋体" w:cs="宋体"/>
                <w:highlight w:val="none"/>
              </w:rPr>
            </w:pPr>
            <w:r>
              <w:rPr>
                <w:rFonts w:hint="eastAsia" w:ascii="宋体" w:hAnsi="宋体" w:cs="宋体"/>
                <w:highlight w:val="none"/>
              </w:rPr>
            </w:r>
            <w:r/>
          </w:p>
        </w:tc>
        <w:tc>
          <w:tcPr>
            <w:gridSpan w:val="2"/>
            <w:tcW w:w="1509" w:type="dxa"/>
            <w:vAlign w:val="center"/>
            <w:textDirection w:val="lrTb"/>
            <w:noWrap w:val="false"/>
          </w:tcPr>
          <w:p>
            <w:pPr>
              <w:pStyle w:val="919"/>
              <w:jc w:val="center"/>
              <w:spacing w:line="360" w:lineRule="auto"/>
              <w:rPr>
                <w:rFonts w:ascii="宋体" w:hAnsi="宋体" w:cs="宋体"/>
                <w:color w:val="c00000"/>
                <w:highlight w:val="none"/>
              </w:rPr>
            </w:pPr>
            <w:r>
              <w:rPr>
                <w:rFonts w:hint="eastAsia" w:ascii="宋体" w:hAnsi="宋体" w:cs="宋体"/>
                <w:color w:val="c00000"/>
                <w:highlight w:val="none"/>
              </w:rPr>
              <w:t xml:space="preserve">面料检测</w:t>
            </w:r>
            <w:r>
              <w:rPr>
                <w:rFonts w:ascii="宋体" w:hAnsi="宋体" w:cs="宋体"/>
                <w:color w:val="c00000"/>
                <w:highlight w:val="none"/>
              </w:rPr>
            </w:r>
            <w:r/>
          </w:p>
        </w:tc>
        <w:tc>
          <w:tcPr>
            <w:tcW w:w="3297" w:type="dxa"/>
            <w:vAlign w:val="center"/>
            <w:textDirection w:val="lrTb"/>
            <w:noWrap w:val="false"/>
          </w:tcPr>
          <w:p>
            <w:pPr>
              <w:pStyle w:val="919"/>
              <w:jc w:val="left"/>
              <w:spacing w:line="360" w:lineRule="auto"/>
              <w:rPr>
                <w:rFonts w:hint="eastAsia" w:ascii="宋体" w:hAnsi="宋体" w:cs="宋体"/>
                <w:color w:val="c00000"/>
                <w:highlight w:val="none"/>
              </w:rPr>
            </w:pPr>
            <w:r>
              <w:rPr>
                <w:rFonts w:hint="eastAsia" w:ascii="宋体" w:hAnsi="宋体" w:cs="宋体"/>
                <w:color w:val="c00000"/>
                <w:highlight w:val="none"/>
              </w:rPr>
              <w:t xml:space="preserve">所投四种产品：茄克式长袖套装（夏季劳保服）、茄克式长袖套装（春秋季劳保服）、冲锋衣防寒服（冬季劳保服）、连帽连体劳保服（春秋季连体劳保服），各产品所采用的外面料（主色面料）需提供对应面料第三方检测报告。</w:t>
            </w:r>
            <w:r>
              <w:rPr>
                <w:rFonts w:hint="eastAsia" w:ascii="宋体" w:hAnsi="宋体" w:cs="宋体"/>
                <w:color w:val="c00000"/>
                <w:highlight w:val="none"/>
              </w:rPr>
            </w:r>
            <w:r/>
          </w:p>
          <w:p>
            <w:pPr>
              <w:pStyle w:val="919"/>
              <w:jc w:val="left"/>
              <w:spacing w:line="360" w:lineRule="auto"/>
              <w:rPr>
                <w:rFonts w:hint="eastAsia" w:ascii="宋体" w:hAnsi="宋体" w:cs="宋体"/>
                <w:color w:val="c00000"/>
                <w:highlight w:val="none"/>
              </w:rPr>
            </w:pPr>
            <w:r>
              <w:rPr>
                <w:rFonts w:hint="eastAsia" w:ascii="宋体" w:hAnsi="宋体" w:cs="宋体"/>
                <w:color w:val="c00000"/>
                <w:highlight w:val="none"/>
              </w:rPr>
              <w:t xml:space="preserve">报告要求如下：报告中面料理化性能、点对点电阻项目须带有CMA标识；检测依据GB120142019《防护服装 防静电服》，具体检测指标及技术要求以本招标文件“防静电性能要求”“基本安全技术要求”为准，所有送检项目检测结论须合格（本评分项不考核成衣带电电荷量指标）。检测样品须为投标产品所用同批次、同款主色面料。</w:t>
            </w:r>
            <w:r>
              <w:rPr>
                <w:rFonts w:hint="eastAsia" w:ascii="宋体" w:hAnsi="宋体" w:cs="宋体"/>
                <w:color w:val="c00000"/>
                <w:highlight w:val="none"/>
              </w:rPr>
            </w:r>
            <w:r/>
          </w:p>
          <w:p>
            <w:pPr>
              <w:pStyle w:val="919"/>
              <w:jc w:val="left"/>
              <w:spacing w:line="360" w:lineRule="auto"/>
              <w:rPr>
                <w:rFonts w:hint="eastAsia" w:ascii="宋体" w:hAnsi="宋体" w:cs="宋体"/>
                <w:color w:val="c00000"/>
                <w:highlight w:val="none"/>
              </w:rPr>
            </w:pPr>
            <w:r>
              <w:rPr>
                <w:rFonts w:hint="eastAsia" w:ascii="宋体" w:hAnsi="宋体" w:cs="宋体"/>
                <w:color w:val="c00000"/>
                <w:highlight w:val="none"/>
              </w:rPr>
              <w:t xml:space="preserve">计分规则：每有一种产品完全满足上述全部要求得2分，本项满分8分。不同产品若采用同款面料，投标人须在投标文件中附书面面料一致性说明，证明各产品所用主色面料材质、参数、工艺完全一致，经评审委员会审核认定后方可对应计分。</w:t>
            </w:r>
            <w:r>
              <w:rPr>
                <w:rFonts w:hint="eastAsia" w:ascii="宋体" w:hAnsi="宋体" w:cs="宋体"/>
                <w:color w:val="c00000"/>
                <w:highlight w:val="none"/>
              </w:rPr>
            </w:r>
            <w:r/>
          </w:p>
        </w:tc>
        <w:tc>
          <w:tcPr>
            <w:tcW w:w="384" w:type="dxa"/>
            <w:vAlign w:val="center"/>
            <w:textDirection w:val="lrTb"/>
            <w:noWrap w:val="false"/>
          </w:tcPr>
          <w:p>
            <w:pPr>
              <w:pStyle w:val="919"/>
              <w:jc w:val="center"/>
              <w:spacing w:line="360" w:lineRule="auto"/>
              <w:rPr>
                <w:rFonts w:hint="eastAsia" w:ascii="宋体" w:hAnsi="宋体" w:cs="宋体"/>
                <w:color w:val="c00000"/>
                <w:highlight w:val="none"/>
              </w:rPr>
            </w:pPr>
            <w:r>
              <w:rPr>
                <w:rFonts w:hint="eastAsia" w:ascii="宋体" w:hAnsi="宋体" w:cs="宋体"/>
                <w:color w:val="c00000"/>
                <w:highlight w:val="none"/>
              </w:rPr>
              <w:t xml:space="preserve">8</w:t>
            </w:r>
            <w:r>
              <w:rPr>
                <w:rFonts w:hint="eastAsia" w:ascii="宋体" w:hAnsi="宋体" w:cs="宋体"/>
                <w:color w:val="c00000"/>
                <w:highlight w:val="none"/>
              </w:rPr>
            </w:r>
            <w:r/>
          </w:p>
        </w:tc>
      </w:tr>
      <w:tr>
        <w:trPr>
          <w:trHeight w:val="90"/>
        </w:trPr>
        <w:tc>
          <w:tcPr>
            <w:tcW w:w="558" w:type="dxa"/>
            <w:vAlign w:val="center"/>
            <w:vMerge w:val="restart"/>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highlight w:val="none"/>
              </w:rPr>
              <w:t xml:space="preserve">3</w:t>
            </w:r>
            <w:r>
              <w:rPr>
                <w:rFonts w:hint="eastAsia" w:ascii="宋体" w:hAnsi="宋体" w:cs="宋体"/>
                <w:sz w:val="24"/>
                <w:highlight w:val="none"/>
              </w:rPr>
              <w:t xml:space="preserve">.</w:t>
            </w:r>
            <w:r>
              <w:rPr>
                <w:rFonts w:hint="eastAsia" w:ascii="宋体" w:hAnsi="宋体" w:cs="宋体"/>
                <w:szCs w:val="21"/>
                <w:highlight w:val="none"/>
              </w:rPr>
              <w:t xml:space="preserve">履约能力评价</w:t>
            </w:r>
            <w:r>
              <w:rPr>
                <w:rFonts w:hint="eastAsia" w:ascii="宋体" w:hAnsi="宋体" w:cs="宋体"/>
                <w:szCs w:val="21"/>
                <w:highlight w:val="none"/>
              </w:rPr>
            </w:r>
            <w:r/>
          </w:p>
          <w:p>
            <w:pPr>
              <w:pStyle w:val="919"/>
              <w:jc w:val="center"/>
              <w:spacing w:line="360" w:lineRule="auto"/>
              <w:rPr>
                <w:rFonts w:hint="eastAsia" w:ascii="宋体" w:hAnsi="宋体" w:cs="宋体"/>
                <w:b/>
                <w:sz w:val="24"/>
                <w:highlight w:val="none"/>
                <w:u w:val="single"/>
              </w:rPr>
            </w:pPr>
            <w:r>
              <w:rPr>
                <w:rFonts w:hint="eastAsia" w:ascii="宋体" w:hAnsi="宋体" w:cs="宋体"/>
                <w:szCs w:val="21"/>
                <w:highlight w:val="none"/>
              </w:rPr>
              <w:t xml:space="preserve">（28分）</w:t>
            </w:r>
            <w:r>
              <w:rPr>
                <w:rFonts w:hint="eastAsia" w:ascii="宋体" w:hAnsi="宋体" w:cs="宋体"/>
                <w:b/>
                <w:sz w:val="24"/>
                <w:highlight w:val="none"/>
                <w:u w:val="single"/>
              </w:rPr>
            </w:r>
            <w:r/>
          </w:p>
        </w:tc>
        <w:tc>
          <w:tcPr>
            <w:tcW w:w="300" w:type="dxa"/>
            <w:vAlign w:val="center"/>
            <w:vMerge w:val="restart"/>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3.1 项目生产能力</w:t>
            </w:r>
            <w:r>
              <w:rPr>
                <w:rFonts w:hint="eastAsia" w:ascii="宋体" w:hAnsi="宋体" w:cs="宋体"/>
                <w:highlight w:val="none"/>
              </w:rPr>
            </w:r>
            <w:r/>
          </w:p>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tcW w:w="458" w:type="dxa"/>
            <w:vAlign w:val="center"/>
            <w:textDirection w:val="lrTb"/>
            <w:noWrap w:val="false"/>
          </w:tcPr>
          <w:p>
            <w:pPr>
              <w:pStyle w:val="919"/>
              <w:spacing w:line="360" w:lineRule="auto"/>
              <w:rPr>
                <w:rFonts w:hint="eastAsia" w:ascii="宋体" w:hAnsi="宋体" w:cs="宋体"/>
                <w:highlight w:val="none"/>
              </w:rPr>
            </w:pPr>
            <w:r>
              <w:rPr>
                <w:rFonts w:hint="eastAsia" w:ascii="宋体" w:hAnsi="宋体" w:cs="宋体"/>
                <w:highlight w:val="none"/>
              </w:rPr>
              <w:t xml:space="preserve">3.1.1项目实施方案</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项目实施方案包含本项目驻厂监造建议方案、项目组成员配置方案、项目进度控制方案、包装与运输方案等核心实施内容：</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项目实施方案体系完整、架构清晰、贴合本项目专属特点。驻厂监造管控细则详实、管控要点全面；项目人员配置合理、岗位职责明确、人员保障到位；进度管控措施科学严谨，具备完善的进度规划、节点管控、滞后纠偏机制；包装、运输方案规范专业，防护、转运、交付保障措施齐全。整体方案科学性强、内容全面、落地性极高，可完全保障项目全过程高效推进实施，得7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项目实施方案整体框架齐全，涵盖驻厂监造、人员配置、进度管控、包装运输等全部要求内容。方案整体科学合规，具备常规实施管控措施，能够匹配项目实施需求，但部分专项方案细节不够细化、管控举措较为常规，针对性和精细化程度略有不足，整体具备较好的科学性与落地可行性，得4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已提供项目实施方案，包含基础的实施框架，但内容完整性、科学性、针对性一般。各专项方案细节简略，驻厂监造管控、进度管控、运输保障等关键措施不完善，人员配置方案表述笼统，缺少项目专属适配设计，整体落地保障力度有限，仅能满足项目基础实施要求，得2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未按要求提供本项目完整项目实施方案，或方案内容空洞、关键专项内容缺失，无有效实质性实施指导内容，不得分。</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r>
      <w:tr>
        <w:trPr>
          <w:trHeight w:val="828"/>
        </w:trPr>
        <w:tc>
          <w:tcPr>
            <w:tcW w:w="558" w:type="dxa"/>
            <w:vAlign w:val="center"/>
            <w:vMerge w:val="continue"/>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tcW w:w="300" w:type="dxa"/>
            <w:vAlign w:val="center"/>
            <w:vMerge w:val="continue"/>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tcW w:w="458"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3.1.2生产及检测设备要求</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投标人结合本项目生产、检验需求，如实提供企业专业生产设备、检测设备配置情况佐证材料。须完整提供《企业主要生产设备明细表》《企业主要检测设备明细表》、项目相关生产工艺介绍，设备明细表需明确设备名称、品牌、功能参数、购入时间、设备实景图片等关键信息（格式由投标人自行拟定）；同时提供投标人名义购置的生产设备、检测设备发票复印件作为有效佐证依据。本项根据投标人设备配备完整度、技术先进性、与项目匹配度综合量化打分：</w:t>
            </w:r>
            <w:r>
              <w:rPr>
                <w:rFonts w:hint="eastAsia" w:ascii="宋体" w:hAnsi="宋体" w:cs="宋体"/>
                <w:highlight w:val="none"/>
              </w:rPr>
            </w:r>
            <w:r/>
          </w:p>
          <w:p>
            <w:pPr>
              <w:pStyle w:val="919"/>
              <w:jc w:val="left"/>
              <w:spacing w:line="360" w:lineRule="auto"/>
              <w:rPr>
                <w:rFonts w:ascii="宋体" w:hAnsi="宋体" w:cs="宋体"/>
                <w:highlight w:val="none"/>
              </w:rPr>
            </w:pPr>
            <w:r>
              <w:rPr>
                <w:rFonts w:hint="eastAsia" w:ascii="宋体" w:hAnsi="宋体" w:cs="宋体"/>
                <w:highlight w:val="none"/>
              </w:rPr>
              <w:t xml:space="preserve">投标人配备完全适配本项目生产、检验全流程所需的各类专业生产及检测设备，设备品类齐全、配置充足、新旧程度优良。设备整体技术参数先进、行业适配度高，可完全满足项目高品质生产、精准检测、质量管控的全部需求；配套生产工艺成熟规范、流程清晰、科学合理，且所有设备佐证资料完整、真实有效，得7分；</w:t>
            </w:r>
            <w:r>
              <w:rPr>
                <w:rFonts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投标人配备本项目所需主要生产及检测设备，设备整体配置较为齐全，无关键核心设备缺失。设备技术水平处于行业常规优良标准，能够满足项目生产、检测常规管控需求，生产工艺基本成熟可行。仅存在少量辅助设备配置不足、工艺细节不够细化等轻微问题，佐证资料齐全有效，得4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投标人仅配备部分基础生产及检测设备，核心设备存在部分缺失，设备整体配置完整性一般。设备技术水平常规、无技术优势，部分设备参数无法适配项目精细化生产、检测要求，生产工艺介绍简略笼统，整体设备保障能力、技术水平较差，仅可满足项目最低基础生产检验需求，得2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未按要求提供生产及检测设备明细表、生产工艺介绍、设备购置发票等相关佐证材料，或所提供资料残缺、无效、无法佐证设备配置情况，本项不得分。</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r>
      <w:tr>
        <w:trPr>
          <w:trHeight w:val="90"/>
        </w:trPr>
        <w:tc>
          <w:tcPr>
            <w:tcW w:w="558" w:type="dxa"/>
            <w:vAlign w:val="center"/>
            <w:vMerge w:val="continue"/>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tcW w:w="300" w:type="dxa"/>
            <w:vAlign w:val="center"/>
            <w:vMerge w:val="continue"/>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tcW w:w="458"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3.1.3生产业绩</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color w:val="c00000"/>
                <w:highlight w:val="none"/>
              </w:rPr>
            </w:pPr>
            <w:r>
              <w:rPr>
                <w:rFonts w:hint="eastAsia" w:ascii="宋体" w:hAnsi="宋体" w:cs="宋体"/>
                <w:color w:val="c00000"/>
                <w:highlight w:val="none"/>
              </w:rPr>
              <w:t xml:space="preserve">自2023年9月1日（含）至投标截止之日</w:t>
            </w:r>
            <w:r>
              <w:rPr>
                <w:rFonts w:hint="eastAsia" w:ascii="宋体" w:hAnsi="宋体" w:cs="宋体"/>
                <w:color w:val="c00000"/>
                <w:highlight w:val="none"/>
              </w:rPr>
              <w:t xml:space="preserve">，投标人具有类似项目独立承接业绩（分包、转包业绩不予认可）。业绩须同时提供合同复印件及该项目任意一笔付款发票复印件作为佐证材料；每提供1份有效业绩得3分，本项最高得9分。未同时提供上述两项证明材料的，对应业绩不予计分。</w:t>
            </w:r>
            <w:r>
              <w:rPr>
                <w:rFonts w:hint="eastAsia" w:ascii="宋体" w:hAnsi="宋体" w:cs="宋体"/>
                <w:color w:val="c00000"/>
                <w:highlight w:val="none"/>
              </w:rPr>
            </w:r>
            <w:r/>
          </w:p>
          <w:p>
            <w:pPr>
              <w:pStyle w:val="919"/>
              <w:jc w:val="left"/>
              <w:spacing w:line="360" w:lineRule="auto"/>
              <w:rPr>
                <w:rFonts w:hint="eastAsia" w:ascii="宋体" w:hAnsi="宋体" w:cs="宋体"/>
                <w:highlight w:val="none"/>
              </w:rPr>
            </w:pPr>
            <w:r>
              <w:rPr>
                <w:rFonts w:hint="eastAsia" w:ascii="宋体" w:hAnsi="宋体" w:cs="宋体"/>
                <w:color w:val="c00000"/>
                <w:highlight w:val="none"/>
              </w:rPr>
              <w:t xml:space="preserve">注：业绩认定以合同签订时间为准；同一项目仅计取1次得分。</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9</w:t>
            </w:r>
            <w:r>
              <w:rPr>
                <w:rFonts w:hint="eastAsia" w:ascii="宋体" w:hAnsi="宋体" w:cs="宋体"/>
                <w:highlight w:val="none"/>
              </w:rPr>
            </w:r>
            <w:r/>
          </w:p>
        </w:tc>
      </w:tr>
      <w:tr>
        <w:trPr>
          <w:trHeight w:val="376"/>
        </w:trPr>
        <w:tc>
          <w:tcPr>
            <w:tcW w:w="558" w:type="dxa"/>
            <w:vAlign w:val="center"/>
            <w:vMerge w:val="continue"/>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gridSpan w:val="2"/>
            <w:tcW w:w="1509"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3.2产品质量控制方案</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产品质量控制方案覆盖原料辅料质量控制、生产工艺控制、生产过程质量监测、成品质量抽样控制等核心内容，同时包含产品自检方案、工艺过程保障机制、全套质检规程、生产自检标准及成品验收方案等配套管控内容：</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质量控制方案体系完整、架构规范、逻辑清晰，完全贴合本项目产品生产特性与质量管控需求。原料辅料、生产工艺、过程监测、成品抽检全流程管控措施详实细化，自检标准、质检规程、验收方案明确规范、贴合项目实际。整体方案科学严谨、针对性极强、可落地可执行，能够全方位保障产品生产质量，有效规避生产质量风险，得5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质量控制方案覆盖项目全部核心质控模块，整体架构齐全、内容基本完善。全流程质量管控、自检验收、工艺保障等措施基本合理，符合项目生产质控要求，具备较好的针对性与可操作性。仅在管控细节、专项质控标准、风险防控细化等方面存在小幅欠缺，不影响整体质量管控体系的正常运行，得3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已提供质量控制方案，但方案内容简略粗糙、体系不完善，核心质控环节存在缺失。原料管控、工艺管控、过程监测、成品验收等关键措施表述笼统、标准模糊，未结合本项目产品特点进行专项设计，针对性严重不足，落地可操作性差，无法形成完善有效的生产质量管控体系，得1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未按要求提供本项目产品质量控制方案，或方案内容空洞、无实质性质控内容，本项不得分。</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r>
      <w:tr>
        <w:trPr>
          <w:trHeight w:val="572"/>
        </w:trPr>
        <w:tc>
          <w:tcPr>
            <w:tcW w:w="558" w:type="dxa"/>
            <w:vAlign w:val="center"/>
            <w:vMerge w:val="restart"/>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4. 售后及服务能力</w:t>
            </w:r>
            <w:r>
              <w:rPr>
                <w:rFonts w:hint="eastAsia" w:ascii="宋体" w:hAnsi="宋体" w:cs="宋体"/>
                <w:highlight w:val="none"/>
              </w:rPr>
            </w:r>
            <w:r/>
          </w:p>
          <w:p>
            <w:pPr>
              <w:pStyle w:val="919"/>
              <w:jc w:val="center"/>
              <w:spacing w:line="360" w:lineRule="auto"/>
              <w:rPr>
                <w:rFonts w:hint="eastAsia" w:ascii="宋体" w:hAnsi="宋体" w:cs="宋体"/>
                <w:highlight w:val="none"/>
              </w:rPr>
            </w:pPr>
            <w:r>
              <w:rPr>
                <w:rFonts w:hint="eastAsia" w:ascii="宋体" w:hAnsi="宋体" w:cs="宋体"/>
                <w:highlight w:val="none"/>
              </w:rPr>
              <w:t xml:space="preserve">(14分)</w:t>
            </w:r>
            <w:r>
              <w:rPr>
                <w:rFonts w:hint="eastAsia" w:ascii="宋体" w:hAnsi="宋体" w:cs="宋体"/>
                <w:highlight w:val="none"/>
              </w:rPr>
            </w:r>
            <w:r/>
          </w:p>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gridSpan w:val="2"/>
            <w:tcW w:w="1509"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4.1售后服务方案</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售后服务方案包含本项目专属售后服务标准、问题处置解决方案、专业技术人员保障、服务响应机制、售后保障措施等核心内容：</w:t>
            </w:r>
            <w:r>
              <w:rPr>
                <w:rFonts w:hint="eastAsia" w:ascii="宋体" w:hAnsi="宋体" w:cs="宋体"/>
                <w:highlight w:val="none"/>
              </w:rPr>
            </w:r>
            <w:r/>
          </w:p>
          <w:p>
            <w:pPr>
              <w:pStyle w:val="919"/>
              <w:jc w:val="left"/>
              <w:spacing w:line="360" w:lineRule="auto"/>
              <w:rPr>
                <w:rFonts w:ascii="宋体" w:hAnsi="宋体" w:cs="宋体"/>
                <w:highlight w:val="none"/>
              </w:rPr>
            </w:pPr>
            <w:r>
              <w:rPr>
                <w:rFonts w:hint="eastAsia" w:ascii="宋体" w:hAnsi="宋体" w:cs="宋体"/>
                <w:highlight w:val="none"/>
              </w:rPr>
              <w:t xml:space="preserve">售后服务方案内容完整、体系完善、逻辑清晰，完全响应并优于招标文件全部售后要求。服务标准明确、贴合项目实际；问题处置解决方案科学合理、流程闭环；人员保障配置充足、岗位职责清晰，配套服务响应、维保、应急处置、质量保障等机制齐全，整体专业性强、落地可行性高，可充分保障项目长期稳定运行，得6分；</w:t>
            </w:r>
            <w:r>
              <w:rPr>
                <w:rFonts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售后服务方案内容较为完整，基本满足招标文件售后服务全部要求。具备明确的服务标准、处置方案及人员保障措施，整体架构齐全、思路清晰。仅在细节优化、专项保障、应急细化等方面存在少量欠缺，服务规范性及落地可行性较好，能够满足项目常规售后服务需求，得4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售后服务方案内容不够完整，关键售后环节存在缺失。服务标准模糊、解决方案笼统、人员保障措施简单粗放，针对性不足，未充分结合本项目实际情况设计，整体服务规范性、落地可行性较差，仅能满足基础、最低限度售后需求，得2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未按要求提供本项目售后服务方案，或方案内容严重偏离项目需求、无有效实质性售后内容，不予得分。</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r>
      <w:tr>
        <w:trPr>
          <w:trHeight w:val="725"/>
        </w:trPr>
        <w:tc>
          <w:tcPr>
            <w:tcW w:w="558" w:type="dxa"/>
            <w:vAlign w:val="center"/>
            <w:vMerge w:val="continue"/>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gridSpan w:val="2"/>
            <w:tcW w:w="1509"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4.2个性化服务方案</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个性化服务方案须同步包含项目零星服务相关实施内容，具体标准如下：</w:t>
            </w:r>
            <w:r>
              <w:rPr>
                <w:rFonts w:hint="eastAsia" w:ascii="宋体" w:hAnsi="宋体" w:cs="宋体"/>
                <w:highlight w:val="none"/>
              </w:rPr>
            </w:r>
            <w:r/>
          </w:p>
          <w:p>
            <w:pPr>
              <w:pStyle w:val="919"/>
              <w:jc w:val="left"/>
              <w:spacing w:line="360" w:lineRule="auto"/>
              <w:rPr>
                <w:rFonts w:ascii="宋体" w:hAnsi="宋体" w:cs="宋体"/>
                <w:highlight w:val="none"/>
              </w:rPr>
            </w:pPr>
            <w:r>
              <w:rPr>
                <w:rFonts w:hint="eastAsia" w:ascii="宋体" w:hAnsi="宋体" w:cs="宋体"/>
                <w:highlight w:val="none"/>
              </w:rPr>
              <w:t xml:space="preserve">方案完全贴合本项目业务特点、服务范围、核心需求及潜在服务场景，针对性极强；服务流程、实施举措、保障措施、响应机制、人员配置、应急处置等内容完整清晰，贴合项目实际落地场景，可操作性、可行性极强，能够充分满足项目全周期服务需求，得4分；</w:t>
            </w:r>
            <w:r>
              <w:rPr>
                <w:rFonts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方案基本匹配本项目核心需求，具备一定针对性，但细节完善度一般，未完全贴合项目专属场景；方案核心服务内容、实施流程基本完整，但保障举措、响应机制等细节存在欠缺，整体落地可行性一般，基本可满足项目常规服务需求，得2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方案与本项目实际需求匹配度较低，针对性较差，多为通用模板化内容，缺乏项目专属设计；方案内容简略、关键服务环节缺失较多，实施举措模糊、保障机制不完善，整体落地可行性较差，仅具备基础服务框架，得1分；</w:t>
            </w:r>
            <w:r>
              <w:rPr>
                <w:rFonts w:hint="eastAsia" w:ascii="宋体" w:hAnsi="宋体" w:cs="宋体"/>
                <w:highlight w:val="none"/>
              </w:rPr>
            </w:r>
            <w:r/>
          </w:p>
          <w:p>
            <w:pPr>
              <w:pStyle w:val="919"/>
              <w:jc w:val="left"/>
              <w:spacing w:line="360" w:lineRule="auto"/>
              <w:rPr>
                <w:rFonts w:ascii="宋体" w:hAnsi="宋体" w:cs="宋体"/>
                <w:highlight w:val="none"/>
              </w:rPr>
            </w:pPr>
            <w:r>
              <w:rPr>
                <w:rFonts w:hint="eastAsia" w:ascii="宋体" w:hAnsi="宋体" w:cs="宋体"/>
                <w:highlight w:val="none"/>
              </w:rPr>
              <w:t xml:space="preserve">未提供个性化服务方案及零星服务方案；或所提供方案不具备任何针对性；或方案核心内容缺失、逻辑混乱、举措空洞，无实际落地价值，完全无法适配本项目服务需求，不得分。</w:t>
            </w:r>
            <w:r>
              <w:rPr>
                <w:rFonts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r>
      <w:tr>
        <w:trPr>
          <w:trHeight w:val="498"/>
        </w:trPr>
        <w:tc>
          <w:tcPr>
            <w:tcW w:w="558" w:type="dxa"/>
            <w:vAlign w:val="center"/>
            <w:vMerge w:val="continue"/>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r>
            <w:r/>
          </w:p>
        </w:tc>
        <w:tc>
          <w:tcPr>
            <w:gridSpan w:val="2"/>
            <w:tcW w:w="1509"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4.3服务响应及保障措施</w:t>
            </w:r>
            <w:r>
              <w:rPr>
                <w:rFonts w:hint="eastAsia" w:ascii="宋体" w:hAnsi="宋体" w:cs="宋体"/>
                <w:highlight w:val="none"/>
              </w:rPr>
            </w:r>
            <w:r/>
          </w:p>
        </w:tc>
        <w:tc>
          <w:tcPr>
            <w:tcW w:w="3297" w:type="dxa"/>
            <w:vAlign w:val="center"/>
            <w:textDirection w:val="lrTb"/>
            <w:noWrap w:val="false"/>
          </w:tcPr>
          <w:p>
            <w:pPr>
              <w:pStyle w:val="919"/>
              <w:jc w:val="left"/>
              <w:spacing w:line="360" w:lineRule="auto"/>
              <w:rPr>
                <w:rFonts w:hint="eastAsia" w:ascii="宋体" w:hAnsi="宋体" w:cs="宋体"/>
                <w:highlight w:val="none"/>
              </w:rPr>
            </w:pPr>
            <w:r>
              <w:rPr>
                <w:rFonts w:hint="eastAsia" w:ascii="宋体" w:hAnsi="宋体" w:cs="宋体"/>
                <w:highlight w:val="none"/>
              </w:rPr>
              <w:t xml:space="preserve">投标人针对本项目实际需求，提供专项服务响应承诺及全套服务保障措施方案，内容包含专业服务团队配置、订单处理响应时效及保障举措、服务网点明细布局、客户投诉处理流程及处置方案等核心内容：</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方案内容完整详实、贴合本项目实际场景，服务团队配置专业合理、岗位职责清晰；订单响应时效明确、处置措施闭环高效；服务网点布局合理、覆盖范围全面；投诉处理流程规范完整、处置机制健全、售后保障体系完善，整体可落地性、保障性极强，得4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方案整体内容较为全面，基本覆盖团队配置、订单响应、网点布局、投诉处理等各项要求，内容贴合项目实际需求。服务网点覆盖较为全面，各项保障措施基本可行，仅在服务细节、响应时效细化、网点布局优化等方面存在少量欠缺，得2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投标人已提供服务响应承诺及保障措施，但方案内容较为笼统、框架简单，服务举措缺乏细化。服务团队、响应机制、投诉处置等内容流于形式，服务网点覆盖一般，整体服务保障能力、方案针对性和落地性一般，仅能满足基础服务要求，得1分；</w:t>
            </w:r>
            <w:r>
              <w:rPr>
                <w:rFonts w:hint="eastAsia" w:ascii="宋体" w:hAnsi="宋体" w:cs="宋体"/>
                <w:highlight w:val="none"/>
              </w:rPr>
            </w:r>
            <w:r/>
          </w:p>
          <w:p>
            <w:pPr>
              <w:pStyle w:val="919"/>
              <w:jc w:val="left"/>
              <w:spacing w:line="360" w:lineRule="auto"/>
              <w:rPr>
                <w:rFonts w:hint="eastAsia" w:ascii="宋体" w:hAnsi="宋体" w:cs="宋体"/>
                <w:highlight w:val="none"/>
              </w:rPr>
            </w:pPr>
            <w:r>
              <w:rPr>
                <w:rFonts w:hint="eastAsia" w:ascii="宋体" w:hAnsi="宋体" w:cs="宋体"/>
                <w:highlight w:val="none"/>
              </w:rPr>
              <w:t xml:space="preserve">未按要求提供本项目服务响应承诺及服务保障措施方案，本项不得分。</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r>
      <w:tr>
        <w:trPr>
          <w:trHeight w:val="588"/>
        </w:trPr>
        <w:tc>
          <w:tcPr>
            <w:tcW w:w="558"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rPr>
            </w:r>
            <w:r/>
          </w:p>
        </w:tc>
        <w:tc>
          <w:tcPr>
            <w:gridSpan w:val="3"/>
            <w:tcW w:w="8077"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合计</w:t>
            </w:r>
            <w:r>
              <w:rPr>
                <w:rFonts w:hint="eastAsia" w:ascii="宋体" w:hAnsi="宋体" w:cs="宋体"/>
                <w:highlight w:val="none"/>
              </w:rPr>
            </w:r>
            <w:r/>
          </w:p>
        </w:tc>
        <w:tc>
          <w:tcPr>
            <w:tcW w:w="384"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rPr>
              <w:t xml:space="preserve">100</w:t>
            </w:r>
            <w:r>
              <w:rPr>
                <w:rFonts w:hint="eastAsia" w:ascii="宋体" w:hAnsi="宋体" w:cs="宋体"/>
                <w:highlight w:val="none"/>
              </w:rPr>
            </w:r>
            <w:r/>
          </w:p>
        </w:tc>
      </w:tr>
    </w:tbl>
    <w:p>
      <w:pPr>
        <w:pStyle w:val="919"/>
        <w:ind w:firstLine="482"/>
        <w:spacing w:line="360" w:lineRule="auto"/>
        <w:rPr>
          <w:rFonts w:hint="eastAsia" w:ascii="宋体" w:hAnsi="宋体" w:cs="宋体"/>
          <w:b/>
          <w:bCs/>
          <w:sz w:val="24"/>
          <w:highlight w:val="none"/>
          <w:u w:val="single"/>
        </w:rPr>
      </w:pPr>
      <w:r>
        <w:rPr>
          <w:rFonts w:hint="eastAsia" w:ascii="宋体" w:hAnsi="宋体" w:cs="宋体"/>
          <w:b/>
          <w:bCs/>
          <w:sz w:val="24"/>
          <w:highlight w:val="none"/>
          <w:u w:val="single"/>
        </w:rPr>
        <w:t xml:space="preserve">注：所有对招标文件标注“★”（如有）、“▲”（如有）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或白皮书等）。</w:t>
      </w:r>
      <w:r>
        <w:rPr>
          <w:rFonts w:hint="eastAsia" w:ascii="宋体" w:hAnsi="宋体" w:cs="宋体"/>
          <w:b/>
          <w:bCs/>
          <w:sz w:val="24"/>
          <w:highlight w:val="none"/>
          <w:u w:val="single"/>
        </w:rPr>
      </w:r>
      <w:r/>
    </w:p>
    <w:p>
      <w:pPr>
        <w:pStyle w:val="919"/>
        <w:ind w:firstLine="482"/>
        <w:spacing w:line="360" w:lineRule="auto"/>
        <w:rPr>
          <w:rFonts w:hint="eastAsia" w:ascii="宋体" w:hAnsi="宋体" w:cs="宋体"/>
          <w:b/>
          <w:sz w:val="24"/>
          <w:highlight w:val="none"/>
        </w:rPr>
        <w:outlineLvl w:val="1"/>
      </w:pPr>
      <w:r/>
      <w:bookmarkStart w:id="93" w:name="_Toc7412"/>
      <w:r>
        <w:rPr>
          <w:rFonts w:hint="eastAsia" w:ascii="宋体" w:hAnsi="宋体" w:cs="宋体"/>
          <w:b/>
          <w:sz w:val="24"/>
          <w:highlight w:val="none"/>
        </w:rPr>
        <w:t xml:space="preserve">五、评分因素及分值说明</w:t>
      </w:r>
      <w:bookmarkEnd w:id="93"/>
      <w:r>
        <w:rPr>
          <w:rFonts w:hint="eastAsia" w:ascii="宋体" w:hAnsi="宋体" w:cs="宋体"/>
          <w:b/>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1.评审委员会成员按招标文件和本办法上述有关规定给各投标文件评分。</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2.各供应商的得分为各评委所评定分数的算术平均值。</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3.各项统计、评分结果均按四舍五入方法精确到小数点后两位。</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w:t>
      </w:r>
      <w:r>
        <w:rPr>
          <w:rFonts w:hint="eastAsia" w:ascii="宋体" w:hAnsi="宋体" w:cs="宋体"/>
          <w:sz w:val="24"/>
          <w:highlight w:val="none"/>
          <w:lang w:eastAsia="zh-CN"/>
        </w:rPr>
        <w:t xml:space="preserve">按技术部分指标（样品评审）优劣顺序</w:t>
      </w:r>
      <w:r>
        <w:rPr>
          <w:rFonts w:hint="eastAsia" w:ascii="宋体" w:hAnsi="宋体" w:cs="宋体"/>
          <w:sz w:val="24"/>
          <w:highlight w:val="none"/>
        </w:rPr>
        <w:t xml:space="preserve">排列，如报价及技术部分指标评分都相同则抽签决定。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bookmarkStart w:id="94" w:name="_Toc462837790"/>
      <w:r>
        <w:rPr>
          <w:rFonts w:hint="eastAsia" w:ascii="宋体" w:hAnsi="宋体" w:cs="宋体"/>
          <w:sz w:val="24"/>
          <w:highlight w:val="none"/>
        </w:rPr>
        <w:t xml:space="preserve">5.</w:t>
      </w:r>
      <w:bookmarkEnd w:id="94"/>
      <w:r>
        <w:rPr>
          <w:rFonts w:hint="eastAsia" w:ascii="宋体" w:hAnsi="宋体" w:cs="宋体"/>
          <w:sz w:val="24"/>
          <w:highlight w:val="none"/>
        </w:rPr>
        <w:t xml:space="preserve">政府采购政策功能落实</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5.1小微型企业价格扣除</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（1）对小型和微型企业产品给予10%的价格扣除，用扣除后的价格参与评审。</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（2）供应商需按照招标文件的要求提供相应的《企业声明函》。</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（3）企业标准请参照《关于印发中小企业划型标准规定的通知》（工信部联企业〔2011〕300号）规定自行填写。</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5.2残疾人福利单位价格扣除</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（1）对残疾人福利性单位视同小型、微型企业，给予10%的价格扣除，用扣除后的价格参与评审。</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（2）残疾人福利单位需按照招标文件的要求提供《残疾人福利性单位声明函》。</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（3）残疾人福利单位标准请参照《关于促进残疾人就业政府采购政策的通知》（财库〔2017〕141号）的规定。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5.3监狱和戒毒企业价格扣除</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（1）对监狱和戒毒企业（简称监狱企业）视同小型、微型企业，给予10%的价格扣除，用扣除后的价格参与评审。</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（3）监狱企业标准请参照《关于政府采购支持监狱企业发展有关问题的通知》（财库〔2014〕68号）的规定。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5.4残疾人福利单位、监狱企业属于小型、微型企业的，不重复享受政策。</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5.5属于专门面向中小微企业的项目不适用以上“政府采购政策功能落实”价格扣除条款。</w:t>
      </w:r>
      <w:r>
        <w:rPr>
          <w:rFonts w:hint="eastAsia" w:ascii="宋体" w:hAnsi="宋体" w:cs="宋体"/>
          <w:sz w:val="24"/>
          <w:highlight w:val="none"/>
        </w:rPr>
      </w:r>
      <w:r/>
    </w:p>
    <w:p>
      <w:pPr>
        <w:pStyle w:val="919"/>
        <w:ind w:firstLine="482"/>
        <w:spacing w:before="0" w:after="0"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6.对本国产品的支持政策</w:t>
      </w:r>
      <w:r>
        <w:rPr>
          <w:rFonts w:hint="eastAsia" w:ascii="宋体" w:hAnsi="宋体" w:eastAsia="宋体" w:cs="宋体"/>
          <w:b/>
          <w:bCs/>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（3）产品总成本和组件成本以相关会计核算数据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采购合同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进货记录等为基础进行计算。</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（4）需要对成本核算规则予以进一步明确的其他有关事项，由财政部会同有关部门另行规定。</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6.4供应商需在《声明函》中逐一</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准确填写产品名称</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厂名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生产厂址三项信息，三项信息中任意一项未填写的视为该项产品不符合本国产品标准，不享受本国产品价格评审优惠。</w:t>
      </w:r>
      <w:r>
        <w:rPr>
          <w:rFonts w:hint="eastAsia" w:ascii="宋体" w:hAnsi="宋体" w:eastAsia="宋体" w:cs="宋体"/>
          <w:sz w:val="24"/>
          <w:szCs w:val="24"/>
          <w:highlight w:val="none"/>
        </w:rPr>
      </w:r>
      <w:r/>
    </w:p>
    <w:p>
      <w:pPr>
        <w:pStyle w:val="919"/>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6.5评标过程中，如发现</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《声明函》内容含义不明确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同类事项与投标（响应）文件表述不一致或者有明显文字错误等情况的，评标委员会应当以书面形式要求供应商作出必要的澄清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说明或者补正。经澄清</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说明或者补正的《声明函》仍然不符合《国务院办公厅关于在政府采购中实施本国产品标准及相关政策的通知》（国办发〔2025〕34号）和招标文件</w:t>
      </w:r>
      <w:r>
        <w:rPr>
          <w:rFonts w:hint="eastAsia" w:ascii="宋体" w:hAnsi="宋体" w:eastAsia="宋体" w:cs="宋体"/>
          <w:color w:val="000000"/>
          <w:sz w:val="24"/>
          <w:szCs w:val="24"/>
          <w:highlight w:val="none"/>
        </w:rPr>
        <w:t xml:space="preserve">规定的，供应商提供的相关产品视为不符合本国产品标准。</w:t>
      </w:r>
      <w:r>
        <w:rPr>
          <w:rFonts w:hint="eastAsia" w:ascii="宋体" w:hAnsi="宋体" w:eastAsia="宋体" w:cs="宋体"/>
          <w:color w:val="000000"/>
          <w:sz w:val="24"/>
          <w:szCs w:val="24"/>
          <w:highlight w:val="none"/>
        </w:rPr>
      </w:r>
      <w:r/>
    </w:p>
    <w:p>
      <w:pPr>
        <w:pStyle w:val="91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6.6适用本国产品标准的货物具体是指《政府采购品目分类目录》中的货物类产品，但不包括其中的房屋和构筑物，文物和陈列品，图书和档案，特种动植物，农林牧渔业产品，矿与矿物，电力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城市燃气</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蒸汽和热水</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水，食品</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饮料和烟草原料，无形资产。</w:t>
      </w:r>
      <w:r>
        <w:rPr>
          <w:rFonts w:hint="eastAsia" w:ascii="宋体" w:hAnsi="宋体" w:eastAsia="宋体" w:cs="宋体"/>
          <w:b/>
          <w:bCs/>
          <w:color w:val="000000"/>
          <w:sz w:val="24"/>
          <w:szCs w:val="24"/>
          <w:highlight w:val="none"/>
        </w:rPr>
      </w:r>
      <w:r/>
    </w:p>
    <w:p>
      <w:pPr>
        <w:pStyle w:val="91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6.7本国产品应当在中国境内生产，即在中华人民共和国关境内实现从原材料</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组件到产品的属性改变。从具体情形看，在国内保税区</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综合保税区等海关特殊监管区域生产的产品，属于在中国境内生产的产品；其他产品，根据实际情况判断是否在中国境内生产。</w:t>
      </w:r>
      <w:r>
        <w:rPr>
          <w:rFonts w:hint="eastAsia" w:ascii="宋体" w:hAnsi="宋体" w:eastAsia="宋体" w:cs="宋体"/>
          <w:b/>
          <w:bCs/>
          <w:color w:val="000000"/>
          <w:sz w:val="24"/>
          <w:szCs w:val="24"/>
          <w:highlight w:val="none"/>
        </w:rPr>
      </w:r>
      <w:r/>
    </w:p>
    <w:p>
      <w:pPr>
        <w:pStyle w:val="919"/>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7.同品牌投标人的认定：</w:t>
      </w:r>
      <w:r>
        <w:rPr>
          <w:rFonts w:hint="eastAsia" w:ascii="宋体" w:hAnsi="宋体" w:eastAsia="宋体" w:cs="宋体"/>
          <w:b/>
          <w:bCs/>
          <w:color w:val="000000"/>
          <w:sz w:val="24"/>
          <w:szCs w:val="24"/>
          <w:highlight w:val="none"/>
        </w:rPr>
      </w:r>
      <w:r/>
    </w:p>
    <w:p>
      <w:pPr>
        <w:pStyle w:val="919"/>
        <w:ind w:firstLine="480"/>
        <w:jc w:val="left"/>
        <w:spacing w:line="360" w:lineRule="auto"/>
        <w:rPr>
          <w:rFonts w:hint="eastAsia"/>
          <w:color w:val="000000"/>
          <w:sz w:val="24"/>
          <w:szCs w:val="24"/>
          <w:highlight w:val="none"/>
        </w:rPr>
      </w:pPr>
      <w:r>
        <w:rPr>
          <w:rFonts w:hint="eastAsia" w:ascii="宋体" w:hAnsi="宋体" w:eastAsia="宋体" w:cs="宋体"/>
          <w:color w:val="000000"/>
          <w:sz w:val="24"/>
          <w:szCs w:val="24"/>
          <w:highlight w:val="none"/>
        </w:rPr>
        <w:t xml:space="preserve">提供核心产品品牌相同且通过资格审查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color w:val="000000"/>
          <w:sz w:val="24"/>
          <w:szCs w:val="24"/>
          <w:highlight w:val="none"/>
        </w:rPr>
      </w:r>
      <w:r/>
    </w:p>
    <w:p>
      <w:pPr>
        <w:pStyle w:val="919"/>
        <w:ind w:firstLine="482"/>
        <w:jc w:val="left"/>
        <w:spacing w:line="360" w:lineRule="auto"/>
        <w:rPr>
          <w:rFonts w:hint="eastAsia" w:ascii="宋体" w:hAnsi="宋体" w:eastAsia="宋体" w:cs="宋体"/>
          <w:color w:val="000000"/>
          <w:highlight w:val="none"/>
          <w:u w:val="single"/>
        </w:rPr>
      </w:pPr>
      <w:r>
        <w:rPr>
          <w:rFonts w:hint="eastAsia" w:ascii="宋体" w:hAnsi="宋体" w:eastAsia="宋体" w:cs="宋体"/>
          <w:b/>
          <w:bCs/>
          <w:color w:val="000000"/>
          <w:sz w:val="24"/>
          <w:szCs w:val="24"/>
          <w:highlight w:val="none"/>
        </w:rPr>
        <w:t xml:space="preserve">8.本项目核心产品为：</w:t>
      </w:r>
      <w:r>
        <w:rPr>
          <w:rFonts w:hint="eastAsia" w:ascii="宋体" w:hAnsi="宋体" w:eastAsia="宋体" w:cs="宋体"/>
          <w:b w:val="0"/>
          <w:bCs w:val="0"/>
          <w:color w:val="000000"/>
          <w:sz w:val="24"/>
          <w:szCs w:val="24"/>
          <w:highlight w:val="none"/>
          <w:u w:val="single"/>
        </w:rPr>
        <w:t xml:space="preserve">冲锋衣防寒服 （冬季劳保服）</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eastAsia="宋体" w:cs="宋体"/>
          <w:b w:val="0"/>
          <w:bCs w:val="0"/>
          <w:color w:val="000000"/>
          <w:sz w:val="24"/>
          <w:szCs w:val="24"/>
          <w:highlight w:val="none"/>
          <w:u w:val="single"/>
        </w:rPr>
        <w:t xml:space="preserve">详见招标文件</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eastAsia="宋体" w:cs="宋体"/>
          <w:b w:val="0"/>
          <w:bCs w:val="0"/>
          <w:color w:val="000000"/>
          <w:sz w:val="24"/>
          <w:szCs w:val="24"/>
          <w:highlight w:val="none"/>
          <w:u w:val="single"/>
        </w:rPr>
        <w:t xml:space="preserve">第四章 采购需求</w:t>
      </w:r>
      <w:r>
        <w:rPr>
          <w:rFonts w:hint="eastAsia" w:ascii="宋体" w:hAnsi="宋体" w:eastAsia="宋体" w:cs="宋体"/>
          <w:b w:val="0"/>
          <w:bCs w:val="0"/>
          <w:color w:val="000000"/>
          <w:sz w:val="24"/>
          <w:szCs w:val="24"/>
          <w:highlight w:val="none"/>
          <w:u w:val="single"/>
          <w:lang w:eastAsia="zh-CN"/>
        </w:rPr>
        <w:t xml:space="preserve">”</w:t>
      </w:r>
      <w:r>
        <w:rPr>
          <w:rFonts w:hint="eastAsia" w:ascii="宋体" w:hAnsi="宋体" w:eastAsia="宋体" w:cs="宋体"/>
          <w:b w:val="0"/>
          <w:bCs w:val="0"/>
          <w:color w:val="000000"/>
          <w:sz w:val="24"/>
          <w:szCs w:val="24"/>
          <w:highlight w:val="none"/>
          <w:u w:val="single"/>
        </w:rPr>
        <w:t xml:space="preserve">。</w:t>
      </w:r>
      <w:r>
        <w:rPr>
          <w:rFonts w:hint="eastAsia" w:ascii="宋体" w:hAnsi="宋体" w:eastAsia="宋体" w:cs="宋体"/>
          <w:color w:val="000000"/>
          <w:highlight w:val="none"/>
          <w:u w:val="single"/>
        </w:rPr>
      </w:r>
      <w:r/>
    </w:p>
    <w:p>
      <w:pPr>
        <w:pStyle w:val="919"/>
        <w:spacing w:line="360" w:lineRule="auto"/>
        <w:rPr>
          <w:rFonts w:hint="eastAsia" w:ascii="宋体" w:hAnsi="宋体" w:cs="宋体"/>
          <w:highlight w:val="none"/>
        </w:rPr>
      </w:pPr>
      <w:r>
        <w:rPr>
          <w:rFonts w:hint="eastAsia" w:ascii="宋体" w:hAnsi="宋体" w:cs="宋体"/>
          <w:highlight w:val="none"/>
        </w:rPr>
      </w:r>
      <w:r/>
    </w:p>
    <w:p>
      <w:pPr>
        <w:pStyle w:val="919"/>
        <w:spacing w:line="360" w:lineRule="auto"/>
        <w:rPr>
          <w:rFonts w:hint="eastAsia" w:ascii="宋体" w:hAnsi="宋体" w:cs="宋体"/>
          <w:sz w:val="24"/>
          <w:highlight w:val="none"/>
        </w:rPr>
      </w:pPr>
      <w:r>
        <w:rPr>
          <w:rFonts w:hint="eastAsia" w:ascii="宋体" w:hAnsi="宋体" w:cs="宋体"/>
          <w:b/>
          <w:sz w:val="24"/>
          <w:highlight w:val="none"/>
        </w:rPr>
        <w:t xml:space="preserve">六、</w:t>
      </w:r>
      <w:r>
        <w:rPr>
          <w:rFonts w:hint="eastAsia" w:ascii="宋体" w:hAnsi="宋体" w:cs="宋体"/>
          <w:sz w:val="24"/>
          <w:highlight w:val="none"/>
        </w:rPr>
        <w:t xml:space="preserve">现场送样要求</w:t>
      </w:r>
      <w:r>
        <w:rPr>
          <w:rFonts w:hint="eastAsia" w:ascii="宋体" w:hAnsi="宋体" w:cs="宋体"/>
          <w:sz w:val="24"/>
          <w:highlight w:val="none"/>
        </w:rPr>
      </w:r>
      <w:r/>
    </w:p>
    <w:p>
      <w:pPr>
        <w:pStyle w:val="1110"/>
        <w:ind w:left="372" w:firstLine="0"/>
        <w:jc w:val="left"/>
        <w:spacing w:line="360" w:lineRule="auto"/>
        <w:rPr>
          <w:rFonts w:hint="eastAsia" w:ascii="宋体" w:hAnsi="宋体" w:cs="宋体"/>
          <w:sz w:val="24"/>
          <w:highlight w:val="none"/>
        </w:rPr>
      </w:pPr>
      <w:r>
        <w:rPr>
          <w:rFonts w:hint="eastAsia" w:ascii="宋体" w:hAnsi="宋体" w:cs="宋体"/>
          <w:sz w:val="24"/>
          <w:highlight w:val="none"/>
        </w:rPr>
        <w:t xml:space="preserve">1.现场样品提交品类、数量和规格：</w:t>
      </w:r>
      <w:r>
        <w:rPr>
          <w:rFonts w:hint="eastAsia" w:ascii="宋体" w:hAnsi="宋体" w:cs="宋体"/>
          <w:sz w:val="24"/>
          <w:highlight w:val="none"/>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4166"/>
        <w:gridCol w:w="1233"/>
        <w:gridCol w:w="936"/>
        <w:gridCol w:w="2839"/>
      </w:tblGrid>
      <w:tr>
        <w:trPr>
          <w:trHeight w:val="497"/>
        </w:trPr>
        <w:tc>
          <w:tcPr>
            <w:tcW w:w="390" w:type="dxa"/>
            <w:vAlign w:val="top"/>
            <w:textDirection w:val="lrTb"/>
            <w:noWrap w:val="false"/>
          </w:tcPr>
          <w:p>
            <w:pPr>
              <w:pStyle w:val="919"/>
              <w:jc w:val="center"/>
              <w:spacing w:line="360" w:lineRule="auto"/>
              <w:rPr>
                <w:rFonts w:hint="eastAsia" w:ascii="宋体" w:hAnsi="宋体" w:cs="宋体"/>
                <w:b/>
                <w:bCs/>
                <w:sz w:val="24"/>
                <w:szCs w:val="32"/>
                <w:highlight w:val="none"/>
              </w:rPr>
            </w:pPr>
            <w:r>
              <w:rPr>
                <w:rFonts w:hint="eastAsia" w:ascii="宋体" w:hAnsi="宋体" w:cs="宋体"/>
                <w:b/>
                <w:bCs/>
                <w:sz w:val="24"/>
                <w:szCs w:val="32"/>
                <w:highlight w:val="none"/>
              </w:rPr>
              <w:t xml:space="preserve">序号</w:t>
            </w:r>
            <w:r>
              <w:rPr>
                <w:rFonts w:hint="eastAsia" w:ascii="宋体" w:hAnsi="宋体" w:cs="宋体"/>
                <w:b/>
                <w:bCs/>
                <w:sz w:val="24"/>
                <w:szCs w:val="32"/>
                <w:highlight w:val="none"/>
              </w:rPr>
            </w:r>
            <w:r/>
          </w:p>
        </w:tc>
        <w:tc>
          <w:tcPr>
            <w:tcW w:w="2092" w:type="dxa"/>
            <w:vAlign w:val="top"/>
            <w:textDirection w:val="lrTb"/>
            <w:noWrap w:val="false"/>
          </w:tcPr>
          <w:p>
            <w:pPr>
              <w:pStyle w:val="919"/>
              <w:jc w:val="center"/>
              <w:spacing w:line="360" w:lineRule="auto"/>
              <w:rPr>
                <w:rFonts w:hint="eastAsia" w:ascii="宋体" w:hAnsi="宋体" w:cs="宋体"/>
                <w:b/>
                <w:bCs/>
                <w:sz w:val="24"/>
                <w:szCs w:val="32"/>
                <w:highlight w:val="none"/>
              </w:rPr>
            </w:pPr>
            <w:r>
              <w:rPr>
                <w:rFonts w:hint="eastAsia" w:ascii="宋体" w:hAnsi="宋体" w:cs="宋体"/>
                <w:b/>
                <w:bCs/>
                <w:sz w:val="24"/>
                <w:szCs w:val="32"/>
                <w:highlight w:val="none"/>
              </w:rPr>
              <w:t xml:space="preserve">品名</w:t>
            </w:r>
            <w:r>
              <w:rPr>
                <w:rFonts w:hint="eastAsia" w:ascii="宋体" w:hAnsi="宋体" w:cs="宋体"/>
                <w:b/>
                <w:bCs/>
                <w:sz w:val="24"/>
                <w:szCs w:val="32"/>
                <w:highlight w:val="none"/>
              </w:rPr>
            </w:r>
            <w:r/>
          </w:p>
        </w:tc>
        <w:tc>
          <w:tcPr>
            <w:tcW w:w="619" w:type="dxa"/>
            <w:vAlign w:val="top"/>
            <w:textDirection w:val="lrTb"/>
            <w:noWrap w:val="false"/>
          </w:tcPr>
          <w:p>
            <w:pPr>
              <w:pStyle w:val="919"/>
              <w:jc w:val="center"/>
              <w:spacing w:line="360" w:lineRule="auto"/>
              <w:rPr>
                <w:rFonts w:hint="eastAsia" w:ascii="宋体" w:hAnsi="宋体" w:cs="宋体"/>
                <w:b/>
                <w:bCs/>
                <w:sz w:val="24"/>
                <w:szCs w:val="32"/>
                <w:highlight w:val="none"/>
              </w:rPr>
            </w:pPr>
            <w:r>
              <w:rPr>
                <w:rFonts w:hint="eastAsia" w:ascii="宋体" w:hAnsi="宋体" w:cs="宋体"/>
                <w:b/>
                <w:bCs/>
                <w:sz w:val="24"/>
                <w:szCs w:val="32"/>
                <w:highlight w:val="none"/>
              </w:rPr>
              <w:t xml:space="preserve">数量(套）</w:t>
            </w:r>
            <w:r>
              <w:rPr>
                <w:rFonts w:hint="eastAsia" w:ascii="宋体" w:hAnsi="宋体" w:cs="宋体"/>
                <w:b/>
                <w:bCs/>
                <w:sz w:val="24"/>
                <w:szCs w:val="32"/>
                <w:highlight w:val="none"/>
              </w:rPr>
            </w:r>
            <w:r/>
          </w:p>
        </w:tc>
        <w:tc>
          <w:tcPr>
            <w:tcW w:w="470" w:type="dxa"/>
            <w:vAlign w:val="top"/>
            <w:textDirection w:val="lrTb"/>
            <w:noWrap w:val="false"/>
          </w:tcPr>
          <w:p>
            <w:pPr>
              <w:pStyle w:val="919"/>
              <w:jc w:val="center"/>
              <w:spacing w:line="360" w:lineRule="auto"/>
              <w:rPr>
                <w:rFonts w:hint="eastAsia" w:ascii="宋体" w:hAnsi="宋体" w:cs="宋体"/>
                <w:b/>
                <w:bCs/>
                <w:sz w:val="24"/>
                <w:szCs w:val="32"/>
                <w:highlight w:val="none"/>
              </w:rPr>
            </w:pPr>
            <w:r>
              <w:rPr>
                <w:rFonts w:hint="eastAsia" w:ascii="宋体" w:hAnsi="宋体" w:cs="宋体"/>
                <w:b/>
                <w:bCs/>
                <w:sz w:val="24"/>
                <w:szCs w:val="32"/>
                <w:highlight w:val="none"/>
              </w:rPr>
              <w:t xml:space="preserve">规格</w:t>
            </w:r>
            <w:r>
              <w:rPr>
                <w:rFonts w:hint="eastAsia" w:ascii="宋体" w:hAnsi="宋体" w:cs="宋体"/>
                <w:b/>
                <w:bCs/>
                <w:sz w:val="24"/>
                <w:szCs w:val="32"/>
                <w:highlight w:val="none"/>
              </w:rPr>
            </w:r>
            <w:r/>
          </w:p>
        </w:tc>
        <w:tc>
          <w:tcPr>
            <w:tcW w:w="1426" w:type="dxa"/>
            <w:vAlign w:val="top"/>
            <w:textDirection w:val="lrTb"/>
            <w:noWrap w:val="false"/>
          </w:tcPr>
          <w:p>
            <w:pPr>
              <w:pStyle w:val="919"/>
              <w:jc w:val="center"/>
              <w:spacing w:line="360" w:lineRule="auto"/>
              <w:rPr>
                <w:rFonts w:hint="eastAsia" w:ascii="宋体" w:hAnsi="宋体" w:cs="宋体"/>
                <w:b/>
                <w:bCs/>
                <w:sz w:val="24"/>
                <w:szCs w:val="32"/>
                <w:highlight w:val="none"/>
              </w:rPr>
            </w:pPr>
            <w:r>
              <w:rPr>
                <w:rFonts w:hint="eastAsia" w:ascii="宋体" w:hAnsi="宋体" w:cs="宋体"/>
                <w:b/>
                <w:bCs/>
                <w:sz w:val="24"/>
                <w:szCs w:val="32"/>
                <w:highlight w:val="none"/>
              </w:rPr>
              <w:t xml:space="preserve">备注</w:t>
            </w:r>
            <w:r>
              <w:rPr>
                <w:rFonts w:hint="eastAsia" w:ascii="宋体" w:hAnsi="宋体" w:cs="宋体"/>
                <w:b/>
                <w:bCs/>
                <w:sz w:val="24"/>
                <w:szCs w:val="32"/>
                <w:highlight w:val="none"/>
              </w:rPr>
            </w:r>
            <w:r/>
          </w:p>
        </w:tc>
      </w:tr>
      <w:tr>
        <w:trPr/>
        <w:tc>
          <w:tcPr>
            <w:tcW w:w="390"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1</w:t>
            </w:r>
            <w:r>
              <w:rPr>
                <w:rFonts w:hint="eastAsia" w:ascii="宋体" w:hAnsi="宋体" w:cs="宋体"/>
                <w:spacing w:val="8"/>
                <w:szCs w:val="21"/>
                <w:highlight w:val="none"/>
              </w:rPr>
            </w:r>
            <w:r/>
          </w:p>
        </w:tc>
        <w:tc>
          <w:tcPr>
            <w:tcW w:w="2092"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茄克式长袖套装（春秋季劳保服）</w:t>
            </w:r>
            <w:r>
              <w:rPr>
                <w:rFonts w:hint="eastAsia" w:ascii="宋体" w:hAnsi="宋体" w:cs="宋体"/>
                <w:spacing w:val="8"/>
                <w:szCs w:val="21"/>
                <w:highlight w:val="none"/>
              </w:rPr>
            </w:r>
            <w:r/>
          </w:p>
        </w:tc>
        <w:tc>
          <w:tcPr>
            <w:tcW w:w="61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470"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175</w:t>
            </w:r>
            <w:r>
              <w:rPr>
                <w:rFonts w:hint="eastAsia" w:ascii="宋体" w:hAnsi="宋体" w:cs="宋体"/>
                <w:szCs w:val="21"/>
                <w:highlight w:val="none"/>
              </w:rPr>
            </w:r>
            <w:r/>
          </w:p>
        </w:tc>
        <w:tc>
          <w:tcPr>
            <w:tcW w:w="1426"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同时提供样衣外面料（主色）1份，尺寸：1米*1米</w:t>
            </w:r>
            <w:r>
              <w:rPr>
                <w:rFonts w:hint="eastAsia" w:ascii="宋体" w:hAnsi="宋体" w:cs="宋体"/>
                <w:szCs w:val="21"/>
                <w:highlight w:val="none"/>
              </w:rPr>
            </w:r>
            <w:r/>
          </w:p>
        </w:tc>
      </w:tr>
      <w:tr>
        <w:trPr/>
        <w:tc>
          <w:tcPr>
            <w:tcW w:w="390"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2</w:t>
            </w:r>
            <w:r>
              <w:rPr>
                <w:rFonts w:hint="eastAsia" w:ascii="宋体" w:hAnsi="宋体" w:cs="宋体"/>
                <w:spacing w:val="8"/>
                <w:szCs w:val="21"/>
                <w:highlight w:val="none"/>
              </w:rPr>
            </w:r>
            <w:r/>
          </w:p>
        </w:tc>
        <w:tc>
          <w:tcPr>
            <w:tcW w:w="2092"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连帽连体劳保服（春秋季连体劳保服）</w:t>
            </w:r>
            <w:r>
              <w:rPr>
                <w:rFonts w:hint="eastAsia" w:ascii="宋体" w:hAnsi="宋体" w:cs="宋体"/>
                <w:spacing w:val="8"/>
                <w:szCs w:val="21"/>
                <w:highlight w:val="none"/>
              </w:rPr>
            </w:r>
            <w:r/>
          </w:p>
        </w:tc>
        <w:tc>
          <w:tcPr>
            <w:tcW w:w="61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470"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175</w:t>
            </w:r>
            <w:r>
              <w:rPr>
                <w:rFonts w:hint="eastAsia" w:ascii="宋体" w:hAnsi="宋体" w:cs="宋体"/>
                <w:szCs w:val="21"/>
                <w:highlight w:val="none"/>
              </w:rPr>
            </w:r>
            <w:r/>
          </w:p>
        </w:tc>
        <w:tc>
          <w:tcPr>
            <w:tcW w:w="1426"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同时提供样衣外面料（主色）1份，尺寸：1米*1米</w:t>
            </w:r>
            <w:r>
              <w:rPr>
                <w:rFonts w:hint="eastAsia" w:ascii="宋体" w:hAnsi="宋体" w:cs="宋体"/>
                <w:szCs w:val="21"/>
                <w:highlight w:val="none"/>
              </w:rPr>
            </w:r>
            <w:r/>
          </w:p>
        </w:tc>
      </w:tr>
      <w:tr>
        <w:trPr/>
        <w:tc>
          <w:tcPr>
            <w:tcW w:w="390"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3</w:t>
            </w:r>
            <w:r>
              <w:rPr>
                <w:rFonts w:hint="eastAsia" w:ascii="宋体" w:hAnsi="宋体" w:cs="宋体"/>
                <w:spacing w:val="8"/>
                <w:szCs w:val="21"/>
                <w:highlight w:val="none"/>
              </w:rPr>
            </w:r>
            <w:r/>
          </w:p>
        </w:tc>
        <w:tc>
          <w:tcPr>
            <w:tcW w:w="2092"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茄克式长袖套装（夏季劳保服）</w:t>
            </w:r>
            <w:r>
              <w:rPr>
                <w:rFonts w:hint="eastAsia" w:ascii="宋体" w:hAnsi="宋体" w:cs="宋体"/>
                <w:spacing w:val="8"/>
                <w:szCs w:val="21"/>
                <w:highlight w:val="none"/>
              </w:rPr>
            </w:r>
            <w:r/>
          </w:p>
        </w:tc>
        <w:tc>
          <w:tcPr>
            <w:tcW w:w="61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470"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175</w:t>
            </w:r>
            <w:r>
              <w:rPr>
                <w:rFonts w:hint="eastAsia" w:ascii="宋体" w:hAnsi="宋体" w:cs="宋体"/>
                <w:szCs w:val="21"/>
                <w:highlight w:val="none"/>
              </w:rPr>
            </w:r>
            <w:r/>
          </w:p>
        </w:tc>
        <w:tc>
          <w:tcPr>
            <w:tcW w:w="1426"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同时提供样衣外面料（主色）1份，尺寸：1米*1米</w:t>
            </w:r>
            <w:r>
              <w:rPr>
                <w:rFonts w:hint="eastAsia" w:ascii="宋体" w:hAnsi="宋体" w:cs="宋体"/>
                <w:szCs w:val="21"/>
                <w:highlight w:val="none"/>
              </w:rPr>
            </w:r>
            <w:r/>
          </w:p>
        </w:tc>
      </w:tr>
      <w:tr>
        <w:trPr/>
        <w:tc>
          <w:tcPr>
            <w:tcW w:w="390"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w:t>
            </w:r>
            <w:r>
              <w:rPr>
                <w:rFonts w:hint="eastAsia" w:ascii="宋体" w:hAnsi="宋体" w:cs="宋体"/>
                <w:spacing w:val="8"/>
                <w:szCs w:val="21"/>
                <w:highlight w:val="none"/>
              </w:rPr>
            </w:r>
            <w:r/>
          </w:p>
        </w:tc>
        <w:tc>
          <w:tcPr>
            <w:tcW w:w="2092"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冲锋衣防寒服 （冬季劳保服）</w:t>
            </w:r>
            <w:r>
              <w:rPr>
                <w:rFonts w:hint="eastAsia" w:ascii="宋体" w:hAnsi="宋体" w:cs="宋体"/>
                <w:spacing w:val="8"/>
                <w:szCs w:val="21"/>
                <w:highlight w:val="none"/>
              </w:rPr>
            </w:r>
            <w:r/>
          </w:p>
        </w:tc>
        <w:tc>
          <w:tcPr>
            <w:tcW w:w="61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470"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175</w:t>
            </w:r>
            <w:r>
              <w:rPr>
                <w:rFonts w:hint="eastAsia" w:ascii="宋体" w:hAnsi="宋体" w:cs="宋体"/>
                <w:szCs w:val="21"/>
                <w:highlight w:val="none"/>
              </w:rPr>
            </w:r>
            <w:r/>
          </w:p>
        </w:tc>
        <w:tc>
          <w:tcPr>
            <w:tcW w:w="1426"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同时提供样衣外面料（主色）1份，尺寸：1米*1米</w:t>
            </w:r>
            <w:r>
              <w:rPr>
                <w:rFonts w:hint="eastAsia" w:ascii="宋体" w:hAnsi="宋体" w:cs="宋体"/>
                <w:szCs w:val="21"/>
                <w:highlight w:val="none"/>
              </w:rPr>
            </w:r>
            <w:r/>
          </w:p>
        </w:tc>
      </w:tr>
    </w:tbl>
    <w:p>
      <w:pPr>
        <w:pStyle w:val="919"/>
        <w:ind w:firstLine="415"/>
        <w:spacing w:line="360" w:lineRule="auto"/>
        <w:widowControl/>
        <w:rPr>
          <w:rFonts w:hint="eastAsia" w:ascii="宋体" w:hAnsi="宋体" w:cs="宋体"/>
          <w:sz w:val="24"/>
          <w:highlight w:val="none"/>
        </w:rPr>
      </w:pPr>
      <w:r>
        <w:rPr>
          <w:rFonts w:hint="eastAsia" w:ascii="宋体" w:hAnsi="宋体" w:cs="宋体"/>
          <w:sz w:val="24"/>
          <w:highlight w:val="none"/>
        </w:rPr>
        <w:t xml:space="preserve">2.样品递交时间及地点要求：</w:t>
      </w:r>
      <w:r>
        <w:rPr>
          <w:rFonts w:hint="eastAsia" w:ascii="宋体" w:hAnsi="宋体" w:cs="宋体"/>
          <w:sz w:val="24"/>
          <w:highlight w:val="none"/>
        </w:rPr>
      </w:r>
      <w:r/>
    </w:p>
    <w:p>
      <w:pPr>
        <w:pStyle w:val="919"/>
        <w:ind w:firstLine="415"/>
        <w:spacing w:line="360" w:lineRule="auto"/>
        <w:widowControl/>
        <w:rPr>
          <w:rFonts w:hint="eastAsia" w:ascii="宋体" w:hAnsi="宋体" w:cs="宋体"/>
          <w:sz w:val="24"/>
          <w:highlight w:val="none"/>
        </w:rPr>
      </w:pPr>
      <w:r>
        <w:rPr>
          <w:rFonts w:hint="eastAsia" w:ascii="宋体" w:hAnsi="宋体" w:cs="宋体"/>
          <w:sz w:val="24"/>
          <w:highlight w:val="none"/>
        </w:rPr>
        <w:t xml:space="preserve">样品递送时间：2026年</w:t>
      </w:r>
      <w:r>
        <w:rPr>
          <w:rFonts w:hint="eastAsia" w:ascii="宋体" w:hAnsi="宋体" w:cs="宋体"/>
          <w:sz w:val="24"/>
          <w:highlight w:val="none"/>
        </w:rPr>
        <w:t xml:space="preserve">10月</w:t>
      </w:r>
      <w:r>
        <w:rPr>
          <w:rFonts w:hint="eastAsia" w:ascii="宋体" w:hAnsi="宋体" w:cs="宋体"/>
          <w:sz w:val="24"/>
          <w:highlight w:val="none"/>
          <w:lang w:val="en-US" w:eastAsia="zh-CN"/>
        </w:rPr>
        <w:t xml:space="preserve">21</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8</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45</w:t>
      </w:r>
      <w:r>
        <w:rPr>
          <w:rFonts w:hint="eastAsia" w:ascii="宋体" w:hAnsi="宋体" w:cs="宋体"/>
          <w:sz w:val="24"/>
          <w:highlight w:val="none"/>
        </w:rPr>
        <w:t xml:space="preserve">至</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r>
        <w:rPr>
          <w:rFonts w:hint="eastAsia" w:ascii="宋体" w:hAnsi="宋体" w:cs="宋体"/>
          <w:sz w:val="24"/>
          <w:highlight w:val="none"/>
        </w:rPr>
        <w:t xml:space="preserve">（北京时间）。</w:t>
      </w:r>
      <w:r>
        <w:rPr>
          <w:rFonts w:hint="eastAsia" w:ascii="宋体" w:hAnsi="宋体" w:cs="宋体"/>
          <w:sz w:val="24"/>
          <w:highlight w:val="none"/>
        </w:rPr>
      </w:r>
      <w:r/>
    </w:p>
    <w:p>
      <w:pPr>
        <w:pStyle w:val="919"/>
        <w:ind w:firstLine="415"/>
        <w:spacing w:line="360" w:lineRule="auto"/>
        <w:widowControl/>
        <w:rPr>
          <w:rFonts w:hint="eastAsia" w:ascii="宋体" w:hAnsi="宋体" w:eastAsia="宋体" w:cs="宋体"/>
          <w:sz w:val="24"/>
          <w:highlight w:val="none"/>
          <w:lang w:eastAsia="zh-CN"/>
        </w:rPr>
      </w:pPr>
      <w:r>
        <w:rPr>
          <w:rFonts w:hint="eastAsia" w:ascii="宋体" w:hAnsi="宋体" w:cs="宋体"/>
          <w:sz w:val="24"/>
          <w:highlight w:val="none"/>
        </w:rPr>
        <w:t xml:space="preserve">样品递送</w:t>
      </w:r>
      <w:r>
        <w:rPr>
          <w:rFonts w:hint="eastAsia" w:ascii="宋体" w:hAnsi="宋体" w:cs="宋体"/>
          <w:sz w:val="24"/>
          <w:highlight w:val="none"/>
          <w:lang w:val="en-US" w:eastAsia="zh-CN"/>
        </w:rPr>
        <w:t xml:space="preserve">截止</w:t>
      </w:r>
      <w:r>
        <w:rPr>
          <w:rFonts w:hint="eastAsia" w:ascii="宋体" w:hAnsi="宋体" w:cs="宋体"/>
          <w:sz w:val="24"/>
          <w:highlight w:val="none"/>
        </w:rPr>
        <w:t xml:space="preserve">时间：2026年</w:t>
      </w:r>
      <w:r>
        <w:rPr>
          <w:rFonts w:hint="eastAsia" w:ascii="宋体" w:hAnsi="宋体" w:cs="宋体"/>
          <w:sz w:val="24"/>
          <w:highlight w:val="none"/>
        </w:rPr>
        <w:t xml:space="preserve">10月</w:t>
      </w:r>
      <w:r>
        <w:rPr>
          <w:rFonts w:hint="eastAsia" w:ascii="宋体" w:hAnsi="宋体" w:cs="宋体"/>
          <w:sz w:val="24"/>
          <w:highlight w:val="none"/>
          <w:lang w:val="en-US" w:eastAsia="zh-CN"/>
        </w:rPr>
        <w:t xml:space="preserve">21</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9</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r>
        <w:rPr>
          <w:rFonts w:hint="eastAsia" w:ascii="宋体" w:hAnsi="宋体" w:cs="宋体"/>
          <w:sz w:val="24"/>
          <w:highlight w:val="none"/>
        </w:rPr>
        <w:t xml:space="preserve">（北京时间）</w:t>
      </w:r>
      <w:r>
        <w:rPr>
          <w:rFonts w:hint="eastAsia" w:ascii="宋体" w:hAnsi="宋体" w:cs="宋体"/>
          <w:sz w:val="24"/>
          <w:highlight w:val="none"/>
          <w:lang w:eastAsia="zh-CN"/>
        </w:rPr>
        <w:t xml:space="preserve">。</w:t>
      </w:r>
      <w:r>
        <w:rPr>
          <w:rFonts w:hint="eastAsia" w:ascii="宋体" w:hAnsi="宋体" w:eastAsia="宋体" w:cs="宋体"/>
          <w:sz w:val="24"/>
          <w:highlight w:val="none"/>
          <w:lang w:eastAsia="zh-CN"/>
        </w:rPr>
      </w:r>
      <w:r/>
    </w:p>
    <w:p>
      <w:pPr>
        <w:pStyle w:val="919"/>
        <w:ind w:firstLine="415"/>
        <w:spacing w:line="360" w:lineRule="auto"/>
        <w:widowControl/>
        <w:rPr>
          <w:rFonts w:hint="eastAsia" w:ascii="宋体" w:hAnsi="宋体" w:cs="宋体"/>
          <w:sz w:val="24"/>
          <w:highlight w:val="none"/>
        </w:rPr>
      </w:pPr>
      <w:r>
        <w:rPr>
          <w:rFonts w:hint="eastAsia" w:ascii="宋体" w:hAnsi="宋体" w:cs="宋体"/>
          <w:sz w:val="24"/>
          <w:highlight w:val="none"/>
        </w:rPr>
        <w:t xml:space="preserve">样品递送地点：南京市建邺区云龙山路58号大唐科技大厦A座高区14楼</w:t>
      </w:r>
      <w:r>
        <w:rPr>
          <w:rFonts w:hint="eastAsia" w:ascii="宋体" w:hAnsi="宋体" w:cs="宋体"/>
          <w:sz w:val="24"/>
          <w:highlight w:val="none"/>
          <w:lang w:eastAsia="zh-CN"/>
        </w:rPr>
        <w:t xml:space="preserve">开标二厅</w:t>
      </w:r>
      <w:r>
        <w:rPr>
          <w:rFonts w:hint="eastAsia" w:ascii="宋体" w:hAnsi="宋体" w:cs="宋体"/>
          <w:sz w:val="24"/>
          <w:highlight w:val="none"/>
        </w:rPr>
        <w:t xml:space="preserve">（或送至代理机构工作人员指定评标室）。</w:t>
      </w:r>
      <w:r>
        <w:rPr>
          <w:rFonts w:hint="eastAsia" w:ascii="宋体" w:hAnsi="宋体" w:cs="宋体"/>
          <w:sz w:val="24"/>
          <w:highlight w:val="none"/>
        </w:rPr>
      </w:r>
      <w:r/>
    </w:p>
    <w:p>
      <w:pPr>
        <w:pStyle w:val="919"/>
        <w:ind w:firstLine="415"/>
        <w:spacing w:line="360" w:lineRule="auto"/>
        <w:widowControl/>
        <w:rPr>
          <w:rFonts w:hint="eastAsia" w:ascii="宋体" w:hAnsi="宋体" w:cs="宋体"/>
          <w:sz w:val="24"/>
          <w:highlight w:val="none"/>
        </w:rPr>
      </w:pPr>
      <w:r>
        <w:rPr>
          <w:rFonts w:hint="eastAsia" w:ascii="宋体" w:hAnsi="宋体" w:cs="宋体"/>
          <w:sz w:val="24"/>
          <w:highlight w:val="none"/>
        </w:rPr>
        <w:t xml:space="preserve">联系人：吴昊、方东  025-84795433、15195998576</w:t>
      </w:r>
      <w:r>
        <w:rPr>
          <w:rFonts w:hint="eastAsia" w:ascii="宋体" w:hAnsi="宋体" w:cs="宋体"/>
          <w:sz w:val="24"/>
          <w:highlight w:val="none"/>
        </w:rPr>
      </w:r>
      <w:r/>
    </w:p>
    <w:p>
      <w:pPr>
        <w:pStyle w:val="919"/>
        <w:ind w:firstLine="415"/>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919"/>
        <w:ind w:firstLine="417"/>
        <w:spacing w:line="360" w:lineRule="auto"/>
        <w:widowControl/>
        <w:rPr>
          <w:rFonts w:hint="eastAsia" w:ascii="宋体" w:hAnsi="宋体" w:cs="宋体"/>
          <w:b/>
          <w:sz w:val="24"/>
          <w:highlight w:val="none"/>
        </w:rPr>
      </w:pPr>
      <w:r>
        <w:rPr>
          <w:rFonts w:hint="eastAsia" w:ascii="宋体" w:hAnsi="宋体" w:cs="宋体"/>
          <w:b/>
          <w:sz w:val="24"/>
          <w:highlight w:val="none"/>
        </w:rPr>
        <w:t xml:space="preserve">不按上述现场送样要求送样的，样品评价不得分。</w:t>
      </w:r>
      <w:r>
        <w:rPr>
          <w:rFonts w:hint="eastAsia" w:ascii="宋体" w:hAnsi="宋体" w:cs="宋体"/>
          <w:b/>
          <w:sz w:val="24"/>
          <w:highlight w:val="none"/>
        </w:rPr>
      </w:r>
      <w:r/>
    </w:p>
    <w:p>
      <w:pPr>
        <w:pStyle w:val="919"/>
        <w:ind w:firstLine="415"/>
        <w:spacing w:line="360" w:lineRule="auto"/>
        <w:widowControl/>
        <w:rPr>
          <w:rFonts w:hint="eastAsia" w:ascii="宋体" w:hAnsi="宋体" w:cs="宋体"/>
          <w:sz w:val="24"/>
          <w:highlight w:val="none"/>
        </w:rPr>
      </w:pPr>
      <w:r>
        <w:rPr>
          <w:rFonts w:hint="eastAsia" w:ascii="宋体" w:hAnsi="宋体" w:cs="宋体"/>
          <w:sz w:val="24"/>
          <w:highlight w:val="none"/>
        </w:rPr>
        <w:t xml:space="preserve">本次招标现场，统一要求投标人自带衣架、落地晾衣架等方便展示样衣。</w:t>
      </w:r>
      <w:r>
        <w:rPr>
          <w:rFonts w:hint="eastAsia" w:ascii="宋体" w:hAnsi="宋体" w:cs="宋体"/>
          <w:sz w:val="24"/>
          <w:highlight w:val="none"/>
        </w:rPr>
      </w:r>
      <w:r/>
    </w:p>
    <w:p>
      <w:pPr>
        <w:pStyle w:val="919"/>
        <w:ind w:firstLine="415"/>
        <w:spacing w:line="360" w:lineRule="auto"/>
        <w:widowControl/>
        <w:rPr>
          <w:rFonts w:hint="eastAsia" w:ascii="宋体" w:hAnsi="宋体" w:cs="宋体"/>
          <w:sz w:val="24"/>
          <w:highlight w:val="none"/>
        </w:rPr>
      </w:pPr>
      <w:r>
        <w:rPr>
          <w:rFonts w:hint="eastAsia" w:ascii="宋体" w:hAnsi="宋体" w:cs="宋体"/>
          <w:sz w:val="24"/>
          <w:highlight w:val="none"/>
        </w:rPr>
        <w:t xml:space="preserve">所有投标人递交样品在评审结束后由招标代理机构统一封存，待招标代理机构统一通知各投标人按规定将样品取回，未按规定时间领取的样品由江苏海外集团国际工程咨询有限公司自行处理。</w:t>
      </w:r>
      <w:r>
        <w:rPr>
          <w:rFonts w:hint="eastAsia" w:ascii="宋体" w:hAnsi="宋体" w:cs="宋体"/>
          <w:sz w:val="24"/>
          <w:highlight w:val="none"/>
        </w:rPr>
      </w:r>
      <w:r/>
    </w:p>
    <w:p>
      <w:pPr>
        <w:pStyle w:val="919"/>
        <w:ind w:firstLine="420"/>
        <w:spacing w:line="360" w:lineRule="auto"/>
        <w:rPr>
          <w:rFonts w:hint="eastAsia" w:ascii="宋体" w:hAnsi="宋体" w:cs="宋体"/>
          <w:bCs/>
          <w:szCs w:val="21"/>
          <w:highlight w:val="none"/>
        </w:rPr>
      </w:pPr>
      <w:r/>
      <w:bookmarkStart w:id="95" w:name="_Toc43902851"/>
      <w:r>
        <w:rPr>
          <w:rFonts w:hint="eastAsia" w:ascii="宋体" w:hAnsi="宋体" w:cs="宋体"/>
          <w:bCs/>
          <w:szCs w:val="21"/>
          <w:highlight w:val="none"/>
        </w:rPr>
        <w:br w:type="page" w:clear="all"/>
      </w:r>
      <w:r>
        <w:rPr>
          <w:rFonts w:hint="eastAsia" w:ascii="宋体" w:hAnsi="宋体" w:cs="宋体"/>
          <w:bCs/>
          <w:szCs w:val="21"/>
          <w:highlight w:val="none"/>
        </w:rPr>
      </w:r>
      <w:r/>
    </w:p>
    <w:p>
      <w:pPr>
        <w:pStyle w:val="920"/>
        <w:numPr>
          <w:ilvl w:val="0"/>
          <w:numId w:val="0"/>
        </w:numPr>
        <w:spacing w:before="0" w:after="0" w:line="360" w:lineRule="auto"/>
        <w:rPr>
          <w:rFonts w:hint="eastAsia" w:ascii="宋体" w:hAnsi="宋体" w:cs="宋体"/>
          <w:highlight w:val="none"/>
        </w:rPr>
      </w:pPr>
      <w:r/>
      <w:bookmarkEnd w:id="95"/>
      <w:r/>
      <w:bookmarkStart w:id="96" w:name="_Toc18961"/>
      <w:r/>
      <w:bookmarkStart w:id="97" w:name="_Toc481057147"/>
      <w:r/>
      <w:bookmarkStart w:id="98" w:name="_Toc5975"/>
      <w:r/>
      <w:bookmarkStart w:id="99" w:name="_Toc43902852"/>
      <w:r>
        <w:rPr>
          <w:rFonts w:hint="eastAsia" w:ascii="宋体" w:hAnsi="宋体" w:cs="宋体"/>
          <w:highlight w:val="none"/>
        </w:rPr>
        <w:t xml:space="preserve">第四章 采购需求</w:t>
      </w:r>
      <w:bookmarkEnd w:id="96"/>
      <w:r>
        <w:rPr>
          <w:rFonts w:hint="eastAsia" w:ascii="宋体" w:hAnsi="宋体" w:cs="宋体"/>
          <w:highlight w:val="none"/>
        </w:rPr>
      </w:r>
      <w:r/>
    </w:p>
    <w:p>
      <w:pPr>
        <w:pStyle w:val="919"/>
        <w:ind w:firstLine="562"/>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一、项目背景及简介</w:t>
      </w:r>
      <w:r>
        <w:rPr>
          <w:rFonts w:hint="eastAsia" w:ascii="宋体" w:hAnsi="宋体" w:cs="宋体"/>
          <w:b/>
          <w:sz w:val="28"/>
          <w:szCs w:val="28"/>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1、项目名称：江苏省特种设备安全监督检验研究院拟对劳保服装进行采购。</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2、采购需求简介：江苏省特种设备安全监督检验研究院拟对劳保服装进行采购。本项目为1个采购分包（标段），采购内容包含茄克式长袖套装（夏季劳保服）、茄克式长袖套装（春秋季劳保服）、冲锋衣防寒服 （冬季劳保服）、连帽连体劳保服（春秋季连体劳保服）及相关服务。</w:t>
      </w:r>
      <w:r>
        <w:rPr>
          <w:rFonts w:hint="eastAsia" w:ascii="宋体" w:hAnsi="宋体" w:cs="宋体"/>
          <w:bCs/>
          <w:sz w:val="24"/>
          <w:highlight w:val="none"/>
        </w:rPr>
      </w:r>
      <w:r/>
    </w:p>
    <w:p>
      <w:pPr>
        <w:pStyle w:val="919"/>
        <w:jc w:val="center"/>
        <w:spacing w:line="360" w:lineRule="auto"/>
        <w:widowControl/>
        <w:rPr>
          <w:rFonts w:hint="eastAsia" w:ascii="宋体" w:hAnsi="宋体" w:cs="宋体"/>
          <w:highlight w:val="none"/>
        </w:rPr>
      </w:pPr>
      <w:r>
        <w:rPr>
          <w:rFonts w:hint="eastAsia" w:ascii="宋体" w:hAnsi="宋体" w:cs="宋体"/>
          <w:b/>
          <w:bCs/>
          <w:spacing w:val="8"/>
          <w:sz w:val="24"/>
          <w:highlight w:val="none"/>
        </w:rPr>
        <w:t xml:space="preserve">表1-1 采购需求一览表</w:t>
      </w:r>
      <w:r>
        <w:rPr>
          <w:rFonts w:hint="eastAsia" w:ascii="宋体" w:hAnsi="宋体" w:cs="宋体"/>
          <w:highlight w:val="none"/>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9"/>
        <w:gridCol w:w="2618"/>
        <w:gridCol w:w="1119"/>
        <w:gridCol w:w="1550"/>
        <w:gridCol w:w="1576"/>
        <w:gridCol w:w="1497"/>
        <w:gridCol w:w="825"/>
      </w:tblGrid>
      <w:tr>
        <w:trPr>
          <w:trHeight w:val="946"/>
        </w:trPr>
        <w:tc>
          <w:tcPr>
            <w:tcW w:w="377"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序号</w:t>
            </w:r>
            <w:r>
              <w:rPr>
                <w:rFonts w:hint="eastAsia" w:ascii="宋体" w:hAnsi="宋体" w:cs="宋体"/>
                <w:spacing w:val="8"/>
                <w:szCs w:val="21"/>
                <w:highlight w:val="none"/>
              </w:rPr>
            </w:r>
            <w:r/>
          </w:p>
        </w:tc>
        <w:tc>
          <w:tcPr>
            <w:tcW w:w="1316"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采购品目</w:t>
            </w:r>
            <w:r>
              <w:rPr>
                <w:rFonts w:hint="eastAsia" w:ascii="宋体" w:hAnsi="宋体" w:cs="宋体"/>
                <w:spacing w:val="8"/>
                <w:szCs w:val="21"/>
                <w:highlight w:val="none"/>
              </w:rPr>
            </w:r>
            <w:r/>
          </w:p>
        </w:tc>
        <w:tc>
          <w:tcPr>
            <w:tcW w:w="563"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数量</w:t>
            </w:r>
            <w:r>
              <w:rPr>
                <w:rFonts w:hint="eastAsia" w:ascii="宋体" w:hAnsi="宋体" w:cs="宋体"/>
                <w:spacing w:val="8"/>
                <w:szCs w:val="21"/>
                <w:highlight w:val="none"/>
              </w:rPr>
            </w:r>
            <w:r/>
          </w:p>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（套）</w:t>
            </w:r>
            <w:r>
              <w:rPr>
                <w:rFonts w:hint="eastAsia" w:ascii="宋体" w:hAnsi="宋体" w:cs="宋体"/>
                <w:spacing w:val="8"/>
                <w:szCs w:val="21"/>
                <w:highlight w:val="none"/>
              </w:rPr>
            </w:r>
            <w:r/>
          </w:p>
        </w:tc>
        <w:tc>
          <w:tcPr>
            <w:tcW w:w="780"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单价/限价</w:t>
            </w:r>
            <w:r>
              <w:rPr>
                <w:rFonts w:hint="eastAsia" w:ascii="宋体" w:hAnsi="宋体" w:cs="宋体"/>
                <w:spacing w:val="8"/>
                <w:szCs w:val="21"/>
                <w:highlight w:val="none"/>
              </w:rPr>
            </w:r>
            <w:r/>
          </w:p>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（元/套）</w:t>
            </w:r>
            <w:r>
              <w:rPr>
                <w:rFonts w:hint="eastAsia" w:ascii="宋体" w:hAnsi="宋体" w:cs="宋体"/>
                <w:spacing w:val="8"/>
                <w:szCs w:val="21"/>
                <w:highlight w:val="none"/>
              </w:rPr>
            </w:r>
            <w:r/>
          </w:p>
        </w:tc>
        <w:tc>
          <w:tcPr>
            <w:tcW w:w="793"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总价/限价</w:t>
            </w:r>
            <w:r>
              <w:rPr>
                <w:rFonts w:hint="eastAsia" w:ascii="宋体" w:hAnsi="宋体" w:cs="宋体"/>
                <w:spacing w:val="8"/>
                <w:szCs w:val="21"/>
                <w:highlight w:val="none"/>
              </w:rPr>
            </w:r>
            <w:r/>
          </w:p>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（元）</w:t>
            </w:r>
            <w:r>
              <w:rPr>
                <w:rFonts w:hint="eastAsia" w:ascii="宋体" w:hAnsi="宋体" w:cs="宋体"/>
                <w:spacing w:val="8"/>
                <w:szCs w:val="21"/>
                <w:highlight w:val="none"/>
              </w:rPr>
            </w:r>
            <w:r/>
          </w:p>
        </w:tc>
        <w:tc>
          <w:tcPr>
            <w:tcW w:w="753"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是否接受进口产品投标</w:t>
            </w:r>
            <w:r>
              <w:rPr>
                <w:rFonts w:hint="eastAsia" w:ascii="宋体" w:hAnsi="宋体" w:cs="宋体"/>
                <w:spacing w:val="8"/>
                <w:szCs w:val="21"/>
                <w:highlight w:val="none"/>
              </w:rPr>
            </w:r>
            <w:r/>
          </w:p>
        </w:tc>
        <w:tc>
          <w:tcPr>
            <w:tcW w:w="415"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备注</w:t>
            </w:r>
            <w:r>
              <w:rPr>
                <w:rFonts w:hint="eastAsia" w:ascii="宋体" w:hAnsi="宋体" w:cs="宋体"/>
                <w:spacing w:val="8"/>
                <w:szCs w:val="21"/>
                <w:highlight w:val="none"/>
              </w:rPr>
            </w:r>
            <w:r/>
          </w:p>
        </w:tc>
      </w:tr>
      <w:tr>
        <w:trPr>
          <w:trHeight w:val="498"/>
        </w:trPr>
        <w:tc>
          <w:tcPr>
            <w:tcW w:w="377"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1</w:t>
            </w:r>
            <w:r>
              <w:rPr>
                <w:rFonts w:hint="eastAsia" w:ascii="宋体" w:hAnsi="宋体" w:cs="宋体"/>
                <w:spacing w:val="8"/>
                <w:szCs w:val="21"/>
                <w:highlight w:val="none"/>
              </w:rPr>
            </w:r>
            <w:r/>
          </w:p>
        </w:tc>
        <w:tc>
          <w:tcPr>
            <w:tcW w:w="1316"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茄克式长袖套装（夏季劳保服）</w:t>
            </w:r>
            <w:r>
              <w:rPr>
                <w:rFonts w:hint="eastAsia" w:ascii="宋体" w:hAnsi="宋体" w:cs="宋体"/>
                <w:spacing w:val="8"/>
                <w:szCs w:val="21"/>
                <w:highlight w:val="none"/>
              </w:rPr>
            </w:r>
            <w:r/>
          </w:p>
        </w:tc>
        <w:tc>
          <w:tcPr>
            <w:tcW w:w="563"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2718</w:t>
            </w:r>
            <w:r>
              <w:rPr>
                <w:rFonts w:ascii="宋体" w:hAnsi="宋体" w:cs="宋体"/>
                <w:highlight w:val="none"/>
              </w:rPr>
            </w:r>
            <w:r/>
          </w:p>
        </w:tc>
        <w:tc>
          <w:tcPr>
            <w:tcW w:w="780"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250</w:t>
            </w:r>
            <w:r>
              <w:rPr>
                <w:rFonts w:hint="eastAsia" w:ascii="宋体" w:hAnsi="宋体" w:cs="宋体"/>
                <w:highlight w:val="none"/>
              </w:rPr>
            </w:r>
            <w:r/>
          </w:p>
        </w:tc>
        <w:tc>
          <w:tcPr>
            <w:tcW w:w="793"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679500</w:t>
            </w:r>
            <w:r>
              <w:rPr>
                <w:rFonts w:ascii="宋体" w:hAnsi="宋体" w:cs="宋体"/>
                <w:highlight w:val="none"/>
              </w:rPr>
            </w:r>
            <w:r/>
          </w:p>
        </w:tc>
        <w:tc>
          <w:tcPr>
            <w:tcW w:w="753"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415"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r>
            <w:r/>
          </w:p>
        </w:tc>
      </w:tr>
      <w:tr>
        <w:trPr>
          <w:trHeight w:val="498"/>
        </w:trPr>
        <w:tc>
          <w:tcPr>
            <w:tcW w:w="377" w:type="dxa"/>
            <w:vAlign w:val="center"/>
            <w:textDirection w:val="lrTb"/>
            <w:noWrap w:val="false"/>
          </w:tcPr>
          <w:p>
            <w:pPr>
              <w:pStyle w:val="919"/>
              <w:jc w:val="center"/>
              <w:widowControl/>
              <w:rPr>
                <w:rFonts w:ascii="宋体" w:hAnsi="宋体" w:cs="宋体"/>
                <w:spacing w:val="8"/>
                <w:szCs w:val="21"/>
                <w:highlight w:val="none"/>
              </w:rPr>
            </w:pPr>
            <w:r>
              <w:rPr>
                <w:rFonts w:hint="eastAsia" w:ascii="宋体" w:hAnsi="宋体" w:cs="宋体"/>
                <w:spacing w:val="8"/>
                <w:szCs w:val="21"/>
                <w:highlight w:val="none"/>
              </w:rPr>
              <w:t xml:space="preserve">2</w:t>
            </w:r>
            <w:r>
              <w:rPr>
                <w:rFonts w:ascii="宋体" w:hAnsi="宋体" w:cs="宋体"/>
                <w:spacing w:val="8"/>
                <w:szCs w:val="21"/>
                <w:highlight w:val="none"/>
              </w:rPr>
            </w:r>
            <w:r/>
          </w:p>
        </w:tc>
        <w:tc>
          <w:tcPr>
            <w:tcW w:w="1316"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茄克式长袖套装（春秋季劳保服）</w:t>
            </w:r>
            <w:r>
              <w:rPr>
                <w:rFonts w:hint="eastAsia" w:ascii="宋体" w:hAnsi="宋体" w:cs="宋体"/>
                <w:spacing w:val="8"/>
                <w:szCs w:val="21"/>
                <w:highlight w:val="none"/>
              </w:rPr>
            </w:r>
            <w:r/>
          </w:p>
        </w:tc>
        <w:tc>
          <w:tcPr>
            <w:tcW w:w="563" w:type="dxa"/>
            <w:vAlign w:val="center"/>
            <w:textDirection w:val="lrTb"/>
            <w:noWrap w:val="false"/>
          </w:tcPr>
          <w:p>
            <w:pPr>
              <w:pStyle w:val="919"/>
              <w:jc w:val="center"/>
              <w:widowControl/>
              <w:rPr>
                <w:rFonts w:hint="eastAsia" w:ascii="宋体" w:hAnsi="宋体" w:cs="宋体"/>
                <w:szCs w:val="28"/>
                <w:highlight w:val="none"/>
              </w:rPr>
            </w:pPr>
            <w:r>
              <w:rPr>
                <w:rFonts w:hint="eastAsia" w:ascii="宋体" w:hAnsi="宋体" w:cs="宋体"/>
                <w:szCs w:val="28"/>
                <w:highlight w:val="none"/>
              </w:rPr>
              <w:t xml:space="preserve">2143</w:t>
            </w:r>
            <w:r>
              <w:rPr>
                <w:rFonts w:hint="eastAsia" w:ascii="宋体" w:hAnsi="宋体" w:cs="宋体"/>
                <w:szCs w:val="28"/>
                <w:highlight w:val="none"/>
              </w:rPr>
            </w:r>
            <w:r/>
          </w:p>
        </w:tc>
        <w:tc>
          <w:tcPr>
            <w:tcW w:w="780"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280</w:t>
            </w:r>
            <w:r>
              <w:rPr>
                <w:rFonts w:hint="eastAsia" w:ascii="宋体" w:hAnsi="宋体" w:cs="宋体"/>
                <w:highlight w:val="none"/>
              </w:rPr>
            </w:r>
            <w:r/>
          </w:p>
        </w:tc>
        <w:tc>
          <w:tcPr>
            <w:tcW w:w="793"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600040</w:t>
            </w:r>
            <w:r>
              <w:rPr>
                <w:rFonts w:hint="eastAsia" w:ascii="宋体" w:hAnsi="宋体" w:cs="宋体"/>
                <w:highlight w:val="none"/>
              </w:rPr>
            </w:r>
            <w:r/>
          </w:p>
        </w:tc>
        <w:tc>
          <w:tcPr>
            <w:tcW w:w="753"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415"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r>
            <w:r/>
          </w:p>
        </w:tc>
      </w:tr>
      <w:tr>
        <w:trPr>
          <w:trHeight w:val="498"/>
        </w:trPr>
        <w:tc>
          <w:tcPr>
            <w:tcW w:w="377" w:type="dxa"/>
            <w:vAlign w:val="center"/>
            <w:textDirection w:val="lrTb"/>
            <w:noWrap w:val="false"/>
          </w:tcPr>
          <w:p>
            <w:pPr>
              <w:pStyle w:val="919"/>
              <w:jc w:val="center"/>
              <w:widowControl/>
              <w:rPr>
                <w:rFonts w:ascii="宋体" w:hAnsi="宋体" w:cs="宋体"/>
                <w:spacing w:val="8"/>
                <w:szCs w:val="21"/>
                <w:highlight w:val="none"/>
              </w:rPr>
            </w:pPr>
            <w:r>
              <w:rPr>
                <w:rFonts w:hint="eastAsia" w:ascii="宋体" w:hAnsi="宋体" w:cs="宋体"/>
                <w:spacing w:val="8"/>
                <w:szCs w:val="21"/>
                <w:highlight w:val="none"/>
              </w:rPr>
              <w:t xml:space="preserve">3</w:t>
            </w:r>
            <w:r>
              <w:rPr>
                <w:rFonts w:ascii="宋体" w:hAnsi="宋体" w:cs="宋体"/>
                <w:spacing w:val="8"/>
                <w:szCs w:val="21"/>
                <w:highlight w:val="none"/>
              </w:rPr>
            </w:r>
            <w:r/>
          </w:p>
        </w:tc>
        <w:tc>
          <w:tcPr>
            <w:tcW w:w="1316"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冲锋衣防寒服 （冬季劳保服）</w:t>
            </w:r>
            <w:r>
              <w:rPr>
                <w:rFonts w:hint="eastAsia" w:ascii="宋体" w:hAnsi="宋体" w:cs="宋体"/>
                <w:spacing w:val="8"/>
                <w:szCs w:val="21"/>
                <w:highlight w:val="none"/>
              </w:rPr>
            </w:r>
            <w:r/>
          </w:p>
        </w:tc>
        <w:tc>
          <w:tcPr>
            <w:tcW w:w="563" w:type="dxa"/>
            <w:vAlign w:val="center"/>
            <w:textDirection w:val="lrTb"/>
            <w:noWrap w:val="false"/>
          </w:tcPr>
          <w:p>
            <w:pPr>
              <w:pStyle w:val="919"/>
              <w:jc w:val="center"/>
              <w:widowControl/>
              <w:rPr>
                <w:rFonts w:hint="eastAsia" w:ascii="宋体" w:hAnsi="宋体" w:cs="宋体"/>
                <w:szCs w:val="28"/>
                <w:highlight w:val="none"/>
              </w:rPr>
            </w:pPr>
            <w:r>
              <w:rPr>
                <w:rFonts w:hint="eastAsia" w:ascii="宋体" w:hAnsi="宋体" w:cs="宋体"/>
                <w:szCs w:val="28"/>
                <w:highlight w:val="none"/>
              </w:rPr>
              <w:t xml:space="preserve">1788</w:t>
            </w:r>
            <w:r>
              <w:rPr>
                <w:rFonts w:hint="eastAsia" w:ascii="宋体" w:hAnsi="宋体" w:cs="宋体"/>
                <w:szCs w:val="28"/>
                <w:highlight w:val="none"/>
              </w:rPr>
            </w:r>
            <w:r/>
          </w:p>
        </w:tc>
        <w:tc>
          <w:tcPr>
            <w:tcW w:w="780"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380</w:t>
            </w:r>
            <w:r>
              <w:rPr>
                <w:rFonts w:hint="eastAsia" w:ascii="宋体" w:hAnsi="宋体" w:cs="宋体"/>
                <w:highlight w:val="none"/>
              </w:rPr>
            </w:r>
            <w:r/>
          </w:p>
        </w:tc>
        <w:tc>
          <w:tcPr>
            <w:tcW w:w="793"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679440</w:t>
            </w:r>
            <w:r>
              <w:rPr>
                <w:rFonts w:hint="eastAsia" w:ascii="宋体" w:hAnsi="宋体" w:cs="宋体"/>
                <w:highlight w:val="none"/>
              </w:rPr>
            </w:r>
            <w:r/>
          </w:p>
        </w:tc>
        <w:tc>
          <w:tcPr>
            <w:tcW w:w="753"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415"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核心产品</w:t>
            </w:r>
            <w:r>
              <w:rPr>
                <w:rFonts w:ascii="宋体" w:hAnsi="宋体" w:cs="宋体"/>
                <w:highlight w:val="none"/>
              </w:rPr>
            </w:r>
            <w:r/>
          </w:p>
        </w:tc>
      </w:tr>
      <w:tr>
        <w:trPr>
          <w:trHeight w:val="500"/>
        </w:trPr>
        <w:tc>
          <w:tcPr>
            <w:tcW w:w="377"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4</w:t>
            </w:r>
            <w:r>
              <w:rPr>
                <w:rFonts w:hint="eastAsia" w:ascii="宋体" w:hAnsi="宋体" w:cs="宋体"/>
                <w:spacing w:val="8"/>
                <w:szCs w:val="21"/>
                <w:highlight w:val="none"/>
              </w:rPr>
            </w:r>
            <w:r/>
          </w:p>
        </w:tc>
        <w:tc>
          <w:tcPr>
            <w:tcW w:w="1316"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连帽连体劳保服（春秋季连体劳保服）</w:t>
            </w:r>
            <w:r>
              <w:rPr>
                <w:rFonts w:hint="eastAsia" w:ascii="宋体" w:hAnsi="宋体" w:cs="宋体"/>
                <w:spacing w:val="8"/>
                <w:szCs w:val="21"/>
                <w:highlight w:val="none"/>
              </w:rPr>
            </w:r>
            <w:r/>
          </w:p>
        </w:tc>
        <w:tc>
          <w:tcPr>
            <w:tcW w:w="563"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380</w:t>
            </w:r>
            <w:r>
              <w:rPr>
                <w:rFonts w:ascii="宋体" w:hAnsi="宋体" w:cs="宋体"/>
                <w:highlight w:val="none"/>
              </w:rPr>
            </w:r>
            <w:r/>
          </w:p>
        </w:tc>
        <w:tc>
          <w:tcPr>
            <w:tcW w:w="780"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spacing w:val="8"/>
                <w:szCs w:val="21"/>
                <w:highlight w:val="none"/>
              </w:rPr>
              <w:t xml:space="preserve">280</w:t>
            </w:r>
            <w:r>
              <w:rPr>
                <w:rFonts w:hint="eastAsia" w:ascii="宋体" w:hAnsi="宋体" w:cs="宋体"/>
                <w:highlight w:val="none"/>
              </w:rPr>
            </w:r>
            <w:r/>
          </w:p>
        </w:tc>
        <w:tc>
          <w:tcPr>
            <w:tcW w:w="793" w:type="dxa"/>
            <w:vAlign w:val="center"/>
            <w:textDirection w:val="lrTb"/>
            <w:noWrap w:val="false"/>
          </w:tcPr>
          <w:p>
            <w:pPr>
              <w:pStyle w:val="919"/>
              <w:jc w:val="center"/>
              <w:widowControl/>
              <w:rPr>
                <w:rFonts w:ascii="宋体" w:hAnsi="宋体" w:cs="宋体"/>
                <w:highlight w:val="none"/>
              </w:rPr>
            </w:pPr>
            <w:r>
              <w:rPr>
                <w:rFonts w:hint="eastAsia" w:ascii="宋体" w:hAnsi="宋体" w:cs="宋体"/>
                <w:highlight w:val="none"/>
              </w:rPr>
              <w:t xml:space="preserve">106400</w:t>
            </w:r>
            <w:r>
              <w:rPr>
                <w:rFonts w:ascii="宋体" w:hAnsi="宋体" w:cs="宋体"/>
                <w:highlight w:val="none"/>
              </w:rPr>
            </w:r>
            <w:r/>
          </w:p>
        </w:tc>
        <w:tc>
          <w:tcPr>
            <w:tcW w:w="753"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t xml:space="preserve">否</w:t>
            </w:r>
            <w:r>
              <w:rPr>
                <w:rFonts w:hint="eastAsia" w:ascii="宋体" w:hAnsi="宋体" w:cs="宋体"/>
                <w:highlight w:val="none"/>
              </w:rPr>
            </w:r>
            <w:r/>
          </w:p>
        </w:tc>
        <w:tc>
          <w:tcPr>
            <w:tcW w:w="415" w:type="dxa"/>
            <w:vAlign w:val="center"/>
            <w:textDirection w:val="lrTb"/>
            <w:noWrap w:val="false"/>
          </w:tcPr>
          <w:p>
            <w:pPr>
              <w:pStyle w:val="919"/>
              <w:jc w:val="center"/>
              <w:widowControl/>
              <w:rPr>
                <w:rFonts w:hint="eastAsia" w:ascii="宋体" w:hAnsi="宋体" w:cs="宋体"/>
                <w:highlight w:val="none"/>
              </w:rPr>
            </w:pPr>
            <w:r>
              <w:rPr>
                <w:rFonts w:hint="eastAsia" w:ascii="宋体" w:hAnsi="宋体" w:cs="宋体"/>
                <w:highlight w:val="none"/>
              </w:rPr>
            </w:r>
            <w:r/>
          </w:p>
        </w:tc>
      </w:tr>
      <w:tr>
        <w:trPr>
          <w:trHeight w:val="640"/>
        </w:trPr>
        <w:tc>
          <w:tcPr>
            <w:gridSpan w:val="2"/>
            <w:tcW w:w="3367" w:type="dxa"/>
            <w:vAlign w:val="center"/>
            <w:textDirection w:val="lrTb"/>
            <w:noWrap w:val="false"/>
          </w:tcPr>
          <w:p>
            <w:pPr>
              <w:pStyle w:val="919"/>
              <w:jc w:val="center"/>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合计（最高限价）</w:t>
            </w:r>
            <w:r>
              <w:rPr>
                <w:rFonts w:hint="eastAsia" w:ascii="宋体" w:hAnsi="宋体" w:cs="宋体"/>
                <w:spacing w:val="8"/>
                <w:szCs w:val="21"/>
                <w:highlight w:val="none"/>
              </w:rPr>
            </w:r>
            <w:r/>
          </w:p>
        </w:tc>
        <w:tc>
          <w:tcPr>
            <w:gridSpan w:val="3"/>
            <w:tcW w:w="4245" w:type="dxa"/>
            <w:vAlign w:val="center"/>
            <w:textDirection w:val="lrTb"/>
            <w:noWrap w:val="false"/>
          </w:tcPr>
          <w:p>
            <w:pPr>
              <w:pStyle w:val="919"/>
              <w:ind w:firstLine="33"/>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2065380元</w:t>
            </w:r>
            <w:r>
              <w:rPr>
                <w:rFonts w:hint="eastAsia" w:ascii="宋体" w:hAnsi="宋体" w:cs="宋体"/>
                <w:szCs w:val="21"/>
                <w:highlight w:val="none"/>
              </w:rPr>
            </w:r>
            <w:r/>
          </w:p>
        </w:tc>
        <w:tc>
          <w:tcPr>
            <w:tcW w:w="753" w:type="dxa"/>
            <w:vAlign w:val="center"/>
            <w:textDirection w:val="lrTb"/>
            <w:noWrap w:val="false"/>
          </w:tcPr>
          <w:p>
            <w:pPr>
              <w:pStyle w:val="919"/>
              <w:ind w:firstLine="33"/>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415" w:type="dxa"/>
            <w:vAlign w:val="center"/>
            <w:textDirection w:val="lrTb"/>
            <w:noWrap w:val="false"/>
          </w:tcPr>
          <w:p>
            <w:pPr>
              <w:pStyle w:val="919"/>
              <w:ind w:firstLine="33"/>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943"/>
        <w:ind w:firstLine="0"/>
        <w:spacing w:line="360" w:lineRule="auto"/>
        <w:rPr>
          <w:rFonts w:hint="eastAsia" w:ascii="宋体" w:hAnsi="宋体" w:cs="宋体"/>
          <w:highlight w:val="none"/>
        </w:rPr>
      </w:pPr>
      <w:r>
        <w:rPr>
          <w:rFonts w:hint="eastAsia" w:ascii="宋体" w:hAnsi="宋体" w:cs="宋体"/>
          <w:highlight w:val="none"/>
        </w:rPr>
      </w:r>
      <w:r/>
    </w:p>
    <w:p>
      <w:pPr>
        <w:pStyle w:val="919"/>
        <w:ind w:firstLine="562"/>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二、技术要求</w:t>
      </w:r>
      <w:r>
        <w:rPr>
          <w:rFonts w:hint="eastAsia" w:ascii="宋体" w:hAnsi="宋体" w:cs="宋体"/>
          <w:b/>
          <w:sz w:val="28"/>
          <w:szCs w:val="28"/>
          <w:highlight w:val="none"/>
        </w:rPr>
      </w:r>
      <w:r/>
    </w:p>
    <w:p>
      <w:pPr>
        <w:pStyle w:val="919"/>
        <w:ind w:firstLine="480"/>
        <w:spacing w:line="360" w:lineRule="auto"/>
        <w:rPr>
          <w:rFonts w:hint="eastAsia" w:ascii="宋体" w:hAnsi="宋体" w:cs="宋体"/>
          <w:sz w:val="24"/>
          <w:highlight w:val="none"/>
        </w:rPr>
      </w:pPr>
      <w:r/>
      <w:bookmarkStart w:id="100" w:name="_Toc473988598"/>
      <w:r/>
      <w:bookmarkStart w:id="101" w:name="_Toc457815043"/>
      <w:r/>
      <w:bookmarkStart w:id="102" w:name="_Toc23991"/>
      <w:r>
        <w:rPr>
          <w:rFonts w:hint="eastAsia" w:ascii="宋体" w:hAnsi="宋体" w:cs="宋体"/>
          <w:sz w:val="24"/>
          <w:highlight w:val="none"/>
        </w:rPr>
        <w:t xml:space="preserve">（一）概述</w:t>
      </w:r>
      <w:bookmarkEnd w:id="100"/>
      <w:r/>
      <w:bookmarkEnd w:id="101"/>
      <w:r/>
      <w:bookmarkEnd w:id="102"/>
      <w:r>
        <w:rPr>
          <w:rFonts w:hint="eastAsia" w:ascii="宋体" w:hAnsi="宋体" w:cs="宋体"/>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1.1本采购需求书的使用范围仅限于江苏省特种设备安全监督检验研究院的工作场所、办公场所劳动者穿戴的普通劳保服装，以下简称“工装”，不适用于特殊生产、工作环境劳动者穿着的特种劳动防护服装的范畴。</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本项目的招标范围包括江苏省特检院劳保服装的供货及相关服务(包括但不限于样衣及成衣制作、检验、包装、运输、保险、仓储、交货、验收配合、质量保证期内的维护和缺陷的纠正、接收服装调换和零星增补等)。</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1.2本采购需求书提出的是最低限度的技术条件，并未对一切技术细节做出规定，也未充分引述有关国家和地方规定的行业标准和规范的条文，投标人应保证提供符合本采购需求书所要求条件和标准以上的优质产品。</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1.3</w:t>
      </w:r>
      <w:bookmarkStart w:id="103" w:name="_Toc386131772"/>
      <w:r/>
      <w:bookmarkStart w:id="104" w:name="_Toc408843080"/>
      <w:r/>
      <w:bookmarkStart w:id="105" w:name="_Toc383424685"/>
      <w:r/>
      <w:bookmarkStart w:id="106" w:name="_Toc400803708"/>
      <w:r/>
      <w:bookmarkStart w:id="107" w:name="_Toc408780976"/>
      <w:r/>
      <w:bookmarkStart w:id="108" w:name="_Toc395821496"/>
      <w:r/>
      <w:bookmarkStart w:id="109" w:name="_Toc395823909"/>
      <w:r>
        <w:rPr>
          <w:rFonts w:hint="eastAsia" w:ascii="宋体" w:hAnsi="宋体" w:cs="宋体"/>
          <w:bCs/>
          <w:sz w:val="24"/>
          <w:highlight w:val="none"/>
        </w:rPr>
        <w:t xml:space="preserve">如果投标人对本采购需求书的条文提出完全响应，则意味着投标人承诺所提供的产品及服务完全符合本采购需求书的要求</w:t>
      </w:r>
      <w:bookmarkEnd w:id="103"/>
      <w:r/>
      <w:bookmarkEnd w:id="104"/>
      <w:r/>
      <w:bookmarkEnd w:id="105"/>
      <w:r/>
      <w:bookmarkEnd w:id="106"/>
      <w:r/>
      <w:bookmarkEnd w:id="107"/>
      <w:r/>
      <w:bookmarkEnd w:id="108"/>
      <w:r/>
      <w:bookmarkEnd w:id="109"/>
      <w:r>
        <w:rPr>
          <w:rFonts w:hint="eastAsia" w:ascii="宋体" w:hAnsi="宋体" w:cs="宋体"/>
          <w:bCs/>
          <w:sz w:val="24"/>
          <w:highlight w:val="none"/>
        </w:rPr>
        <w:t xml:space="preserve">。</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1.4货物应满足本采购需求书及国家和地方规定的标准和规范进行制造。若在制造中应用的某项标准或规范在本采购需求书中没有规定，则投标人应详细说明其所采用的标准或规范，并提供该标准或规范的完整中文原件给采购人。只有当其采用的标准或规范是国际公认的、惯用的，等于或优于本采购需求书的要求时，此标准或规范才能为采购人所接受,同时必须满足最新版本标准或规范的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1.5本采购需求书中所指的合同是指江苏省特种设备安全监督检验研究院劳保服装采购合同。</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1.6本项目合同期限内，各品类服装单价不变。</w:t>
      </w:r>
      <w:bookmarkStart w:id="110" w:name="_Toc416443344"/>
      <w:r/>
      <w:bookmarkEnd w:id="110"/>
      <w:r>
        <w:rPr>
          <w:rFonts w:hint="eastAsia" w:ascii="宋体" w:hAnsi="宋体" w:cs="宋体"/>
          <w:bCs/>
          <w:sz w:val="24"/>
          <w:highlight w:val="none"/>
        </w:rPr>
      </w:r>
      <w:r/>
    </w:p>
    <w:p>
      <w:pPr>
        <w:pStyle w:val="919"/>
        <w:ind w:firstLine="482"/>
        <w:spacing w:line="360" w:lineRule="auto"/>
        <w:rPr>
          <w:rFonts w:hint="eastAsia" w:ascii="宋体" w:hAnsi="宋体" w:cs="宋体"/>
          <w:b/>
          <w:bCs/>
          <w:sz w:val="24"/>
          <w:highlight w:val="none"/>
        </w:rPr>
      </w:pPr>
      <w:r/>
      <w:bookmarkStart w:id="111" w:name="_Toc12959"/>
      <w:r>
        <w:rPr>
          <w:rFonts w:hint="eastAsia" w:ascii="宋体" w:hAnsi="宋体" w:cs="宋体"/>
          <w:b/>
          <w:bCs/>
          <w:sz w:val="24"/>
          <w:highlight w:val="none"/>
        </w:rPr>
        <w:t xml:space="preserve">（二）质量要求</w:t>
      </w:r>
      <w:bookmarkEnd w:id="111"/>
      <w:r>
        <w:rPr>
          <w:rFonts w:hint="eastAsia" w:ascii="宋体" w:hAnsi="宋体" w:cs="宋体"/>
          <w:b/>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2.1总要求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2.1.1投标人提供的产品（产前样衣及成品）应保持整洁、平服、折叠端正、左右对称、各部位熨烫平整、无漏烫、各部位符合标准要求，保证外观质量与内在质量。产品质量应达到国家和行业优等品/一等品（按照投标人在投标文件综合评定的结果认定）的标准，安全性和技术参数偏差符合国家标准规定。</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2.1.2投标人所提供的服装能经多次洗擦而不褪色，不易起毛、起泡、不易褶皱、无裂缝、不变形、耐洗耐磨，对皮肤无刺激；服装配件不易脱落、破损等；所提供的服装面料需防油污。</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2.1.3每套服装要求精做，送达的服装要求完成裤脚边翻边缝合工序。</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2.2技术要求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2.2.1材质要求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2.2.1.1面料：按国家有关纺织面料标准选用符合本需求书中要求的面料。</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2.2.1.2里料：采用与面料性能、色泽相适应的里料。</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2.2.1.3辅料（如涉及）</w:t>
      </w:r>
      <w:r>
        <w:rPr>
          <w:rFonts w:hint="eastAsia" w:ascii="宋体" w:hAnsi="宋体" w:cs="宋体"/>
          <w:bCs/>
          <w:sz w:val="24"/>
          <w:highlight w:val="none"/>
          <w:lang w:eastAsia="zh-CN"/>
        </w:rPr>
        <w:t xml:space="preserve">：</w:t>
      </w:r>
      <w:r>
        <w:rPr>
          <w:rFonts w:hint="eastAsia" w:ascii="宋体" w:hAnsi="宋体" w:cs="宋体"/>
          <w:bCs/>
          <w:sz w:val="24"/>
          <w:highlight w:val="none"/>
        </w:rPr>
      </w:r>
      <w:r/>
    </w:p>
    <w:tbl>
      <w:tblPr>
        <w:tblW w:w="4730" w:type="pct"/>
        <w:jc w:val="center"/>
        <w:tblInd w:w="426" w:type="dxa"/>
        <w:tblBorders>
          <w:top w:val="single" w:color="000000" w:sz="12" w:space="0"/>
          <w:left w:val="single" w:color="000000" w:sz="12" w:space="0"/>
          <w:bottom w:val="single" w:color="000000" w:sz="12" w:space="0"/>
          <w:right w:val="single" w:color="000000" w:sz="12"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827"/>
        <w:gridCol w:w="3904"/>
        <w:gridCol w:w="3693"/>
      </w:tblGrid>
      <w:tr>
        <w:trPr>
          <w:trHeight w:val="454"/>
        </w:trPr>
        <w:tc>
          <w:tcPr>
            <w:tcW w:w="969" w:type="dxa"/>
            <w:vAlign w:val="center"/>
            <w:textDirection w:val="lrTb"/>
            <w:noWrap w:val="false"/>
          </w:tcPr>
          <w:p>
            <w:pPr>
              <w:pStyle w:val="919"/>
              <w:jc w:val="center"/>
              <w:spacing w:line="360" w:lineRule="auto"/>
              <w:rPr>
                <w:rFonts w:hint="eastAsia" w:ascii="宋体" w:hAnsi="宋体" w:cs="宋体"/>
                <w:b/>
                <w:sz w:val="24"/>
                <w:highlight w:val="none"/>
              </w:rPr>
            </w:pPr>
            <w:r>
              <w:rPr>
                <w:rFonts w:hint="eastAsia" w:ascii="宋体" w:hAnsi="宋体" w:cs="宋体"/>
                <w:b/>
                <w:sz w:val="24"/>
                <w:highlight w:val="none"/>
              </w:rPr>
              <w:t xml:space="preserve">序号</w:t>
            </w:r>
            <w:r>
              <w:rPr>
                <w:rFonts w:hint="eastAsia" w:ascii="宋体" w:hAnsi="宋体" w:cs="宋体"/>
                <w:b/>
                <w:sz w:val="24"/>
                <w:highlight w:val="none"/>
              </w:rPr>
            </w:r>
            <w:r/>
          </w:p>
        </w:tc>
        <w:tc>
          <w:tcPr>
            <w:tcW w:w="2071" w:type="dxa"/>
            <w:vAlign w:val="center"/>
            <w:textDirection w:val="lrTb"/>
            <w:noWrap w:val="false"/>
          </w:tcPr>
          <w:p>
            <w:pPr>
              <w:pStyle w:val="919"/>
              <w:jc w:val="center"/>
              <w:spacing w:line="360" w:lineRule="auto"/>
              <w:rPr>
                <w:rFonts w:hint="eastAsia" w:ascii="宋体" w:hAnsi="宋体" w:cs="宋体"/>
                <w:b/>
                <w:sz w:val="24"/>
                <w:highlight w:val="none"/>
              </w:rPr>
            </w:pPr>
            <w:r>
              <w:rPr>
                <w:rFonts w:hint="eastAsia" w:ascii="宋体" w:hAnsi="宋体" w:cs="宋体"/>
                <w:b/>
                <w:sz w:val="24"/>
                <w:highlight w:val="none"/>
              </w:rPr>
              <w:t xml:space="preserve">辅料名称</w:t>
            </w:r>
            <w:r>
              <w:rPr>
                <w:rFonts w:hint="eastAsia" w:ascii="宋体" w:hAnsi="宋体" w:cs="宋体"/>
                <w:b/>
                <w:sz w:val="24"/>
                <w:highlight w:val="none"/>
              </w:rPr>
            </w:r>
            <w:r/>
          </w:p>
        </w:tc>
        <w:tc>
          <w:tcPr>
            <w:tcW w:w="1959" w:type="dxa"/>
            <w:vAlign w:val="center"/>
            <w:textDirection w:val="lrTb"/>
            <w:noWrap w:val="false"/>
          </w:tcPr>
          <w:p>
            <w:pPr>
              <w:pStyle w:val="919"/>
              <w:jc w:val="center"/>
              <w:spacing w:line="360" w:lineRule="auto"/>
              <w:rPr>
                <w:rFonts w:hint="eastAsia" w:ascii="宋体" w:hAnsi="宋体" w:cs="宋体"/>
                <w:b/>
                <w:sz w:val="24"/>
                <w:highlight w:val="none"/>
              </w:rPr>
            </w:pPr>
            <w:r>
              <w:rPr>
                <w:rFonts w:hint="eastAsia" w:ascii="宋体" w:hAnsi="宋体" w:cs="宋体"/>
                <w:b/>
                <w:sz w:val="24"/>
                <w:highlight w:val="none"/>
              </w:rPr>
              <w:t xml:space="preserve">材质</w:t>
            </w:r>
            <w:r>
              <w:rPr>
                <w:rFonts w:hint="eastAsia" w:ascii="宋体" w:hAnsi="宋体" w:cs="宋体"/>
                <w:b/>
                <w:sz w:val="24"/>
                <w:highlight w:val="none"/>
              </w:rPr>
            </w:r>
            <w:r/>
          </w:p>
        </w:tc>
      </w:tr>
      <w:tr>
        <w:trPr>
          <w:trHeight w:val="454"/>
        </w:trPr>
        <w:tc>
          <w:tcPr>
            <w:tcW w:w="96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2071"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线</w:t>
            </w:r>
            <w:r>
              <w:rPr>
                <w:rFonts w:hint="eastAsia" w:ascii="宋体" w:hAnsi="宋体" w:cs="宋体"/>
                <w:bCs/>
                <w:szCs w:val="21"/>
                <w:highlight w:val="none"/>
              </w:rPr>
            </w:r>
            <w:r/>
          </w:p>
        </w:tc>
        <w:tc>
          <w:tcPr>
            <w:tcW w:w="1959"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100%涤纶</w:t>
            </w:r>
            <w:r>
              <w:rPr>
                <w:rFonts w:hint="eastAsia" w:ascii="宋体" w:hAnsi="宋体" w:cs="宋体"/>
                <w:bCs/>
                <w:szCs w:val="21"/>
                <w:highlight w:val="none"/>
              </w:rPr>
            </w:r>
            <w:r/>
          </w:p>
        </w:tc>
      </w:tr>
      <w:tr>
        <w:trPr>
          <w:trHeight w:val="454"/>
        </w:trPr>
        <w:tc>
          <w:tcPr>
            <w:tcW w:w="96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2071"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纽扣</w:t>
            </w:r>
            <w:r>
              <w:rPr>
                <w:rFonts w:hint="eastAsia" w:ascii="宋体" w:hAnsi="宋体" w:cs="宋体"/>
                <w:bCs/>
                <w:szCs w:val="21"/>
                <w:highlight w:val="none"/>
              </w:rPr>
            </w:r>
            <w:r/>
          </w:p>
        </w:tc>
        <w:tc>
          <w:tcPr>
            <w:tcW w:w="1959"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szCs w:val="21"/>
                <w:highlight w:val="none"/>
              </w:rPr>
              <w:t xml:space="preserve">树脂（配色）</w:t>
            </w:r>
            <w:r>
              <w:rPr>
                <w:rFonts w:hint="eastAsia" w:ascii="宋体" w:hAnsi="宋体" w:cs="宋体"/>
                <w:bCs/>
                <w:szCs w:val="21"/>
                <w:highlight w:val="none"/>
              </w:rPr>
            </w:r>
            <w:r/>
          </w:p>
        </w:tc>
      </w:tr>
      <w:tr>
        <w:trPr>
          <w:trHeight w:val="454"/>
        </w:trPr>
        <w:tc>
          <w:tcPr>
            <w:tcW w:w="96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2071"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松紧带</w:t>
            </w:r>
            <w:r>
              <w:rPr>
                <w:rFonts w:hint="eastAsia" w:ascii="宋体" w:hAnsi="宋体" w:cs="宋体"/>
                <w:bCs/>
                <w:szCs w:val="21"/>
                <w:highlight w:val="none"/>
              </w:rPr>
            </w:r>
            <w:r/>
          </w:p>
        </w:tc>
        <w:tc>
          <w:tcPr>
            <w:tcW w:w="1959"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szCs w:val="21"/>
                <w:highlight w:val="none"/>
              </w:rPr>
              <w:t xml:space="preserve">橡筋、交裤腰两侧</w:t>
            </w:r>
            <w:r>
              <w:rPr>
                <w:rFonts w:hint="eastAsia" w:ascii="宋体" w:hAnsi="宋体" w:cs="宋体"/>
                <w:bCs/>
                <w:szCs w:val="21"/>
                <w:highlight w:val="none"/>
              </w:rPr>
            </w:r>
            <w:r/>
          </w:p>
        </w:tc>
      </w:tr>
      <w:tr>
        <w:trPr>
          <w:trHeight w:val="454"/>
        </w:trPr>
        <w:tc>
          <w:tcPr>
            <w:tcW w:w="96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4</w:t>
            </w:r>
            <w:r>
              <w:rPr>
                <w:rFonts w:hint="eastAsia" w:ascii="宋体" w:hAnsi="宋体" w:cs="宋体"/>
                <w:szCs w:val="21"/>
                <w:highlight w:val="none"/>
              </w:rPr>
            </w:r>
            <w:r/>
          </w:p>
        </w:tc>
        <w:tc>
          <w:tcPr>
            <w:tcW w:w="2071"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裤子拉链</w:t>
            </w:r>
            <w:r>
              <w:rPr>
                <w:rFonts w:hint="eastAsia" w:ascii="宋体" w:hAnsi="宋体" w:cs="宋体"/>
                <w:bCs/>
                <w:szCs w:val="21"/>
                <w:highlight w:val="none"/>
              </w:rPr>
            </w:r>
            <w:r/>
          </w:p>
        </w:tc>
        <w:tc>
          <w:tcPr>
            <w:tcW w:w="1959"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szCs w:val="21"/>
                <w:highlight w:val="none"/>
              </w:rPr>
              <w:t xml:space="preserve">尼龙（配色）</w:t>
            </w:r>
            <w:r>
              <w:rPr>
                <w:rFonts w:hint="eastAsia" w:ascii="宋体" w:hAnsi="宋体" w:cs="宋体"/>
                <w:bCs/>
                <w:szCs w:val="21"/>
                <w:highlight w:val="none"/>
              </w:rPr>
            </w:r>
            <w:r/>
          </w:p>
        </w:tc>
      </w:tr>
      <w:tr>
        <w:trPr>
          <w:trHeight w:val="454"/>
        </w:trPr>
        <w:tc>
          <w:tcPr>
            <w:tcW w:w="969" w:type="dxa"/>
            <w:vAlign w:val="center"/>
            <w:textDirection w:val="lrTb"/>
            <w:noWrap w:val="false"/>
          </w:tcPr>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5</w:t>
            </w:r>
            <w:r>
              <w:rPr>
                <w:rFonts w:hint="eastAsia" w:ascii="宋体" w:hAnsi="宋体" w:cs="宋体"/>
                <w:szCs w:val="21"/>
                <w:highlight w:val="none"/>
              </w:rPr>
            </w:r>
            <w:r/>
          </w:p>
        </w:tc>
        <w:tc>
          <w:tcPr>
            <w:tcW w:w="2071"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里布、裤绸</w:t>
            </w:r>
            <w:r>
              <w:rPr>
                <w:rFonts w:hint="eastAsia" w:ascii="宋体" w:hAnsi="宋体" w:cs="宋体"/>
                <w:bCs/>
                <w:szCs w:val="21"/>
                <w:highlight w:val="none"/>
              </w:rPr>
            </w:r>
            <w:r/>
          </w:p>
        </w:tc>
        <w:tc>
          <w:tcPr>
            <w:tcW w:w="1959" w:type="dxa"/>
            <w:vAlign w:val="center"/>
            <w:textDirection w:val="lrTb"/>
            <w:noWrap w:val="false"/>
          </w:tcPr>
          <w:p>
            <w:pPr>
              <w:pStyle w:val="919"/>
              <w:jc w:val="center"/>
              <w:spacing w:line="360" w:lineRule="auto"/>
              <w:rPr>
                <w:rFonts w:hint="eastAsia" w:ascii="宋体" w:hAnsi="宋体" w:cs="宋体"/>
                <w:bCs/>
                <w:szCs w:val="21"/>
                <w:highlight w:val="none"/>
              </w:rPr>
            </w:pPr>
            <w:r>
              <w:rPr>
                <w:rFonts w:hint="eastAsia" w:ascii="宋体" w:hAnsi="宋体" w:cs="宋体"/>
                <w:bCs/>
                <w:szCs w:val="21"/>
                <w:highlight w:val="none"/>
              </w:rPr>
              <w:t xml:space="preserve">100%涤纶</w:t>
            </w:r>
            <w:r>
              <w:rPr>
                <w:rFonts w:hint="eastAsia" w:ascii="宋体" w:hAnsi="宋体" w:cs="宋体"/>
                <w:bCs/>
                <w:szCs w:val="21"/>
                <w:highlight w:val="none"/>
              </w:rPr>
            </w:r>
            <w:r/>
          </w:p>
        </w:tc>
      </w:tr>
    </w:tbl>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2.2.1.4拉链：采用优质品牌。</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2.2.1.5衬布：采用与面料性能、色泽相适应的衬布。</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2.2.1.6缝线：采用适合所用面料、辅料、里料质量的缝线。钉扣线与扣子的色泽适宜。</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2.2.1.7水唛：应标明可机洗</w:t>
      </w:r>
      <w:r>
        <w:rPr>
          <w:rFonts w:hint="eastAsia" w:ascii="宋体" w:hAnsi="宋体" w:cs="宋体"/>
          <w:bCs/>
          <w:sz w:val="24"/>
          <w:highlight w:val="none"/>
          <w:lang w:eastAsia="zh-CN"/>
        </w:rPr>
        <w:t xml:space="preserve">或</w:t>
      </w:r>
      <w:r>
        <w:rPr>
          <w:rFonts w:hint="eastAsia" w:ascii="宋体" w:hAnsi="宋体" w:cs="宋体"/>
          <w:bCs/>
          <w:sz w:val="24"/>
          <w:highlight w:val="none"/>
        </w:rPr>
        <w:t xml:space="preserve">干洗产品。</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2.3质量要求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采购服装质量要求包括：中文标识、外观质量、内在质量。</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2.3.1中文标识项目包括：产品名称、执行标准、产品等级、产品质量检验合格证、纤维成分和含量、号型规格、洗涤方法、厂名、厂址、联系电话。其中号型规格、纤维成分和含量、洗涤方法等三项须使用耐久性标签，并缝合在服装上。</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2.3.2外观质量、内在质量要求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2.3.2.1门襟顺直平服、长短一致。前抽平服、宽窄一致，里襟不能长于门襟。</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2.3.2.2有拉链唇的应平服、均匀不起皱、不豁开，拉链不起浪。纽扣顺直均匀、间距相等。</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2.3.2.3纽扣眼、撞钉等位置准确、不可变形，要钉紧、不可松动。</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2.3.2.4线路均匀顺直、止口不反吐、左右宽窄一致。</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2.3.2.5开叉顺直，无搅豁。口袋方正、平服，袋口不能有豁口。袋盖、贴袋方正平服，前后、高低、大小一致。里袋高低、大小一致、方正平服。</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2.3.2.6领缺嘴大小一致，接口处平服、松紧适宜、外口不起翘，底领不外露。</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2.3.2.7肩部平坦、肩缝顺直、两肩宽窄一致，拼缝对称。</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2.3.2.8袖子长短、袖口大小、宽窄一致，袖袢高低、宽窄一致。</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2.3.2.9背部平服、缝位顺直、后腰带水平对称、松紧适宜。</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2.3.2.10各部位里料大小、长短应与面料相适宜，不吊里、不吐里。</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2.3.2.11面、里布不能有色差、脏污、抽纱、不可恢复性针眼等现象。</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2.3.2.12加棉填充物要平服、压线均匀、线路整齐、前后片接缝对齐。</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2.3.2.13面料有绒（毛）的，要分清方向，绒（毛）的倒向应整件同向。</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2.3.2.14缝线平整、不起皱、不扭曲。双线部分要求用双针车车缝。底面线均匀、不跳针、不浮线、不断线。</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2.3.2.15电脑绣花、商标、口袋、袋盖、袖袢、打褶、鸡眼、贴魔术贴等，定位要准确、定位孔不能外露。</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2.3.2.16电脑绣花要求清晰，线头剪清、反面的衬纸修剪干净，印花要求清晰、不透底、不脱胶。</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2.3.2.17上衣口袋布、腋下、防风袖口、防风脚口要固定。</w:t>
      </w:r>
      <w:r>
        <w:rPr>
          <w:rFonts w:hint="eastAsia" w:ascii="宋体" w:hAnsi="宋体" w:cs="宋体"/>
          <w:bCs/>
          <w:sz w:val="24"/>
          <w:highlight w:val="none"/>
        </w:rPr>
      </w:r>
      <w:r/>
    </w:p>
    <w:p>
      <w:pPr>
        <w:pStyle w:val="919"/>
        <w:ind w:firstLine="482"/>
        <w:spacing w:line="360" w:lineRule="auto"/>
        <w:rPr>
          <w:rFonts w:hint="eastAsia" w:ascii="宋体" w:hAnsi="宋体" w:cs="宋体"/>
          <w:b/>
          <w:sz w:val="24"/>
          <w:highlight w:val="none"/>
        </w:rPr>
      </w:pPr>
      <w:r/>
      <w:bookmarkStart w:id="112" w:name="_Toc15882"/>
      <w:r>
        <w:rPr>
          <w:rFonts w:hint="eastAsia" w:ascii="宋体" w:hAnsi="宋体" w:cs="宋体"/>
          <w:b/>
          <w:sz w:val="24"/>
          <w:highlight w:val="none"/>
        </w:rPr>
        <w:t xml:space="preserve">（三）基本要求</w:t>
      </w:r>
      <w:bookmarkEnd w:id="112"/>
      <w:r>
        <w:rPr>
          <w:rFonts w:hint="eastAsia" w:ascii="宋体" w:hAnsi="宋体" w:cs="宋体"/>
          <w:b/>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1、采用标准及规范</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（1）本次招标采购服装必须符合中华人民共和国现行国家服装、环保等相关标准，且不得低于招标文件中规定的技术规格和要求。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（2）引用规范文件包括但不限于：</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 18401-2010 国家纺织产品基本安全技术规范</w:t>
      </w:r>
      <w:r>
        <w:rPr>
          <w:rFonts w:hint="eastAsia" w:ascii="宋体" w:hAnsi="宋体" w:cs="宋体"/>
          <w:sz w:val="24"/>
          <w:highlight w:val="none"/>
        </w:rPr>
      </w:r>
      <w:r/>
    </w:p>
    <w:p>
      <w:pPr>
        <w:pStyle w:val="919"/>
        <w:ind w:firstLine="480"/>
        <w:spacing w:line="360" w:lineRule="auto"/>
        <w:rPr>
          <w:rFonts w:hint="eastAsia" w:ascii="宋体" w:hAnsi="宋体" w:cs="宋体"/>
          <w:color w:val="0d0d0d"/>
          <w:sz w:val="24"/>
          <w:highlight w:val="none"/>
        </w:rPr>
      </w:pPr>
      <w:r>
        <w:rPr>
          <w:rFonts w:hint="eastAsia" w:ascii="宋体" w:hAnsi="宋体" w:cs="宋体"/>
          <w:color w:val="0d0d0d"/>
          <w:sz w:val="24"/>
          <w:highlight w:val="none"/>
        </w:rPr>
        <w:t xml:space="preserve">GB/T 29862-2013 纺织品 纤维含量的标识</w:t>
      </w:r>
      <w:r>
        <w:rPr>
          <w:rFonts w:hint="eastAsia" w:ascii="宋体" w:hAnsi="宋体" w:cs="宋体"/>
          <w:color w:val="0d0d0d"/>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2912.1-2009 纺织品 甲醛的测定 第1部分：游离和水解的甲醛（水萃取法）</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7573-2009 纺织品 水萃取液pH值的测定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17592-2024 纺织品 禁用偶氮染料的测定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2662-2017 棉服装</w:t>
      </w:r>
      <w:r>
        <w:rPr>
          <w:rFonts w:hint="eastAsia" w:ascii="宋体" w:hAnsi="宋体" w:cs="宋体"/>
          <w:sz w:val="24"/>
          <w:highlight w:val="none"/>
        </w:rPr>
      </w:r>
      <w:r/>
    </w:p>
    <w:p>
      <w:pPr>
        <w:pStyle w:val="919"/>
        <w:ind w:firstLine="480"/>
        <w:spacing w:line="360" w:lineRule="auto"/>
        <w:rPr>
          <w:rFonts w:ascii="宋体" w:hAnsi="宋体" w:cs="宋体"/>
          <w:color w:val="c00000"/>
          <w:sz w:val="24"/>
          <w:highlight w:val="none"/>
        </w:rPr>
      </w:pPr>
      <w:r>
        <w:rPr>
          <w:rFonts w:hint="eastAsia" w:ascii="宋体" w:hAnsi="宋体" w:cs="宋体"/>
          <w:color w:val="c00000"/>
          <w:sz w:val="24"/>
          <w:highlight w:val="none"/>
        </w:rPr>
        <w:t xml:space="preserve">GB 8965.1-2020 防护服装 阻燃服</w:t>
      </w:r>
      <w:r>
        <w:rPr>
          <w:rFonts w:ascii="宋体" w:hAnsi="宋体" w:cs="宋体"/>
          <w:color w:val="c00000"/>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250-2008 纺织品 色牢度试验 评定变色用灰色样卡</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251-2008 纺织品 色牢度试验 评定沾色用灰色样卡</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 18401-2010 国家纺织产品基本安全技术规范</w:t>
      </w:r>
      <w:r>
        <w:rPr>
          <w:rFonts w:hint="eastAsia" w:ascii="宋体" w:hAnsi="宋体" w:cs="宋体"/>
          <w:sz w:val="24"/>
          <w:highlight w:val="none"/>
        </w:rPr>
      </w:r>
      <w:r/>
    </w:p>
    <w:p>
      <w:pPr>
        <w:pStyle w:val="919"/>
        <w:ind w:firstLine="480"/>
        <w:spacing w:line="360" w:lineRule="auto"/>
        <w:rPr>
          <w:rFonts w:hint="eastAsia" w:ascii="宋体" w:hAnsi="宋体" w:cs="宋体"/>
          <w:color w:val="243f61"/>
          <w:sz w:val="24"/>
          <w:highlight w:val="none"/>
        </w:rPr>
      </w:pPr>
      <w:r>
        <w:rPr>
          <w:rFonts w:hint="eastAsia" w:ascii="宋体" w:hAnsi="宋体" w:cs="宋体"/>
          <w:color w:val="243f61"/>
          <w:sz w:val="24"/>
          <w:highlight w:val="none"/>
        </w:rPr>
        <w:t xml:space="preserve">GB/T 2910.11-2024 纺织品 定量化学分析 第11部分：某些纤维素纤维与某些其他纤维的混合物（硫酸法）</w:t>
      </w:r>
      <w:r>
        <w:rPr>
          <w:rFonts w:hint="eastAsia" w:ascii="宋体" w:hAnsi="宋体" w:cs="宋体"/>
          <w:color w:val="243f61"/>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13769-2009 纺织品 评定织物经洗涤后外观平整度的试验方法</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13771-2009  纺织品 评定织物经洗涤后接缝外观平整度的试验方法</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3923.1- 2013 纺织品 织物拉伸性能 第1部分：断裂强力和断裂伸长率的测定（条样</w:t>
      </w:r>
      <w:r>
        <w:rPr>
          <w:rFonts w:hint="eastAsia" w:ascii="宋体" w:hAnsi="宋体" w:cs="宋体"/>
          <w:sz w:val="24"/>
          <w:highlight w:val="none"/>
          <w:lang w:eastAsia="zh-CN"/>
        </w:rPr>
        <w:t xml:space="preserve">法）</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GB/T 8629-2017 纺织品 试验用家庭洗涤和干燥程序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FZ/T 80007.1-2023 使用粘合衬服装剥离强力测试方法</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FZ/T 01057 纺织纤维鉴别试验方法</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FZ/T 81007-2022单、夹服装</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（3）合同生效后，如相关标准发生更新，所有标准应采用合同生效之日起的最新版本，如出现两个标准不相符合时，按最高标准执行。</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（4）如投标人对招标服装及配件的制作材料另行推荐时，应在投标文件中注明，并解释论述。投标人所推荐的材料性能应不低于招标文件的要求，否则将不被采购人接受。</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（5）投标人应提供投标服装所采用的制造、试验、验收等相关标准目录作为投标附件，同时在合同签订后提供相应标准、规范或检测报告。</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bookmarkStart w:id="113" w:name="_Toc29785"/>
      <w:r>
        <w:rPr>
          <w:rFonts w:hint="eastAsia" w:ascii="宋体" w:hAnsi="宋体" w:cs="宋体"/>
          <w:sz w:val="24"/>
          <w:highlight w:val="none"/>
        </w:rPr>
        <w:t xml:space="preserve">2、标志及 Logo</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采用采购人指定的核准标志，由图形、中文简称和英文简称（JSSEI ）三 部分构成。</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中文简称：《江苏特检》，设计在每件上衣</w:t>
      </w:r>
      <w:r>
        <w:rPr>
          <w:rFonts w:hint="eastAsia" w:ascii="宋体" w:hAnsi="宋体" w:cs="宋体"/>
          <w:color w:val="c00000"/>
          <w:sz w:val="24"/>
          <w:highlight w:val="none"/>
        </w:rPr>
        <w:t xml:space="preserve">后背部位</w:t>
      </w:r>
      <w:r>
        <w:rPr>
          <w:rFonts w:hint="eastAsia" w:ascii="宋体" w:hAnsi="宋体" w:cs="宋体"/>
          <w:sz w:val="24"/>
          <w:highlight w:val="none"/>
        </w:rPr>
        <w:t xml:space="preserve">，肩部下方。标志为条形（长30厘米、宽6厘米）的长方形标志（见下图），印花为高亮反光字“江苏特检”。</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英文Logo：设计在每件上衣左</w:t>
      </w:r>
      <w:r>
        <w:rPr>
          <w:rFonts w:hint="eastAsia" w:ascii="宋体" w:hAnsi="宋体" w:cs="宋体"/>
          <w:color w:val="c00000"/>
          <w:sz w:val="24"/>
          <w:highlight w:val="none"/>
        </w:rPr>
        <w:t xml:space="preserve">胸前部位</w:t>
      </w:r>
      <w:r>
        <w:rPr>
          <w:rFonts w:hint="eastAsia" w:ascii="宋体" w:hAnsi="宋体" w:cs="宋体"/>
          <w:sz w:val="24"/>
          <w:highlight w:val="none"/>
        </w:rPr>
        <w:t xml:space="preserve">，为英文绣花Logo。绣花线的纱支为108D。绣线的颜色为潘通色号19-4045TCX。Logo的面积为长（3.5 厘米），宽（3厘米）的矩形（见下图）。</w:t>
      </w:r>
      <w:r>
        <w:rPr>
          <w:rFonts w:hint="eastAsia" w:ascii="宋体" w:hAnsi="宋体" w:cs="宋体"/>
          <w:sz w:val="24"/>
          <w:highlight w:val="none"/>
        </w:rPr>
      </w:r>
      <w:r/>
    </w:p>
    <w:p>
      <w:pPr>
        <w:pStyle w:val="919"/>
        <w:ind w:firstLine="2050"/>
        <w:spacing w:line="1392" w:lineRule="exact"/>
        <w:rPr>
          <w:sz w:val="24"/>
          <w:highlight w:val="none"/>
        </w:rPr>
      </w:pPr>
      <w:r>
        <w:rPr>
          <w:position w:val="-27"/>
          <w:sz w:val="24"/>
          <w:highlight w:val="none"/>
        </w:rPr>
        <mc:AlternateContent>
          <mc:Choice Requires="wpg">
            <w:drawing>
              <wp:inline xmlns:wp="http://schemas.openxmlformats.org/drawingml/2006/wordprocessingDrawing" distT="0" distB="0" distL="0" distR="0">
                <wp:extent cx="3850538" cy="883083"/>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3850538" cy="8830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303.2pt;height:69.5pt;mso-wrap-distance-left:0.0pt;mso-wrap-distance-top:0.0pt;mso-wrap-distance-right:0.0pt;mso-wrap-distance-bottom:0.0pt;" stroked="f">
                <v:path textboxrect="0,0,0,0"/>
                <v:imagedata r:id="rId21" o:title=""/>
              </v:shape>
            </w:pict>
          </mc:Fallback>
        </mc:AlternateContent>
      </w:r>
      <w:r>
        <w:rPr>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3、面料颜色</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根据不同季节劳保服装来具体确定，夏装上衣为海军灰，长裤、春秋装、冬装为藏蓝色，嵌拼色为橙色。</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mc:AlternateContent>
          <mc:Choice Requires="wpg">
            <w:drawing>
              <wp:inline xmlns:wp="http://schemas.openxmlformats.org/drawingml/2006/wordprocessingDrawing" distT="0" distB="0" distL="0" distR="0">
                <wp:extent cx="1871345" cy="259524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871345" cy="25952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47.3pt;height:204.3pt;mso-wrap-distance-left:0.0pt;mso-wrap-distance-top:0.0pt;mso-wrap-distance-right:0.0pt;mso-wrap-distance-bottom:0.0pt;" stroked="f">
                <v:path textboxrect="0,0,0,0"/>
                <v:imagedata r:id="rId22"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722476" cy="258522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722476" cy="2585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35.6pt;height:203.6pt;mso-wrap-distance-left:0.0pt;mso-wrap-distance-top:0.0pt;mso-wrap-distance-right:0.0pt;mso-wrap-distance-bottom:0.0pt;" stroked="f">
                <v:path textboxrect="0,0,0,0"/>
                <v:imagedata r:id="rId23" o:title=""/>
              </v:shape>
            </w:pict>
          </mc:Fallback>
        </mc:AlternateContent>
      </w:r>
      <w:r>
        <w:rPr>
          <w:rFonts w:hint="eastAsia" w:ascii="宋体" w:hAnsi="宋体" w:cs="宋体"/>
          <w:sz w:val="24"/>
          <w:highlight w:val="none"/>
        </w:rPr>
      </w:r>
      <w:r/>
    </w:p>
    <w:p>
      <w:pPr>
        <w:pStyle w:val="919"/>
        <w:ind w:firstLine="547"/>
        <w:spacing w:line="360" w:lineRule="auto"/>
        <w:rPr>
          <w:rFonts w:hint="eastAsia" w:ascii="宋体" w:hAnsi="宋体" w:cs="宋体"/>
          <w:sz w:val="24"/>
          <w:highlight w:val="none"/>
        </w:rPr>
      </w:pPr>
      <w:r>
        <w:rPr>
          <w:rFonts w:hint="eastAsia" w:ascii="宋体" w:hAnsi="宋体" w:cs="宋体"/>
          <w:sz w:val="24"/>
          <w:highlight w:val="none"/>
        </w:rPr>
        <w:t xml:space="preserve">茄克式长袖套装（夏季劳保服）    茄克式长袖套装（春秋季劳保服）</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855470" cy="25266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855470" cy="25266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46.1pt;height:198.9pt;mso-wrap-distance-left:0.0pt;mso-wrap-distance-top:0.0pt;mso-wrap-distance-right:0.0pt;mso-wrap-distance-bottom:0.0pt;" stroked="f">
                <v:path textboxrect="0,0,0,0"/>
                <v:imagedata r:id="rId24"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833880" cy="257429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833880" cy="257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4.4pt;height:202.7pt;mso-wrap-distance-left:0.0pt;mso-wrap-distance-top:0.0pt;mso-wrap-distance-right:0.0pt;mso-wrap-distance-bottom:0.0pt;" stroked="f">
                <v:path textboxrect="0,0,0,0"/>
                <v:imagedata r:id="rId25" o:title=""/>
              </v:shape>
            </w:pict>
          </mc:Fallback>
        </mc:AlternateContent>
      </w:r>
      <w:r>
        <w:rPr>
          <w:rFonts w:hint="eastAsia" w:ascii="宋体" w:hAnsi="宋体" w:cs="宋体"/>
          <w:sz w:val="24"/>
          <w:highlight w:val="none"/>
        </w:rPr>
      </w:r>
      <w:r/>
    </w:p>
    <w:p>
      <w:pPr>
        <w:pStyle w:val="919"/>
        <w:ind w:firstLine="547"/>
        <w:spacing w:line="360" w:lineRule="auto"/>
        <w:rPr>
          <w:rFonts w:hint="eastAsia" w:ascii="宋体" w:hAnsi="宋体" w:cs="宋体"/>
          <w:sz w:val="24"/>
          <w:highlight w:val="none"/>
        </w:rPr>
      </w:pPr>
      <w:r>
        <w:rPr>
          <w:rFonts w:hint="eastAsia" w:ascii="宋体" w:hAnsi="宋体" w:cs="宋体"/>
          <w:sz w:val="24"/>
          <w:highlight w:val="none"/>
        </w:rPr>
        <w:t xml:space="preserve">冲锋衣防寒服 （冬季劳保服）    连帽连体劳保服（春秋季连体劳保服）</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4、反光条</w:t>
      </w:r>
      <w:bookmarkEnd w:id="113"/>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反光条采用银灰色，反光滚条净直径为0.3cm，要求防水、防静电。使用部位：茄克式长袖套装（夏季劳保服）、茄克式长袖套装（春秋季劳保服）、连帽连体劳保服（春秋季连体劳保服）。</w:t>
      </w:r>
      <w:r>
        <w:rPr>
          <w:rFonts w:hint="eastAsia" w:ascii="宋体" w:hAnsi="宋体" w:cs="宋体"/>
          <w:sz w:val="24"/>
          <w:highlight w:val="none"/>
        </w:rPr>
      </w:r>
      <w:r/>
    </w:p>
    <w:p>
      <w:pPr>
        <w:pStyle w:val="919"/>
        <w:ind w:firstLine="480"/>
        <w:spacing w:line="360" w:lineRule="auto"/>
        <w:rPr>
          <w:rFonts w:ascii="宋体" w:hAnsi="宋体" w:cs="宋体"/>
          <w:sz w:val="24"/>
          <w:highlight w:val="none"/>
        </w:rPr>
      </w:pPr>
      <w:r>
        <w:rPr>
          <w:rFonts w:hint="eastAsia" w:ascii="宋体" w:hAnsi="宋体" w:cs="宋体"/>
          <w:sz w:val="24"/>
          <w:highlight w:val="none"/>
        </w:rPr>
        <w:t xml:space="preserve">5、笔袋</w:t>
      </w:r>
      <w:r>
        <w:rPr>
          <w:rFonts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夏装、春秋装上衣左臂位置设置笔袋。笔袋尺寸适配常规签字笔，袋口做加固处理，防止反复插拔笔导致面料撕裂；袋型平整不鼓包，不影响手臂活动，缝制位置统一，保证全员服装一致性。</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6、工装分类：</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按季节分为夏装、春秋装和冬装。</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按性别分为男装和女装。</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按款式分类：</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（1）茄克式长袖套装（夏季劳保服）；</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（2）茄克式长袖套装（春秋季劳保服）；</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bookmarkStart w:id="114" w:name="_Toc18078"/>
      <w:r>
        <w:rPr>
          <w:rFonts w:hint="eastAsia" w:ascii="宋体" w:hAnsi="宋体" w:cs="宋体"/>
          <w:sz w:val="24"/>
          <w:highlight w:val="none"/>
        </w:rPr>
        <w:t xml:space="preserve">（3）</w:t>
      </w:r>
      <w:bookmarkEnd w:id="114"/>
      <w:r>
        <w:rPr>
          <w:rFonts w:hint="eastAsia" w:ascii="宋体" w:hAnsi="宋体" w:cs="宋体"/>
          <w:sz w:val="24"/>
          <w:highlight w:val="none"/>
        </w:rPr>
        <w:t xml:space="preserve">冲锋衣防寒服 （冬季劳保服）；</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（4）连帽连体劳保服（春秋季连体劳保服）</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bookmarkStart w:id="115" w:name="_Toc11950"/>
      <w:r>
        <w:rPr>
          <w:rFonts w:hint="eastAsia" w:ascii="宋体" w:hAnsi="宋体" w:cs="宋体"/>
          <w:sz w:val="24"/>
          <w:highlight w:val="none"/>
        </w:rPr>
        <w:t xml:space="preserve">7、设计注意事项</w:t>
      </w:r>
      <w:bookmarkEnd w:id="115"/>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根据招标文件具体要求在设计时注重以下要求：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bookmarkStart w:id="116" w:name="_Toc16084"/>
      <w:r>
        <w:rPr>
          <w:rFonts w:hint="eastAsia" w:ascii="宋体" w:hAnsi="宋体" w:cs="宋体"/>
          <w:sz w:val="24"/>
          <w:highlight w:val="none"/>
        </w:rPr>
        <w:t xml:space="preserve">（1）款式统一，辨识度高</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整体工装版型、剪裁结构、配色体系、标识排布全程保持高度统一，严格规范上衣、裤子的版型比例、领口样式、袖口工艺、口袋布局等细节，杜绝同批次服装出现版型、细节差异。同时结合行业属性与单位形象特点，优化整体视觉效果，固化专属工装风格。通过统一的色彩搭配、专属标识印制/缝制位置、规整的版型设计，强化工装整体辨识度，保障全员着装整齐划一、形象规范统一，充分展现单位整体风貌。</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（2）面料选择舒适度高</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面料甄选优先兼顾舒适性、透气性、亲肤性与耐用性，结合日常工作场景的穿着需求，选用触感柔软、吸湿排汗、不易闷汗的优质面料。面料厚薄适中，适配多季节日常穿着，兼顾耐磨、抗皱、不易起球、不易褪色等特性，满足岗位长期穿着、频繁清洗的使用需求。杜绝选用粗糙、僵硬、透气性差、易变形的劣质面料，从材质根源上提升员工日常穿着的舒适感，减少着装束缚，适配各类工作操作场景。</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（3）规范统一基础上做到工装时尚化</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在严格遵守工装统一规范、保证职业庄重感的前提下，突破传统工装刻板、老旧的设计弊端，融入简约大气的时尚设计元素。版型上优化传统宽松臃肿的问题，采用修身不紧绷的立体剪裁，贴合人体身形线条；细节上简化冗余设计，优化线条弧度、拼接工艺、辅料搭配，兼顾职业正式感与现代时尚感。整体设计兼顾职场严肃性与年轻化审美，让工装既符合岗位着装规范，又兼具美观度，提升整体着装质感与视觉观感。</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（4）优化裤脚工艺，改善现有服装缺陷</w:t>
      </w:r>
      <w:r>
        <w:rPr>
          <w:rFonts w:hint="eastAsia" w:ascii="宋体" w:hAnsi="宋体" w:cs="宋体"/>
          <w:sz w:val="24"/>
          <w:highlight w:val="none"/>
        </w:rPr>
      </w:r>
      <w:r/>
    </w:p>
    <w:p>
      <w:pPr>
        <w:pStyle w:val="919"/>
        <w:ind w:firstLine="480"/>
        <w:spacing w:line="360" w:lineRule="auto"/>
        <w:rPr>
          <w:rFonts w:ascii="宋体" w:hAnsi="宋体" w:cs="宋体"/>
          <w:sz w:val="24"/>
          <w:highlight w:val="none"/>
        </w:rPr>
      </w:pPr>
      <w:r>
        <w:rPr>
          <w:rFonts w:hint="eastAsia" w:ascii="宋体" w:hAnsi="宋体" w:cs="宋体"/>
          <w:sz w:val="24"/>
          <w:highlight w:val="none"/>
        </w:rPr>
        <w:t xml:space="preserve">针对现有工装裤脚版型拖沓、宽松臃肿、版型不规整的工艺短板，对工装裤脚进行专项优化升级。采用适度收脚设计，精准把控收脚幅度，做到收紧不紧绷、利落不拖沓，有效改善原有裤脚宽松坠塌、行走拖沓、版型杂乱的问题。同时优化裤脚缝合、锁边工艺，走线平整细密、牢固耐穿，提升裤子整体版型规整度与立体层次感，修正原有服装工艺缺陷，让工装版型更精致、穿着更利落，同时不影响日常工作行走、下蹲等动作操作。</w:t>
      </w:r>
      <w:r>
        <w:rPr>
          <w:rFonts w:ascii="宋体" w:hAnsi="宋体" w:cs="宋体"/>
          <w:sz w:val="24"/>
          <w:highlight w:val="none"/>
        </w:rPr>
      </w:r>
      <w:r/>
    </w:p>
    <w:p>
      <w:pPr>
        <w:pStyle w:val="919"/>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（四）工艺及技术要求</w:t>
      </w:r>
      <w:bookmarkEnd w:id="116"/>
      <w:r>
        <w:rPr>
          <w:rFonts w:hint="eastAsia" w:ascii="宋体" w:hAnsi="宋体" w:cs="宋体"/>
          <w:b/>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t xml:space="preserve">1、茄克式长袖套装（夏季劳保服）</w:t>
      </w:r>
      <w:r>
        <w:rPr>
          <w:rFonts w:hint="eastAsia" w:ascii="宋体" w:hAnsi="宋体" w:cs="宋体"/>
          <w:b/>
          <w:bCs/>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1.1原材料基本规定：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成分：85%涤13%棉2%防静电纤维 纬向机械弹力吸湿排汗双层复合斜纹</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纱支：经A:75D48F消光吸排</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经B：防静电纤维</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经C：TC45/2漂精65/35紧赛双股</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纬D：75D72F(高弹消光)</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纬E：防静电纤维</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密度：178*112根/英寸</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颜色：潘通色号 浅兰16-4033TCX   灰色15-4101TCX</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1.2防静电性能要求</w:t>
      </w:r>
      <w:r>
        <w:rPr>
          <w:rFonts w:hint="eastAsia" w:ascii="宋体" w:hAnsi="宋体" w:cs="宋体"/>
          <w:sz w:val="24"/>
          <w:highlight w:val="none"/>
        </w:rPr>
      </w:r>
      <w:r/>
    </w:p>
    <w:p>
      <w:pPr>
        <w:pStyle w:val="919"/>
        <w:ind w:firstLine="480"/>
        <w:spacing w:line="360" w:lineRule="auto"/>
        <w:rPr>
          <w:rFonts w:hint="eastAsia" w:ascii="宋体" w:hAnsi="宋体" w:cs="宋体"/>
          <w:color w:val="c00000"/>
          <w:sz w:val="24"/>
          <w:highlight w:val="none"/>
        </w:rPr>
      </w:pPr>
      <w:r>
        <w:rPr>
          <w:rFonts w:hint="eastAsia" w:ascii="宋体" w:hAnsi="宋体" w:cs="宋体"/>
          <w:color w:val="c00000"/>
          <w:sz w:val="24"/>
          <w:highlight w:val="none"/>
        </w:rPr>
        <w:t xml:space="preserve">防静电性能符合 GB12014—2019 标准规定测试，见表1。</w:t>
      </w:r>
      <w:r>
        <w:rPr>
          <w:rFonts w:hint="eastAsia" w:ascii="宋体" w:hAnsi="宋体" w:cs="宋体"/>
          <w:color w:val="c00000"/>
          <w:sz w:val="24"/>
          <w:highlight w:val="none"/>
        </w:rPr>
      </w:r>
      <w:r/>
    </w:p>
    <w:p>
      <w:pPr>
        <w:pStyle w:val="919"/>
        <w:ind w:left="3882"/>
        <w:spacing w:before="206" w:line="360" w:lineRule="auto"/>
        <w:rPr>
          <w:rFonts w:hint="eastAsia" w:ascii="宋体" w:hAnsi="宋体" w:cs="宋体"/>
          <w:sz w:val="24"/>
          <w:highlight w:val="none"/>
        </w:rPr>
      </w:pPr>
      <w:r>
        <w:rPr>
          <w:rFonts w:hint="eastAsia" w:ascii="宋体" w:hAnsi="宋体" w:cs="宋体"/>
          <w:spacing w:val="5"/>
          <w:sz w:val="24"/>
          <w:highlight w:val="none"/>
        </w:rPr>
        <w:t xml:space="preserve">表</w:t>
      </w:r>
      <w:r>
        <w:rPr>
          <w:rFonts w:hint="eastAsia" w:ascii="宋体" w:hAnsi="宋体" w:cs="宋体"/>
          <w:spacing w:val="8"/>
          <w:sz w:val="24"/>
          <w:highlight w:val="none"/>
        </w:rPr>
        <w:t xml:space="preserve"> 1    </w:t>
      </w:r>
      <w:r>
        <w:rPr>
          <w:rFonts w:hint="eastAsia" w:ascii="宋体" w:hAnsi="宋体" w:cs="宋体"/>
          <w:spacing w:val="5"/>
          <w:sz w:val="24"/>
          <w:highlight w:val="none"/>
        </w:rPr>
        <w:t xml:space="preserve">防静电性能规定</w:t>
      </w:r>
      <w:r>
        <w:rPr>
          <w:rFonts w:hint="eastAsia" w:ascii="宋体" w:hAnsi="宋体" w:cs="宋体"/>
          <w:sz w:val="24"/>
          <w:highlight w:val="none"/>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17"/>
        <w:gridCol w:w="2106"/>
        <w:gridCol w:w="5425"/>
      </w:tblGrid>
      <w:tr>
        <w:trPr>
          <w:trHeight w:val="313"/>
        </w:trPr>
        <w:tc>
          <w:tcPr>
            <w:tcW w:w="1137"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5"/>
                <w:sz w:val="24"/>
                <w:szCs w:val="24"/>
                <w:highlight w:val="none"/>
              </w:rPr>
              <w:t xml:space="preserve">项 目</w:t>
            </w:r>
            <w:r>
              <w:rPr>
                <w:rFonts w:hint="eastAsia"/>
                <w:sz w:val="24"/>
                <w:szCs w:val="24"/>
                <w:highlight w:val="none"/>
              </w:rPr>
            </w:r>
            <w:r/>
          </w:p>
        </w:tc>
        <w:tc>
          <w:tcPr>
            <w:tcW w:w="1080"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B</w:t>
            </w:r>
            <w:r>
              <w:rPr>
                <w:rFonts w:hint="eastAsia"/>
                <w:spacing w:val="10"/>
                <w:sz w:val="24"/>
                <w:szCs w:val="24"/>
                <w:highlight w:val="none"/>
              </w:rPr>
              <w:t xml:space="preserve"> </w:t>
            </w:r>
            <w:r>
              <w:rPr>
                <w:rFonts w:hint="eastAsia"/>
                <w:spacing w:val="-2"/>
                <w:sz w:val="24"/>
                <w:szCs w:val="24"/>
                <w:highlight w:val="none"/>
              </w:rPr>
              <w:t xml:space="preserve">级</w:t>
            </w:r>
            <w:r>
              <w:rPr>
                <w:rFonts w:hint="eastAsia"/>
                <w:sz w:val="24"/>
                <w:szCs w:val="24"/>
                <w:highlight w:val="none"/>
              </w:rPr>
            </w:r>
            <w:r/>
          </w:p>
        </w:tc>
        <w:tc>
          <w:tcPr>
            <w:tcW w:w="2782"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测试方法</w:t>
            </w:r>
            <w:r>
              <w:rPr>
                <w:rFonts w:hint="eastAsia"/>
                <w:sz w:val="24"/>
                <w:szCs w:val="24"/>
                <w:highlight w:val="none"/>
              </w:rPr>
            </w:r>
            <w:r/>
          </w:p>
        </w:tc>
      </w:tr>
      <w:tr>
        <w:trPr>
          <w:trHeight w:val="572"/>
        </w:trPr>
        <w:tc>
          <w:tcPr>
            <w:tcW w:w="1137" w:type="dxa"/>
            <w:vAlign w:val="center"/>
            <w:textDirection w:val="lrTb"/>
            <w:noWrap w:val="false"/>
          </w:tcPr>
          <w:p>
            <w:pPr>
              <w:pStyle w:val="1124"/>
              <w:jc w:val="center"/>
              <w:spacing w:before="46" w:line="360" w:lineRule="auto"/>
              <w:rPr>
                <w:rFonts w:hint="eastAsia"/>
                <w:sz w:val="24"/>
                <w:szCs w:val="24"/>
                <w:highlight w:val="none"/>
              </w:rPr>
            </w:pPr>
            <w:r>
              <w:rPr>
                <w:rFonts w:hint="eastAsia"/>
                <w:color w:val="c00000"/>
                <w:spacing w:val="-11"/>
                <w:sz w:val="24"/>
                <w:szCs w:val="24"/>
                <w:highlight w:val="none"/>
              </w:rPr>
              <w:t xml:space="preserve">点对点电阻Ω</w:t>
            </w:r>
            <w:r>
              <w:rPr>
                <w:rFonts w:hint="eastAsia"/>
                <w:sz w:val="24"/>
                <w:szCs w:val="24"/>
                <w:highlight w:val="none"/>
              </w:rPr>
            </w:r>
            <w:r/>
          </w:p>
        </w:tc>
        <w:tc>
          <w:tcPr>
            <w:tcW w:w="1080" w:type="dxa"/>
            <w:vAlign w:val="center"/>
            <w:textDirection w:val="lrTb"/>
            <w:noWrap w:val="false"/>
          </w:tcPr>
          <w:p>
            <w:pPr>
              <w:pStyle w:val="1124"/>
              <w:jc w:val="center"/>
              <w:spacing w:before="46" w:line="360" w:lineRule="auto"/>
              <w:rPr>
                <w:rFonts w:hint="eastAsia"/>
                <w:sz w:val="24"/>
                <w:szCs w:val="24"/>
                <w:highlight w:val="none"/>
              </w:rPr>
            </w:pPr>
            <w:r>
              <w:rPr>
                <w:rFonts w:hint="eastAsia"/>
                <w:spacing w:val="-11"/>
                <w:sz w:val="24"/>
                <w:szCs w:val="24"/>
                <w:highlight w:val="none"/>
              </w:rPr>
              <w:t xml:space="preserve">1×</w:t>
            </w:r>
            <w:r>
              <w:rPr>
                <w:rFonts w:hint="eastAsia"/>
                <w:spacing w:val="-24"/>
                <w:sz w:val="24"/>
                <w:szCs w:val="24"/>
                <w:highlight w:val="none"/>
              </w:rPr>
              <w:t xml:space="preserve"> </w:t>
            </w:r>
            <w:r>
              <w:rPr>
                <w:rFonts w:hint="eastAsia"/>
                <w:spacing w:val="-11"/>
                <w:sz w:val="24"/>
                <w:szCs w:val="24"/>
                <w:highlight w:val="none"/>
              </w:rPr>
              <w:t xml:space="preserve">10</w:t>
            </w:r>
            <w:r>
              <w:rPr>
                <w:rFonts w:hint="eastAsia"/>
                <w:spacing w:val="-1"/>
                <w:position w:val="8"/>
                <w:sz w:val="24"/>
                <w:szCs w:val="24"/>
                <w:highlight w:val="none"/>
              </w:rPr>
              <w:t xml:space="preserve">7</w:t>
            </w:r>
            <w:r>
              <w:rPr>
                <w:rFonts w:hint="eastAsia"/>
                <w:spacing w:val="-1"/>
                <w:sz w:val="24"/>
                <w:szCs w:val="24"/>
                <w:highlight w:val="none"/>
              </w:rPr>
              <w:t xml:space="preserve">～1×</w:t>
            </w:r>
            <w:r>
              <w:rPr>
                <w:rFonts w:hint="eastAsia"/>
                <w:spacing w:val="-22"/>
                <w:sz w:val="24"/>
                <w:szCs w:val="24"/>
                <w:highlight w:val="none"/>
              </w:rPr>
              <w:t xml:space="preserve"> </w:t>
            </w:r>
            <w:r>
              <w:rPr>
                <w:rFonts w:hint="eastAsia"/>
                <w:spacing w:val="-1"/>
                <w:sz w:val="24"/>
                <w:szCs w:val="24"/>
                <w:highlight w:val="none"/>
              </w:rPr>
              <w:t xml:space="preserve">10</w:t>
            </w:r>
            <w:r>
              <w:rPr>
                <w:rFonts w:hint="eastAsia"/>
                <w:spacing w:val="-1"/>
                <w:position w:val="8"/>
                <w:sz w:val="24"/>
                <w:szCs w:val="24"/>
                <w:highlight w:val="none"/>
              </w:rPr>
              <w:t xml:space="preserve">11</w:t>
            </w:r>
            <w:r>
              <w:rPr>
                <w:rFonts w:hint="eastAsia"/>
                <w:sz w:val="24"/>
                <w:szCs w:val="24"/>
                <w:highlight w:val="none"/>
              </w:rPr>
            </w:r>
            <w:r/>
          </w:p>
        </w:tc>
        <w:tc>
          <w:tcPr>
            <w:tcW w:w="2782"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详见 GB 12014—2019 中附录 A</w:t>
            </w:r>
            <w:r>
              <w:rPr>
                <w:rFonts w:hint="eastAsia"/>
                <w:spacing w:val="-11"/>
                <w:sz w:val="24"/>
                <w:szCs w:val="24"/>
                <w:highlight w:val="none"/>
              </w:rPr>
            </w:r>
            <w:r/>
          </w:p>
        </w:tc>
      </w:tr>
      <w:tr>
        <w:trPr>
          <w:trHeight w:val="597"/>
        </w:trPr>
        <w:tc>
          <w:tcPr>
            <w:tcW w:w="1137" w:type="dxa"/>
            <w:vAlign w:val="center"/>
            <w:textDirection w:val="lrTb"/>
            <w:noWrap w:val="false"/>
          </w:tcPr>
          <w:p>
            <w:pPr>
              <w:pStyle w:val="1122"/>
              <w:spacing w:line="360" w:lineRule="auto"/>
              <w:rPr>
                <w:rFonts w:hint="eastAsia" w:ascii="宋体" w:hAnsi="宋体" w:cs="宋体"/>
                <w:spacing w:val="-11"/>
                <w:sz w:val="24"/>
                <w:highlight w:val="none"/>
              </w:rPr>
            </w:pPr>
            <w:r>
              <w:rPr>
                <w:rFonts w:hint="eastAsia" w:ascii="宋体" w:hAnsi="宋体" w:cs="宋体"/>
                <w:spacing w:val="-11"/>
                <w:sz w:val="24"/>
                <w:highlight w:val="none"/>
              </w:rPr>
              <w:t xml:space="preserve">带电电荷量μC/件</w:t>
            </w:r>
            <w:r>
              <w:rPr>
                <w:rFonts w:hint="eastAsia" w:ascii="宋体" w:hAnsi="宋体" w:cs="宋体"/>
                <w:spacing w:val="-11"/>
                <w:sz w:val="24"/>
                <w:highlight w:val="none"/>
              </w:rPr>
            </w:r>
            <w:r/>
          </w:p>
        </w:tc>
        <w:tc>
          <w:tcPr>
            <w:tcW w:w="1080" w:type="dxa"/>
            <w:vAlign w:val="center"/>
            <w:textDirection w:val="lrTb"/>
            <w:noWrap w:val="false"/>
          </w:tcPr>
          <w:p>
            <w:pPr>
              <w:pStyle w:val="1124"/>
              <w:ind w:left="734"/>
              <w:jc w:val="center"/>
              <w:spacing w:before="49" w:line="360" w:lineRule="auto"/>
              <w:rPr>
                <w:rFonts w:hint="eastAsia"/>
                <w:spacing w:val="-11"/>
                <w:sz w:val="24"/>
                <w:szCs w:val="24"/>
                <w:highlight w:val="none"/>
              </w:rPr>
            </w:pPr>
            <w:r>
              <w:rPr>
                <w:rFonts w:hint="eastAsia"/>
                <w:spacing w:val="-11"/>
                <w:sz w:val="24"/>
                <w:szCs w:val="24"/>
                <w:highlight w:val="none"/>
              </w:rPr>
              <w:t xml:space="preserve">＜0.6</w:t>
            </w:r>
            <w:r>
              <w:rPr>
                <w:rFonts w:hint="eastAsia"/>
                <w:spacing w:val="-11"/>
                <w:sz w:val="24"/>
                <w:szCs w:val="24"/>
                <w:highlight w:val="none"/>
              </w:rPr>
            </w:r>
            <w:r/>
          </w:p>
        </w:tc>
        <w:tc>
          <w:tcPr>
            <w:tcW w:w="2782"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详见 GB 12014—2019 中附录 B</w:t>
            </w:r>
            <w:r>
              <w:rPr>
                <w:rFonts w:hint="eastAsia"/>
                <w:spacing w:val="-11"/>
                <w:sz w:val="24"/>
                <w:szCs w:val="24"/>
                <w:highlight w:val="none"/>
              </w:rPr>
            </w:r>
            <w:r/>
          </w:p>
        </w:tc>
      </w:tr>
    </w:tbl>
    <w:p>
      <w:pPr>
        <w:pStyle w:val="919"/>
        <w:spacing w:before="253" w:line="360" w:lineRule="auto"/>
        <w:rPr>
          <w:rFonts w:hint="eastAsia" w:ascii="宋体" w:hAnsi="宋体" w:cs="宋体"/>
          <w:sz w:val="24"/>
          <w:highlight w:val="none"/>
        </w:rPr>
      </w:pPr>
      <w:r>
        <w:rPr>
          <w:rFonts w:hint="eastAsia" w:ascii="宋体" w:hAnsi="宋体" w:cs="宋体"/>
          <w:sz w:val="24"/>
          <w:highlight w:val="none"/>
        </w:rPr>
        <w:t xml:space="preserve">1.3</w:t>
      </w:r>
      <w:r>
        <w:rPr>
          <w:rFonts w:hint="eastAsia" w:ascii="宋体" w:hAnsi="宋体" w:cs="宋体"/>
          <w:spacing w:val="7"/>
          <w:sz w:val="24"/>
          <w:highlight w:val="none"/>
        </w:rPr>
        <w:t xml:space="preserve">基本安全技术要求</w:t>
      </w:r>
      <w:r>
        <w:rPr>
          <w:rFonts w:hint="eastAsia" w:ascii="宋体" w:hAnsi="宋体" w:cs="宋体"/>
          <w:sz w:val="24"/>
          <w:highlight w:val="none"/>
        </w:rPr>
      </w:r>
      <w:r/>
    </w:p>
    <w:p>
      <w:pPr>
        <w:pStyle w:val="919"/>
        <w:ind w:left="3776"/>
        <w:spacing w:before="69" w:line="360" w:lineRule="auto"/>
        <w:rPr>
          <w:rFonts w:hint="eastAsia" w:ascii="宋体" w:hAnsi="宋体" w:cs="宋体"/>
          <w:sz w:val="24"/>
          <w:highlight w:val="none"/>
        </w:rPr>
      </w:pPr>
      <w:r>
        <w:rPr>
          <w:rFonts w:hint="eastAsia" w:ascii="宋体" w:hAnsi="宋体" w:cs="宋体"/>
          <w:spacing w:val="6"/>
          <w:sz w:val="24"/>
          <w:highlight w:val="none"/>
        </w:rPr>
        <w:t xml:space="preserve">表2  基本安全技术要求</w:t>
      </w:r>
      <w:r>
        <w:rPr>
          <w:rFonts w:hint="eastAsia" w:ascii="宋体" w:hAnsi="宋体" w:cs="宋体"/>
          <w:sz w:val="24"/>
          <w:highlight w:val="none"/>
        </w:rPr>
      </w:r>
      <w:r/>
    </w:p>
    <w:tbl>
      <w:tblPr>
        <w:tblW w:w="4999"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903"/>
        <w:gridCol w:w="5847"/>
      </w:tblGrid>
      <w:tr>
        <w:trPr>
          <w:trHeight w:val="314"/>
        </w:trPr>
        <w:tc>
          <w:tcPr>
            <w:tcW w:w="2001" w:type="dxa"/>
            <w:vAlign w:val="top"/>
            <w:textDirection w:val="lrTb"/>
            <w:noWrap w:val="false"/>
          </w:tcPr>
          <w:p>
            <w:pPr>
              <w:pStyle w:val="1124"/>
              <w:jc w:val="center"/>
              <w:spacing w:before="46" w:line="360" w:lineRule="auto"/>
              <w:rPr>
                <w:rFonts w:hint="eastAsia"/>
                <w:sz w:val="24"/>
                <w:szCs w:val="24"/>
                <w:highlight w:val="none"/>
              </w:rPr>
            </w:pPr>
            <w:r>
              <w:rPr>
                <w:rFonts w:hint="eastAsia"/>
                <w:b/>
                <w:bCs/>
                <w:spacing w:val="-11"/>
                <w:sz w:val="24"/>
                <w:szCs w:val="24"/>
                <w:highlight w:val="none"/>
              </w:rPr>
              <w:t xml:space="preserve">基本理化性能</w:t>
            </w:r>
            <w:r>
              <w:rPr>
                <w:rFonts w:hint="eastAsia"/>
                <w:sz w:val="24"/>
                <w:szCs w:val="24"/>
                <w:highlight w:val="none"/>
              </w:rPr>
            </w:r>
            <w:r/>
          </w:p>
        </w:tc>
        <w:tc>
          <w:tcPr>
            <w:tcW w:w="2998" w:type="dxa"/>
            <w:vAlign w:val="top"/>
            <w:textDirection w:val="lrTb"/>
            <w:noWrap w:val="false"/>
          </w:tcPr>
          <w:p>
            <w:pPr>
              <w:pStyle w:val="1124"/>
              <w:ind w:left="231" w:hanging="11"/>
              <w:jc w:val="center"/>
              <w:spacing w:before="68" w:line="360" w:lineRule="auto"/>
              <w:rPr>
                <w:rFonts w:hint="eastAsia"/>
                <w:sz w:val="24"/>
                <w:szCs w:val="24"/>
                <w:highlight w:val="none"/>
              </w:rPr>
            </w:pPr>
            <w:r>
              <w:rPr>
                <w:rFonts w:hint="eastAsia"/>
                <w:spacing w:val="-2"/>
                <w:sz w:val="24"/>
                <w:szCs w:val="24"/>
                <w:highlight w:val="none"/>
              </w:rPr>
              <w:t xml:space="preserve">技术要求</w:t>
            </w:r>
            <w:r>
              <w:rPr>
                <w:rFonts w:hint="eastAsia"/>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甲醛含量/(mg/kg)</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直接接触皮≤75</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pH 值</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4.0～8.5</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尺寸变化率%</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-2.5～+2.5(经、纬向)</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color w:val="c00000"/>
                <w:spacing w:val="-11"/>
                <w:sz w:val="24"/>
                <w:szCs w:val="24"/>
                <w:highlight w:val="none"/>
              </w:rPr>
              <w:t xml:space="preserve">透气率/(mm/s)</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＞60</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耐水色牢度/级（变色、沾色）</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≥3-4</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耐干摩擦色牢度/级（变色、沾色）</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w:t>
            </w:r>
            <w:r>
              <w:rPr>
                <w:rFonts w:ascii="Times New Roman" w:hAnsi="Times New Roman" w:eastAsia="Times New Roman" w:cs="Times New Roman"/>
                <w:spacing w:val="-1"/>
                <w:sz w:val="24"/>
                <w:szCs w:val="24"/>
                <w:highlight w:val="none"/>
              </w:rPr>
              <w:t xml:space="preserve">3</w:t>
            </w:r>
            <w:r>
              <w:rPr>
                <w:rFonts w:hint="eastAsia"/>
                <w:spacing w:val="-1"/>
                <w:sz w:val="24"/>
                <w:szCs w:val="24"/>
                <w:highlight w:val="none"/>
              </w:rPr>
              <w:t xml:space="preserve">-</w:t>
            </w:r>
            <w:r>
              <w:rPr>
                <w:rFonts w:ascii="Times New Roman" w:hAnsi="Times New Roman" w:eastAsia="Times New Roman" w:cs="Times New Roman"/>
                <w:spacing w:val="-1"/>
                <w:sz w:val="24"/>
                <w:szCs w:val="24"/>
                <w:highlight w:val="none"/>
              </w:rPr>
              <w:t xml:space="preserve">4</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耐光色牢度/级（变色、沾色）</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w:t>
            </w:r>
            <w:r>
              <w:rPr>
                <w:rFonts w:ascii="Times New Roman" w:hAnsi="Times New Roman" w:eastAsia="Times New Roman" w:cs="Times New Roman"/>
                <w:spacing w:val="-1"/>
                <w:sz w:val="24"/>
                <w:szCs w:val="24"/>
                <w:highlight w:val="none"/>
              </w:rPr>
              <w:t xml:space="preserve">3</w:t>
            </w:r>
            <w:r>
              <w:rPr>
                <w:rFonts w:hint="eastAsia"/>
                <w:spacing w:val="-1"/>
                <w:sz w:val="24"/>
                <w:szCs w:val="24"/>
                <w:highlight w:val="none"/>
              </w:rPr>
              <w:t xml:space="preserve">-</w:t>
            </w:r>
            <w:r>
              <w:rPr>
                <w:rFonts w:ascii="Times New Roman" w:hAnsi="Times New Roman" w:eastAsia="Times New Roman" w:cs="Times New Roman"/>
                <w:spacing w:val="-1"/>
                <w:sz w:val="24"/>
                <w:szCs w:val="24"/>
                <w:highlight w:val="none"/>
              </w:rPr>
              <w:t xml:space="preserve">4</w:t>
            </w:r>
            <w:r>
              <w:rPr>
                <w:rFonts w:hint="eastAsia"/>
                <w:spacing w:val="-11"/>
                <w:sz w:val="24"/>
                <w:szCs w:val="24"/>
                <w:highlight w:val="none"/>
              </w:rPr>
            </w:r>
            <w:r/>
          </w:p>
        </w:tc>
      </w:tr>
      <w:tr>
        <w:trPr>
          <w:trHeight w:val="310"/>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耐酸汗渍（变色、沾色）</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≥3-4</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耐碱汗渍（变色、沾色）</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≥3-4</w:t>
            </w:r>
            <w:r>
              <w:rPr>
                <w:rFonts w:hint="eastAsia"/>
                <w:spacing w:val="-11"/>
                <w:sz w:val="24"/>
                <w:szCs w:val="24"/>
                <w:highlight w:val="none"/>
              </w:rPr>
            </w:r>
            <w:r/>
          </w:p>
        </w:tc>
      </w:tr>
      <w:tr>
        <w:trPr>
          <w:trHeight w:val="704"/>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color w:val="c00000"/>
                <w:spacing w:val="-11"/>
                <w:sz w:val="24"/>
                <w:szCs w:val="24"/>
                <w:highlight w:val="none"/>
              </w:rPr>
              <w:t xml:space="preserve">断裂强度/N</w:t>
            </w:r>
            <w:r>
              <w:rPr>
                <w:rFonts w:hint="eastAsia"/>
                <w:spacing w:val="-11"/>
                <w:sz w:val="24"/>
                <w:szCs w:val="24"/>
                <w:highlight w:val="none"/>
              </w:rPr>
            </w:r>
            <w:r/>
          </w:p>
        </w:tc>
        <w:tc>
          <w:tcPr>
            <w:tcW w:w="2998" w:type="dxa"/>
            <w:vAlign w:val="top"/>
            <w:textDirection w:val="lrTb"/>
            <w:noWrap w:val="false"/>
          </w:tcPr>
          <w:p>
            <w:pPr>
              <w:pStyle w:val="1124"/>
              <w:jc w:val="center"/>
              <w:spacing w:before="46"/>
              <w:rPr>
                <w:rFonts w:hint="eastAsia"/>
                <w:spacing w:val="-11"/>
                <w:sz w:val="24"/>
                <w:szCs w:val="24"/>
                <w:highlight w:val="none"/>
              </w:rPr>
            </w:pPr>
            <w:r>
              <w:rPr>
                <w:rFonts w:hint="eastAsia"/>
                <w:spacing w:val="-11"/>
                <w:sz w:val="24"/>
                <w:szCs w:val="24"/>
                <w:highlight w:val="none"/>
              </w:rPr>
              <w:t xml:space="preserve">径向≥780（单位面积质量≥200g/㎡）</w:t>
            </w:r>
            <w:r>
              <w:rPr>
                <w:rFonts w:hint="eastAsia"/>
                <w:spacing w:val="-11"/>
                <w:sz w:val="24"/>
                <w:szCs w:val="24"/>
                <w:highlight w:val="none"/>
              </w:rPr>
            </w:r>
            <w:r/>
          </w:p>
          <w:p>
            <w:pPr>
              <w:pStyle w:val="1124"/>
              <w:jc w:val="center"/>
              <w:spacing w:before="46"/>
              <w:rPr>
                <w:rFonts w:hint="eastAsia"/>
                <w:spacing w:val="-11"/>
                <w:sz w:val="24"/>
                <w:szCs w:val="24"/>
                <w:highlight w:val="none"/>
              </w:rPr>
            </w:pPr>
            <w:r>
              <w:rPr>
                <w:rFonts w:hint="eastAsia"/>
                <w:spacing w:val="-11"/>
                <w:sz w:val="24"/>
                <w:szCs w:val="24"/>
                <w:highlight w:val="none"/>
              </w:rPr>
              <w:t xml:space="preserve">径向≥490（单位面积质量＜200g/㎡）</w:t>
            </w:r>
            <w:r>
              <w:rPr>
                <w:rFonts w:hint="eastAsia"/>
                <w:spacing w:val="-11"/>
                <w:sz w:val="24"/>
                <w:szCs w:val="24"/>
                <w:highlight w:val="none"/>
              </w:rPr>
            </w:r>
            <w:r/>
          </w:p>
          <w:p>
            <w:pPr>
              <w:pStyle w:val="1124"/>
              <w:jc w:val="center"/>
              <w:spacing w:before="46"/>
              <w:rPr>
                <w:rFonts w:hint="eastAsia"/>
                <w:spacing w:val="-11"/>
                <w:sz w:val="24"/>
                <w:szCs w:val="24"/>
                <w:highlight w:val="none"/>
              </w:rPr>
            </w:pPr>
            <w:r>
              <w:rPr>
                <w:rFonts w:hint="eastAsia"/>
                <w:spacing w:val="-11"/>
                <w:sz w:val="24"/>
                <w:szCs w:val="24"/>
                <w:highlight w:val="none"/>
              </w:rPr>
              <w:t xml:space="preserve">纬向≥390</w:t>
            </w:r>
            <w:r>
              <w:rPr>
                <w:rFonts w:hint="eastAsia"/>
                <w:spacing w:val="-11"/>
                <w:sz w:val="24"/>
                <w:szCs w:val="24"/>
                <w:highlight w:val="none"/>
              </w:rPr>
            </w:r>
            <w:r/>
          </w:p>
        </w:tc>
      </w:tr>
      <w:tr>
        <w:trPr>
          <w:trHeight w:val="309"/>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异味</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无</w:t>
            </w:r>
            <w:r>
              <w:rPr>
                <w:rFonts w:hint="eastAsia"/>
                <w:spacing w:val="-11"/>
                <w:sz w:val="24"/>
                <w:szCs w:val="24"/>
                <w:highlight w:val="none"/>
              </w:rPr>
            </w:r>
            <w:r/>
          </w:p>
        </w:tc>
      </w:tr>
      <w:tr>
        <w:trPr>
          <w:trHeight w:val="314"/>
        </w:trPr>
        <w:tc>
          <w:tcPr>
            <w:tcW w:w="2001" w:type="dxa"/>
            <w:vAlign w:val="center"/>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可分解致癌芳香胺染料</w:t>
            </w:r>
            <w:r>
              <w:rPr>
                <w:rFonts w:hint="eastAsia"/>
                <w:spacing w:val="-11"/>
                <w:sz w:val="24"/>
                <w:szCs w:val="24"/>
                <w:highlight w:val="none"/>
              </w:rPr>
            </w:r>
            <w:r/>
          </w:p>
        </w:tc>
        <w:tc>
          <w:tcPr>
            <w:tcW w:w="2998" w:type="dxa"/>
            <w:vAlign w:val="top"/>
            <w:textDirection w:val="lrTb"/>
            <w:noWrap w:val="false"/>
          </w:tcPr>
          <w:p>
            <w:pPr>
              <w:pStyle w:val="1124"/>
              <w:jc w:val="center"/>
              <w:spacing w:before="46" w:line="360" w:lineRule="auto"/>
              <w:rPr>
                <w:rFonts w:hint="eastAsia"/>
                <w:spacing w:val="-11"/>
                <w:sz w:val="24"/>
                <w:szCs w:val="24"/>
                <w:highlight w:val="none"/>
              </w:rPr>
            </w:pPr>
            <w:r>
              <w:rPr>
                <w:rFonts w:hint="eastAsia"/>
                <w:spacing w:val="-11"/>
                <w:sz w:val="24"/>
                <w:szCs w:val="24"/>
                <w:highlight w:val="none"/>
              </w:rPr>
              <w:t xml:space="preserve">禁用</w:t>
            </w:r>
            <w:r>
              <w:rPr>
                <w:rFonts w:hint="eastAsia"/>
                <w:spacing w:val="-11"/>
                <w:sz w:val="24"/>
                <w:szCs w:val="24"/>
                <w:highlight w:val="none"/>
              </w:rPr>
            </w:r>
            <w:r/>
          </w:p>
        </w:tc>
      </w:tr>
    </w:tbl>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1.3.1面料的成分和含量：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面料的成分和含量详见原材料基本规定，并符合FZ/T 01053、</w:t>
      </w:r>
      <w:r>
        <w:rPr>
          <w:rFonts w:hint="eastAsia" w:ascii="宋体" w:hAnsi="宋体" w:cs="宋体"/>
          <w:color w:val="0d0d0d"/>
          <w:sz w:val="24"/>
          <w:highlight w:val="none"/>
        </w:rPr>
        <w:t xml:space="preserve">GB/T 29862</w:t>
      </w:r>
      <w:r>
        <w:rPr>
          <w:rFonts w:hint="eastAsia" w:ascii="宋体" w:hAnsi="宋体" w:cs="宋体"/>
          <w:sz w:val="24"/>
          <w:highlight w:val="none"/>
        </w:rPr>
        <w:t xml:space="preserve">的要求。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1.3.2接缝强力：</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成品接缝强力：后袖缝和后裆缝不小于140N/（5.0cm×10cm），其它部位不小于100N/（5.0cm×10cm）。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1.3.3纰裂：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主要部位缝子纰裂程度要求≤0.6cm。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1.4外观质量要求：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1.4.1疵点允许存在程度规定：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成品各部位的疵点均不允许存在严重疵点。任何大小的破损,断经、断纬，以及超过重度外观疵点范围的疵点，均不允许在任何裁片使用；每个独立部位只允许疵点一处不超过0.5cm。未列入本部分的疵点按其形态， 参照以上相似疵点执行。</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1.4.2缝制要求：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（1）针距密度要求，14～18针/3cm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（2）各部位缝制平服，线路顺直、整齐、牢固，针迹均匀，上下线松紧要适宜，起止针处及袋口应回针缉牢。</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（3）各部位外露缝份应折光边。</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（4）各部位缝份不小于 0.8cm。</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（5）各部位30cm内不得有两处单跳针或连续跳针，不得脱线，明线不允许接线，链式线迹不允许跳线。</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1.4.3整烫及外观质量规定：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（1）各部位要熨烫平服、干燥。领子需定型整烫，挺括。无变色、无烫黄，水渍及亮光。</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（2）覆粘衬部位不允许有脱胶、渗透及起皱。</w:t>
      </w:r>
      <w:r>
        <w:rPr>
          <w:rFonts w:hint="eastAsia" w:ascii="宋体" w:hAnsi="宋体" w:cs="宋体"/>
          <w:sz w:val="24"/>
          <w:highlight w:val="none"/>
        </w:rPr>
      </w:r>
      <w:r/>
    </w:p>
    <w:p>
      <w:pPr>
        <w:pStyle w:val="919"/>
        <w:jc w:val="center"/>
        <w:spacing w:line="360" w:lineRule="auto"/>
        <w:rPr>
          <w:rFonts w:hint="eastAsia" w:ascii="宋体" w:hAnsi="宋体" w:cs="宋体"/>
          <w:sz w:val="24"/>
          <w:highlight w:val="none"/>
        </w:rPr>
      </w:pPr>
      <w:r>
        <w:rPr>
          <w:rFonts w:hint="eastAsia" w:ascii="宋体" w:hAnsi="宋体" w:cs="宋体"/>
          <w:sz w:val="24"/>
          <w:highlight w:val="none"/>
        </w:rPr>
        <w:t xml:space="preserve">茄克式长袖套装（夏季劳保服）效果图（仅供参考）</w:t>
      </w:r>
      <w:r>
        <w:rPr>
          <w:rFonts w:hint="eastAsia" w:ascii="宋体" w:hAnsi="宋体" w:cs="宋体"/>
          <w:sz w:val="24"/>
          <w:highlight w:val="none"/>
        </w:rPr>
      </w:r>
      <w:r/>
    </w:p>
    <w:p>
      <w:pPr>
        <w:pStyle w:val="942"/>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145665" cy="2975610"/>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145665" cy="2975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68.9pt;height:234.3pt;mso-wrap-distance-left:0.0pt;mso-wrap-distance-top:0.0pt;mso-wrap-distance-right:0.0pt;mso-wrap-distance-bottom:0.0pt;" stroked="f">
                <v:path textboxrect="0,0,0,0"/>
                <v:imagedata r:id="rId26"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094865" cy="296672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2094865" cy="2966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64.9pt;height:233.6pt;mso-wrap-distance-left:0.0pt;mso-wrap-distance-top:0.0pt;mso-wrap-distance-right:0.0pt;mso-wrap-distance-bottom:0.0pt;" stroked="f">
                <v:path textboxrect="0,0,0,0"/>
                <v:imagedata r:id="rId27" o:title=""/>
              </v:shape>
            </w:pict>
          </mc:Fallback>
        </mc:AlternateConten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r>
      <w:r/>
    </w:p>
    <w:p>
      <w:pPr>
        <w:pStyle w:val="942"/>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193290" cy="2965450"/>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2193290" cy="2965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72.7pt;height:233.5pt;mso-wrap-distance-left:0.0pt;mso-wrap-distance-top:0.0pt;mso-wrap-distance-right:0.0pt;mso-wrap-distance-bottom:0.0pt;" stroked="f">
                <v:path textboxrect="0,0,0,0"/>
                <v:imagedata r:id="rId28"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085581" cy="2953449"/>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2085581" cy="2953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64.2pt;height:232.6pt;mso-wrap-distance-left:0.0pt;mso-wrap-distance-top:0.0pt;mso-wrap-distance-right:0.0pt;mso-wrap-distance-bottom:0.0pt;" stroked="f">
                <v:path textboxrect="0,0,0,0"/>
                <v:imagedata r:id="rId29" o:title=""/>
              </v:shape>
            </w:pict>
          </mc:Fallback>
        </mc:AlternateContent>
      </w:r>
      <w:r>
        <w:rPr>
          <w:rFonts w:hint="eastAsia" w:ascii="宋体" w:hAnsi="宋体" w:cs="宋体"/>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t xml:space="preserve">2、茄克式长袖套装（春秋季劳保服）</w:t>
      </w:r>
      <w:r>
        <w:rPr>
          <w:rFonts w:hint="eastAsia" w:ascii="宋体" w:hAnsi="宋体" w:cs="宋体"/>
          <w:b/>
          <w:bCs/>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2.1原材料基本规定：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成分：98%涤+2%导电纤维</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纱支：150D*330D96F</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密度：128*66</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颜色：潘通色号 浅兰15-4005TCX  藏青19-4020TCX，色牢度3.5-4级</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2.2防静电性能要求</w:t>
      </w:r>
      <w:r>
        <w:rPr>
          <w:rFonts w:hint="eastAsia" w:ascii="宋体" w:hAnsi="宋体" w:cs="宋体"/>
          <w:sz w:val="24"/>
          <w:highlight w:val="none"/>
        </w:rPr>
      </w:r>
      <w:r/>
    </w:p>
    <w:p>
      <w:pPr>
        <w:pStyle w:val="919"/>
        <w:ind w:firstLine="480"/>
        <w:spacing w:line="360" w:lineRule="auto"/>
        <w:rPr>
          <w:rFonts w:hint="eastAsia" w:ascii="宋体" w:hAnsi="宋体" w:cs="宋体"/>
          <w:spacing w:val="7"/>
          <w:sz w:val="24"/>
          <w:highlight w:val="none"/>
        </w:rPr>
      </w:pPr>
      <w:r>
        <w:rPr>
          <w:rFonts w:hint="eastAsia" w:ascii="宋体" w:hAnsi="宋体" w:cs="宋体"/>
          <w:sz w:val="24"/>
          <w:highlight w:val="none"/>
        </w:rPr>
        <w:t xml:space="preserve">防静电性能符合 GB12014—2019 标准规定测试，见表3。</w:t>
      </w:r>
      <w:r>
        <w:rPr>
          <w:rFonts w:hint="eastAsia" w:ascii="宋体" w:hAnsi="宋体" w:cs="宋体"/>
          <w:spacing w:val="7"/>
          <w:sz w:val="24"/>
          <w:highlight w:val="none"/>
        </w:rPr>
      </w:r>
      <w:r/>
    </w:p>
    <w:p>
      <w:pPr>
        <w:pStyle w:val="919"/>
        <w:jc w:val="center"/>
        <w:spacing w:before="161" w:line="360" w:lineRule="auto"/>
        <w:rPr>
          <w:rFonts w:hint="eastAsia" w:ascii="宋体" w:hAnsi="宋体" w:cs="宋体"/>
          <w:sz w:val="24"/>
          <w:highlight w:val="none"/>
        </w:rPr>
      </w:pPr>
      <w:r>
        <w:rPr>
          <w:rFonts w:hint="eastAsia" w:ascii="宋体" w:hAnsi="宋体" w:cs="宋体"/>
          <w:spacing w:val="6"/>
          <w:sz w:val="24"/>
          <w:highlight w:val="none"/>
        </w:rPr>
        <w:t xml:space="preserve">表3</w:t>
      </w:r>
      <w:r>
        <w:rPr>
          <w:rFonts w:hint="eastAsia" w:ascii="宋体" w:hAnsi="宋体" w:cs="宋体"/>
          <w:sz w:val="24"/>
          <w:highlight w:val="none"/>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17"/>
        <w:gridCol w:w="2106"/>
        <w:gridCol w:w="5425"/>
      </w:tblGrid>
      <w:tr>
        <w:trPr>
          <w:trHeight w:val="313"/>
        </w:trPr>
        <w:tc>
          <w:tcPr>
            <w:tcW w:w="1137"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5"/>
                <w:sz w:val="24"/>
                <w:szCs w:val="24"/>
                <w:highlight w:val="none"/>
              </w:rPr>
              <w:t xml:space="preserve">项 目</w:t>
            </w:r>
            <w:r>
              <w:rPr>
                <w:rFonts w:hint="eastAsia"/>
                <w:sz w:val="24"/>
                <w:szCs w:val="24"/>
                <w:highlight w:val="none"/>
              </w:rPr>
            </w:r>
            <w:r/>
          </w:p>
        </w:tc>
        <w:tc>
          <w:tcPr>
            <w:tcW w:w="1080"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B</w:t>
            </w:r>
            <w:r>
              <w:rPr>
                <w:rFonts w:hint="eastAsia"/>
                <w:spacing w:val="10"/>
                <w:sz w:val="24"/>
                <w:szCs w:val="24"/>
                <w:highlight w:val="none"/>
              </w:rPr>
              <w:t xml:space="preserve"> </w:t>
            </w:r>
            <w:r>
              <w:rPr>
                <w:rFonts w:hint="eastAsia"/>
                <w:spacing w:val="-2"/>
                <w:sz w:val="24"/>
                <w:szCs w:val="24"/>
                <w:highlight w:val="none"/>
              </w:rPr>
              <w:t xml:space="preserve">级</w:t>
            </w:r>
            <w:r>
              <w:rPr>
                <w:rFonts w:hint="eastAsia"/>
                <w:sz w:val="24"/>
                <w:szCs w:val="24"/>
                <w:highlight w:val="none"/>
              </w:rPr>
            </w:r>
            <w:r/>
          </w:p>
        </w:tc>
        <w:tc>
          <w:tcPr>
            <w:tcW w:w="2782"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测试方法</w:t>
            </w:r>
            <w:r>
              <w:rPr>
                <w:rFonts w:hint="eastAsia"/>
                <w:sz w:val="24"/>
                <w:szCs w:val="24"/>
                <w:highlight w:val="none"/>
              </w:rPr>
            </w:r>
            <w:r/>
          </w:p>
        </w:tc>
      </w:tr>
      <w:tr>
        <w:trPr>
          <w:trHeight w:val="307"/>
        </w:trPr>
        <w:tc>
          <w:tcPr>
            <w:tcW w:w="1137" w:type="dxa"/>
            <w:vAlign w:val="center"/>
            <w:textDirection w:val="lrTb"/>
            <w:noWrap w:val="false"/>
          </w:tcPr>
          <w:p>
            <w:pPr>
              <w:pStyle w:val="1124"/>
              <w:jc w:val="center"/>
              <w:spacing w:before="46" w:line="360" w:lineRule="auto"/>
              <w:rPr>
                <w:rFonts w:hint="eastAsia"/>
                <w:sz w:val="24"/>
                <w:szCs w:val="24"/>
                <w:highlight w:val="none"/>
              </w:rPr>
            </w:pPr>
            <w:r>
              <w:rPr>
                <w:rFonts w:hint="eastAsia"/>
                <w:spacing w:val="-3"/>
                <w:sz w:val="24"/>
                <w:szCs w:val="24"/>
                <w:highlight w:val="none"/>
              </w:rPr>
              <w:t xml:space="preserve">点对点电阻Ω</w:t>
            </w:r>
            <w:r>
              <w:rPr>
                <w:rFonts w:hint="eastAsia"/>
                <w:sz w:val="24"/>
                <w:szCs w:val="24"/>
                <w:highlight w:val="none"/>
              </w:rPr>
            </w:r>
            <w:r/>
          </w:p>
        </w:tc>
        <w:tc>
          <w:tcPr>
            <w:tcW w:w="1080" w:type="dxa"/>
            <w:vAlign w:val="center"/>
            <w:textDirection w:val="lrTb"/>
            <w:noWrap w:val="false"/>
          </w:tcPr>
          <w:p>
            <w:pPr>
              <w:pStyle w:val="1124"/>
              <w:jc w:val="center"/>
              <w:spacing w:before="46" w:line="360" w:lineRule="auto"/>
              <w:rPr>
                <w:rFonts w:hint="eastAsia"/>
                <w:sz w:val="24"/>
                <w:szCs w:val="24"/>
                <w:highlight w:val="none"/>
              </w:rPr>
            </w:pPr>
            <w:r>
              <w:rPr>
                <w:rFonts w:hint="eastAsia"/>
                <w:spacing w:val="-11"/>
                <w:sz w:val="24"/>
                <w:szCs w:val="24"/>
                <w:highlight w:val="none"/>
              </w:rPr>
              <w:t xml:space="preserve">1×</w:t>
            </w:r>
            <w:r>
              <w:rPr>
                <w:rFonts w:hint="eastAsia"/>
                <w:spacing w:val="-24"/>
                <w:sz w:val="24"/>
                <w:szCs w:val="24"/>
                <w:highlight w:val="none"/>
              </w:rPr>
              <w:t xml:space="preserve"> </w:t>
            </w:r>
            <w:r>
              <w:rPr>
                <w:rFonts w:hint="eastAsia"/>
                <w:spacing w:val="-11"/>
                <w:sz w:val="24"/>
                <w:szCs w:val="24"/>
                <w:highlight w:val="none"/>
              </w:rPr>
              <w:t xml:space="preserve">10</w:t>
            </w:r>
            <w:r>
              <w:rPr>
                <w:rFonts w:hint="eastAsia"/>
                <w:spacing w:val="-1"/>
                <w:position w:val="8"/>
                <w:sz w:val="24"/>
                <w:szCs w:val="24"/>
                <w:highlight w:val="none"/>
              </w:rPr>
              <w:t xml:space="preserve">7</w:t>
            </w:r>
            <w:r>
              <w:rPr>
                <w:rFonts w:hint="eastAsia"/>
                <w:spacing w:val="-1"/>
                <w:sz w:val="24"/>
                <w:szCs w:val="24"/>
                <w:highlight w:val="none"/>
              </w:rPr>
              <w:t xml:space="preserve">～1×</w:t>
            </w:r>
            <w:r>
              <w:rPr>
                <w:rFonts w:hint="eastAsia"/>
                <w:spacing w:val="-22"/>
                <w:sz w:val="24"/>
                <w:szCs w:val="24"/>
                <w:highlight w:val="none"/>
              </w:rPr>
              <w:t xml:space="preserve"> </w:t>
            </w:r>
            <w:r>
              <w:rPr>
                <w:rFonts w:hint="eastAsia"/>
                <w:spacing w:val="-1"/>
                <w:sz w:val="24"/>
                <w:szCs w:val="24"/>
                <w:highlight w:val="none"/>
              </w:rPr>
              <w:t xml:space="preserve">10</w:t>
            </w:r>
            <w:r>
              <w:rPr>
                <w:rFonts w:hint="eastAsia"/>
                <w:spacing w:val="-1"/>
                <w:position w:val="8"/>
                <w:sz w:val="24"/>
                <w:szCs w:val="24"/>
                <w:highlight w:val="none"/>
              </w:rPr>
              <w:t xml:space="preserve">11</w:t>
            </w:r>
            <w:r>
              <w:rPr>
                <w:rFonts w:hint="eastAsia"/>
                <w:sz w:val="24"/>
                <w:szCs w:val="24"/>
                <w:highlight w:val="none"/>
              </w:rPr>
            </w:r>
            <w:r/>
          </w:p>
        </w:tc>
        <w:tc>
          <w:tcPr>
            <w:tcW w:w="2782" w:type="dxa"/>
            <w:vAlign w:val="center"/>
            <w:textDirection w:val="lrTb"/>
            <w:noWrap w:val="false"/>
          </w:tcPr>
          <w:p>
            <w:pPr>
              <w:pStyle w:val="1124"/>
              <w:jc w:val="center"/>
              <w:spacing w:before="47" w:line="360" w:lineRule="auto"/>
              <w:rPr>
                <w:rFonts w:hint="eastAsia"/>
                <w:sz w:val="24"/>
                <w:szCs w:val="24"/>
                <w:highlight w:val="none"/>
              </w:rPr>
            </w:pPr>
            <w:r>
              <w:rPr>
                <w:rFonts w:hint="eastAsia"/>
                <w:spacing w:val="-4"/>
                <w:sz w:val="24"/>
                <w:szCs w:val="24"/>
                <w:highlight w:val="none"/>
              </w:rPr>
              <w:t xml:space="preserve">详见</w:t>
            </w:r>
            <w:r>
              <w:rPr>
                <w:rFonts w:hint="eastAsia"/>
                <w:spacing w:val="-26"/>
                <w:sz w:val="24"/>
                <w:szCs w:val="24"/>
                <w:highlight w:val="none"/>
              </w:rPr>
              <w:t xml:space="preserve"> </w:t>
            </w:r>
            <w:r>
              <w:rPr>
                <w:rFonts w:hint="eastAsia"/>
                <w:spacing w:val="-4"/>
                <w:sz w:val="24"/>
                <w:szCs w:val="24"/>
                <w:highlight w:val="none"/>
              </w:rPr>
              <w:t xml:space="preserve">GB</w:t>
            </w:r>
            <w:r>
              <w:rPr>
                <w:rFonts w:hint="eastAsia"/>
                <w:spacing w:val="22"/>
                <w:sz w:val="24"/>
                <w:szCs w:val="24"/>
                <w:highlight w:val="none"/>
              </w:rPr>
              <w:t xml:space="preserve"> </w:t>
            </w:r>
            <w:r>
              <w:rPr>
                <w:rFonts w:hint="eastAsia"/>
                <w:spacing w:val="-4"/>
                <w:sz w:val="24"/>
                <w:szCs w:val="24"/>
                <w:highlight w:val="none"/>
              </w:rPr>
              <w:t xml:space="preserve">12014—2019</w:t>
            </w:r>
            <w:r>
              <w:rPr>
                <w:rFonts w:hint="eastAsia"/>
                <w:spacing w:val="20"/>
                <w:sz w:val="24"/>
                <w:szCs w:val="24"/>
                <w:highlight w:val="none"/>
              </w:rPr>
              <w:t xml:space="preserve"> </w:t>
            </w:r>
            <w:r>
              <w:rPr>
                <w:rFonts w:hint="eastAsia"/>
                <w:spacing w:val="-4"/>
                <w:sz w:val="24"/>
                <w:szCs w:val="24"/>
                <w:highlight w:val="none"/>
              </w:rPr>
              <w:t xml:space="preserve">中附录</w:t>
            </w:r>
            <w:r>
              <w:rPr>
                <w:rFonts w:hint="eastAsia"/>
                <w:spacing w:val="-43"/>
                <w:sz w:val="24"/>
                <w:szCs w:val="24"/>
                <w:highlight w:val="none"/>
              </w:rPr>
              <w:t xml:space="preserve"> </w:t>
            </w:r>
            <w:r>
              <w:rPr>
                <w:rFonts w:hint="eastAsia"/>
                <w:spacing w:val="-4"/>
                <w:sz w:val="24"/>
                <w:szCs w:val="24"/>
                <w:highlight w:val="none"/>
              </w:rPr>
              <w:t xml:space="preserve">A</w:t>
            </w:r>
            <w:r>
              <w:rPr>
                <w:rFonts w:hint="eastAsia"/>
                <w:sz w:val="24"/>
                <w:szCs w:val="24"/>
                <w:highlight w:val="none"/>
              </w:rPr>
            </w:r>
            <w:r/>
          </w:p>
        </w:tc>
      </w:tr>
      <w:tr>
        <w:trPr>
          <w:trHeight w:val="313"/>
        </w:trPr>
        <w:tc>
          <w:tcPr>
            <w:tcW w:w="1137" w:type="dxa"/>
            <w:vAlign w:val="center"/>
            <w:textDirection w:val="lrTb"/>
            <w:noWrap w:val="false"/>
          </w:tcPr>
          <w:p>
            <w:pPr>
              <w:pStyle w:val="1124"/>
              <w:jc w:val="center"/>
              <w:spacing w:before="22" w:line="360" w:lineRule="auto"/>
              <w:rPr>
                <w:rFonts w:hint="eastAsia"/>
                <w:sz w:val="24"/>
                <w:szCs w:val="24"/>
                <w:highlight w:val="none"/>
              </w:rPr>
            </w:pPr>
            <w:r>
              <w:rPr>
                <w:rFonts w:hint="eastAsia"/>
                <w:spacing w:val="-2"/>
                <w:position w:val="2"/>
                <w:sz w:val="24"/>
                <w:szCs w:val="24"/>
                <w:highlight w:val="none"/>
              </w:rPr>
              <w:t xml:space="preserve">带电电荷量μC/件</w:t>
            </w:r>
            <w:r>
              <w:rPr>
                <w:rFonts w:hint="eastAsia"/>
                <w:sz w:val="24"/>
                <w:szCs w:val="24"/>
                <w:highlight w:val="none"/>
              </w:rPr>
            </w:r>
            <w:r/>
          </w:p>
        </w:tc>
        <w:tc>
          <w:tcPr>
            <w:tcW w:w="1080" w:type="dxa"/>
            <w:vAlign w:val="center"/>
            <w:textDirection w:val="lrTb"/>
            <w:noWrap w:val="false"/>
          </w:tcPr>
          <w:p>
            <w:pPr>
              <w:pStyle w:val="1124"/>
              <w:jc w:val="center"/>
              <w:spacing w:before="49" w:line="360" w:lineRule="auto"/>
              <w:rPr>
                <w:rFonts w:hint="eastAsia"/>
                <w:sz w:val="24"/>
                <w:szCs w:val="24"/>
                <w:highlight w:val="none"/>
              </w:rPr>
            </w:pPr>
            <w:r>
              <w:rPr>
                <w:rFonts w:hint="eastAsia"/>
                <w:spacing w:val="-5"/>
                <w:sz w:val="24"/>
                <w:szCs w:val="24"/>
                <w:highlight w:val="none"/>
              </w:rPr>
              <w:t xml:space="preserve">＜0.6</w:t>
            </w:r>
            <w:r>
              <w:rPr>
                <w:rFonts w:hint="eastAsia"/>
                <w:sz w:val="24"/>
                <w:szCs w:val="24"/>
                <w:highlight w:val="none"/>
              </w:rPr>
            </w:r>
            <w:r/>
          </w:p>
        </w:tc>
        <w:tc>
          <w:tcPr>
            <w:tcW w:w="2782" w:type="dxa"/>
            <w:vAlign w:val="center"/>
            <w:textDirection w:val="lrTb"/>
            <w:noWrap w:val="false"/>
          </w:tcPr>
          <w:p>
            <w:pPr>
              <w:pStyle w:val="1124"/>
              <w:jc w:val="center"/>
              <w:spacing w:before="49" w:line="360" w:lineRule="auto"/>
              <w:rPr>
                <w:rFonts w:hint="eastAsia"/>
                <w:sz w:val="24"/>
                <w:szCs w:val="24"/>
                <w:highlight w:val="none"/>
              </w:rPr>
            </w:pPr>
            <w:r>
              <w:rPr>
                <w:rFonts w:hint="eastAsia"/>
                <w:spacing w:val="-4"/>
                <w:sz w:val="24"/>
                <w:szCs w:val="24"/>
                <w:highlight w:val="none"/>
              </w:rPr>
              <w:t xml:space="preserve">详见</w:t>
            </w:r>
            <w:r>
              <w:rPr>
                <w:rFonts w:hint="eastAsia"/>
                <w:spacing w:val="-29"/>
                <w:sz w:val="24"/>
                <w:szCs w:val="24"/>
                <w:highlight w:val="none"/>
              </w:rPr>
              <w:t xml:space="preserve"> </w:t>
            </w:r>
            <w:r>
              <w:rPr>
                <w:rFonts w:hint="eastAsia"/>
                <w:spacing w:val="-4"/>
                <w:sz w:val="24"/>
                <w:szCs w:val="24"/>
                <w:highlight w:val="none"/>
              </w:rPr>
              <w:t xml:space="preserve">GB</w:t>
            </w:r>
            <w:r>
              <w:rPr>
                <w:rFonts w:hint="eastAsia"/>
                <w:spacing w:val="22"/>
                <w:sz w:val="24"/>
                <w:szCs w:val="24"/>
                <w:highlight w:val="none"/>
              </w:rPr>
              <w:t xml:space="preserve"> </w:t>
            </w:r>
            <w:r>
              <w:rPr>
                <w:rFonts w:hint="eastAsia"/>
                <w:spacing w:val="-4"/>
                <w:sz w:val="24"/>
                <w:szCs w:val="24"/>
                <w:highlight w:val="none"/>
              </w:rPr>
              <w:t xml:space="preserve">12014—2019</w:t>
            </w:r>
            <w:r>
              <w:rPr>
                <w:rFonts w:hint="eastAsia"/>
                <w:spacing w:val="23"/>
                <w:sz w:val="24"/>
                <w:szCs w:val="24"/>
                <w:highlight w:val="none"/>
              </w:rPr>
              <w:t xml:space="preserve"> </w:t>
            </w:r>
            <w:r>
              <w:rPr>
                <w:rFonts w:hint="eastAsia"/>
                <w:spacing w:val="-4"/>
                <w:sz w:val="24"/>
                <w:szCs w:val="24"/>
                <w:highlight w:val="none"/>
              </w:rPr>
              <w:t xml:space="preserve">中附录</w:t>
            </w:r>
            <w:r>
              <w:rPr>
                <w:rFonts w:hint="eastAsia"/>
                <w:spacing w:val="-42"/>
                <w:sz w:val="24"/>
                <w:szCs w:val="24"/>
                <w:highlight w:val="none"/>
              </w:rPr>
              <w:t xml:space="preserve"> </w:t>
            </w:r>
            <w:r>
              <w:rPr>
                <w:rFonts w:hint="eastAsia"/>
                <w:spacing w:val="-4"/>
                <w:sz w:val="24"/>
                <w:szCs w:val="24"/>
                <w:highlight w:val="none"/>
              </w:rPr>
              <w:t xml:space="preserve">B</w:t>
            </w:r>
            <w:r>
              <w:rPr>
                <w:rFonts w:hint="eastAsia"/>
                <w:sz w:val="24"/>
                <w:szCs w:val="24"/>
                <w:highlight w:val="none"/>
              </w:rPr>
            </w:r>
            <w:r/>
          </w:p>
        </w:tc>
      </w:tr>
    </w:tbl>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2.3基本安全技术要求</w:t>
      </w:r>
      <w:r>
        <w:rPr>
          <w:rFonts w:hint="eastAsia" w:ascii="宋体" w:hAnsi="宋体" w:cs="宋体"/>
          <w:sz w:val="24"/>
          <w:highlight w:val="none"/>
        </w:rPr>
      </w:r>
      <w:r/>
    </w:p>
    <w:p>
      <w:pPr>
        <w:pStyle w:val="919"/>
        <w:ind w:left="3776"/>
        <w:spacing w:before="69" w:line="360" w:lineRule="auto"/>
        <w:rPr>
          <w:rFonts w:hint="eastAsia" w:ascii="宋体" w:hAnsi="宋体" w:cs="宋体"/>
          <w:sz w:val="24"/>
          <w:highlight w:val="none"/>
        </w:rPr>
      </w:pPr>
      <w:r>
        <w:rPr>
          <w:rFonts w:hint="eastAsia" w:ascii="宋体" w:hAnsi="宋体" w:cs="宋体"/>
          <w:spacing w:val="6"/>
          <w:sz w:val="24"/>
          <w:highlight w:val="none"/>
        </w:rPr>
        <w:t xml:space="preserve">表4    基本安全技术要求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r>
      <w:r/>
    </w:p>
    <w:tbl>
      <w:tblPr>
        <w:tblW w:w="4999"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702"/>
        <w:gridCol w:w="6048"/>
      </w:tblGrid>
      <w:tr>
        <w:trPr>
          <w:trHeight w:val="314"/>
        </w:trPr>
        <w:tc>
          <w:tcPr>
            <w:tcW w:w="1898" w:type="dxa"/>
            <w:vAlign w:val="top"/>
            <w:textDirection w:val="lrTb"/>
            <w:noWrap w:val="false"/>
          </w:tcPr>
          <w:p>
            <w:pPr>
              <w:pStyle w:val="1124"/>
              <w:ind w:left="1184"/>
              <w:spacing w:before="68" w:line="360" w:lineRule="auto"/>
              <w:rPr>
                <w:rFonts w:hint="eastAsia"/>
                <w:sz w:val="24"/>
                <w:szCs w:val="24"/>
                <w:highlight w:val="none"/>
              </w:rPr>
            </w:pPr>
            <w:r>
              <w:rPr>
                <w:rFonts w:hint="eastAsia"/>
                <w:spacing w:val="-2"/>
                <w:sz w:val="24"/>
                <w:szCs w:val="24"/>
                <w:highlight w:val="none"/>
              </w:rPr>
              <w:t xml:space="preserve">基本理化性能</w:t>
            </w:r>
            <w:r>
              <w:rPr>
                <w:rFonts w:hint="eastAsia"/>
                <w:sz w:val="24"/>
                <w:szCs w:val="24"/>
                <w:highlight w:val="none"/>
              </w:rPr>
            </w:r>
            <w:r/>
          </w:p>
        </w:tc>
        <w:tc>
          <w:tcPr>
            <w:tcW w:w="3101" w:type="dxa"/>
            <w:vAlign w:val="top"/>
            <w:textDirection w:val="lrTb"/>
            <w:noWrap w:val="false"/>
          </w:tcPr>
          <w:p>
            <w:pPr>
              <w:pStyle w:val="1124"/>
              <w:ind w:left="2451"/>
              <w:spacing w:before="68" w:line="360" w:lineRule="auto"/>
              <w:rPr>
                <w:rFonts w:hint="eastAsia"/>
                <w:sz w:val="24"/>
                <w:szCs w:val="24"/>
                <w:highlight w:val="none"/>
              </w:rPr>
            </w:pPr>
            <w:r>
              <w:rPr>
                <w:rFonts w:hint="eastAsia"/>
                <w:spacing w:val="-2"/>
                <w:sz w:val="24"/>
                <w:szCs w:val="24"/>
                <w:highlight w:val="none"/>
              </w:rPr>
              <w:t xml:space="preserve">技术要求</w:t>
            </w:r>
            <w:r>
              <w:rPr>
                <w:rFonts w:hint="eastAsia"/>
                <w:sz w:val="24"/>
                <w:szCs w:val="24"/>
                <w:highlight w:val="none"/>
              </w:rPr>
            </w:r>
            <w:r/>
          </w:p>
        </w:tc>
      </w:tr>
      <w:tr>
        <w:trPr>
          <w:trHeight w:val="309"/>
        </w:trPr>
        <w:tc>
          <w:tcPr>
            <w:tcW w:w="1898" w:type="dxa"/>
            <w:vAlign w:val="top"/>
            <w:textDirection w:val="lrTb"/>
            <w:noWrap w:val="false"/>
          </w:tcPr>
          <w:p>
            <w:pPr>
              <w:pStyle w:val="1124"/>
              <w:ind w:left="1073"/>
              <w:spacing w:before="36" w:line="360" w:lineRule="auto"/>
              <w:rPr>
                <w:rFonts w:hint="eastAsia"/>
                <w:sz w:val="24"/>
                <w:szCs w:val="24"/>
                <w:highlight w:val="none"/>
              </w:rPr>
            </w:pPr>
            <w:r>
              <w:rPr>
                <w:rFonts w:hint="eastAsia"/>
                <w:spacing w:val="-3"/>
                <w:position w:val="2"/>
                <w:sz w:val="24"/>
                <w:szCs w:val="24"/>
                <w:highlight w:val="none"/>
              </w:rPr>
              <w:t xml:space="preserve">甲醛含量/(mg/kg)</w:t>
            </w:r>
            <w:r>
              <w:rPr>
                <w:rFonts w:hint="eastAsia"/>
                <w:sz w:val="24"/>
                <w:szCs w:val="24"/>
                <w:highlight w:val="none"/>
              </w:rPr>
            </w:r>
            <w:r/>
          </w:p>
        </w:tc>
        <w:tc>
          <w:tcPr>
            <w:tcW w:w="3101" w:type="dxa"/>
            <w:vAlign w:val="top"/>
            <w:textDirection w:val="lrTb"/>
            <w:noWrap w:val="false"/>
          </w:tcPr>
          <w:p>
            <w:pPr>
              <w:pStyle w:val="1124"/>
              <w:ind w:left="2223"/>
              <w:spacing w:before="63" w:line="360" w:lineRule="auto"/>
              <w:rPr>
                <w:rFonts w:hint="eastAsia"/>
                <w:sz w:val="24"/>
                <w:szCs w:val="24"/>
                <w:highlight w:val="none"/>
              </w:rPr>
            </w:pPr>
            <w:r>
              <w:rPr>
                <w:rFonts w:hint="eastAsia"/>
                <w:spacing w:val="-1"/>
                <w:sz w:val="24"/>
                <w:szCs w:val="24"/>
                <w:highlight w:val="none"/>
              </w:rPr>
              <w:t xml:space="preserve">直接接触皮≤75</w:t>
            </w:r>
            <w:r>
              <w:rPr>
                <w:rFonts w:hint="eastAsia"/>
                <w:sz w:val="24"/>
                <w:szCs w:val="24"/>
                <w:highlight w:val="none"/>
              </w:rPr>
            </w:r>
            <w:r/>
          </w:p>
        </w:tc>
      </w:tr>
      <w:tr>
        <w:trPr>
          <w:trHeight w:val="309"/>
        </w:trPr>
        <w:tc>
          <w:tcPr>
            <w:tcW w:w="1898" w:type="dxa"/>
            <w:vAlign w:val="top"/>
            <w:textDirection w:val="lrTb"/>
            <w:noWrap w:val="false"/>
          </w:tcPr>
          <w:p>
            <w:pPr>
              <w:pStyle w:val="1124"/>
              <w:ind w:left="1492"/>
              <w:spacing w:before="63" w:line="360" w:lineRule="auto"/>
              <w:rPr>
                <w:rFonts w:hint="eastAsia"/>
                <w:sz w:val="24"/>
                <w:szCs w:val="24"/>
                <w:highlight w:val="none"/>
              </w:rPr>
            </w:pPr>
            <w:r>
              <w:rPr>
                <w:rFonts w:hint="eastAsia"/>
                <w:color w:val="c00000"/>
                <w:spacing w:val="-1"/>
                <w:sz w:val="24"/>
                <w:szCs w:val="24"/>
                <w:highlight w:val="none"/>
              </w:rPr>
              <w:t xml:space="preserve">pH</w:t>
            </w:r>
            <w:r>
              <w:rPr>
                <w:rFonts w:hint="eastAsia"/>
                <w:color w:val="c00000"/>
                <w:spacing w:val="7"/>
                <w:sz w:val="24"/>
                <w:szCs w:val="24"/>
                <w:highlight w:val="none"/>
              </w:rPr>
              <w:t xml:space="preserve"> </w:t>
            </w:r>
            <w:r>
              <w:rPr>
                <w:rFonts w:hint="eastAsia"/>
                <w:color w:val="c00000"/>
                <w:spacing w:val="-1"/>
                <w:sz w:val="24"/>
                <w:szCs w:val="24"/>
                <w:highlight w:val="none"/>
              </w:rPr>
              <w:t xml:space="preserve">值</w:t>
            </w:r>
            <w:r>
              <w:rPr>
                <w:rFonts w:hint="eastAsia"/>
                <w:sz w:val="24"/>
                <w:szCs w:val="24"/>
                <w:highlight w:val="none"/>
              </w:rPr>
            </w:r>
            <w:r/>
          </w:p>
        </w:tc>
        <w:tc>
          <w:tcPr>
            <w:tcW w:w="3101" w:type="dxa"/>
            <w:vAlign w:val="top"/>
            <w:textDirection w:val="lrTb"/>
            <w:noWrap w:val="false"/>
          </w:tcPr>
          <w:p>
            <w:pPr>
              <w:pStyle w:val="1124"/>
              <w:ind w:left="2491"/>
              <w:spacing w:before="64" w:line="360" w:lineRule="auto"/>
              <w:rPr>
                <w:rFonts w:hint="eastAsia"/>
                <w:sz w:val="24"/>
                <w:szCs w:val="24"/>
                <w:highlight w:val="none"/>
              </w:rPr>
            </w:pPr>
            <w:r>
              <w:rPr>
                <w:rFonts w:hint="eastAsia"/>
                <w:spacing w:val="-1"/>
                <w:sz w:val="24"/>
                <w:szCs w:val="24"/>
                <w:highlight w:val="none"/>
              </w:rPr>
              <w:t xml:space="preserve">4.0～9.0</w:t>
            </w:r>
            <w:r>
              <w:rPr>
                <w:rFonts w:hint="eastAsia"/>
                <w:sz w:val="24"/>
                <w:szCs w:val="24"/>
                <w:highlight w:val="none"/>
              </w:rPr>
            </w:r>
            <w:r/>
          </w:p>
        </w:tc>
      </w:tr>
      <w:tr>
        <w:trPr>
          <w:trHeight w:val="309"/>
        </w:trPr>
        <w:tc>
          <w:tcPr>
            <w:tcW w:w="1898" w:type="dxa"/>
            <w:vAlign w:val="top"/>
            <w:textDirection w:val="lrTb"/>
            <w:noWrap w:val="false"/>
          </w:tcPr>
          <w:p>
            <w:pPr>
              <w:pStyle w:val="1124"/>
              <w:ind w:left="1198"/>
              <w:spacing w:before="37" w:line="360" w:lineRule="auto"/>
              <w:rPr>
                <w:rFonts w:hint="eastAsia"/>
                <w:sz w:val="24"/>
                <w:szCs w:val="24"/>
                <w:highlight w:val="none"/>
              </w:rPr>
            </w:pPr>
            <w:r>
              <w:rPr>
                <w:rFonts w:hint="eastAsia"/>
                <w:spacing w:val="-2"/>
                <w:position w:val="1"/>
                <w:sz w:val="24"/>
                <w:szCs w:val="24"/>
                <w:highlight w:val="none"/>
              </w:rPr>
              <w:t xml:space="preserve">尺寸变化率%</w:t>
            </w:r>
            <w:r>
              <w:rPr>
                <w:rFonts w:hint="eastAsia"/>
                <w:sz w:val="24"/>
                <w:szCs w:val="24"/>
                <w:highlight w:val="none"/>
              </w:rPr>
            </w:r>
            <w:r/>
          </w:p>
        </w:tc>
        <w:tc>
          <w:tcPr>
            <w:tcW w:w="3101" w:type="dxa"/>
            <w:vAlign w:val="top"/>
            <w:textDirection w:val="lrTb"/>
            <w:noWrap w:val="false"/>
          </w:tcPr>
          <w:p>
            <w:pPr>
              <w:pStyle w:val="1124"/>
              <w:ind w:left="2081"/>
              <w:spacing w:before="37" w:line="360" w:lineRule="auto"/>
              <w:rPr>
                <w:rFonts w:hint="eastAsia"/>
                <w:sz w:val="24"/>
                <w:szCs w:val="24"/>
                <w:highlight w:val="none"/>
              </w:rPr>
            </w:pPr>
            <w:r>
              <w:rPr>
                <w:rFonts w:hint="eastAsia"/>
                <w:spacing w:val="-1"/>
                <w:position w:val="2"/>
                <w:sz w:val="24"/>
                <w:szCs w:val="24"/>
                <w:highlight w:val="none"/>
              </w:rPr>
              <w:t xml:space="preserve">-2.5～+2.5(经纬向)</w:t>
            </w:r>
            <w:r>
              <w:rPr>
                <w:rFonts w:hint="eastAsia"/>
                <w:sz w:val="24"/>
                <w:szCs w:val="24"/>
                <w:highlight w:val="none"/>
              </w:rPr>
            </w:r>
            <w:r/>
          </w:p>
        </w:tc>
      </w:tr>
      <w:tr>
        <w:trPr>
          <w:trHeight w:val="309"/>
        </w:trPr>
        <w:tc>
          <w:tcPr>
            <w:tcW w:w="1898" w:type="dxa"/>
            <w:vAlign w:val="top"/>
            <w:textDirection w:val="lrTb"/>
            <w:noWrap w:val="false"/>
          </w:tcPr>
          <w:p>
            <w:pPr>
              <w:pStyle w:val="1124"/>
              <w:ind w:left="1169"/>
              <w:spacing w:before="35" w:line="360" w:lineRule="auto"/>
              <w:rPr>
                <w:rFonts w:hint="eastAsia"/>
                <w:sz w:val="24"/>
                <w:szCs w:val="24"/>
                <w:highlight w:val="none"/>
              </w:rPr>
            </w:pPr>
            <w:r>
              <w:rPr>
                <w:rFonts w:hint="eastAsia"/>
                <w:spacing w:val="-1"/>
                <w:position w:val="2"/>
                <w:sz w:val="24"/>
                <w:szCs w:val="24"/>
                <w:highlight w:val="none"/>
              </w:rPr>
              <w:t xml:space="preserve">透气率/(mm/s)</w:t>
            </w:r>
            <w:r>
              <w:rPr>
                <w:rFonts w:hint="eastAsia"/>
                <w:sz w:val="24"/>
                <w:szCs w:val="24"/>
                <w:highlight w:val="none"/>
              </w:rPr>
            </w:r>
            <w:r/>
          </w:p>
        </w:tc>
        <w:tc>
          <w:tcPr>
            <w:tcW w:w="3101" w:type="dxa"/>
            <w:vAlign w:val="top"/>
            <w:textDirection w:val="lrTb"/>
            <w:noWrap w:val="false"/>
          </w:tcPr>
          <w:p>
            <w:pPr>
              <w:pStyle w:val="1124"/>
              <w:ind w:left="2646"/>
              <w:spacing w:before="64" w:line="360" w:lineRule="auto"/>
              <w:rPr>
                <w:rFonts w:hint="eastAsia"/>
                <w:sz w:val="24"/>
                <w:szCs w:val="24"/>
                <w:highlight w:val="none"/>
              </w:rPr>
            </w:pPr>
            <w:r>
              <w:rPr>
                <w:rFonts w:hint="eastAsia"/>
                <w:spacing w:val="16"/>
                <w:sz w:val="24"/>
                <w:szCs w:val="24"/>
                <w:highlight w:val="none"/>
              </w:rPr>
              <w:t xml:space="preserve">＞60</w:t>
            </w:r>
            <w:r>
              <w:rPr>
                <w:rFonts w:hint="eastAsia"/>
                <w:sz w:val="24"/>
                <w:szCs w:val="24"/>
                <w:highlight w:val="none"/>
              </w:rPr>
            </w:r>
            <w:r/>
          </w:p>
        </w:tc>
      </w:tr>
      <w:tr>
        <w:trPr>
          <w:trHeight w:val="309"/>
        </w:trPr>
        <w:tc>
          <w:tcPr>
            <w:tcW w:w="1898" w:type="dxa"/>
            <w:vAlign w:val="top"/>
            <w:textDirection w:val="lrTb"/>
            <w:noWrap w:val="false"/>
          </w:tcPr>
          <w:p>
            <w:pPr>
              <w:pStyle w:val="1124"/>
              <w:ind w:left="531"/>
              <w:spacing w:before="38" w:line="360" w:lineRule="auto"/>
              <w:rPr>
                <w:rFonts w:hint="eastAsia"/>
                <w:sz w:val="24"/>
                <w:szCs w:val="24"/>
                <w:highlight w:val="none"/>
              </w:rPr>
            </w:pPr>
            <w:r>
              <w:rPr>
                <w:rFonts w:hint="eastAsia"/>
                <w:spacing w:val="-1"/>
                <w:position w:val="1"/>
                <w:sz w:val="24"/>
                <w:szCs w:val="24"/>
                <w:highlight w:val="none"/>
              </w:rPr>
              <w:t xml:space="preserve">耐水色牢度/级（变色、沾色）</w:t>
            </w:r>
            <w:r>
              <w:rPr>
                <w:rFonts w:hint="eastAsia"/>
                <w:sz w:val="24"/>
                <w:szCs w:val="24"/>
                <w:highlight w:val="none"/>
              </w:rPr>
            </w:r>
            <w:r/>
          </w:p>
        </w:tc>
        <w:tc>
          <w:tcPr>
            <w:tcW w:w="3101" w:type="dxa"/>
            <w:vAlign w:val="top"/>
            <w:textDirection w:val="lrTb"/>
            <w:noWrap w:val="false"/>
          </w:tcPr>
          <w:p>
            <w:pPr>
              <w:pStyle w:val="1124"/>
              <w:ind w:left="2577"/>
              <w:spacing w:before="65" w:line="360" w:lineRule="auto"/>
              <w:rPr>
                <w:rFonts w:hint="eastAsia"/>
                <w:sz w:val="24"/>
                <w:szCs w:val="24"/>
                <w:highlight w:val="none"/>
              </w:rPr>
            </w:pPr>
            <w:r>
              <w:rPr>
                <w:rFonts w:hint="eastAsia"/>
                <w:spacing w:val="-1"/>
                <w:sz w:val="24"/>
                <w:szCs w:val="24"/>
                <w:highlight w:val="none"/>
              </w:rPr>
              <w:t xml:space="preserve">≥3-4</w:t>
            </w:r>
            <w:r>
              <w:rPr>
                <w:rFonts w:hint="eastAsia"/>
                <w:sz w:val="24"/>
                <w:szCs w:val="24"/>
                <w:highlight w:val="none"/>
              </w:rPr>
            </w:r>
            <w:r/>
          </w:p>
        </w:tc>
      </w:tr>
      <w:tr>
        <w:trPr>
          <w:trHeight w:val="309"/>
        </w:trPr>
        <w:tc>
          <w:tcPr>
            <w:tcW w:w="1898" w:type="dxa"/>
            <w:vAlign w:val="top"/>
            <w:textDirection w:val="lrTb"/>
            <w:noWrap w:val="false"/>
          </w:tcPr>
          <w:p>
            <w:pPr>
              <w:pStyle w:val="1124"/>
              <w:ind w:left="351"/>
              <w:spacing w:before="38" w:line="360" w:lineRule="auto"/>
              <w:rPr>
                <w:rFonts w:hint="eastAsia"/>
                <w:sz w:val="24"/>
                <w:szCs w:val="24"/>
                <w:highlight w:val="none"/>
              </w:rPr>
            </w:pPr>
            <w:r>
              <w:rPr>
                <w:rFonts w:hint="eastAsia"/>
                <w:spacing w:val="-1"/>
                <w:position w:val="1"/>
                <w:sz w:val="24"/>
                <w:szCs w:val="24"/>
                <w:highlight w:val="none"/>
              </w:rPr>
              <w:t xml:space="preserve">耐干摩擦色牢度/级（变色、沾色）</w:t>
            </w:r>
            <w:r>
              <w:rPr>
                <w:rFonts w:hint="eastAsia"/>
                <w:sz w:val="24"/>
                <w:szCs w:val="24"/>
                <w:highlight w:val="none"/>
              </w:rPr>
            </w:r>
            <w:r/>
          </w:p>
        </w:tc>
        <w:tc>
          <w:tcPr>
            <w:tcW w:w="3101" w:type="dxa"/>
            <w:vAlign w:val="top"/>
            <w:textDirection w:val="lrTb"/>
            <w:noWrap w:val="false"/>
          </w:tcPr>
          <w:p>
            <w:pPr>
              <w:pStyle w:val="1124"/>
              <w:ind w:left="2577"/>
              <w:spacing w:before="65" w:line="360" w:lineRule="auto"/>
              <w:rPr>
                <w:rFonts w:hint="eastAsia"/>
                <w:sz w:val="24"/>
                <w:szCs w:val="24"/>
                <w:highlight w:val="none"/>
              </w:rPr>
            </w:pPr>
            <w:r>
              <w:rPr>
                <w:rFonts w:hint="eastAsia"/>
                <w:spacing w:val="-1"/>
                <w:sz w:val="24"/>
                <w:szCs w:val="24"/>
                <w:highlight w:val="none"/>
              </w:rPr>
              <w:t xml:space="preserve">≥3-4</w:t>
            </w:r>
            <w:r>
              <w:rPr>
                <w:rFonts w:hint="eastAsia"/>
                <w:sz w:val="24"/>
                <w:szCs w:val="24"/>
                <w:highlight w:val="none"/>
              </w:rPr>
            </w:r>
            <w:r/>
          </w:p>
        </w:tc>
      </w:tr>
      <w:tr>
        <w:trPr>
          <w:trHeight w:val="309"/>
        </w:trPr>
        <w:tc>
          <w:tcPr>
            <w:tcW w:w="1898" w:type="dxa"/>
            <w:vAlign w:val="top"/>
            <w:textDirection w:val="lrTb"/>
            <w:noWrap w:val="false"/>
          </w:tcPr>
          <w:p>
            <w:pPr>
              <w:pStyle w:val="1124"/>
              <w:ind w:left="531"/>
              <w:spacing w:before="39" w:line="360" w:lineRule="auto"/>
              <w:rPr>
                <w:rFonts w:hint="eastAsia"/>
                <w:sz w:val="24"/>
                <w:szCs w:val="24"/>
                <w:highlight w:val="none"/>
              </w:rPr>
            </w:pPr>
            <w:r>
              <w:rPr>
                <w:rFonts w:hint="eastAsia"/>
                <w:spacing w:val="-1"/>
                <w:position w:val="1"/>
                <w:sz w:val="24"/>
                <w:szCs w:val="24"/>
                <w:highlight w:val="none"/>
              </w:rPr>
              <w:t xml:space="preserve">耐光色牢度/级（变色、沾色）</w:t>
            </w:r>
            <w:r>
              <w:rPr>
                <w:rFonts w:hint="eastAsia"/>
                <w:sz w:val="24"/>
                <w:szCs w:val="24"/>
                <w:highlight w:val="none"/>
              </w:rPr>
            </w:r>
            <w:r/>
          </w:p>
        </w:tc>
        <w:tc>
          <w:tcPr>
            <w:tcW w:w="3101" w:type="dxa"/>
            <w:vAlign w:val="top"/>
            <w:textDirection w:val="lrTb"/>
            <w:noWrap w:val="false"/>
          </w:tcPr>
          <w:p>
            <w:pPr>
              <w:pStyle w:val="1124"/>
              <w:ind w:left="2577"/>
              <w:spacing w:before="65" w:line="360" w:lineRule="auto"/>
              <w:rPr>
                <w:rFonts w:hint="eastAsia"/>
                <w:sz w:val="24"/>
                <w:szCs w:val="24"/>
                <w:highlight w:val="none"/>
              </w:rPr>
            </w:pPr>
            <w:r>
              <w:rPr>
                <w:rFonts w:hint="eastAsia"/>
                <w:spacing w:val="-1"/>
                <w:sz w:val="24"/>
                <w:szCs w:val="24"/>
                <w:highlight w:val="none"/>
              </w:rPr>
              <w:t xml:space="preserve">≥3-4</w:t>
            </w:r>
            <w:r>
              <w:rPr>
                <w:rFonts w:hint="eastAsia"/>
                <w:sz w:val="24"/>
                <w:szCs w:val="24"/>
                <w:highlight w:val="none"/>
              </w:rPr>
            </w:r>
            <w:r/>
          </w:p>
        </w:tc>
      </w:tr>
      <w:tr>
        <w:trPr>
          <w:trHeight w:val="704"/>
        </w:trPr>
        <w:tc>
          <w:tcPr>
            <w:tcW w:w="1898" w:type="dxa"/>
            <w:vAlign w:val="top"/>
            <w:textDirection w:val="lrTb"/>
            <w:noWrap w:val="false"/>
          </w:tcPr>
          <w:p>
            <w:pPr>
              <w:pStyle w:val="1124"/>
              <w:ind w:left="1282"/>
              <w:spacing w:before="236" w:line="360" w:lineRule="auto"/>
              <w:rPr>
                <w:rFonts w:hint="eastAsia"/>
                <w:sz w:val="24"/>
                <w:szCs w:val="24"/>
                <w:highlight w:val="none"/>
              </w:rPr>
            </w:pPr>
            <w:r>
              <w:rPr>
                <w:rFonts w:hint="eastAsia"/>
                <w:spacing w:val="-3"/>
                <w:position w:val="2"/>
                <w:sz w:val="24"/>
                <w:szCs w:val="24"/>
                <w:highlight w:val="none"/>
              </w:rPr>
              <w:t xml:space="preserve">断裂强度/N</w:t>
            </w:r>
            <w:r>
              <w:rPr>
                <w:rFonts w:hint="eastAsia"/>
                <w:sz w:val="24"/>
                <w:szCs w:val="24"/>
                <w:highlight w:val="none"/>
              </w:rPr>
            </w:r>
            <w:r/>
          </w:p>
        </w:tc>
        <w:tc>
          <w:tcPr>
            <w:tcW w:w="3101" w:type="dxa"/>
            <w:vAlign w:val="top"/>
            <w:textDirection w:val="lrTb"/>
            <w:noWrap w:val="false"/>
          </w:tcPr>
          <w:p>
            <w:pPr>
              <w:pStyle w:val="1124"/>
              <w:ind w:left="1382"/>
              <w:spacing w:before="3" w:line="360" w:lineRule="auto"/>
              <w:rPr>
                <w:rFonts w:hint="eastAsia"/>
                <w:sz w:val="24"/>
                <w:szCs w:val="24"/>
                <w:highlight w:val="none"/>
              </w:rPr>
            </w:pPr>
            <w:r>
              <w:rPr>
                <w:rFonts w:hint="eastAsia"/>
                <w:spacing w:val="-1"/>
                <w:sz w:val="24"/>
                <w:szCs w:val="24"/>
                <w:highlight w:val="none"/>
              </w:rPr>
              <w:t xml:space="preserve">径向≥780（单位面积质量≥200g/㎡）</w:t>
            </w:r>
            <w:r>
              <w:rPr>
                <w:rFonts w:hint="eastAsia"/>
                <w:sz w:val="24"/>
                <w:szCs w:val="24"/>
                <w:highlight w:val="none"/>
              </w:rPr>
            </w:r>
            <w:r/>
          </w:p>
          <w:p>
            <w:pPr>
              <w:pStyle w:val="1124"/>
              <w:ind w:left="1341"/>
              <w:spacing w:line="360" w:lineRule="auto"/>
              <w:rPr>
                <w:rFonts w:hint="eastAsia"/>
                <w:sz w:val="24"/>
                <w:szCs w:val="24"/>
                <w:highlight w:val="none"/>
              </w:rPr>
            </w:pPr>
            <w:r>
              <w:rPr>
                <w:rFonts w:hint="eastAsia"/>
                <w:spacing w:val="-2"/>
                <w:position w:val="2"/>
                <w:sz w:val="24"/>
                <w:szCs w:val="24"/>
                <w:highlight w:val="none"/>
              </w:rPr>
              <w:t xml:space="preserve">径向≥490（单位面积质量＜200g/㎡）</w:t>
            </w:r>
            <w:r>
              <w:rPr>
                <w:rFonts w:hint="eastAsia"/>
                <w:sz w:val="24"/>
                <w:szCs w:val="24"/>
                <w:highlight w:val="none"/>
              </w:rPr>
            </w:r>
            <w:r/>
          </w:p>
          <w:p>
            <w:pPr>
              <w:pStyle w:val="1124"/>
              <w:ind w:left="2446"/>
              <w:spacing w:before="12" w:line="360" w:lineRule="auto"/>
              <w:rPr>
                <w:rFonts w:hint="eastAsia"/>
                <w:sz w:val="24"/>
                <w:szCs w:val="24"/>
                <w:highlight w:val="none"/>
              </w:rPr>
            </w:pPr>
            <w:r>
              <w:rPr>
                <w:rFonts w:hint="eastAsia"/>
                <w:spacing w:val="-2"/>
                <w:sz w:val="24"/>
                <w:szCs w:val="24"/>
                <w:highlight w:val="none"/>
              </w:rPr>
              <w:t xml:space="preserve">纬向≥390</w:t>
            </w:r>
            <w:r>
              <w:rPr>
                <w:rFonts w:hint="eastAsia"/>
                <w:sz w:val="24"/>
                <w:szCs w:val="24"/>
                <w:highlight w:val="none"/>
              </w:rPr>
            </w:r>
            <w:r/>
          </w:p>
        </w:tc>
      </w:tr>
      <w:tr>
        <w:trPr>
          <w:trHeight w:val="309"/>
        </w:trPr>
        <w:tc>
          <w:tcPr>
            <w:tcW w:w="1898" w:type="dxa"/>
            <w:vAlign w:val="top"/>
            <w:textDirection w:val="lrTb"/>
            <w:noWrap w:val="false"/>
          </w:tcPr>
          <w:p>
            <w:pPr>
              <w:pStyle w:val="1124"/>
              <w:ind w:left="1546"/>
              <w:spacing w:before="67" w:line="360" w:lineRule="auto"/>
              <w:rPr>
                <w:rFonts w:hint="eastAsia"/>
                <w:sz w:val="24"/>
                <w:szCs w:val="24"/>
                <w:highlight w:val="none"/>
              </w:rPr>
            </w:pPr>
            <w:r>
              <w:rPr>
                <w:rFonts w:hint="eastAsia"/>
                <w:spacing w:val="-5"/>
                <w:sz w:val="24"/>
                <w:szCs w:val="24"/>
                <w:highlight w:val="none"/>
              </w:rPr>
              <w:t xml:space="preserve">异味</w:t>
            </w:r>
            <w:r>
              <w:rPr>
                <w:rFonts w:hint="eastAsia"/>
                <w:sz w:val="24"/>
                <w:szCs w:val="24"/>
                <w:highlight w:val="none"/>
              </w:rPr>
            </w:r>
            <w:r/>
          </w:p>
        </w:tc>
        <w:tc>
          <w:tcPr>
            <w:tcW w:w="3101" w:type="dxa"/>
            <w:vAlign w:val="top"/>
            <w:textDirection w:val="lrTb"/>
            <w:noWrap w:val="false"/>
          </w:tcPr>
          <w:p>
            <w:pPr>
              <w:pStyle w:val="1124"/>
              <w:ind w:left="2723"/>
              <w:spacing w:before="67" w:line="360" w:lineRule="auto"/>
              <w:rPr>
                <w:rFonts w:hint="eastAsia"/>
                <w:sz w:val="24"/>
                <w:szCs w:val="24"/>
                <w:highlight w:val="none"/>
              </w:rPr>
            </w:pPr>
            <w:r>
              <w:rPr>
                <w:rFonts w:hint="eastAsia"/>
                <w:sz w:val="24"/>
                <w:szCs w:val="24"/>
                <w:highlight w:val="none"/>
              </w:rPr>
              <w:t xml:space="preserve">无</w:t>
            </w:r>
            <w:r>
              <w:rPr>
                <w:rFonts w:hint="eastAsia"/>
                <w:sz w:val="24"/>
                <w:szCs w:val="24"/>
                <w:highlight w:val="none"/>
              </w:rPr>
            </w:r>
            <w:r/>
          </w:p>
        </w:tc>
      </w:tr>
      <w:tr>
        <w:trPr>
          <w:trHeight w:val="314"/>
        </w:trPr>
        <w:tc>
          <w:tcPr>
            <w:tcW w:w="1898" w:type="dxa"/>
            <w:vAlign w:val="top"/>
            <w:textDirection w:val="lrTb"/>
            <w:noWrap w:val="false"/>
          </w:tcPr>
          <w:p>
            <w:pPr>
              <w:pStyle w:val="1124"/>
              <w:ind w:left="825"/>
              <w:spacing w:before="67" w:line="360" w:lineRule="auto"/>
              <w:rPr>
                <w:rFonts w:hint="eastAsia"/>
                <w:sz w:val="24"/>
                <w:szCs w:val="24"/>
                <w:highlight w:val="none"/>
              </w:rPr>
            </w:pPr>
            <w:r>
              <w:rPr>
                <w:rFonts w:hint="eastAsia"/>
                <w:spacing w:val="-1"/>
                <w:sz w:val="24"/>
                <w:szCs w:val="24"/>
                <w:highlight w:val="none"/>
              </w:rPr>
              <w:t xml:space="preserve">可分解致癌芳香胺染料</w:t>
            </w:r>
            <w:r>
              <w:rPr>
                <w:rFonts w:hint="eastAsia"/>
                <w:sz w:val="24"/>
                <w:szCs w:val="24"/>
                <w:highlight w:val="none"/>
              </w:rPr>
            </w:r>
            <w:r/>
          </w:p>
        </w:tc>
        <w:tc>
          <w:tcPr>
            <w:tcW w:w="3101" w:type="dxa"/>
            <w:vAlign w:val="top"/>
            <w:textDirection w:val="lrTb"/>
            <w:noWrap w:val="false"/>
          </w:tcPr>
          <w:p>
            <w:pPr>
              <w:pStyle w:val="1124"/>
              <w:ind w:left="2630"/>
              <w:spacing w:before="67" w:line="360" w:lineRule="auto"/>
              <w:rPr>
                <w:rFonts w:hint="eastAsia"/>
                <w:sz w:val="24"/>
                <w:szCs w:val="24"/>
                <w:highlight w:val="none"/>
              </w:rPr>
            </w:pPr>
            <w:r>
              <w:rPr>
                <w:rFonts w:hint="eastAsia"/>
                <w:spacing w:val="-4"/>
                <w:sz w:val="24"/>
                <w:szCs w:val="24"/>
                <w:highlight w:val="none"/>
              </w:rPr>
              <w:t xml:space="preserve">禁用</w:t>
            </w:r>
            <w:r>
              <w:rPr>
                <w:rFonts w:hint="eastAsia"/>
                <w:sz w:val="24"/>
                <w:szCs w:val="24"/>
                <w:highlight w:val="none"/>
              </w:rPr>
            </w:r>
            <w:r/>
          </w:p>
        </w:tc>
      </w:tr>
    </w:tbl>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2.3.1面料的成分和含量：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面料的成分和含量详见原材料基本规定，并符合FZ/T 01053、</w:t>
      </w:r>
      <w:r>
        <w:rPr>
          <w:rFonts w:hint="eastAsia" w:ascii="宋体" w:hAnsi="宋体" w:cs="宋体"/>
          <w:color w:val="0d0d0d"/>
          <w:sz w:val="24"/>
          <w:highlight w:val="none"/>
        </w:rPr>
        <w:t xml:space="preserve">GB/T 29862</w:t>
      </w:r>
      <w:r>
        <w:rPr>
          <w:rFonts w:hint="eastAsia" w:ascii="宋体" w:hAnsi="宋体" w:cs="宋体"/>
          <w:sz w:val="24"/>
          <w:highlight w:val="none"/>
        </w:rPr>
        <w:t xml:space="preserve">的要求。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2.3.2接缝强力：</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成品接缝强力：后袖缝和后裆缝不小于140N/（5.0cm×10cm），其它部位不小于100N/（5.0cm×10cm）。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 2.3.3纰裂：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主要部位缝子纰裂程度要求≤0.6cm。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7"/>
          <w:sz w:val="24"/>
          <w:highlight w:val="none"/>
        </w:rPr>
        <w:t xml:space="preserve">2.4</w:t>
      </w:r>
      <w:r>
        <w:rPr>
          <w:rFonts w:hint="eastAsia" w:ascii="宋体" w:hAnsi="宋体" w:cs="宋体"/>
          <w:sz w:val="24"/>
          <w:highlight w:val="none"/>
        </w:rPr>
        <w:t xml:space="preserve">外观质量要求：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2.4.1疵点允许存在程度规定：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各部位的疵点均不允许存在严重疵点。任何大小的破损,断经、断纬，以及超过重度外观疵点范围的疵点，均不允许在任何裁片使用；每个独立部位只允许疵点一处不超过0.5cm。未列入本部分的疵点按其形态，参照以上相似疵点执行。</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2.4.2色差规定色差允许程度:</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领面、过肩、贴袋、门襟、袖头面与大身的色差≥4～5级，之间色差不超过半级。上装与下装的色差≥4～5级，之间色差不超过半级。</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2.4.3缝制要求：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（1）针距密度要求，13～16针/3cm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（2）各部位缝制平服，线路顺直、整齐、牢固，针迹均匀，上下线松紧要适宜，起止针处及袋口应回针缉牢。</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（3）各部位外露缝份应折光边。</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（4）各部位缝份不小于 0.8cm。</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（5）各部位30cm内不得有两处单跳针或连续跳针，不得脱线，明线不允许接线，链式线迹不允许跳。  </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2.4.4整烫及外观质量规定：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（1）各部位要熨烫平服、干燥。领子需定型整烫，挺括。无变色、无烫黄，水渍及亮光。</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（2）覆粘衬部位不允许有脱胶、渗透及起皱。</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919"/>
        <w:jc w:val="center"/>
        <w:spacing w:line="360" w:lineRule="auto"/>
        <w:rPr>
          <w:rFonts w:hint="eastAsia" w:ascii="宋体" w:hAnsi="宋体" w:cs="宋体"/>
          <w:bCs/>
          <w:sz w:val="24"/>
          <w:highlight w:val="none"/>
        </w:rPr>
      </w:pPr>
      <w:r>
        <w:rPr>
          <w:rFonts w:hint="eastAsia" w:ascii="宋体" w:hAnsi="宋体" w:cs="宋体"/>
          <w:sz w:val="24"/>
          <w:highlight w:val="none"/>
        </w:rPr>
        <w:t xml:space="preserve">茄克式长袖套装（春秋季劳保服）效果图（仅供参考）</w:t>
      </w:r>
      <w:r>
        <w:rPr>
          <w:rFonts w:hint="eastAsia" w:ascii="宋体" w:hAnsi="宋体" w:cs="宋体"/>
          <w:bCs/>
          <w:sz w:val="24"/>
          <w:highlight w:val="none"/>
        </w:rPr>
      </w:r>
      <w:r/>
    </w:p>
    <w:p>
      <w:pPr>
        <w:pStyle w:val="942"/>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892300" cy="2922905"/>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892300" cy="2922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49.0pt;height:230.1pt;mso-wrap-distance-left:0.0pt;mso-wrap-distance-top:0.0pt;mso-wrap-distance-right:0.0pt;mso-wrap-distance-bottom:0.0pt;" stroked="f">
                <v:path textboxrect="0,0,0,0"/>
                <v:imagedata r:id="rId30"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951393" cy="2947670"/>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951393" cy="2947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53.7pt;height:232.1pt;mso-wrap-distance-left:0.0pt;mso-wrap-distance-top:0.0pt;mso-wrap-distance-right:0.0pt;mso-wrap-distance-bottom:0.0pt;" stroked="f">
                <v:path textboxrect="0,0,0,0"/>
                <v:imagedata r:id="rId31" o:title=""/>
              </v:shape>
            </w:pict>
          </mc:Fallback>
        </mc:AlternateContent>
      </w:r>
      <w:r>
        <w:rPr>
          <w:rFonts w:hint="eastAsia" w:ascii="宋体" w:hAnsi="宋体" w:cs="宋体"/>
          <w:sz w:val="24"/>
          <w:highlight w:val="none"/>
        </w:rPr>
      </w:r>
      <w:r/>
    </w:p>
    <w:p>
      <w:pPr>
        <w:pStyle w:val="942"/>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908175" cy="278003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908175" cy="2780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50.2pt;height:218.9pt;mso-wrap-distance-left:0.0pt;mso-wrap-distance-top:0.0pt;mso-wrap-distance-right:0.0pt;mso-wrap-distance-bottom:0.0pt;" stroked="f">
                <v:path textboxrect="0,0,0,0"/>
                <v:imagedata r:id="rId32"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934210" cy="2780030"/>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934210" cy="2780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52.3pt;height:218.9pt;mso-wrap-distance-left:0.0pt;mso-wrap-distance-top:0.0pt;mso-wrap-distance-right:0.0pt;mso-wrap-distance-bottom:0.0pt;" stroked="f">
                <v:path textboxrect="0,0,0,0"/>
                <v:imagedata r:id="rId33" o:title=""/>
              </v:shape>
            </w:pict>
          </mc:Fallback>
        </mc:AlternateContent>
      </w:r>
      <w:r>
        <w:rPr>
          <w:rFonts w:hint="eastAsia" w:ascii="宋体" w:hAnsi="宋体" w:cs="宋体"/>
          <w:sz w:val="24"/>
          <w:highlight w:val="none"/>
        </w:rPr>
      </w:r>
      <w:r/>
    </w:p>
    <w:p>
      <w:pPr>
        <w:pStyle w:val="919"/>
        <w:numPr>
          <w:ilvl w:val="0"/>
          <w:numId w:val="38"/>
        </w:numPr>
        <w:spacing w:line="360" w:lineRule="auto"/>
        <w:rPr>
          <w:rFonts w:hint="eastAsia" w:ascii="宋体" w:hAnsi="宋体" w:cs="宋体"/>
          <w:b/>
          <w:bCs/>
          <w:sz w:val="24"/>
          <w:highlight w:val="none"/>
        </w:rPr>
      </w:pPr>
      <w:r>
        <w:rPr>
          <w:rFonts w:hint="eastAsia" w:ascii="宋体" w:hAnsi="宋体" w:cs="宋体"/>
          <w:b/>
          <w:bCs/>
          <w:sz w:val="24"/>
          <w:highlight w:val="none"/>
        </w:rPr>
        <w:t xml:space="preserve">冲锋衣防寒服 （冬季劳保服）</w:t>
      </w:r>
      <w:r>
        <w:rPr>
          <w:rFonts w:hint="eastAsia" w:ascii="宋体" w:hAnsi="宋体" w:cs="宋体"/>
          <w:b/>
          <w:bCs/>
          <w:sz w:val="24"/>
          <w:highlight w:val="none"/>
        </w:rPr>
      </w:r>
      <w:r/>
    </w:p>
    <w:p>
      <w:pPr>
        <w:pStyle w:val="919"/>
        <w:spacing w:line="360" w:lineRule="auto"/>
        <w:rPr>
          <w:rFonts w:hint="eastAsia" w:ascii="宋体" w:hAnsi="宋体" w:cs="宋体"/>
          <w:sz w:val="24"/>
          <w:highlight w:val="none"/>
        </w:rPr>
      </w:pPr>
      <w:r>
        <w:rPr>
          <w:rFonts w:hint="eastAsia" w:ascii="宋体" w:hAnsi="宋体" w:cs="宋体"/>
          <w:bCs/>
          <w:sz w:val="24"/>
          <w:highlight w:val="none"/>
        </w:rPr>
        <w:t xml:space="preserve">3.1</w:t>
      </w:r>
      <w:r>
        <w:rPr>
          <w:rFonts w:hint="eastAsia" w:ascii="宋体" w:hAnsi="宋体" w:cs="宋体"/>
          <w:spacing w:val="6"/>
          <w:sz w:val="24"/>
          <w:highlight w:val="none"/>
        </w:rPr>
        <w:t xml:space="preserve">原材料基本规定：</w:t>
      </w:r>
      <w:r>
        <w:rPr>
          <w:rFonts w:hint="eastAsia" w:ascii="宋体" w:hAnsi="宋体" w:cs="宋体"/>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成分：98%聚酯纤维+2%导电纤维+涂层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纱支：50D*50D</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密度：230*128</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颜色：潘通色号  橘红16-1462TPX   藏青19-4118TCX</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内胆：200g的杜邦棉</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水性能标准：水压：11000</w:t>
      </w:r>
      <w:r>
        <w:rPr>
          <w:rFonts w:hint="eastAsia" w:ascii="宋体" w:hAnsi="宋体" w:cs="宋体"/>
          <w:bCs/>
          <w:sz w:val="24"/>
          <w:highlight w:val="none"/>
        </w:rPr>
      </w:r>
      <w:r/>
    </w:p>
    <w:p>
      <w:pPr>
        <w:pStyle w:val="967"/>
        <w:ind w:firstLine="480"/>
        <w:spacing w:line="360" w:lineRule="auto"/>
        <w:tabs>
          <w:tab w:val="center" w:pos="4153" w:leader="none"/>
          <w:tab w:val="right" w:pos="8306" w:leader="none"/>
        </w:tabs>
        <w:rPr>
          <w:rFonts w:hint="eastAsia" w:ascii="宋体" w:hAnsi="宋体" w:cs="宋体"/>
          <w:bCs/>
          <w:sz w:val="24"/>
          <w:szCs w:val="24"/>
          <w:highlight w:val="none"/>
        </w:rPr>
      </w:pPr>
      <w:r>
        <w:rPr>
          <w:rFonts w:hint="eastAsia" w:ascii="宋体" w:hAnsi="宋体" w:cs="宋体"/>
          <w:bCs/>
          <w:sz w:val="24"/>
          <w:szCs w:val="24"/>
          <w:highlight w:val="none"/>
        </w:rPr>
        <w:t xml:space="preserve">面料透湿量：洗前≥6000（g/m</w:t>
      </w:r>
      <w:r>
        <w:rPr>
          <w:rFonts w:hint="eastAsia" w:ascii="宋体" w:hAnsi="宋体" w:cs="宋体"/>
          <w:bCs/>
          <w:sz w:val="24"/>
          <w:szCs w:val="24"/>
          <w:highlight w:val="none"/>
          <w:vertAlign w:val="superscript"/>
        </w:rPr>
        <w:t xml:space="preserve">2</w:t>
      </w:r>
      <w:r>
        <w:rPr>
          <w:rFonts w:hint="eastAsia" w:ascii="宋体" w:hAnsi="宋体" w:cs="宋体"/>
          <w:bCs/>
          <w:sz w:val="24"/>
          <w:szCs w:val="24"/>
          <w:highlight w:val="none"/>
        </w:rPr>
        <w:t xml:space="preserve">·24h），洗后≥6000（g/m</w:t>
      </w:r>
      <w:r>
        <w:rPr>
          <w:rFonts w:hint="eastAsia" w:ascii="宋体" w:hAnsi="宋体" w:cs="宋体"/>
          <w:bCs/>
          <w:sz w:val="24"/>
          <w:szCs w:val="24"/>
          <w:highlight w:val="none"/>
          <w:vertAlign w:val="superscript"/>
        </w:rPr>
        <w:t xml:space="preserve">2</w:t>
      </w:r>
      <w:r>
        <w:rPr>
          <w:rFonts w:hint="eastAsia" w:ascii="宋体" w:hAnsi="宋体" w:cs="宋体"/>
          <w:bCs/>
          <w:sz w:val="24"/>
          <w:szCs w:val="24"/>
          <w:highlight w:val="none"/>
        </w:rPr>
        <w:t xml:space="preserve">·24h）。</w:t>
      </w:r>
      <w:r>
        <w:rPr>
          <w:rFonts w:hint="eastAsia" w:ascii="宋体" w:hAnsi="宋体" w:cs="宋体"/>
          <w:bCs/>
          <w:sz w:val="24"/>
          <w:szCs w:val="24"/>
          <w:highlight w:val="none"/>
        </w:rPr>
      </w:r>
      <w:r/>
    </w:p>
    <w:p>
      <w:pPr>
        <w:pStyle w:val="919"/>
        <w:spacing w:before="158" w:line="360" w:lineRule="auto"/>
        <w:rPr>
          <w:rFonts w:hint="eastAsia" w:ascii="宋体" w:hAnsi="宋体" w:cs="宋体"/>
          <w:sz w:val="24"/>
          <w:highlight w:val="none"/>
        </w:rPr>
      </w:pPr>
      <w:r>
        <w:rPr>
          <w:rFonts w:hint="eastAsia" w:ascii="宋体" w:hAnsi="宋体" w:cs="宋体"/>
          <w:spacing w:val="5"/>
          <w:sz w:val="24"/>
          <w:highlight w:val="none"/>
        </w:rPr>
        <w:t xml:space="preserve">3.2防静电性能要求</w:t>
      </w:r>
      <w:r>
        <w:rPr>
          <w:rFonts w:hint="eastAsia" w:ascii="宋体" w:hAnsi="宋体" w:cs="宋体"/>
          <w:sz w:val="24"/>
          <w:highlight w:val="none"/>
        </w:rPr>
      </w:r>
      <w:r/>
    </w:p>
    <w:p>
      <w:pPr>
        <w:pStyle w:val="919"/>
        <w:ind w:left="574"/>
        <w:spacing w:before="161" w:line="360" w:lineRule="auto"/>
        <w:rPr>
          <w:rFonts w:hint="eastAsia" w:ascii="宋体" w:hAnsi="宋体" w:cs="宋体"/>
          <w:spacing w:val="7"/>
          <w:sz w:val="24"/>
          <w:highlight w:val="none"/>
        </w:rPr>
      </w:pPr>
      <w:r>
        <w:rPr>
          <w:rFonts w:hint="eastAsia" w:ascii="宋体" w:hAnsi="宋体" w:cs="宋体"/>
          <w:spacing w:val="7"/>
          <w:sz w:val="24"/>
          <w:highlight w:val="none"/>
        </w:rPr>
        <w:t xml:space="preserve">防静电性能符合</w:t>
      </w:r>
      <w:r>
        <w:rPr>
          <w:rFonts w:hint="eastAsia" w:ascii="宋体" w:hAnsi="宋体" w:cs="宋体"/>
          <w:spacing w:val="-40"/>
          <w:sz w:val="24"/>
          <w:highlight w:val="none"/>
        </w:rPr>
        <w:t xml:space="preserve"> </w:t>
      </w:r>
      <w:r>
        <w:rPr>
          <w:rFonts w:hint="eastAsia" w:ascii="宋体" w:hAnsi="宋体" w:cs="宋体"/>
          <w:sz w:val="24"/>
          <w:highlight w:val="none"/>
        </w:rPr>
        <w:t xml:space="preserve">GB12014—2019</w:t>
      </w:r>
      <w:r>
        <w:rPr>
          <w:rFonts w:hint="eastAsia" w:ascii="宋体" w:hAnsi="宋体" w:cs="宋体"/>
          <w:spacing w:val="7"/>
          <w:sz w:val="24"/>
          <w:highlight w:val="none"/>
        </w:rPr>
        <w:t xml:space="preserve"> 标准规定测试，见表5。</w:t>
      </w:r>
      <w:r>
        <w:rPr>
          <w:rFonts w:hint="eastAsia" w:ascii="宋体" w:hAnsi="宋体" w:cs="宋体"/>
          <w:spacing w:val="7"/>
          <w:sz w:val="24"/>
          <w:highlight w:val="none"/>
        </w:rPr>
      </w:r>
      <w:r/>
    </w:p>
    <w:p>
      <w:pPr>
        <w:pStyle w:val="919"/>
        <w:jc w:val="center"/>
        <w:spacing w:before="161" w:line="360" w:lineRule="auto"/>
        <w:rPr>
          <w:rFonts w:hint="eastAsia" w:ascii="宋体" w:hAnsi="宋体" w:cs="宋体"/>
          <w:sz w:val="24"/>
          <w:highlight w:val="none"/>
        </w:rPr>
      </w:pPr>
      <w:r>
        <w:rPr>
          <w:rFonts w:hint="eastAsia" w:ascii="宋体" w:hAnsi="宋体" w:cs="宋体"/>
          <w:spacing w:val="6"/>
          <w:sz w:val="24"/>
          <w:highlight w:val="none"/>
        </w:rPr>
        <w:t xml:space="preserve">表5</w:t>
      </w:r>
      <w:r>
        <w:rPr>
          <w:rFonts w:hint="eastAsia" w:ascii="宋体" w:hAnsi="宋体" w:cs="宋体"/>
          <w:sz w:val="24"/>
          <w:highlight w:val="none"/>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17"/>
        <w:gridCol w:w="2106"/>
        <w:gridCol w:w="5425"/>
      </w:tblGrid>
      <w:tr>
        <w:trPr>
          <w:trHeight w:val="313"/>
        </w:trPr>
        <w:tc>
          <w:tcPr>
            <w:tcW w:w="1137"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5"/>
                <w:sz w:val="24"/>
                <w:szCs w:val="24"/>
                <w:highlight w:val="none"/>
              </w:rPr>
              <w:t xml:space="preserve">项 目</w:t>
            </w:r>
            <w:r>
              <w:rPr>
                <w:rFonts w:hint="eastAsia"/>
                <w:sz w:val="24"/>
                <w:szCs w:val="24"/>
                <w:highlight w:val="none"/>
              </w:rPr>
            </w:r>
            <w:r/>
          </w:p>
        </w:tc>
        <w:tc>
          <w:tcPr>
            <w:tcW w:w="1080"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B</w:t>
            </w:r>
            <w:r>
              <w:rPr>
                <w:rFonts w:hint="eastAsia"/>
                <w:spacing w:val="10"/>
                <w:sz w:val="24"/>
                <w:szCs w:val="24"/>
                <w:highlight w:val="none"/>
              </w:rPr>
              <w:t xml:space="preserve"> </w:t>
            </w:r>
            <w:r>
              <w:rPr>
                <w:rFonts w:hint="eastAsia"/>
                <w:spacing w:val="-2"/>
                <w:sz w:val="24"/>
                <w:szCs w:val="24"/>
                <w:highlight w:val="none"/>
              </w:rPr>
              <w:t xml:space="preserve">级</w:t>
            </w:r>
            <w:r>
              <w:rPr>
                <w:rFonts w:hint="eastAsia"/>
                <w:sz w:val="24"/>
                <w:szCs w:val="24"/>
                <w:highlight w:val="none"/>
              </w:rPr>
            </w:r>
            <w:r/>
          </w:p>
        </w:tc>
        <w:tc>
          <w:tcPr>
            <w:tcW w:w="2782"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测试方法</w:t>
            </w:r>
            <w:r>
              <w:rPr>
                <w:rFonts w:hint="eastAsia"/>
                <w:sz w:val="24"/>
                <w:szCs w:val="24"/>
                <w:highlight w:val="none"/>
              </w:rPr>
            </w:r>
            <w:r/>
          </w:p>
        </w:tc>
      </w:tr>
      <w:tr>
        <w:trPr>
          <w:trHeight w:val="307"/>
        </w:trPr>
        <w:tc>
          <w:tcPr>
            <w:tcW w:w="1137" w:type="dxa"/>
            <w:vAlign w:val="center"/>
            <w:textDirection w:val="lrTb"/>
            <w:noWrap w:val="false"/>
          </w:tcPr>
          <w:p>
            <w:pPr>
              <w:pStyle w:val="1124"/>
              <w:jc w:val="center"/>
              <w:spacing w:before="46" w:line="360" w:lineRule="auto"/>
              <w:rPr>
                <w:rFonts w:hint="eastAsia"/>
                <w:sz w:val="24"/>
                <w:szCs w:val="24"/>
                <w:highlight w:val="none"/>
              </w:rPr>
            </w:pPr>
            <w:r>
              <w:rPr>
                <w:rFonts w:hint="eastAsia"/>
                <w:spacing w:val="-3"/>
                <w:sz w:val="24"/>
                <w:szCs w:val="24"/>
                <w:highlight w:val="none"/>
              </w:rPr>
              <w:t xml:space="preserve">点对点电阻Ω</w:t>
            </w:r>
            <w:r>
              <w:rPr>
                <w:rFonts w:hint="eastAsia"/>
                <w:sz w:val="24"/>
                <w:szCs w:val="24"/>
                <w:highlight w:val="none"/>
              </w:rPr>
            </w:r>
            <w:r/>
          </w:p>
        </w:tc>
        <w:tc>
          <w:tcPr>
            <w:tcW w:w="1080" w:type="dxa"/>
            <w:vAlign w:val="center"/>
            <w:textDirection w:val="lrTb"/>
            <w:noWrap w:val="false"/>
          </w:tcPr>
          <w:p>
            <w:pPr>
              <w:pStyle w:val="1124"/>
              <w:jc w:val="center"/>
              <w:spacing w:before="46" w:line="360" w:lineRule="auto"/>
              <w:rPr>
                <w:rFonts w:hint="eastAsia"/>
                <w:sz w:val="24"/>
                <w:szCs w:val="24"/>
                <w:highlight w:val="none"/>
              </w:rPr>
            </w:pPr>
            <w:r>
              <w:rPr>
                <w:rFonts w:hint="eastAsia"/>
                <w:spacing w:val="-11"/>
                <w:sz w:val="24"/>
                <w:szCs w:val="24"/>
                <w:highlight w:val="none"/>
              </w:rPr>
              <w:t xml:space="preserve">1×</w:t>
            </w:r>
            <w:r>
              <w:rPr>
                <w:rFonts w:hint="eastAsia"/>
                <w:spacing w:val="-24"/>
                <w:sz w:val="24"/>
                <w:szCs w:val="24"/>
                <w:highlight w:val="none"/>
              </w:rPr>
              <w:t xml:space="preserve"> </w:t>
            </w:r>
            <w:r>
              <w:rPr>
                <w:rFonts w:hint="eastAsia"/>
                <w:spacing w:val="-11"/>
                <w:sz w:val="24"/>
                <w:szCs w:val="24"/>
                <w:highlight w:val="none"/>
              </w:rPr>
              <w:t xml:space="preserve">10</w:t>
            </w:r>
            <w:r>
              <w:rPr>
                <w:rFonts w:hint="eastAsia"/>
                <w:spacing w:val="-1"/>
                <w:position w:val="8"/>
                <w:sz w:val="24"/>
                <w:szCs w:val="24"/>
                <w:highlight w:val="none"/>
              </w:rPr>
              <w:t xml:space="preserve">7</w:t>
            </w:r>
            <w:r>
              <w:rPr>
                <w:rFonts w:hint="eastAsia"/>
                <w:spacing w:val="-1"/>
                <w:sz w:val="24"/>
                <w:szCs w:val="24"/>
                <w:highlight w:val="none"/>
              </w:rPr>
              <w:t xml:space="preserve">～1×</w:t>
            </w:r>
            <w:r>
              <w:rPr>
                <w:rFonts w:hint="eastAsia"/>
                <w:spacing w:val="-22"/>
                <w:sz w:val="24"/>
                <w:szCs w:val="24"/>
                <w:highlight w:val="none"/>
              </w:rPr>
              <w:t xml:space="preserve"> </w:t>
            </w:r>
            <w:r>
              <w:rPr>
                <w:rFonts w:hint="eastAsia"/>
                <w:spacing w:val="-1"/>
                <w:sz w:val="24"/>
                <w:szCs w:val="24"/>
                <w:highlight w:val="none"/>
              </w:rPr>
              <w:t xml:space="preserve">10</w:t>
            </w:r>
            <w:r>
              <w:rPr>
                <w:rFonts w:hint="eastAsia"/>
                <w:spacing w:val="-1"/>
                <w:position w:val="8"/>
                <w:sz w:val="24"/>
                <w:szCs w:val="24"/>
                <w:highlight w:val="none"/>
              </w:rPr>
              <w:t xml:space="preserve">11</w:t>
            </w:r>
            <w:r>
              <w:rPr>
                <w:rFonts w:hint="eastAsia"/>
                <w:sz w:val="24"/>
                <w:szCs w:val="24"/>
                <w:highlight w:val="none"/>
              </w:rPr>
            </w:r>
            <w:r/>
          </w:p>
        </w:tc>
        <w:tc>
          <w:tcPr>
            <w:tcW w:w="2782" w:type="dxa"/>
            <w:vAlign w:val="center"/>
            <w:textDirection w:val="lrTb"/>
            <w:noWrap w:val="false"/>
          </w:tcPr>
          <w:p>
            <w:pPr>
              <w:pStyle w:val="1124"/>
              <w:jc w:val="center"/>
              <w:spacing w:before="47" w:line="360" w:lineRule="auto"/>
              <w:rPr>
                <w:rFonts w:hint="eastAsia"/>
                <w:sz w:val="24"/>
                <w:szCs w:val="24"/>
                <w:highlight w:val="none"/>
              </w:rPr>
            </w:pPr>
            <w:r>
              <w:rPr>
                <w:rFonts w:hint="eastAsia"/>
                <w:spacing w:val="-4"/>
                <w:sz w:val="24"/>
                <w:szCs w:val="24"/>
                <w:highlight w:val="none"/>
              </w:rPr>
              <w:t xml:space="preserve">详见</w:t>
            </w:r>
            <w:r>
              <w:rPr>
                <w:rFonts w:hint="eastAsia"/>
                <w:spacing w:val="-26"/>
                <w:sz w:val="24"/>
                <w:szCs w:val="24"/>
                <w:highlight w:val="none"/>
              </w:rPr>
              <w:t xml:space="preserve"> </w:t>
            </w:r>
            <w:r>
              <w:rPr>
                <w:rFonts w:hint="eastAsia"/>
                <w:spacing w:val="-4"/>
                <w:sz w:val="24"/>
                <w:szCs w:val="24"/>
                <w:highlight w:val="none"/>
              </w:rPr>
              <w:t xml:space="preserve">GB</w:t>
            </w:r>
            <w:r>
              <w:rPr>
                <w:rFonts w:hint="eastAsia"/>
                <w:spacing w:val="22"/>
                <w:sz w:val="24"/>
                <w:szCs w:val="24"/>
                <w:highlight w:val="none"/>
              </w:rPr>
              <w:t xml:space="preserve"> </w:t>
            </w:r>
            <w:r>
              <w:rPr>
                <w:rFonts w:hint="eastAsia"/>
                <w:spacing w:val="-4"/>
                <w:sz w:val="24"/>
                <w:szCs w:val="24"/>
                <w:highlight w:val="none"/>
              </w:rPr>
              <w:t xml:space="preserve">12014—2019</w:t>
            </w:r>
            <w:r>
              <w:rPr>
                <w:rFonts w:hint="eastAsia"/>
                <w:spacing w:val="20"/>
                <w:sz w:val="24"/>
                <w:szCs w:val="24"/>
                <w:highlight w:val="none"/>
              </w:rPr>
              <w:t xml:space="preserve"> </w:t>
            </w:r>
            <w:r>
              <w:rPr>
                <w:rFonts w:hint="eastAsia"/>
                <w:spacing w:val="-4"/>
                <w:sz w:val="24"/>
                <w:szCs w:val="24"/>
                <w:highlight w:val="none"/>
              </w:rPr>
              <w:t xml:space="preserve">中附录</w:t>
            </w:r>
            <w:r>
              <w:rPr>
                <w:rFonts w:hint="eastAsia"/>
                <w:spacing w:val="-43"/>
                <w:sz w:val="24"/>
                <w:szCs w:val="24"/>
                <w:highlight w:val="none"/>
              </w:rPr>
              <w:t xml:space="preserve"> </w:t>
            </w:r>
            <w:r>
              <w:rPr>
                <w:rFonts w:hint="eastAsia"/>
                <w:spacing w:val="-4"/>
                <w:sz w:val="24"/>
                <w:szCs w:val="24"/>
                <w:highlight w:val="none"/>
              </w:rPr>
              <w:t xml:space="preserve">A</w:t>
            </w:r>
            <w:r>
              <w:rPr>
                <w:rFonts w:hint="eastAsia"/>
                <w:sz w:val="24"/>
                <w:szCs w:val="24"/>
                <w:highlight w:val="none"/>
              </w:rPr>
            </w:r>
            <w:r/>
          </w:p>
        </w:tc>
      </w:tr>
      <w:tr>
        <w:trPr>
          <w:trHeight w:val="313"/>
        </w:trPr>
        <w:tc>
          <w:tcPr>
            <w:tcW w:w="1137" w:type="dxa"/>
            <w:vAlign w:val="center"/>
            <w:textDirection w:val="lrTb"/>
            <w:noWrap w:val="false"/>
          </w:tcPr>
          <w:p>
            <w:pPr>
              <w:pStyle w:val="1124"/>
              <w:jc w:val="center"/>
              <w:spacing w:before="22" w:line="360" w:lineRule="auto"/>
              <w:rPr>
                <w:rFonts w:hint="eastAsia"/>
                <w:sz w:val="24"/>
                <w:szCs w:val="24"/>
                <w:highlight w:val="none"/>
              </w:rPr>
            </w:pPr>
            <w:r>
              <w:rPr>
                <w:rFonts w:hint="eastAsia"/>
                <w:spacing w:val="-2"/>
                <w:position w:val="2"/>
                <w:sz w:val="24"/>
                <w:szCs w:val="24"/>
                <w:highlight w:val="none"/>
              </w:rPr>
              <w:t xml:space="preserve">带电电荷量μC/件</w:t>
            </w:r>
            <w:r>
              <w:rPr>
                <w:rFonts w:hint="eastAsia"/>
                <w:sz w:val="24"/>
                <w:szCs w:val="24"/>
                <w:highlight w:val="none"/>
              </w:rPr>
            </w:r>
            <w:r/>
          </w:p>
        </w:tc>
        <w:tc>
          <w:tcPr>
            <w:tcW w:w="1080" w:type="dxa"/>
            <w:vAlign w:val="center"/>
            <w:textDirection w:val="lrTb"/>
            <w:noWrap w:val="false"/>
          </w:tcPr>
          <w:p>
            <w:pPr>
              <w:pStyle w:val="1124"/>
              <w:jc w:val="center"/>
              <w:spacing w:before="49" w:line="360" w:lineRule="auto"/>
              <w:rPr>
                <w:rFonts w:hint="eastAsia"/>
                <w:sz w:val="24"/>
                <w:szCs w:val="24"/>
                <w:highlight w:val="none"/>
              </w:rPr>
            </w:pPr>
            <w:r>
              <w:rPr>
                <w:rFonts w:hint="eastAsia"/>
                <w:spacing w:val="-5"/>
                <w:sz w:val="24"/>
                <w:szCs w:val="24"/>
                <w:highlight w:val="none"/>
              </w:rPr>
              <w:t xml:space="preserve">＜0.6</w:t>
            </w:r>
            <w:r>
              <w:rPr>
                <w:rFonts w:hint="eastAsia"/>
                <w:sz w:val="24"/>
                <w:szCs w:val="24"/>
                <w:highlight w:val="none"/>
              </w:rPr>
            </w:r>
            <w:r/>
          </w:p>
        </w:tc>
        <w:tc>
          <w:tcPr>
            <w:tcW w:w="2782" w:type="dxa"/>
            <w:vAlign w:val="center"/>
            <w:textDirection w:val="lrTb"/>
            <w:noWrap w:val="false"/>
          </w:tcPr>
          <w:p>
            <w:pPr>
              <w:pStyle w:val="1124"/>
              <w:jc w:val="center"/>
              <w:spacing w:before="49" w:line="360" w:lineRule="auto"/>
              <w:rPr>
                <w:rFonts w:hint="eastAsia"/>
                <w:sz w:val="24"/>
                <w:szCs w:val="24"/>
                <w:highlight w:val="none"/>
              </w:rPr>
            </w:pPr>
            <w:r>
              <w:rPr>
                <w:rFonts w:hint="eastAsia"/>
                <w:spacing w:val="-4"/>
                <w:sz w:val="24"/>
                <w:szCs w:val="24"/>
                <w:highlight w:val="none"/>
              </w:rPr>
              <w:t xml:space="preserve">详见</w:t>
            </w:r>
            <w:r>
              <w:rPr>
                <w:rFonts w:hint="eastAsia"/>
                <w:spacing w:val="-29"/>
                <w:sz w:val="24"/>
                <w:szCs w:val="24"/>
                <w:highlight w:val="none"/>
              </w:rPr>
              <w:t xml:space="preserve"> </w:t>
            </w:r>
            <w:r>
              <w:rPr>
                <w:rFonts w:hint="eastAsia"/>
                <w:spacing w:val="-4"/>
                <w:sz w:val="24"/>
                <w:szCs w:val="24"/>
                <w:highlight w:val="none"/>
              </w:rPr>
              <w:t xml:space="preserve">GB</w:t>
            </w:r>
            <w:r>
              <w:rPr>
                <w:rFonts w:hint="eastAsia"/>
                <w:spacing w:val="22"/>
                <w:sz w:val="24"/>
                <w:szCs w:val="24"/>
                <w:highlight w:val="none"/>
              </w:rPr>
              <w:t xml:space="preserve"> </w:t>
            </w:r>
            <w:r>
              <w:rPr>
                <w:rFonts w:hint="eastAsia"/>
                <w:spacing w:val="-4"/>
                <w:sz w:val="24"/>
                <w:szCs w:val="24"/>
                <w:highlight w:val="none"/>
              </w:rPr>
              <w:t xml:space="preserve">12014—2019</w:t>
            </w:r>
            <w:r>
              <w:rPr>
                <w:rFonts w:hint="eastAsia"/>
                <w:spacing w:val="23"/>
                <w:sz w:val="24"/>
                <w:szCs w:val="24"/>
                <w:highlight w:val="none"/>
              </w:rPr>
              <w:t xml:space="preserve"> </w:t>
            </w:r>
            <w:r>
              <w:rPr>
                <w:rFonts w:hint="eastAsia"/>
                <w:spacing w:val="-4"/>
                <w:sz w:val="24"/>
                <w:szCs w:val="24"/>
                <w:highlight w:val="none"/>
              </w:rPr>
              <w:t xml:space="preserve">中附录</w:t>
            </w:r>
            <w:r>
              <w:rPr>
                <w:rFonts w:hint="eastAsia"/>
                <w:spacing w:val="-42"/>
                <w:sz w:val="24"/>
                <w:szCs w:val="24"/>
                <w:highlight w:val="none"/>
              </w:rPr>
              <w:t xml:space="preserve"> </w:t>
            </w:r>
            <w:r>
              <w:rPr>
                <w:rFonts w:hint="eastAsia"/>
                <w:spacing w:val="-4"/>
                <w:sz w:val="24"/>
                <w:szCs w:val="24"/>
                <w:highlight w:val="none"/>
              </w:rPr>
              <w:t xml:space="preserve">B</w:t>
            </w:r>
            <w:r>
              <w:rPr>
                <w:rFonts w:hint="eastAsia"/>
                <w:sz w:val="24"/>
                <w:szCs w:val="24"/>
                <w:highlight w:val="none"/>
              </w:rPr>
            </w:r>
            <w:r/>
          </w:p>
        </w:tc>
      </w:tr>
    </w:tbl>
    <w:p>
      <w:pPr>
        <w:pStyle w:val="919"/>
        <w:spacing w:before="158" w:line="360" w:lineRule="auto"/>
        <w:rPr>
          <w:rFonts w:hint="eastAsia" w:ascii="宋体" w:hAnsi="宋体" w:cs="宋体"/>
          <w:spacing w:val="5"/>
          <w:sz w:val="24"/>
          <w:highlight w:val="none"/>
        </w:rPr>
      </w:pPr>
      <w:r>
        <w:rPr>
          <w:rFonts w:hint="eastAsia" w:ascii="宋体" w:hAnsi="宋体" w:cs="宋体"/>
          <w:spacing w:val="5"/>
          <w:sz w:val="24"/>
          <w:highlight w:val="none"/>
        </w:rPr>
        <w:t xml:space="preserve">3.3基本安全技术要求</w:t>
      </w:r>
      <w:r>
        <w:rPr>
          <w:rFonts w:hint="eastAsia" w:ascii="宋体" w:hAnsi="宋体" w:cs="宋体"/>
          <w:spacing w:val="5"/>
          <w:sz w:val="24"/>
          <w:highlight w:val="none"/>
        </w:rPr>
      </w:r>
      <w:r/>
    </w:p>
    <w:p>
      <w:pPr>
        <w:pStyle w:val="919"/>
        <w:ind w:left="3776"/>
        <w:spacing w:before="69" w:line="360" w:lineRule="auto"/>
        <w:rPr>
          <w:rFonts w:hint="eastAsia" w:ascii="宋体" w:hAnsi="宋体" w:cs="宋体"/>
          <w:sz w:val="24"/>
          <w:highlight w:val="none"/>
        </w:rPr>
      </w:pPr>
      <w:r>
        <w:rPr>
          <w:rFonts w:hint="eastAsia" w:ascii="宋体" w:hAnsi="宋体" w:cs="宋体"/>
          <w:spacing w:val="6"/>
          <w:sz w:val="24"/>
          <w:highlight w:val="none"/>
        </w:rPr>
        <w:t xml:space="preserve">表6    基本安全技术要求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r>
      <w:r/>
    </w:p>
    <w:tbl>
      <w:tblPr>
        <w:tblW w:w="4999"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3702"/>
        <w:gridCol w:w="6048"/>
      </w:tblGrid>
      <w:tr>
        <w:trPr>
          <w:trHeight w:val="314"/>
        </w:trPr>
        <w:tc>
          <w:tcPr>
            <w:tcW w:w="1898" w:type="dxa"/>
            <w:vAlign w:val="top"/>
            <w:textDirection w:val="lrTb"/>
            <w:noWrap w:val="false"/>
          </w:tcPr>
          <w:p>
            <w:pPr>
              <w:pStyle w:val="1124"/>
              <w:ind w:left="1184"/>
              <w:spacing w:before="68" w:line="360" w:lineRule="auto"/>
              <w:rPr>
                <w:rFonts w:hint="eastAsia"/>
                <w:sz w:val="24"/>
                <w:szCs w:val="24"/>
                <w:highlight w:val="none"/>
              </w:rPr>
            </w:pPr>
            <w:r>
              <w:rPr>
                <w:rFonts w:hint="eastAsia"/>
                <w:spacing w:val="-2"/>
                <w:sz w:val="24"/>
                <w:szCs w:val="24"/>
                <w:highlight w:val="none"/>
              </w:rPr>
              <w:t xml:space="preserve">基本理化性能</w:t>
            </w:r>
            <w:r>
              <w:rPr>
                <w:rFonts w:hint="eastAsia"/>
                <w:sz w:val="24"/>
                <w:szCs w:val="24"/>
                <w:highlight w:val="none"/>
              </w:rPr>
            </w:r>
            <w:r/>
          </w:p>
        </w:tc>
        <w:tc>
          <w:tcPr>
            <w:tcW w:w="3101" w:type="dxa"/>
            <w:vAlign w:val="top"/>
            <w:textDirection w:val="lrTb"/>
            <w:noWrap w:val="false"/>
          </w:tcPr>
          <w:p>
            <w:pPr>
              <w:pStyle w:val="1124"/>
              <w:ind w:left="2451"/>
              <w:spacing w:before="68" w:line="360" w:lineRule="auto"/>
              <w:rPr>
                <w:rFonts w:hint="eastAsia"/>
                <w:sz w:val="24"/>
                <w:szCs w:val="24"/>
                <w:highlight w:val="none"/>
              </w:rPr>
            </w:pPr>
            <w:r>
              <w:rPr>
                <w:rFonts w:hint="eastAsia"/>
                <w:spacing w:val="-2"/>
                <w:sz w:val="24"/>
                <w:szCs w:val="24"/>
                <w:highlight w:val="none"/>
              </w:rPr>
              <w:t xml:space="preserve">技术要求</w:t>
            </w:r>
            <w:r>
              <w:rPr>
                <w:rFonts w:hint="eastAsia"/>
                <w:sz w:val="24"/>
                <w:szCs w:val="24"/>
                <w:highlight w:val="none"/>
              </w:rPr>
            </w:r>
            <w:r/>
          </w:p>
        </w:tc>
      </w:tr>
      <w:tr>
        <w:trPr>
          <w:trHeight w:val="309"/>
        </w:trPr>
        <w:tc>
          <w:tcPr>
            <w:tcW w:w="1898" w:type="dxa"/>
            <w:vAlign w:val="top"/>
            <w:textDirection w:val="lrTb"/>
            <w:noWrap w:val="false"/>
          </w:tcPr>
          <w:p>
            <w:pPr>
              <w:pStyle w:val="1124"/>
              <w:ind w:left="1073"/>
              <w:spacing w:before="36" w:line="360" w:lineRule="auto"/>
              <w:rPr>
                <w:rFonts w:hint="eastAsia"/>
                <w:sz w:val="24"/>
                <w:szCs w:val="24"/>
                <w:highlight w:val="none"/>
              </w:rPr>
            </w:pPr>
            <w:r>
              <w:rPr>
                <w:rFonts w:hint="eastAsia"/>
                <w:spacing w:val="-3"/>
                <w:position w:val="2"/>
                <w:sz w:val="24"/>
                <w:szCs w:val="24"/>
                <w:highlight w:val="none"/>
              </w:rPr>
              <w:t xml:space="preserve">甲醛含量/(mg/kg)</w:t>
            </w:r>
            <w:r>
              <w:rPr>
                <w:rFonts w:hint="eastAsia"/>
                <w:sz w:val="24"/>
                <w:szCs w:val="24"/>
                <w:highlight w:val="none"/>
              </w:rPr>
            </w:r>
            <w:r/>
          </w:p>
        </w:tc>
        <w:tc>
          <w:tcPr>
            <w:tcW w:w="3101" w:type="dxa"/>
            <w:vAlign w:val="top"/>
            <w:textDirection w:val="lrTb"/>
            <w:noWrap w:val="false"/>
          </w:tcPr>
          <w:p>
            <w:pPr>
              <w:pStyle w:val="1124"/>
              <w:ind w:left="2223"/>
              <w:spacing w:before="63" w:line="360" w:lineRule="auto"/>
              <w:rPr>
                <w:rFonts w:hint="eastAsia"/>
                <w:sz w:val="24"/>
                <w:szCs w:val="24"/>
                <w:highlight w:val="none"/>
              </w:rPr>
            </w:pPr>
            <w:r>
              <w:rPr>
                <w:rFonts w:hint="eastAsia"/>
                <w:spacing w:val="-1"/>
                <w:sz w:val="24"/>
                <w:szCs w:val="24"/>
                <w:highlight w:val="none"/>
              </w:rPr>
              <w:t xml:space="preserve">直接接触皮≤75</w:t>
            </w:r>
            <w:r>
              <w:rPr>
                <w:rFonts w:hint="eastAsia"/>
                <w:sz w:val="24"/>
                <w:szCs w:val="24"/>
                <w:highlight w:val="none"/>
              </w:rPr>
            </w:r>
            <w:r/>
          </w:p>
        </w:tc>
      </w:tr>
      <w:tr>
        <w:trPr>
          <w:trHeight w:val="309"/>
        </w:trPr>
        <w:tc>
          <w:tcPr>
            <w:tcW w:w="1898" w:type="dxa"/>
            <w:vAlign w:val="top"/>
            <w:textDirection w:val="lrTb"/>
            <w:noWrap w:val="false"/>
          </w:tcPr>
          <w:p>
            <w:pPr>
              <w:pStyle w:val="1124"/>
              <w:ind w:left="1492"/>
              <w:spacing w:before="63" w:line="360" w:lineRule="auto"/>
              <w:rPr>
                <w:rFonts w:hint="eastAsia"/>
                <w:sz w:val="24"/>
                <w:szCs w:val="24"/>
                <w:highlight w:val="none"/>
              </w:rPr>
            </w:pPr>
            <w:r>
              <w:rPr>
                <w:rFonts w:hint="eastAsia"/>
                <w:color w:val="c00000"/>
                <w:spacing w:val="-1"/>
                <w:sz w:val="24"/>
                <w:szCs w:val="24"/>
                <w:highlight w:val="none"/>
              </w:rPr>
              <w:t xml:space="preserve">pH</w:t>
            </w:r>
            <w:r>
              <w:rPr>
                <w:rFonts w:hint="eastAsia"/>
                <w:color w:val="c00000"/>
                <w:spacing w:val="7"/>
                <w:sz w:val="24"/>
                <w:szCs w:val="24"/>
                <w:highlight w:val="none"/>
              </w:rPr>
              <w:t xml:space="preserve"> </w:t>
            </w:r>
            <w:r>
              <w:rPr>
                <w:rFonts w:hint="eastAsia"/>
                <w:color w:val="c00000"/>
                <w:spacing w:val="-1"/>
                <w:sz w:val="24"/>
                <w:szCs w:val="24"/>
                <w:highlight w:val="none"/>
              </w:rPr>
              <w:t xml:space="preserve">值</w:t>
            </w:r>
            <w:r>
              <w:rPr>
                <w:rFonts w:hint="eastAsia"/>
                <w:sz w:val="24"/>
                <w:szCs w:val="24"/>
                <w:highlight w:val="none"/>
              </w:rPr>
            </w:r>
            <w:r/>
          </w:p>
        </w:tc>
        <w:tc>
          <w:tcPr>
            <w:tcW w:w="3101" w:type="dxa"/>
            <w:vAlign w:val="top"/>
            <w:textDirection w:val="lrTb"/>
            <w:noWrap w:val="false"/>
          </w:tcPr>
          <w:p>
            <w:pPr>
              <w:pStyle w:val="1124"/>
              <w:ind w:left="2491"/>
              <w:spacing w:before="64" w:line="360" w:lineRule="auto"/>
              <w:rPr>
                <w:rFonts w:hint="eastAsia"/>
                <w:sz w:val="24"/>
                <w:szCs w:val="24"/>
                <w:highlight w:val="none"/>
              </w:rPr>
            </w:pPr>
            <w:r>
              <w:rPr>
                <w:rFonts w:hint="eastAsia"/>
                <w:spacing w:val="-1"/>
                <w:sz w:val="24"/>
                <w:szCs w:val="24"/>
                <w:highlight w:val="none"/>
              </w:rPr>
              <w:t xml:space="preserve">4.0～9.0</w:t>
            </w:r>
            <w:r>
              <w:rPr>
                <w:rFonts w:hint="eastAsia"/>
                <w:sz w:val="24"/>
                <w:szCs w:val="24"/>
                <w:highlight w:val="none"/>
              </w:rPr>
            </w:r>
            <w:r/>
          </w:p>
        </w:tc>
      </w:tr>
      <w:tr>
        <w:trPr>
          <w:trHeight w:val="309"/>
        </w:trPr>
        <w:tc>
          <w:tcPr>
            <w:tcW w:w="1898" w:type="dxa"/>
            <w:vAlign w:val="top"/>
            <w:textDirection w:val="lrTb"/>
            <w:noWrap w:val="false"/>
          </w:tcPr>
          <w:p>
            <w:pPr>
              <w:pStyle w:val="1124"/>
              <w:ind w:left="1198"/>
              <w:spacing w:before="37" w:line="360" w:lineRule="auto"/>
              <w:rPr>
                <w:rFonts w:hint="eastAsia"/>
                <w:sz w:val="24"/>
                <w:szCs w:val="24"/>
                <w:highlight w:val="none"/>
              </w:rPr>
            </w:pPr>
            <w:r>
              <w:rPr>
                <w:rFonts w:hint="eastAsia"/>
                <w:spacing w:val="-2"/>
                <w:position w:val="1"/>
                <w:sz w:val="24"/>
                <w:szCs w:val="24"/>
                <w:highlight w:val="none"/>
              </w:rPr>
              <w:t xml:space="preserve">尺寸变化率%</w:t>
            </w:r>
            <w:r>
              <w:rPr>
                <w:rFonts w:hint="eastAsia"/>
                <w:sz w:val="24"/>
                <w:szCs w:val="24"/>
                <w:highlight w:val="none"/>
              </w:rPr>
            </w:r>
            <w:r/>
          </w:p>
        </w:tc>
        <w:tc>
          <w:tcPr>
            <w:tcW w:w="3101" w:type="dxa"/>
            <w:vAlign w:val="top"/>
            <w:textDirection w:val="lrTb"/>
            <w:noWrap w:val="false"/>
          </w:tcPr>
          <w:p>
            <w:pPr>
              <w:pStyle w:val="1124"/>
              <w:ind w:left="2081"/>
              <w:spacing w:before="37" w:line="360" w:lineRule="auto"/>
              <w:rPr>
                <w:rFonts w:hint="eastAsia"/>
                <w:sz w:val="24"/>
                <w:szCs w:val="24"/>
                <w:highlight w:val="none"/>
              </w:rPr>
            </w:pPr>
            <w:r>
              <w:rPr>
                <w:rFonts w:hint="eastAsia"/>
                <w:spacing w:val="-1"/>
                <w:position w:val="2"/>
                <w:sz w:val="24"/>
                <w:szCs w:val="24"/>
                <w:highlight w:val="none"/>
              </w:rPr>
              <w:t xml:space="preserve">-2.5～+2.5(经纬向)</w:t>
            </w:r>
            <w:r>
              <w:rPr>
                <w:rFonts w:hint="eastAsia"/>
                <w:sz w:val="24"/>
                <w:szCs w:val="24"/>
                <w:highlight w:val="none"/>
              </w:rPr>
            </w:r>
            <w:r/>
          </w:p>
        </w:tc>
      </w:tr>
      <w:tr>
        <w:trPr>
          <w:trHeight w:val="309"/>
        </w:trPr>
        <w:tc>
          <w:tcPr>
            <w:tcW w:w="1898" w:type="dxa"/>
            <w:vAlign w:val="top"/>
            <w:textDirection w:val="lrTb"/>
            <w:noWrap w:val="false"/>
          </w:tcPr>
          <w:p>
            <w:pPr>
              <w:pStyle w:val="1124"/>
              <w:ind w:left="1169"/>
              <w:spacing w:before="35" w:line="360" w:lineRule="auto"/>
              <w:rPr>
                <w:rFonts w:hint="eastAsia"/>
                <w:sz w:val="24"/>
                <w:szCs w:val="24"/>
                <w:highlight w:val="none"/>
              </w:rPr>
            </w:pPr>
            <w:r>
              <w:rPr>
                <w:rFonts w:hint="eastAsia"/>
                <w:spacing w:val="-1"/>
                <w:position w:val="2"/>
                <w:sz w:val="24"/>
                <w:szCs w:val="24"/>
                <w:highlight w:val="none"/>
              </w:rPr>
              <w:t xml:space="preserve">透气率/(mm/s)</w:t>
            </w:r>
            <w:r>
              <w:rPr>
                <w:rFonts w:hint="eastAsia"/>
                <w:sz w:val="24"/>
                <w:szCs w:val="24"/>
                <w:highlight w:val="none"/>
              </w:rPr>
            </w:r>
            <w:r/>
          </w:p>
        </w:tc>
        <w:tc>
          <w:tcPr>
            <w:tcW w:w="3101" w:type="dxa"/>
            <w:vAlign w:val="top"/>
            <w:textDirection w:val="lrTb"/>
            <w:noWrap w:val="false"/>
          </w:tcPr>
          <w:p>
            <w:pPr>
              <w:pStyle w:val="1124"/>
              <w:ind w:left="2646"/>
              <w:spacing w:before="64" w:line="360" w:lineRule="auto"/>
              <w:rPr>
                <w:rFonts w:hint="eastAsia"/>
                <w:sz w:val="24"/>
                <w:szCs w:val="24"/>
                <w:highlight w:val="none"/>
              </w:rPr>
            </w:pPr>
            <w:r>
              <w:rPr>
                <w:rFonts w:hint="eastAsia"/>
                <w:spacing w:val="16"/>
                <w:sz w:val="24"/>
                <w:szCs w:val="24"/>
                <w:highlight w:val="none"/>
              </w:rPr>
              <w:t xml:space="preserve">＞60</w:t>
            </w:r>
            <w:r>
              <w:rPr>
                <w:rFonts w:hint="eastAsia"/>
                <w:sz w:val="24"/>
                <w:szCs w:val="24"/>
                <w:highlight w:val="none"/>
              </w:rPr>
            </w:r>
            <w:r/>
          </w:p>
        </w:tc>
      </w:tr>
      <w:tr>
        <w:trPr>
          <w:trHeight w:val="309"/>
        </w:trPr>
        <w:tc>
          <w:tcPr>
            <w:tcW w:w="1898" w:type="dxa"/>
            <w:vAlign w:val="top"/>
            <w:textDirection w:val="lrTb"/>
            <w:noWrap w:val="false"/>
          </w:tcPr>
          <w:p>
            <w:pPr>
              <w:pStyle w:val="1124"/>
              <w:ind w:left="531"/>
              <w:spacing w:before="38" w:line="360" w:lineRule="auto"/>
              <w:rPr>
                <w:rFonts w:hint="eastAsia"/>
                <w:sz w:val="24"/>
                <w:szCs w:val="24"/>
                <w:highlight w:val="none"/>
              </w:rPr>
            </w:pPr>
            <w:r>
              <w:rPr>
                <w:rFonts w:hint="eastAsia"/>
                <w:spacing w:val="-1"/>
                <w:position w:val="1"/>
                <w:sz w:val="24"/>
                <w:szCs w:val="24"/>
                <w:highlight w:val="none"/>
              </w:rPr>
              <w:t xml:space="preserve">耐水色牢度/级（变色、沾色）</w:t>
            </w:r>
            <w:r>
              <w:rPr>
                <w:rFonts w:hint="eastAsia"/>
                <w:sz w:val="24"/>
                <w:szCs w:val="24"/>
                <w:highlight w:val="none"/>
              </w:rPr>
            </w:r>
            <w:r/>
          </w:p>
        </w:tc>
        <w:tc>
          <w:tcPr>
            <w:tcW w:w="3101" w:type="dxa"/>
            <w:vAlign w:val="top"/>
            <w:textDirection w:val="lrTb"/>
            <w:noWrap w:val="false"/>
          </w:tcPr>
          <w:p>
            <w:pPr>
              <w:pStyle w:val="1124"/>
              <w:ind w:left="2577"/>
              <w:spacing w:before="65" w:line="360" w:lineRule="auto"/>
              <w:rPr>
                <w:rFonts w:hint="eastAsia"/>
                <w:sz w:val="24"/>
                <w:szCs w:val="24"/>
                <w:highlight w:val="none"/>
              </w:rPr>
            </w:pPr>
            <w:r>
              <w:rPr>
                <w:rFonts w:hint="eastAsia"/>
                <w:spacing w:val="-1"/>
                <w:sz w:val="24"/>
                <w:szCs w:val="24"/>
                <w:highlight w:val="none"/>
              </w:rPr>
              <w:t xml:space="preserve">≥4</w:t>
            </w:r>
            <w:r>
              <w:rPr>
                <w:rFonts w:hint="eastAsia"/>
                <w:sz w:val="24"/>
                <w:szCs w:val="24"/>
                <w:highlight w:val="none"/>
              </w:rPr>
            </w:r>
            <w:r/>
          </w:p>
        </w:tc>
      </w:tr>
      <w:tr>
        <w:trPr>
          <w:trHeight w:val="309"/>
        </w:trPr>
        <w:tc>
          <w:tcPr>
            <w:tcW w:w="1898" w:type="dxa"/>
            <w:vAlign w:val="top"/>
            <w:textDirection w:val="lrTb"/>
            <w:noWrap w:val="false"/>
          </w:tcPr>
          <w:p>
            <w:pPr>
              <w:pStyle w:val="1124"/>
              <w:ind w:left="351"/>
              <w:spacing w:before="38" w:line="360" w:lineRule="auto"/>
              <w:rPr>
                <w:rFonts w:hint="eastAsia"/>
                <w:sz w:val="24"/>
                <w:szCs w:val="24"/>
                <w:highlight w:val="none"/>
              </w:rPr>
            </w:pPr>
            <w:r>
              <w:rPr>
                <w:rFonts w:hint="eastAsia"/>
                <w:spacing w:val="-1"/>
                <w:position w:val="1"/>
                <w:sz w:val="24"/>
                <w:szCs w:val="24"/>
                <w:highlight w:val="none"/>
              </w:rPr>
              <w:t xml:space="preserve">耐干摩擦色牢度/级（变色、沾色）</w:t>
            </w:r>
            <w:r>
              <w:rPr>
                <w:rFonts w:hint="eastAsia"/>
                <w:sz w:val="24"/>
                <w:szCs w:val="24"/>
                <w:highlight w:val="none"/>
              </w:rPr>
            </w:r>
            <w:r/>
          </w:p>
        </w:tc>
        <w:tc>
          <w:tcPr>
            <w:tcW w:w="3101" w:type="dxa"/>
            <w:vAlign w:val="top"/>
            <w:textDirection w:val="lrTb"/>
            <w:noWrap w:val="false"/>
          </w:tcPr>
          <w:p>
            <w:pPr>
              <w:pStyle w:val="1124"/>
              <w:ind w:left="2577"/>
              <w:spacing w:before="65" w:line="360" w:lineRule="auto"/>
              <w:rPr>
                <w:rFonts w:hint="eastAsia"/>
                <w:sz w:val="24"/>
                <w:szCs w:val="24"/>
                <w:highlight w:val="none"/>
              </w:rPr>
            </w:pPr>
            <w:r>
              <w:rPr>
                <w:rFonts w:hint="eastAsia"/>
                <w:spacing w:val="-1"/>
                <w:sz w:val="24"/>
                <w:szCs w:val="24"/>
                <w:highlight w:val="none"/>
              </w:rPr>
              <w:t xml:space="preserve">≥4</w:t>
            </w:r>
            <w:r>
              <w:rPr>
                <w:rFonts w:hint="eastAsia"/>
                <w:sz w:val="24"/>
                <w:szCs w:val="24"/>
                <w:highlight w:val="none"/>
              </w:rPr>
            </w:r>
            <w:r/>
          </w:p>
        </w:tc>
      </w:tr>
      <w:tr>
        <w:trPr>
          <w:trHeight w:val="309"/>
        </w:trPr>
        <w:tc>
          <w:tcPr>
            <w:tcW w:w="1898" w:type="dxa"/>
            <w:vAlign w:val="top"/>
            <w:textDirection w:val="lrTb"/>
            <w:noWrap w:val="false"/>
          </w:tcPr>
          <w:p>
            <w:pPr>
              <w:pStyle w:val="1124"/>
              <w:ind w:left="531"/>
              <w:spacing w:before="39" w:line="360" w:lineRule="auto"/>
              <w:rPr>
                <w:rFonts w:hint="eastAsia"/>
                <w:sz w:val="24"/>
                <w:szCs w:val="24"/>
                <w:highlight w:val="none"/>
              </w:rPr>
            </w:pPr>
            <w:r>
              <w:rPr>
                <w:rFonts w:hint="eastAsia"/>
                <w:spacing w:val="-1"/>
                <w:position w:val="1"/>
                <w:sz w:val="24"/>
                <w:szCs w:val="24"/>
                <w:highlight w:val="none"/>
              </w:rPr>
              <w:t xml:space="preserve">耐光色牢度/级（变色、沾色）</w:t>
            </w:r>
            <w:r>
              <w:rPr>
                <w:rFonts w:hint="eastAsia"/>
                <w:sz w:val="24"/>
                <w:szCs w:val="24"/>
                <w:highlight w:val="none"/>
              </w:rPr>
            </w:r>
            <w:r/>
          </w:p>
        </w:tc>
        <w:tc>
          <w:tcPr>
            <w:tcW w:w="3101" w:type="dxa"/>
            <w:vAlign w:val="top"/>
            <w:textDirection w:val="lrTb"/>
            <w:noWrap w:val="false"/>
          </w:tcPr>
          <w:p>
            <w:pPr>
              <w:pStyle w:val="1124"/>
              <w:ind w:left="2577"/>
              <w:spacing w:before="65" w:line="360" w:lineRule="auto"/>
              <w:rPr>
                <w:rFonts w:hint="eastAsia"/>
                <w:sz w:val="24"/>
                <w:szCs w:val="24"/>
                <w:highlight w:val="none"/>
              </w:rPr>
            </w:pPr>
            <w:r>
              <w:rPr>
                <w:rFonts w:hint="eastAsia"/>
                <w:spacing w:val="-1"/>
                <w:sz w:val="24"/>
                <w:szCs w:val="24"/>
                <w:highlight w:val="none"/>
              </w:rPr>
              <w:t xml:space="preserve">≥4</w:t>
            </w:r>
            <w:r>
              <w:rPr>
                <w:rFonts w:hint="eastAsia"/>
                <w:sz w:val="24"/>
                <w:szCs w:val="24"/>
                <w:highlight w:val="none"/>
              </w:rPr>
            </w:r>
            <w:r/>
          </w:p>
        </w:tc>
      </w:tr>
      <w:tr>
        <w:trPr>
          <w:trHeight w:val="704"/>
        </w:trPr>
        <w:tc>
          <w:tcPr>
            <w:tcW w:w="1898" w:type="dxa"/>
            <w:vAlign w:val="top"/>
            <w:textDirection w:val="lrTb"/>
            <w:noWrap w:val="false"/>
          </w:tcPr>
          <w:p>
            <w:pPr>
              <w:pStyle w:val="1124"/>
              <w:ind w:left="1282"/>
              <w:spacing w:before="236" w:line="360" w:lineRule="auto"/>
              <w:rPr>
                <w:rFonts w:hint="eastAsia"/>
                <w:sz w:val="24"/>
                <w:szCs w:val="24"/>
                <w:highlight w:val="none"/>
              </w:rPr>
            </w:pPr>
            <w:r>
              <w:rPr>
                <w:rFonts w:hint="eastAsia"/>
                <w:spacing w:val="-3"/>
                <w:position w:val="2"/>
                <w:sz w:val="24"/>
                <w:szCs w:val="24"/>
                <w:highlight w:val="none"/>
              </w:rPr>
              <w:t xml:space="preserve">断裂强度/N</w:t>
            </w:r>
            <w:r>
              <w:rPr>
                <w:rFonts w:hint="eastAsia"/>
                <w:sz w:val="24"/>
                <w:szCs w:val="24"/>
                <w:highlight w:val="none"/>
              </w:rPr>
            </w:r>
            <w:r/>
          </w:p>
        </w:tc>
        <w:tc>
          <w:tcPr>
            <w:tcW w:w="3101" w:type="dxa"/>
            <w:vAlign w:val="top"/>
            <w:textDirection w:val="lrTb"/>
            <w:noWrap w:val="false"/>
          </w:tcPr>
          <w:p>
            <w:pPr>
              <w:pStyle w:val="1124"/>
              <w:ind w:left="1382"/>
              <w:spacing w:before="3"/>
              <w:rPr>
                <w:rFonts w:hint="eastAsia"/>
                <w:sz w:val="24"/>
                <w:szCs w:val="24"/>
                <w:highlight w:val="none"/>
              </w:rPr>
            </w:pPr>
            <w:r>
              <w:rPr>
                <w:rFonts w:hint="eastAsia"/>
                <w:spacing w:val="-1"/>
                <w:sz w:val="24"/>
                <w:szCs w:val="24"/>
                <w:highlight w:val="none"/>
              </w:rPr>
              <w:t xml:space="preserve">径向≥780（单位面积质量≥200g/㎡）</w:t>
            </w:r>
            <w:r>
              <w:rPr>
                <w:rFonts w:hint="eastAsia"/>
                <w:sz w:val="24"/>
                <w:szCs w:val="24"/>
                <w:highlight w:val="none"/>
              </w:rPr>
            </w:r>
            <w:r/>
          </w:p>
          <w:p>
            <w:pPr>
              <w:pStyle w:val="1124"/>
              <w:ind w:left="1341"/>
              <w:rPr>
                <w:rFonts w:hint="eastAsia"/>
                <w:sz w:val="24"/>
                <w:szCs w:val="24"/>
                <w:highlight w:val="none"/>
              </w:rPr>
            </w:pPr>
            <w:r>
              <w:rPr>
                <w:rFonts w:hint="eastAsia"/>
                <w:spacing w:val="-2"/>
                <w:position w:val="2"/>
                <w:sz w:val="24"/>
                <w:szCs w:val="24"/>
                <w:highlight w:val="none"/>
              </w:rPr>
              <w:t xml:space="preserve">径向≥490（单位面积质量＜200g/㎡）</w:t>
            </w:r>
            <w:r>
              <w:rPr>
                <w:rFonts w:hint="eastAsia"/>
                <w:sz w:val="24"/>
                <w:szCs w:val="24"/>
                <w:highlight w:val="none"/>
              </w:rPr>
            </w:r>
            <w:r/>
          </w:p>
          <w:p>
            <w:pPr>
              <w:pStyle w:val="1124"/>
              <w:ind w:left="2446"/>
              <w:spacing w:before="12"/>
              <w:rPr>
                <w:rFonts w:hint="eastAsia"/>
                <w:sz w:val="24"/>
                <w:szCs w:val="24"/>
                <w:highlight w:val="none"/>
              </w:rPr>
            </w:pPr>
            <w:r>
              <w:rPr>
                <w:rFonts w:hint="eastAsia"/>
                <w:spacing w:val="-2"/>
                <w:sz w:val="24"/>
                <w:szCs w:val="24"/>
                <w:highlight w:val="none"/>
              </w:rPr>
              <w:t xml:space="preserve">纬向≥390</w:t>
            </w:r>
            <w:r>
              <w:rPr>
                <w:rFonts w:hint="eastAsia"/>
                <w:sz w:val="24"/>
                <w:szCs w:val="24"/>
                <w:highlight w:val="none"/>
              </w:rPr>
            </w:r>
            <w:r/>
          </w:p>
        </w:tc>
      </w:tr>
      <w:tr>
        <w:trPr>
          <w:trHeight w:val="309"/>
        </w:trPr>
        <w:tc>
          <w:tcPr>
            <w:tcW w:w="1898" w:type="dxa"/>
            <w:vAlign w:val="top"/>
            <w:textDirection w:val="lrTb"/>
            <w:noWrap w:val="false"/>
          </w:tcPr>
          <w:p>
            <w:pPr>
              <w:pStyle w:val="1124"/>
              <w:ind w:left="1546"/>
              <w:spacing w:before="67" w:line="360" w:lineRule="auto"/>
              <w:rPr>
                <w:rFonts w:hint="eastAsia"/>
                <w:sz w:val="24"/>
                <w:szCs w:val="24"/>
                <w:highlight w:val="none"/>
              </w:rPr>
            </w:pPr>
            <w:r>
              <w:rPr>
                <w:rFonts w:hint="eastAsia"/>
                <w:spacing w:val="-5"/>
                <w:sz w:val="24"/>
                <w:szCs w:val="24"/>
                <w:highlight w:val="none"/>
              </w:rPr>
              <w:t xml:space="preserve">异味</w:t>
            </w:r>
            <w:r>
              <w:rPr>
                <w:rFonts w:hint="eastAsia"/>
                <w:sz w:val="24"/>
                <w:szCs w:val="24"/>
                <w:highlight w:val="none"/>
              </w:rPr>
            </w:r>
            <w:r/>
          </w:p>
        </w:tc>
        <w:tc>
          <w:tcPr>
            <w:tcW w:w="3101" w:type="dxa"/>
            <w:vAlign w:val="top"/>
            <w:textDirection w:val="lrTb"/>
            <w:noWrap w:val="false"/>
          </w:tcPr>
          <w:p>
            <w:pPr>
              <w:pStyle w:val="1124"/>
              <w:ind w:left="2723"/>
              <w:spacing w:before="67" w:line="360" w:lineRule="auto"/>
              <w:rPr>
                <w:rFonts w:hint="eastAsia"/>
                <w:sz w:val="24"/>
                <w:szCs w:val="24"/>
                <w:highlight w:val="none"/>
              </w:rPr>
            </w:pPr>
            <w:r>
              <w:rPr>
                <w:rFonts w:hint="eastAsia"/>
                <w:sz w:val="24"/>
                <w:szCs w:val="24"/>
                <w:highlight w:val="none"/>
              </w:rPr>
              <w:t xml:space="preserve">无</w:t>
            </w:r>
            <w:r>
              <w:rPr>
                <w:rFonts w:hint="eastAsia"/>
                <w:sz w:val="24"/>
                <w:szCs w:val="24"/>
                <w:highlight w:val="none"/>
              </w:rPr>
            </w:r>
            <w:r/>
          </w:p>
        </w:tc>
      </w:tr>
      <w:tr>
        <w:trPr>
          <w:trHeight w:val="314"/>
        </w:trPr>
        <w:tc>
          <w:tcPr>
            <w:tcW w:w="1898" w:type="dxa"/>
            <w:vAlign w:val="top"/>
            <w:textDirection w:val="lrTb"/>
            <w:noWrap w:val="false"/>
          </w:tcPr>
          <w:p>
            <w:pPr>
              <w:pStyle w:val="1124"/>
              <w:ind w:left="825"/>
              <w:spacing w:before="67" w:line="360" w:lineRule="auto"/>
              <w:rPr>
                <w:rFonts w:hint="eastAsia"/>
                <w:sz w:val="24"/>
                <w:szCs w:val="24"/>
                <w:highlight w:val="none"/>
              </w:rPr>
            </w:pPr>
            <w:r>
              <w:rPr>
                <w:rFonts w:hint="eastAsia"/>
                <w:spacing w:val="-1"/>
                <w:sz w:val="24"/>
                <w:szCs w:val="24"/>
                <w:highlight w:val="none"/>
              </w:rPr>
              <w:t xml:space="preserve">可分解致癌芳香胺染料</w:t>
            </w:r>
            <w:r>
              <w:rPr>
                <w:rFonts w:hint="eastAsia"/>
                <w:sz w:val="24"/>
                <w:szCs w:val="24"/>
                <w:highlight w:val="none"/>
              </w:rPr>
            </w:r>
            <w:r/>
          </w:p>
        </w:tc>
        <w:tc>
          <w:tcPr>
            <w:tcW w:w="3101" w:type="dxa"/>
            <w:vAlign w:val="top"/>
            <w:textDirection w:val="lrTb"/>
            <w:noWrap w:val="false"/>
          </w:tcPr>
          <w:p>
            <w:pPr>
              <w:pStyle w:val="1124"/>
              <w:ind w:left="2630"/>
              <w:spacing w:before="67" w:line="360" w:lineRule="auto"/>
              <w:rPr>
                <w:rFonts w:hint="eastAsia"/>
                <w:sz w:val="24"/>
                <w:szCs w:val="24"/>
                <w:highlight w:val="none"/>
              </w:rPr>
            </w:pPr>
            <w:r>
              <w:rPr>
                <w:rFonts w:hint="eastAsia"/>
                <w:spacing w:val="-4"/>
                <w:sz w:val="24"/>
                <w:szCs w:val="24"/>
                <w:highlight w:val="none"/>
              </w:rPr>
              <w:t xml:space="preserve">禁用</w:t>
            </w:r>
            <w:r>
              <w:rPr>
                <w:rFonts w:hint="eastAsia"/>
                <w:sz w:val="24"/>
                <w:szCs w:val="24"/>
                <w:highlight w:val="none"/>
              </w:rPr>
            </w:r>
            <w:r/>
          </w:p>
        </w:tc>
      </w:tr>
    </w:tbl>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3.3.1面料的成分和含量：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面料的成分和含量详见原材料基本规定，并符合FZ/T 01053的要求。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3.3.2接缝强力：</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成品接缝强力：后袖缝和后裆缝不小于140N/（5.0cm×10cm），其它部位不小于100N/（5.0cm×10cm）。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3.3.3纰裂：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主要部位缝子纰裂程度要求≤0.6cm。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7"/>
          <w:sz w:val="24"/>
          <w:highlight w:val="none"/>
        </w:rPr>
        <w:t xml:space="preserve">3.4</w:t>
      </w:r>
      <w:r>
        <w:rPr>
          <w:rFonts w:hint="eastAsia" w:ascii="宋体" w:hAnsi="宋体" w:cs="宋体"/>
          <w:sz w:val="24"/>
          <w:highlight w:val="none"/>
        </w:rPr>
        <w:t xml:space="preserve">外观质量要求：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7"/>
          <w:sz w:val="24"/>
          <w:highlight w:val="none"/>
        </w:rPr>
        <w:t xml:space="preserve">3.4.1</w:t>
      </w:r>
      <w:r>
        <w:rPr>
          <w:rFonts w:hint="eastAsia" w:ascii="宋体" w:hAnsi="宋体" w:cs="宋体"/>
          <w:sz w:val="24"/>
          <w:highlight w:val="none"/>
        </w:rPr>
        <w:t xml:space="preserve">疵点允许存在程度规定：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成品各部位的疵点均不允许存在严重疵点。任何大小的破损,断经、断纬，以及超过重度外观疵点范围的疵点，均不允许在任何裁片使用；每个独立部位只允许疵点一处不超过0.5cm。未列入本部分的疵点按其形态， 参照以上相似疵点执行。</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7"/>
          <w:sz w:val="24"/>
          <w:highlight w:val="none"/>
        </w:rPr>
        <w:t xml:space="preserve">3.4.2</w:t>
      </w:r>
      <w:r>
        <w:rPr>
          <w:rFonts w:hint="eastAsia" w:ascii="宋体" w:hAnsi="宋体" w:cs="宋体"/>
          <w:sz w:val="24"/>
          <w:highlight w:val="none"/>
        </w:rPr>
        <w:t xml:space="preserve">色差规定色差允许程度：</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领面、过肩、贴袋、门襟、袖头面与大身的色差≥4～5级，之间色差不超过半级。上装与下装的色差≥4～5级，之间色差不超过半级。</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7"/>
          <w:sz w:val="24"/>
          <w:highlight w:val="none"/>
        </w:rPr>
        <w:t xml:space="preserve">3.4.3</w:t>
      </w:r>
      <w:r>
        <w:rPr>
          <w:rFonts w:hint="eastAsia" w:ascii="宋体" w:hAnsi="宋体" w:cs="宋体"/>
          <w:sz w:val="24"/>
          <w:highlight w:val="none"/>
        </w:rPr>
        <w:t xml:space="preserve">缝制要求：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（1）针距密度要求，14～18针/3cm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（2）各部位缝制平服，线路顺直、整齐、牢固，针迹均匀，上下线松紧要适宜，起止针处及袋口应回针缉牢。</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（3）各部位外露缝份应折光边。</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（4）各部位缝份不小于 0.8cm。</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（5）各部位30cm内不得有两处单跳针或连续跳针，不得脱线，明线不允许接线，链式线迹不允许跳。</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7"/>
          <w:sz w:val="24"/>
          <w:highlight w:val="none"/>
        </w:rPr>
        <w:t xml:space="preserve">3.4.4</w:t>
      </w:r>
      <w:r>
        <w:rPr>
          <w:rFonts w:hint="eastAsia" w:ascii="宋体" w:hAnsi="宋体" w:cs="宋体"/>
          <w:sz w:val="24"/>
          <w:highlight w:val="none"/>
        </w:rPr>
        <w:t xml:space="preserve">整烫及外观质量规定：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（1）各部位要熨烫平服、干燥。领子需定型整烫，挺括。无变色、无烫黄，水渍及亮光。</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（2）覆粘衬部位不允许有脱胶、渗透及起皱。</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3.4.5帽子要求：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帽子与服装采用拉链式连接（可拆卸）。</w:t>
      </w:r>
      <w:r>
        <w:rPr>
          <w:rFonts w:hint="eastAsia" w:ascii="宋体" w:hAnsi="宋体" w:cs="宋体"/>
          <w:sz w:val="24"/>
          <w:highlight w:val="none"/>
        </w:rPr>
      </w:r>
      <w:r/>
    </w:p>
    <w:p>
      <w:pPr>
        <w:pStyle w:val="919"/>
        <w:jc w:val="center"/>
        <w:spacing w:line="360" w:lineRule="auto"/>
        <w:rPr>
          <w:rFonts w:hint="eastAsia" w:ascii="宋体" w:hAnsi="宋体" w:cs="宋体"/>
          <w:sz w:val="24"/>
          <w:highlight w:val="none"/>
        </w:rPr>
      </w:pPr>
      <w:r>
        <w:rPr>
          <w:rFonts w:hint="eastAsia" w:ascii="宋体" w:hAnsi="宋体" w:cs="宋体"/>
          <w:sz w:val="24"/>
          <w:highlight w:val="none"/>
        </w:rPr>
        <w:t xml:space="preserve">冲锋衣防寒服 （冬季劳保服）效果图（仅供参考）【须配帽子】</w:t>
      </w:r>
      <w:r>
        <w:rPr>
          <w:rFonts w:hint="eastAsia" w:ascii="宋体" w:hAnsi="宋体" w:cs="宋体"/>
          <w:sz w:val="24"/>
          <w:highlight w:val="none"/>
        </w:rPr>
      </w:r>
      <w:r/>
    </w:p>
    <w:p>
      <w:pPr>
        <w:pStyle w:val="942"/>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103755" cy="286448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2103755" cy="2864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65.7pt;height:225.5pt;mso-wrap-distance-left:0.0pt;mso-wrap-distance-top:0.0pt;mso-wrap-distance-right:0.0pt;mso-wrap-distance-bottom:0.0pt;" stroked="f">
                <v:path textboxrect="0,0,0,0"/>
                <v:imagedata r:id="rId34"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136140" cy="286702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2136140" cy="286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68.2pt;height:225.8pt;mso-wrap-distance-left:0.0pt;mso-wrap-distance-top:0.0pt;mso-wrap-distance-right:0.0pt;mso-wrap-distance-bottom:0.0pt;" stroked="f">
                <v:path textboxrect="0,0,0,0"/>
                <v:imagedata r:id="rId35" o:title=""/>
              </v:shape>
            </w:pict>
          </mc:Fallback>
        </mc:AlternateConten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r>
      <w:r/>
    </w:p>
    <w:p>
      <w:pPr>
        <w:pStyle w:val="942"/>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172335" cy="308165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2172335" cy="3081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71.0pt;height:242.6pt;mso-wrap-distance-left:0.0pt;mso-wrap-distance-top:0.0pt;mso-wrap-distance-right:0.0pt;mso-wrap-distance-bottom:0.0pt;" stroked="f">
                <v:path textboxrect="0,0,0,0"/>
                <v:imagedata r:id="rId36"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161540" cy="308673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2161540" cy="3086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70.2pt;height:243.0pt;mso-wrap-distance-left:0.0pt;mso-wrap-distance-top:0.0pt;mso-wrap-distance-right:0.0pt;mso-wrap-distance-bottom:0.0pt;" stroked="f">
                <v:path textboxrect="0,0,0,0"/>
                <v:imagedata r:id="rId37" o:title=""/>
              </v:shape>
            </w:pict>
          </mc:Fallback>
        </mc:AlternateContent>
      </w:r>
      <w:r>
        <w:rPr>
          <w:rFonts w:hint="eastAsia" w:ascii="宋体" w:hAnsi="宋体" w:cs="宋体"/>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t xml:space="preserve">4、连帽连体劳保服（春秋季连体劳保服）</w:t>
      </w:r>
      <w:r>
        <w:rPr>
          <w:rFonts w:hint="eastAsia" w:ascii="宋体" w:hAnsi="宋体" w:cs="宋体"/>
          <w:b/>
          <w:bCs/>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4.1原材料基本规定：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成分：98%棉+2%导电纤维+后整理阻燃。</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纱支：32/2*32/2</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密度：98*50</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颜色：潘通色号 艳兰15-4305TCX   浅灰19-3952TCX</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4.2防静性能要求</w:t>
      </w:r>
      <w:r>
        <w:rPr>
          <w:rFonts w:hint="eastAsia" w:ascii="宋体" w:hAnsi="宋体" w:cs="宋体"/>
          <w:sz w:val="24"/>
          <w:highlight w:val="none"/>
        </w:rPr>
      </w:r>
      <w:r/>
    </w:p>
    <w:p>
      <w:pPr>
        <w:pStyle w:val="919"/>
        <w:ind w:firstLine="480"/>
        <w:spacing w:line="360" w:lineRule="auto"/>
        <w:rPr>
          <w:rFonts w:hint="eastAsia" w:ascii="宋体" w:hAnsi="宋体" w:cs="宋体"/>
          <w:spacing w:val="7"/>
          <w:sz w:val="24"/>
          <w:highlight w:val="none"/>
        </w:rPr>
      </w:pPr>
      <w:r>
        <w:rPr>
          <w:rFonts w:hint="eastAsia" w:ascii="宋体" w:hAnsi="宋体" w:cs="宋体"/>
          <w:sz w:val="24"/>
          <w:highlight w:val="none"/>
        </w:rPr>
        <w:t xml:space="preserve">防静电性能符合 GB12014—2019 标准规定测试，见表7。</w:t>
      </w:r>
      <w:r>
        <w:rPr>
          <w:rFonts w:hint="eastAsia" w:ascii="宋体" w:hAnsi="宋体" w:cs="宋体"/>
          <w:spacing w:val="7"/>
          <w:sz w:val="24"/>
          <w:highlight w:val="none"/>
        </w:rPr>
      </w:r>
      <w:r/>
    </w:p>
    <w:p>
      <w:pPr>
        <w:pStyle w:val="919"/>
        <w:jc w:val="center"/>
        <w:spacing w:before="161" w:line="360" w:lineRule="auto"/>
        <w:rPr>
          <w:rFonts w:hint="eastAsia" w:ascii="宋体" w:hAnsi="宋体" w:cs="宋体"/>
          <w:sz w:val="24"/>
          <w:highlight w:val="none"/>
        </w:rPr>
      </w:pPr>
      <w:r>
        <w:rPr>
          <w:rFonts w:hint="eastAsia" w:ascii="宋体" w:hAnsi="宋体" w:cs="宋体"/>
          <w:spacing w:val="6"/>
          <w:sz w:val="24"/>
          <w:highlight w:val="none"/>
        </w:rPr>
        <w:t xml:space="preserve">表7</w:t>
      </w:r>
      <w:r>
        <w:rPr>
          <w:rFonts w:hint="eastAsia" w:ascii="宋体" w:hAnsi="宋体" w:cs="宋体"/>
          <w:sz w:val="24"/>
          <w:highlight w:val="none"/>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217"/>
        <w:gridCol w:w="2106"/>
        <w:gridCol w:w="5425"/>
      </w:tblGrid>
      <w:tr>
        <w:trPr>
          <w:trHeight w:val="313"/>
        </w:trPr>
        <w:tc>
          <w:tcPr>
            <w:tcW w:w="1137" w:type="dxa"/>
            <w:vAlign w:val="center"/>
            <w:textDirection w:val="lrTb"/>
            <w:noWrap w:val="false"/>
          </w:tcPr>
          <w:p>
            <w:pPr>
              <w:pStyle w:val="1124"/>
              <w:ind w:left="774"/>
              <w:jc w:val="center"/>
              <w:spacing w:before="50" w:line="360" w:lineRule="auto"/>
              <w:rPr>
                <w:rFonts w:hint="eastAsia"/>
                <w:sz w:val="24"/>
                <w:szCs w:val="24"/>
                <w:highlight w:val="none"/>
              </w:rPr>
            </w:pPr>
            <w:r>
              <w:rPr>
                <w:rFonts w:hint="eastAsia"/>
                <w:spacing w:val="-5"/>
                <w:sz w:val="24"/>
                <w:szCs w:val="24"/>
                <w:highlight w:val="none"/>
              </w:rPr>
              <w:t xml:space="preserve">项 目</w:t>
            </w:r>
            <w:r>
              <w:rPr>
                <w:rFonts w:hint="eastAsia"/>
                <w:sz w:val="24"/>
                <w:szCs w:val="24"/>
                <w:highlight w:val="none"/>
              </w:rPr>
            </w:r>
            <w:r/>
          </w:p>
        </w:tc>
        <w:tc>
          <w:tcPr>
            <w:tcW w:w="1080"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B</w:t>
            </w:r>
            <w:r>
              <w:rPr>
                <w:rFonts w:hint="eastAsia"/>
                <w:spacing w:val="10"/>
                <w:sz w:val="24"/>
                <w:szCs w:val="24"/>
                <w:highlight w:val="none"/>
              </w:rPr>
              <w:t xml:space="preserve"> </w:t>
            </w:r>
            <w:r>
              <w:rPr>
                <w:rFonts w:hint="eastAsia"/>
                <w:spacing w:val="-2"/>
                <w:sz w:val="24"/>
                <w:szCs w:val="24"/>
                <w:highlight w:val="none"/>
              </w:rPr>
              <w:t xml:space="preserve">级</w:t>
            </w:r>
            <w:r>
              <w:rPr>
                <w:rFonts w:hint="eastAsia"/>
                <w:sz w:val="24"/>
                <w:szCs w:val="24"/>
                <w:highlight w:val="none"/>
              </w:rPr>
            </w:r>
            <w:r/>
          </w:p>
        </w:tc>
        <w:tc>
          <w:tcPr>
            <w:tcW w:w="2782" w:type="dxa"/>
            <w:vAlign w:val="center"/>
            <w:textDirection w:val="lrTb"/>
            <w:noWrap w:val="false"/>
          </w:tcPr>
          <w:p>
            <w:pPr>
              <w:pStyle w:val="1124"/>
              <w:jc w:val="center"/>
              <w:spacing w:before="50" w:line="360" w:lineRule="auto"/>
              <w:rPr>
                <w:rFonts w:hint="eastAsia"/>
                <w:sz w:val="24"/>
                <w:szCs w:val="24"/>
                <w:highlight w:val="none"/>
              </w:rPr>
            </w:pPr>
            <w:r>
              <w:rPr>
                <w:rFonts w:hint="eastAsia"/>
                <w:spacing w:val="-2"/>
                <w:sz w:val="24"/>
                <w:szCs w:val="24"/>
                <w:highlight w:val="none"/>
              </w:rPr>
              <w:t xml:space="preserve">测试方法</w:t>
            </w:r>
            <w:r>
              <w:rPr>
                <w:rFonts w:hint="eastAsia"/>
                <w:sz w:val="24"/>
                <w:szCs w:val="24"/>
                <w:highlight w:val="none"/>
              </w:rPr>
            </w:r>
            <w:r/>
          </w:p>
        </w:tc>
      </w:tr>
      <w:tr>
        <w:trPr>
          <w:trHeight w:val="307"/>
        </w:trPr>
        <w:tc>
          <w:tcPr>
            <w:tcW w:w="1137" w:type="dxa"/>
            <w:vAlign w:val="center"/>
            <w:textDirection w:val="lrTb"/>
            <w:noWrap w:val="false"/>
          </w:tcPr>
          <w:p>
            <w:pPr>
              <w:pStyle w:val="1124"/>
              <w:jc w:val="center"/>
              <w:spacing w:before="46" w:line="360" w:lineRule="auto"/>
              <w:rPr>
                <w:rFonts w:hint="eastAsia"/>
                <w:sz w:val="24"/>
                <w:szCs w:val="24"/>
                <w:highlight w:val="none"/>
              </w:rPr>
            </w:pPr>
            <w:r>
              <w:rPr>
                <w:rFonts w:hint="eastAsia"/>
                <w:spacing w:val="-3"/>
                <w:sz w:val="24"/>
                <w:szCs w:val="24"/>
                <w:highlight w:val="none"/>
              </w:rPr>
              <w:t xml:space="preserve">点对点电阻Ω</w:t>
            </w:r>
            <w:r>
              <w:rPr>
                <w:rFonts w:hint="eastAsia"/>
                <w:sz w:val="24"/>
                <w:szCs w:val="24"/>
                <w:highlight w:val="none"/>
              </w:rPr>
            </w:r>
            <w:r/>
          </w:p>
        </w:tc>
        <w:tc>
          <w:tcPr>
            <w:tcW w:w="1080" w:type="dxa"/>
            <w:vAlign w:val="center"/>
            <w:textDirection w:val="lrTb"/>
            <w:noWrap w:val="false"/>
          </w:tcPr>
          <w:p>
            <w:pPr>
              <w:pStyle w:val="1124"/>
              <w:jc w:val="center"/>
              <w:spacing w:before="46" w:line="360" w:lineRule="auto"/>
              <w:rPr>
                <w:rFonts w:hint="eastAsia"/>
                <w:sz w:val="24"/>
                <w:szCs w:val="24"/>
                <w:highlight w:val="none"/>
              </w:rPr>
            </w:pPr>
            <w:r>
              <w:rPr>
                <w:rFonts w:hint="eastAsia"/>
                <w:spacing w:val="-11"/>
                <w:sz w:val="24"/>
                <w:szCs w:val="24"/>
                <w:highlight w:val="none"/>
              </w:rPr>
              <w:t xml:space="preserve">1×</w:t>
            </w:r>
            <w:r>
              <w:rPr>
                <w:rFonts w:hint="eastAsia"/>
                <w:spacing w:val="-24"/>
                <w:sz w:val="24"/>
                <w:szCs w:val="24"/>
                <w:highlight w:val="none"/>
              </w:rPr>
              <w:t xml:space="preserve"> </w:t>
            </w:r>
            <w:r>
              <w:rPr>
                <w:rFonts w:hint="eastAsia"/>
                <w:spacing w:val="-11"/>
                <w:sz w:val="24"/>
                <w:szCs w:val="24"/>
                <w:highlight w:val="none"/>
              </w:rPr>
              <w:t xml:space="preserve">10</w:t>
            </w:r>
            <w:r>
              <w:rPr>
                <w:rFonts w:hint="eastAsia"/>
                <w:spacing w:val="-1"/>
                <w:position w:val="8"/>
                <w:sz w:val="24"/>
                <w:szCs w:val="24"/>
                <w:highlight w:val="none"/>
              </w:rPr>
              <w:t xml:space="preserve">7</w:t>
            </w:r>
            <w:r>
              <w:rPr>
                <w:rFonts w:hint="eastAsia"/>
                <w:spacing w:val="-1"/>
                <w:sz w:val="24"/>
                <w:szCs w:val="24"/>
                <w:highlight w:val="none"/>
              </w:rPr>
              <w:t xml:space="preserve">～1×</w:t>
            </w:r>
            <w:r>
              <w:rPr>
                <w:rFonts w:hint="eastAsia"/>
                <w:spacing w:val="-22"/>
                <w:sz w:val="24"/>
                <w:szCs w:val="24"/>
                <w:highlight w:val="none"/>
              </w:rPr>
              <w:t xml:space="preserve"> </w:t>
            </w:r>
            <w:r>
              <w:rPr>
                <w:rFonts w:hint="eastAsia"/>
                <w:spacing w:val="-1"/>
                <w:sz w:val="24"/>
                <w:szCs w:val="24"/>
                <w:highlight w:val="none"/>
              </w:rPr>
              <w:t xml:space="preserve">10</w:t>
            </w:r>
            <w:r>
              <w:rPr>
                <w:rFonts w:hint="eastAsia"/>
                <w:spacing w:val="-1"/>
                <w:position w:val="8"/>
                <w:sz w:val="24"/>
                <w:szCs w:val="24"/>
                <w:highlight w:val="none"/>
              </w:rPr>
              <w:t xml:space="preserve">11</w:t>
            </w:r>
            <w:r>
              <w:rPr>
                <w:rFonts w:hint="eastAsia"/>
                <w:sz w:val="24"/>
                <w:szCs w:val="24"/>
                <w:highlight w:val="none"/>
              </w:rPr>
            </w:r>
            <w:r/>
          </w:p>
        </w:tc>
        <w:tc>
          <w:tcPr>
            <w:tcW w:w="2782" w:type="dxa"/>
            <w:vAlign w:val="center"/>
            <w:textDirection w:val="lrTb"/>
            <w:noWrap w:val="false"/>
          </w:tcPr>
          <w:p>
            <w:pPr>
              <w:pStyle w:val="1124"/>
              <w:jc w:val="center"/>
              <w:spacing w:before="47" w:line="360" w:lineRule="auto"/>
              <w:rPr>
                <w:rFonts w:hint="eastAsia"/>
                <w:sz w:val="24"/>
                <w:szCs w:val="24"/>
                <w:highlight w:val="none"/>
              </w:rPr>
            </w:pPr>
            <w:r>
              <w:rPr>
                <w:rFonts w:hint="eastAsia"/>
                <w:spacing w:val="-4"/>
                <w:sz w:val="24"/>
                <w:szCs w:val="24"/>
                <w:highlight w:val="none"/>
              </w:rPr>
              <w:t xml:space="preserve">详见</w:t>
            </w:r>
            <w:r>
              <w:rPr>
                <w:rFonts w:hint="eastAsia"/>
                <w:spacing w:val="-26"/>
                <w:sz w:val="24"/>
                <w:szCs w:val="24"/>
                <w:highlight w:val="none"/>
              </w:rPr>
              <w:t xml:space="preserve"> </w:t>
            </w:r>
            <w:r>
              <w:rPr>
                <w:rFonts w:hint="eastAsia"/>
                <w:spacing w:val="-4"/>
                <w:sz w:val="24"/>
                <w:szCs w:val="24"/>
                <w:highlight w:val="none"/>
              </w:rPr>
              <w:t xml:space="preserve">GB</w:t>
            </w:r>
            <w:r>
              <w:rPr>
                <w:rFonts w:hint="eastAsia"/>
                <w:spacing w:val="22"/>
                <w:sz w:val="24"/>
                <w:szCs w:val="24"/>
                <w:highlight w:val="none"/>
              </w:rPr>
              <w:t xml:space="preserve"> </w:t>
            </w:r>
            <w:r>
              <w:rPr>
                <w:rFonts w:hint="eastAsia"/>
                <w:spacing w:val="-4"/>
                <w:sz w:val="24"/>
                <w:szCs w:val="24"/>
                <w:highlight w:val="none"/>
              </w:rPr>
              <w:t xml:space="preserve">12014—2019</w:t>
            </w:r>
            <w:r>
              <w:rPr>
                <w:rFonts w:hint="eastAsia"/>
                <w:spacing w:val="20"/>
                <w:sz w:val="24"/>
                <w:szCs w:val="24"/>
                <w:highlight w:val="none"/>
              </w:rPr>
              <w:t xml:space="preserve"> </w:t>
            </w:r>
            <w:r>
              <w:rPr>
                <w:rFonts w:hint="eastAsia"/>
                <w:spacing w:val="-4"/>
                <w:sz w:val="24"/>
                <w:szCs w:val="24"/>
                <w:highlight w:val="none"/>
              </w:rPr>
              <w:t xml:space="preserve">中附录</w:t>
            </w:r>
            <w:r>
              <w:rPr>
                <w:rFonts w:hint="eastAsia"/>
                <w:spacing w:val="-43"/>
                <w:sz w:val="24"/>
                <w:szCs w:val="24"/>
                <w:highlight w:val="none"/>
              </w:rPr>
              <w:t xml:space="preserve"> </w:t>
            </w:r>
            <w:r>
              <w:rPr>
                <w:rFonts w:hint="eastAsia"/>
                <w:spacing w:val="-4"/>
                <w:sz w:val="24"/>
                <w:szCs w:val="24"/>
                <w:highlight w:val="none"/>
              </w:rPr>
              <w:t xml:space="preserve">A</w:t>
            </w:r>
            <w:r>
              <w:rPr>
                <w:rFonts w:hint="eastAsia"/>
                <w:sz w:val="24"/>
                <w:szCs w:val="24"/>
                <w:highlight w:val="none"/>
              </w:rPr>
            </w:r>
            <w:r/>
          </w:p>
        </w:tc>
      </w:tr>
      <w:tr>
        <w:trPr>
          <w:trHeight w:val="313"/>
        </w:trPr>
        <w:tc>
          <w:tcPr>
            <w:tcW w:w="1137" w:type="dxa"/>
            <w:vAlign w:val="center"/>
            <w:textDirection w:val="lrTb"/>
            <w:noWrap w:val="false"/>
          </w:tcPr>
          <w:p>
            <w:pPr>
              <w:pStyle w:val="1124"/>
              <w:jc w:val="center"/>
              <w:spacing w:before="22" w:line="360" w:lineRule="auto"/>
              <w:rPr>
                <w:rFonts w:hint="eastAsia"/>
                <w:sz w:val="24"/>
                <w:szCs w:val="24"/>
                <w:highlight w:val="none"/>
              </w:rPr>
            </w:pPr>
            <w:r>
              <w:rPr>
                <w:rFonts w:hint="eastAsia"/>
                <w:spacing w:val="-2"/>
                <w:position w:val="2"/>
                <w:sz w:val="24"/>
                <w:szCs w:val="24"/>
                <w:highlight w:val="none"/>
              </w:rPr>
              <w:t xml:space="preserve">带电电荷量μC/件</w:t>
            </w:r>
            <w:r>
              <w:rPr>
                <w:rFonts w:hint="eastAsia"/>
                <w:sz w:val="24"/>
                <w:szCs w:val="24"/>
                <w:highlight w:val="none"/>
              </w:rPr>
            </w:r>
            <w:r/>
          </w:p>
        </w:tc>
        <w:tc>
          <w:tcPr>
            <w:tcW w:w="1080" w:type="dxa"/>
            <w:vAlign w:val="center"/>
            <w:textDirection w:val="lrTb"/>
            <w:noWrap w:val="false"/>
          </w:tcPr>
          <w:p>
            <w:pPr>
              <w:pStyle w:val="1124"/>
              <w:ind w:left="734"/>
              <w:jc w:val="center"/>
              <w:spacing w:before="49" w:line="360" w:lineRule="auto"/>
              <w:rPr>
                <w:rFonts w:hint="eastAsia"/>
                <w:sz w:val="24"/>
                <w:szCs w:val="24"/>
                <w:highlight w:val="none"/>
              </w:rPr>
            </w:pPr>
            <w:r>
              <w:rPr>
                <w:rFonts w:hint="eastAsia"/>
                <w:spacing w:val="-5"/>
                <w:sz w:val="24"/>
                <w:szCs w:val="24"/>
                <w:highlight w:val="none"/>
              </w:rPr>
              <w:t xml:space="preserve">＜0.6</w:t>
            </w:r>
            <w:r>
              <w:rPr>
                <w:rFonts w:hint="eastAsia"/>
                <w:sz w:val="24"/>
                <w:szCs w:val="24"/>
                <w:highlight w:val="none"/>
              </w:rPr>
            </w:r>
            <w:r/>
          </w:p>
        </w:tc>
        <w:tc>
          <w:tcPr>
            <w:tcW w:w="2782" w:type="dxa"/>
            <w:vAlign w:val="center"/>
            <w:textDirection w:val="lrTb"/>
            <w:noWrap w:val="false"/>
          </w:tcPr>
          <w:p>
            <w:pPr>
              <w:pStyle w:val="1124"/>
              <w:jc w:val="center"/>
              <w:spacing w:before="49" w:line="360" w:lineRule="auto"/>
              <w:rPr>
                <w:rFonts w:hint="eastAsia"/>
                <w:sz w:val="24"/>
                <w:szCs w:val="24"/>
                <w:highlight w:val="none"/>
              </w:rPr>
            </w:pPr>
            <w:r>
              <w:rPr>
                <w:rFonts w:hint="eastAsia"/>
                <w:spacing w:val="-4"/>
                <w:sz w:val="24"/>
                <w:szCs w:val="24"/>
                <w:highlight w:val="none"/>
              </w:rPr>
              <w:t xml:space="preserve">详见</w:t>
            </w:r>
            <w:r>
              <w:rPr>
                <w:rFonts w:hint="eastAsia"/>
                <w:spacing w:val="-29"/>
                <w:sz w:val="24"/>
                <w:szCs w:val="24"/>
                <w:highlight w:val="none"/>
              </w:rPr>
              <w:t xml:space="preserve"> </w:t>
            </w:r>
            <w:r>
              <w:rPr>
                <w:rFonts w:hint="eastAsia"/>
                <w:spacing w:val="-4"/>
                <w:sz w:val="24"/>
                <w:szCs w:val="24"/>
                <w:highlight w:val="none"/>
              </w:rPr>
              <w:t xml:space="preserve">GB</w:t>
            </w:r>
            <w:r>
              <w:rPr>
                <w:rFonts w:hint="eastAsia"/>
                <w:spacing w:val="22"/>
                <w:sz w:val="24"/>
                <w:szCs w:val="24"/>
                <w:highlight w:val="none"/>
              </w:rPr>
              <w:t xml:space="preserve"> </w:t>
            </w:r>
            <w:r>
              <w:rPr>
                <w:rFonts w:hint="eastAsia"/>
                <w:spacing w:val="-4"/>
                <w:sz w:val="24"/>
                <w:szCs w:val="24"/>
                <w:highlight w:val="none"/>
              </w:rPr>
              <w:t xml:space="preserve">12014—2019</w:t>
            </w:r>
            <w:r>
              <w:rPr>
                <w:rFonts w:hint="eastAsia"/>
                <w:spacing w:val="23"/>
                <w:sz w:val="24"/>
                <w:szCs w:val="24"/>
                <w:highlight w:val="none"/>
              </w:rPr>
              <w:t xml:space="preserve"> </w:t>
            </w:r>
            <w:r>
              <w:rPr>
                <w:rFonts w:hint="eastAsia"/>
                <w:spacing w:val="-4"/>
                <w:sz w:val="24"/>
                <w:szCs w:val="24"/>
                <w:highlight w:val="none"/>
              </w:rPr>
              <w:t xml:space="preserve">中附录</w:t>
            </w:r>
            <w:r>
              <w:rPr>
                <w:rFonts w:hint="eastAsia"/>
                <w:spacing w:val="-42"/>
                <w:sz w:val="24"/>
                <w:szCs w:val="24"/>
                <w:highlight w:val="none"/>
              </w:rPr>
              <w:t xml:space="preserve"> </w:t>
            </w:r>
            <w:r>
              <w:rPr>
                <w:rFonts w:hint="eastAsia"/>
                <w:spacing w:val="-4"/>
                <w:sz w:val="24"/>
                <w:szCs w:val="24"/>
                <w:highlight w:val="none"/>
              </w:rPr>
              <w:t xml:space="preserve">B</w:t>
            </w:r>
            <w:r>
              <w:rPr>
                <w:rFonts w:hint="eastAsia"/>
                <w:sz w:val="24"/>
                <w:szCs w:val="24"/>
                <w:highlight w:val="none"/>
              </w:rPr>
            </w:r>
            <w:r/>
          </w:p>
        </w:tc>
      </w:tr>
    </w:tbl>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4.3基本安全技术要求</w:t>
      </w:r>
      <w:r>
        <w:rPr>
          <w:rFonts w:hint="eastAsia" w:ascii="宋体" w:hAnsi="宋体" w:cs="宋体"/>
          <w:sz w:val="24"/>
          <w:highlight w:val="none"/>
        </w:rPr>
      </w:r>
      <w:r/>
    </w:p>
    <w:p>
      <w:pPr>
        <w:pStyle w:val="919"/>
        <w:ind w:left="3776"/>
        <w:spacing w:before="69" w:line="360" w:lineRule="auto"/>
        <w:rPr>
          <w:rFonts w:hint="eastAsia" w:ascii="宋体" w:hAnsi="宋体" w:cs="宋体"/>
          <w:sz w:val="24"/>
          <w:highlight w:val="none"/>
        </w:rPr>
      </w:pPr>
      <w:r>
        <w:rPr>
          <w:rFonts w:hint="eastAsia" w:ascii="宋体" w:hAnsi="宋体" w:cs="宋体"/>
          <w:spacing w:val="6"/>
          <w:sz w:val="24"/>
          <w:highlight w:val="none"/>
        </w:rPr>
        <w:t xml:space="preserve">表8    基本安全技术要求</w:t>
      </w:r>
      <w:r>
        <w:rPr>
          <w:rFonts w:hint="eastAsia" w:ascii="宋体" w:hAnsi="宋体" w:cs="宋体"/>
          <w:sz w:val="24"/>
          <w:highlight w:val="none"/>
        </w:rPr>
      </w:r>
      <w:r/>
    </w:p>
    <w:tbl>
      <w:tblPr>
        <w:tblW w:w="4776"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187"/>
        <w:gridCol w:w="5128"/>
      </w:tblGrid>
      <w:tr>
        <w:trPr>
          <w:trHeight w:val="314"/>
        </w:trPr>
        <w:tc>
          <w:tcPr>
            <w:tcW w:w="2247" w:type="dxa"/>
            <w:vAlign w:val="top"/>
            <w:textDirection w:val="lrTb"/>
            <w:noWrap w:val="false"/>
          </w:tcPr>
          <w:p>
            <w:pPr>
              <w:pStyle w:val="1124"/>
              <w:ind w:left="1184"/>
              <w:spacing w:before="68" w:line="360" w:lineRule="auto"/>
              <w:rPr>
                <w:rFonts w:hint="eastAsia"/>
                <w:sz w:val="24"/>
                <w:szCs w:val="24"/>
                <w:highlight w:val="none"/>
              </w:rPr>
            </w:pPr>
            <w:r>
              <w:rPr>
                <w:rFonts w:hint="eastAsia"/>
                <w:spacing w:val="-2"/>
                <w:sz w:val="24"/>
                <w:szCs w:val="24"/>
                <w:highlight w:val="none"/>
              </w:rPr>
              <w:t xml:space="preserve">基本理化性能</w:t>
            </w:r>
            <w:r>
              <w:rPr>
                <w:rFonts w:hint="eastAsia"/>
                <w:sz w:val="24"/>
                <w:szCs w:val="24"/>
                <w:highlight w:val="none"/>
              </w:rPr>
            </w:r>
            <w:r/>
          </w:p>
        </w:tc>
        <w:tc>
          <w:tcPr>
            <w:tcW w:w="2752" w:type="dxa"/>
            <w:vAlign w:val="top"/>
            <w:textDirection w:val="lrTb"/>
            <w:noWrap w:val="false"/>
          </w:tcPr>
          <w:p>
            <w:pPr>
              <w:pStyle w:val="1124"/>
              <w:ind w:left="1487" w:hanging="9"/>
              <w:spacing w:before="68" w:line="360" w:lineRule="auto"/>
              <w:rPr>
                <w:rFonts w:hint="eastAsia"/>
                <w:sz w:val="24"/>
                <w:szCs w:val="24"/>
                <w:highlight w:val="none"/>
              </w:rPr>
            </w:pPr>
            <w:r>
              <w:rPr>
                <w:rFonts w:hint="eastAsia"/>
                <w:spacing w:val="-2"/>
                <w:sz w:val="24"/>
                <w:szCs w:val="24"/>
                <w:highlight w:val="none"/>
              </w:rPr>
              <w:t xml:space="preserve">技术要求</w:t>
            </w:r>
            <w:r>
              <w:rPr>
                <w:rFonts w:hint="eastAsia"/>
                <w:sz w:val="24"/>
                <w:szCs w:val="24"/>
                <w:highlight w:val="none"/>
              </w:rPr>
            </w:r>
            <w:r/>
          </w:p>
        </w:tc>
      </w:tr>
      <w:tr>
        <w:trPr>
          <w:trHeight w:val="309"/>
        </w:trPr>
        <w:tc>
          <w:tcPr>
            <w:tcW w:w="2247" w:type="dxa"/>
            <w:vAlign w:val="top"/>
            <w:textDirection w:val="lrTb"/>
            <w:noWrap w:val="false"/>
          </w:tcPr>
          <w:p>
            <w:pPr>
              <w:pStyle w:val="1124"/>
              <w:ind w:left="1073"/>
              <w:spacing w:before="36" w:line="360" w:lineRule="auto"/>
              <w:rPr>
                <w:rFonts w:hint="eastAsia"/>
                <w:sz w:val="24"/>
                <w:szCs w:val="24"/>
                <w:highlight w:val="none"/>
              </w:rPr>
            </w:pPr>
            <w:r>
              <w:rPr>
                <w:rFonts w:hint="eastAsia"/>
                <w:spacing w:val="-3"/>
                <w:position w:val="2"/>
                <w:sz w:val="24"/>
                <w:szCs w:val="24"/>
                <w:highlight w:val="none"/>
              </w:rPr>
              <w:t xml:space="preserve">甲醛含量/(mg/kg)</w:t>
            </w:r>
            <w:r>
              <w:rPr>
                <w:rFonts w:hint="eastAsia"/>
                <w:sz w:val="24"/>
                <w:szCs w:val="24"/>
                <w:highlight w:val="none"/>
              </w:rPr>
            </w:r>
            <w:r/>
          </w:p>
        </w:tc>
        <w:tc>
          <w:tcPr>
            <w:tcW w:w="2752" w:type="dxa"/>
            <w:vAlign w:val="top"/>
            <w:textDirection w:val="lrTb"/>
            <w:noWrap w:val="false"/>
          </w:tcPr>
          <w:p>
            <w:pPr>
              <w:pStyle w:val="1124"/>
              <w:ind w:left="1487" w:hanging="9"/>
              <w:spacing w:before="63" w:line="360" w:lineRule="auto"/>
              <w:rPr>
                <w:rFonts w:hint="eastAsia"/>
                <w:sz w:val="24"/>
                <w:szCs w:val="24"/>
                <w:highlight w:val="none"/>
              </w:rPr>
            </w:pPr>
            <w:r>
              <w:rPr>
                <w:rFonts w:hint="eastAsia"/>
                <w:spacing w:val="-1"/>
                <w:sz w:val="24"/>
                <w:szCs w:val="24"/>
                <w:highlight w:val="none"/>
              </w:rPr>
              <w:t xml:space="preserve">直接接触皮≤75</w:t>
            </w:r>
            <w:r>
              <w:rPr>
                <w:rFonts w:hint="eastAsia"/>
                <w:sz w:val="24"/>
                <w:szCs w:val="24"/>
                <w:highlight w:val="none"/>
              </w:rPr>
            </w:r>
            <w:r/>
          </w:p>
        </w:tc>
      </w:tr>
      <w:tr>
        <w:trPr>
          <w:trHeight w:val="309"/>
        </w:trPr>
        <w:tc>
          <w:tcPr>
            <w:tcW w:w="2247" w:type="dxa"/>
            <w:vAlign w:val="top"/>
            <w:textDirection w:val="lrTb"/>
            <w:noWrap w:val="false"/>
          </w:tcPr>
          <w:p>
            <w:pPr>
              <w:pStyle w:val="1124"/>
              <w:ind w:left="1492"/>
              <w:spacing w:before="63" w:line="360" w:lineRule="auto"/>
              <w:rPr>
                <w:rFonts w:hint="eastAsia"/>
                <w:sz w:val="24"/>
                <w:szCs w:val="24"/>
                <w:highlight w:val="none"/>
              </w:rPr>
            </w:pPr>
            <w:r>
              <w:rPr>
                <w:rFonts w:hint="eastAsia"/>
                <w:color w:val="c00000"/>
                <w:spacing w:val="-1"/>
                <w:sz w:val="24"/>
                <w:szCs w:val="24"/>
                <w:highlight w:val="none"/>
              </w:rPr>
              <w:t xml:space="preserve">pH值</w:t>
            </w:r>
            <w:r>
              <w:rPr>
                <w:rFonts w:hint="eastAsia"/>
                <w:sz w:val="24"/>
                <w:szCs w:val="24"/>
                <w:highlight w:val="none"/>
              </w:rPr>
            </w:r>
            <w:r/>
          </w:p>
        </w:tc>
        <w:tc>
          <w:tcPr>
            <w:tcW w:w="2752" w:type="dxa"/>
            <w:vAlign w:val="top"/>
            <w:textDirection w:val="lrTb"/>
            <w:noWrap w:val="false"/>
          </w:tcPr>
          <w:p>
            <w:pPr>
              <w:pStyle w:val="1124"/>
              <w:ind w:left="1487" w:hanging="9"/>
              <w:spacing w:before="64" w:line="360" w:lineRule="auto"/>
              <w:rPr>
                <w:rFonts w:hint="eastAsia"/>
                <w:sz w:val="24"/>
                <w:szCs w:val="24"/>
                <w:highlight w:val="none"/>
              </w:rPr>
            </w:pPr>
            <w:r>
              <w:rPr>
                <w:rFonts w:hint="eastAsia"/>
                <w:spacing w:val="-1"/>
                <w:sz w:val="24"/>
                <w:szCs w:val="24"/>
                <w:highlight w:val="none"/>
              </w:rPr>
              <w:t xml:space="preserve">4.0～9.0</w:t>
            </w:r>
            <w:r>
              <w:rPr>
                <w:rFonts w:hint="eastAsia"/>
                <w:sz w:val="24"/>
                <w:szCs w:val="24"/>
                <w:highlight w:val="none"/>
              </w:rPr>
            </w:r>
            <w:r/>
          </w:p>
        </w:tc>
      </w:tr>
      <w:tr>
        <w:trPr>
          <w:trHeight w:val="309"/>
        </w:trPr>
        <w:tc>
          <w:tcPr>
            <w:tcW w:w="2247" w:type="dxa"/>
            <w:vAlign w:val="top"/>
            <w:textDirection w:val="lrTb"/>
            <w:noWrap w:val="false"/>
          </w:tcPr>
          <w:p>
            <w:pPr>
              <w:pStyle w:val="1124"/>
              <w:ind w:left="1198"/>
              <w:spacing w:before="37" w:line="360" w:lineRule="auto"/>
              <w:rPr>
                <w:rFonts w:hint="eastAsia"/>
                <w:sz w:val="24"/>
                <w:szCs w:val="24"/>
                <w:highlight w:val="none"/>
              </w:rPr>
            </w:pPr>
            <w:r>
              <w:rPr>
                <w:rFonts w:hint="eastAsia"/>
                <w:spacing w:val="-2"/>
                <w:position w:val="1"/>
                <w:sz w:val="24"/>
                <w:szCs w:val="24"/>
                <w:highlight w:val="none"/>
              </w:rPr>
              <w:t xml:space="preserve">尺寸变化率%</w:t>
            </w:r>
            <w:r>
              <w:rPr>
                <w:rFonts w:hint="eastAsia"/>
                <w:sz w:val="24"/>
                <w:szCs w:val="24"/>
                <w:highlight w:val="none"/>
              </w:rPr>
            </w:r>
            <w:r/>
          </w:p>
        </w:tc>
        <w:tc>
          <w:tcPr>
            <w:tcW w:w="2752" w:type="dxa"/>
            <w:vAlign w:val="top"/>
            <w:textDirection w:val="lrTb"/>
            <w:noWrap w:val="false"/>
          </w:tcPr>
          <w:p>
            <w:pPr>
              <w:pStyle w:val="1124"/>
              <w:ind w:left="1487" w:hanging="9"/>
              <w:spacing w:before="37" w:line="360" w:lineRule="auto"/>
              <w:rPr>
                <w:rFonts w:hint="eastAsia"/>
                <w:sz w:val="24"/>
                <w:szCs w:val="24"/>
                <w:highlight w:val="none"/>
              </w:rPr>
            </w:pPr>
            <w:r>
              <w:rPr>
                <w:rFonts w:hint="eastAsia"/>
                <w:spacing w:val="-1"/>
                <w:position w:val="2"/>
                <w:sz w:val="24"/>
                <w:szCs w:val="24"/>
                <w:highlight w:val="none"/>
              </w:rPr>
              <w:t xml:space="preserve">-2.5～+2.5(经纬向)</w:t>
            </w:r>
            <w:r>
              <w:rPr>
                <w:rFonts w:hint="eastAsia"/>
                <w:sz w:val="24"/>
                <w:szCs w:val="24"/>
                <w:highlight w:val="none"/>
              </w:rPr>
            </w:r>
            <w:r/>
          </w:p>
        </w:tc>
      </w:tr>
      <w:tr>
        <w:trPr>
          <w:trHeight w:val="309"/>
        </w:trPr>
        <w:tc>
          <w:tcPr>
            <w:tcW w:w="2247" w:type="dxa"/>
            <w:vAlign w:val="top"/>
            <w:textDirection w:val="lrTb"/>
            <w:noWrap w:val="false"/>
          </w:tcPr>
          <w:p>
            <w:pPr>
              <w:pStyle w:val="1124"/>
              <w:ind w:left="1169"/>
              <w:spacing w:before="35" w:line="360" w:lineRule="auto"/>
              <w:rPr>
                <w:rFonts w:hint="eastAsia"/>
                <w:sz w:val="24"/>
                <w:szCs w:val="24"/>
                <w:highlight w:val="none"/>
              </w:rPr>
            </w:pPr>
            <w:r>
              <w:rPr>
                <w:rFonts w:hint="eastAsia"/>
                <w:spacing w:val="-1"/>
                <w:position w:val="2"/>
                <w:sz w:val="24"/>
                <w:szCs w:val="24"/>
                <w:highlight w:val="none"/>
              </w:rPr>
              <w:t xml:space="preserve">透气率/(mm/s)</w:t>
            </w:r>
            <w:r>
              <w:rPr>
                <w:rFonts w:hint="eastAsia"/>
                <w:sz w:val="24"/>
                <w:szCs w:val="24"/>
                <w:highlight w:val="none"/>
              </w:rPr>
            </w:r>
            <w:r/>
          </w:p>
        </w:tc>
        <w:tc>
          <w:tcPr>
            <w:tcW w:w="2752" w:type="dxa"/>
            <w:vAlign w:val="top"/>
            <w:textDirection w:val="lrTb"/>
            <w:noWrap w:val="false"/>
          </w:tcPr>
          <w:p>
            <w:pPr>
              <w:pStyle w:val="1124"/>
              <w:ind w:left="1487" w:hanging="9"/>
              <w:spacing w:before="64" w:line="360" w:lineRule="auto"/>
              <w:rPr>
                <w:rFonts w:hint="eastAsia"/>
                <w:sz w:val="24"/>
                <w:szCs w:val="24"/>
                <w:highlight w:val="none"/>
              </w:rPr>
            </w:pPr>
            <w:r>
              <w:rPr>
                <w:rFonts w:hint="eastAsia"/>
                <w:spacing w:val="16"/>
                <w:sz w:val="24"/>
                <w:szCs w:val="24"/>
                <w:highlight w:val="none"/>
              </w:rPr>
              <w:t xml:space="preserve">＞60</w:t>
            </w:r>
            <w:r>
              <w:rPr>
                <w:rFonts w:hint="eastAsia"/>
                <w:sz w:val="24"/>
                <w:szCs w:val="24"/>
                <w:highlight w:val="none"/>
              </w:rPr>
            </w:r>
            <w:r/>
          </w:p>
        </w:tc>
      </w:tr>
      <w:tr>
        <w:trPr>
          <w:trHeight w:val="309"/>
        </w:trPr>
        <w:tc>
          <w:tcPr>
            <w:tcW w:w="2247" w:type="dxa"/>
            <w:vAlign w:val="top"/>
            <w:textDirection w:val="lrTb"/>
            <w:noWrap w:val="false"/>
          </w:tcPr>
          <w:p>
            <w:pPr>
              <w:pStyle w:val="1124"/>
              <w:ind w:left="531"/>
              <w:spacing w:before="38" w:line="360" w:lineRule="auto"/>
              <w:rPr>
                <w:rFonts w:hint="eastAsia"/>
                <w:sz w:val="24"/>
                <w:szCs w:val="24"/>
                <w:highlight w:val="none"/>
              </w:rPr>
            </w:pPr>
            <w:r>
              <w:rPr>
                <w:rFonts w:hint="eastAsia"/>
                <w:spacing w:val="-1"/>
                <w:position w:val="1"/>
                <w:sz w:val="24"/>
                <w:szCs w:val="24"/>
                <w:highlight w:val="none"/>
              </w:rPr>
              <w:t xml:space="preserve">耐水色牢度/级（变色、沾色）</w:t>
            </w:r>
            <w:r>
              <w:rPr>
                <w:rFonts w:hint="eastAsia"/>
                <w:sz w:val="24"/>
                <w:szCs w:val="24"/>
                <w:highlight w:val="none"/>
              </w:rPr>
            </w:r>
            <w:r/>
          </w:p>
        </w:tc>
        <w:tc>
          <w:tcPr>
            <w:tcW w:w="2752" w:type="dxa"/>
            <w:vAlign w:val="top"/>
            <w:textDirection w:val="lrTb"/>
            <w:noWrap w:val="false"/>
          </w:tcPr>
          <w:p>
            <w:pPr>
              <w:pStyle w:val="1124"/>
              <w:ind w:left="1487" w:hanging="9"/>
              <w:spacing w:before="65" w:line="360" w:lineRule="auto"/>
              <w:rPr>
                <w:rFonts w:hint="eastAsia"/>
                <w:sz w:val="24"/>
                <w:szCs w:val="24"/>
                <w:highlight w:val="none"/>
              </w:rPr>
            </w:pPr>
            <w:r>
              <w:rPr>
                <w:rFonts w:hint="eastAsia"/>
                <w:spacing w:val="-1"/>
                <w:sz w:val="24"/>
                <w:szCs w:val="24"/>
                <w:highlight w:val="none"/>
              </w:rPr>
              <w:t xml:space="preserve">≥4</w:t>
            </w:r>
            <w:r>
              <w:rPr>
                <w:rFonts w:hint="eastAsia"/>
                <w:sz w:val="24"/>
                <w:szCs w:val="24"/>
                <w:highlight w:val="none"/>
              </w:rPr>
            </w:r>
            <w:r/>
          </w:p>
        </w:tc>
      </w:tr>
      <w:tr>
        <w:trPr>
          <w:trHeight w:val="309"/>
        </w:trPr>
        <w:tc>
          <w:tcPr>
            <w:tcW w:w="2247" w:type="dxa"/>
            <w:vAlign w:val="top"/>
            <w:textDirection w:val="lrTb"/>
            <w:noWrap w:val="false"/>
          </w:tcPr>
          <w:p>
            <w:pPr>
              <w:pStyle w:val="1124"/>
              <w:ind w:left="351"/>
              <w:spacing w:before="38" w:line="360" w:lineRule="auto"/>
              <w:rPr>
                <w:rFonts w:hint="eastAsia"/>
                <w:sz w:val="24"/>
                <w:szCs w:val="24"/>
                <w:highlight w:val="none"/>
              </w:rPr>
            </w:pPr>
            <w:r>
              <w:rPr>
                <w:rFonts w:hint="eastAsia"/>
                <w:spacing w:val="-1"/>
                <w:position w:val="1"/>
                <w:sz w:val="24"/>
                <w:szCs w:val="24"/>
                <w:highlight w:val="none"/>
              </w:rPr>
              <w:t xml:space="preserve">耐干摩擦色牢度/级（变色、沾色）</w:t>
            </w:r>
            <w:r>
              <w:rPr>
                <w:rFonts w:hint="eastAsia"/>
                <w:sz w:val="24"/>
                <w:szCs w:val="24"/>
                <w:highlight w:val="none"/>
              </w:rPr>
            </w:r>
            <w:r/>
          </w:p>
        </w:tc>
        <w:tc>
          <w:tcPr>
            <w:tcW w:w="2752" w:type="dxa"/>
            <w:vAlign w:val="top"/>
            <w:textDirection w:val="lrTb"/>
            <w:noWrap w:val="false"/>
          </w:tcPr>
          <w:p>
            <w:pPr>
              <w:pStyle w:val="1124"/>
              <w:ind w:left="1487" w:hanging="9"/>
              <w:spacing w:before="65" w:line="360" w:lineRule="auto"/>
              <w:rPr>
                <w:rFonts w:hint="eastAsia"/>
                <w:sz w:val="24"/>
                <w:szCs w:val="24"/>
                <w:highlight w:val="none"/>
              </w:rPr>
            </w:pPr>
            <w:r>
              <w:rPr>
                <w:rFonts w:hint="eastAsia"/>
                <w:spacing w:val="-1"/>
                <w:sz w:val="24"/>
                <w:szCs w:val="24"/>
                <w:highlight w:val="none"/>
              </w:rPr>
              <w:t xml:space="preserve">≥4</w:t>
            </w:r>
            <w:r>
              <w:rPr>
                <w:rFonts w:hint="eastAsia"/>
                <w:sz w:val="24"/>
                <w:szCs w:val="24"/>
                <w:highlight w:val="none"/>
              </w:rPr>
            </w:r>
            <w:r/>
          </w:p>
        </w:tc>
      </w:tr>
      <w:tr>
        <w:trPr>
          <w:trHeight w:val="309"/>
        </w:trPr>
        <w:tc>
          <w:tcPr>
            <w:tcW w:w="2247" w:type="dxa"/>
            <w:vAlign w:val="top"/>
            <w:textDirection w:val="lrTb"/>
            <w:noWrap w:val="false"/>
          </w:tcPr>
          <w:p>
            <w:pPr>
              <w:pStyle w:val="1124"/>
              <w:ind w:left="531"/>
              <w:spacing w:before="39" w:line="360" w:lineRule="auto"/>
              <w:rPr>
                <w:rFonts w:hint="eastAsia"/>
                <w:sz w:val="24"/>
                <w:szCs w:val="24"/>
                <w:highlight w:val="none"/>
              </w:rPr>
            </w:pPr>
            <w:r>
              <w:rPr>
                <w:rFonts w:hint="eastAsia"/>
                <w:spacing w:val="-1"/>
                <w:position w:val="1"/>
                <w:sz w:val="24"/>
                <w:szCs w:val="24"/>
                <w:highlight w:val="none"/>
              </w:rPr>
              <w:t xml:space="preserve">耐光色牢度/级（变色、沾色）</w:t>
            </w:r>
            <w:r>
              <w:rPr>
                <w:rFonts w:hint="eastAsia"/>
                <w:sz w:val="24"/>
                <w:szCs w:val="24"/>
                <w:highlight w:val="none"/>
              </w:rPr>
            </w:r>
            <w:r/>
          </w:p>
        </w:tc>
        <w:tc>
          <w:tcPr>
            <w:tcW w:w="2752" w:type="dxa"/>
            <w:vAlign w:val="top"/>
            <w:textDirection w:val="lrTb"/>
            <w:noWrap w:val="false"/>
          </w:tcPr>
          <w:p>
            <w:pPr>
              <w:pStyle w:val="1124"/>
              <w:ind w:left="1487" w:hanging="9"/>
              <w:spacing w:before="65" w:line="360" w:lineRule="auto"/>
              <w:rPr>
                <w:rFonts w:hint="eastAsia"/>
                <w:sz w:val="24"/>
                <w:szCs w:val="24"/>
                <w:highlight w:val="none"/>
              </w:rPr>
            </w:pPr>
            <w:r>
              <w:rPr>
                <w:rFonts w:hint="eastAsia"/>
                <w:spacing w:val="-1"/>
                <w:sz w:val="24"/>
                <w:szCs w:val="24"/>
                <w:highlight w:val="none"/>
              </w:rPr>
              <w:t xml:space="preserve">≥4</w:t>
            </w:r>
            <w:r>
              <w:rPr>
                <w:rFonts w:hint="eastAsia"/>
                <w:sz w:val="24"/>
                <w:szCs w:val="24"/>
                <w:highlight w:val="none"/>
              </w:rPr>
            </w:r>
            <w:r/>
          </w:p>
        </w:tc>
      </w:tr>
      <w:tr>
        <w:trPr>
          <w:trHeight w:val="704"/>
        </w:trPr>
        <w:tc>
          <w:tcPr>
            <w:tcW w:w="2247" w:type="dxa"/>
            <w:vAlign w:val="top"/>
            <w:textDirection w:val="lrTb"/>
            <w:noWrap w:val="false"/>
          </w:tcPr>
          <w:p>
            <w:pPr>
              <w:pStyle w:val="1124"/>
              <w:ind w:left="1282"/>
              <w:spacing w:before="236" w:line="360" w:lineRule="auto"/>
              <w:rPr>
                <w:rFonts w:hint="eastAsia"/>
                <w:sz w:val="24"/>
                <w:szCs w:val="24"/>
                <w:highlight w:val="none"/>
              </w:rPr>
            </w:pPr>
            <w:r>
              <w:rPr>
                <w:rFonts w:hint="eastAsia"/>
                <w:spacing w:val="-3"/>
                <w:position w:val="2"/>
                <w:sz w:val="24"/>
                <w:szCs w:val="24"/>
                <w:highlight w:val="none"/>
              </w:rPr>
              <w:t xml:space="preserve">断裂强度/N</w:t>
            </w:r>
            <w:r>
              <w:rPr>
                <w:rFonts w:hint="eastAsia"/>
                <w:sz w:val="24"/>
                <w:szCs w:val="24"/>
                <w:highlight w:val="none"/>
              </w:rPr>
            </w:r>
            <w:r/>
          </w:p>
        </w:tc>
        <w:tc>
          <w:tcPr>
            <w:tcW w:w="2752" w:type="dxa"/>
            <w:vAlign w:val="top"/>
            <w:textDirection w:val="lrTb"/>
            <w:noWrap w:val="false"/>
          </w:tcPr>
          <w:p>
            <w:pPr>
              <w:pStyle w:val="1124"/>
              <w:ind w:left="1487" w:hanging="9"/>
              <w:spacing w:before="3" w:line="360" w:lineRule="auto"/>
              <w:rPr>
                <w:rFonts w:hint="eastAsia"/>
                <w:sz w:val="24"/>
                <w:szCs w:val="24"/>
                <w:highlight w:val="none"/>
              </w:rPr>
            </w:pPr>
            <w:r>
              <w:rPr>
                <w:rFonts w:hint="eastAsia"/>
                <w:spacing w:val="-1"/>
                <w:sz w:val="24"/>
                <w:szCs w:val="24"/>
                <w:highlight w:val="none"/>
              </w:rPr>
              <w:t xml:space="preserve">径向≥780（单位面积质量≥200g/㎡）</w:t>
            </w:r>
            <w:r>
              <w:rPr>
                <w:rFonts w:hint="eastAsia"/>
                <w:sz w:val="24"/>
                <w:szCs w:val="24"/>
                <w:highlight w:val="none"/>
              </w:rPr>
            </w:r>
            <w:r/>
          </w:p>
          <w:p>
            <w:pPr>
              <w:pStyle w:val="1124"/>
              <w:ind w:left="1487" w:hanging="9"/>
              <w:spacing w:line="360" w:lineRule="auto"/>
              <w:rPr>
                <w:rFonts w:hint="eastAsia"/>
                <w:sz w:val="24"/>
                <w:szCs w:val="24"/>
                <w:highlight w:val="none"/>
              </w:rPr>
            </w:pPr>
            <w:r>
              <w:rPr>
                <w:rFonts w:hint="eastAsia"/>
                <w:spacing w:val="-2"/>
                <w:position w:val="2"/>
                <w:sz w:val="24"/>
                <w:szCs w:val="24"/>
                <w:highlight w:val="none"/>
              </w:rPr>
              <w:t xml:space="preserve">径向≥490（单位面积质量＜200g/㎡）</w:t>
            </w:r>
            <w:r>
              <w:rPr>
                <w:rFonts w:hint="eastAsia"/>
                <w:sz w:val="24"/>
                <w:szCs w:val="24"/>
                <w:highlight w:val="none"/>
              </w:rPr>
            </w:r>
            <w:r/>
          </w:p>
          <w:p>
            <w:pPr>
              <w:pStyle w:val="1124"/>
              <w:ind w:left="1487" w:hanging="9"/>
              <w:spacing w:before="12" w:line="360" w:lineRule="auto"/>
              <w:rPr>
                <w:rFonts w:hint="eastAsia"/>
                <w:sz w:val="24"/>
                <w:szCs w:val="24"/>
                <w:highlight w:val="none"/>
              </w:rPr>
            </w:pPr>
            <w:r>
              <w:rPr>
                <w:rFonts w:hint="eastAsia"/>
                <w:spacing w:val="-2"/>
                <w:sz w:val="24"/>
                <w:szCs w:val="24"/>
                <w:highlight w:val="none"/>
              </w:rPr>
              <w:t xml:space="preserve">纬向≥390</w:t>
            </w:r>
            <w:r>
              <w:rPr>
                <w:rFonts w:hint="eastAsia"/>
                <w:sz w:val="24"/>
                <w:szCs w:val="24"/>
                <w:highlight w:val="none"/>
              </w:rPr>
            </w:r>
            <w:r/>
          </w:p>
        </w:tc>
      </w:tr>
      <w:tr>
        <w:trPr>
          <w:trHeight w:val="309"/>
        </w:trPr>
        <w:tc>
          <w:tcPr>
            <w:tcW w:w="2247" w:type="dxa"/>
            <w:vAlign w:val="top"/>
            <w:textDirection w:val="lrTb"/>
            <w:noWrap w:val="false"/>
          </w:tcPr>
          <w:p>
            <w:pPr>
              <w:pStyle w:val="1124"/>
              <w:ind w:left="1546"/>
              <w:spacing w:before="67" w:line="360" w:lineRule="auto"/>
              <w:rPr>
                <w:rFonts w:hint="eastAsia"/>
                <w:sz w:val="24"/>
                <w:szCs w:val="24"/>
                <w:highlight w:val="none"/>
              </w:rPr>
            </w:pPr>
            <w:r>
              <w:rPr>
                <w:rFonts w:hint="eastAsia"/>
                <w:spacing w:val="-5"/>
                <w:sz w:val="24"/>
                <w:szCs w:val="24"/>
                <w:highlight w:val="none"/>
              </w:rPr>
              <w:t xml:space="preserve">异味</w:t>
            </w:r>
            <w:r>
              <w:rPr>
                <w:rFonts w:hint="eastAsia"/>
                <w:sz w:val="24"/>
                <w:szCs w:val="24"/>
                <w:highlight w:val="none"/>
              </w:rPr>
            </w:r>
            <w:r/>
          </w:p>
        </w:tc>
        <w:tc>
          <w:tcPr>
            <w:tcW w:w="2752" w:type="dxa"/>
            <w:vAlign w:val="top"/>
            <w:textDirection w:val="lrTb"/>
            <w:noWrap w:val="false"/>
          </w:tcPr>
          <w:p>
            <w:pPr>
              <w:pStyle w:val="1124"/>
              <w:ind w:left="1487" w:hanging="9"/>
              <w:spacing w:before="67" w:line="360" w:lineRule="auto"/>
              <w:rPr>
                <w:rFonts w:hint="eastAsia"/>
                <w:sz w:val="24"/>
                <w:szCs w:val="24"/>
                <w:highlight w:val="none"/>
              </w:rPr>
            </w:pPr>
            <w:r>
              <w:rPr>
                <w:rFonts w:hint="eastAsia"/>
                <w:sz w:val="24"/>
                <w:szCs w:val="24"/>
                <w:highlight w:val="none"/>
              </w:rPr>
              <w:t xml:space="preserve">无</w:t>
            </w:r>
            <w:r>
              <w:rPr>
                <w:rFonts w:hint="eastAsia"/>
                <w:sz w:val="24"/>
                <w:szCs w:val="24"/>
                <w:highlight w:val="none"/>
              </w:rPr>
            </w:r>
            <w:r/>
          </w:p>
        </w:tc>
      </w:tr>
      <w:tr>
        <w:trPr>
          <w:trHeight w:val="314"/>
        </w:trPr>
        <w:tc>
          <w:tcPr>
            <w:tcW w:w="2247" w:type="dxa"/>
            <w:vAlign w:val="top"/>
            <w:textDirection w:val="lrTb"/>
            <w:noWrap w:val="false"/>
          </w:tcPr>
          <w:p>
            <w:pPr>
              <w:pStyle w:val="1124"/>
              <w:ind w:left="825"/>
              <w:spacing w:before="67" w:line="360" w:lineRule="auto"/>
              <w:rPr>
                <w:rFonts w:hint="eastAsia"/>
                <w:sz w:val="24"/>
                <w:szCs w:val="24"/>
                <w:highlight w:val="none"/>
              </w:rPr>
            </w:pPr>
            <w:r>
              <w:rPr>
                <w:rFonts w:hint="eastAsia"/>
                <w:spacing w:val="-1"/>
                <w:sz w:val="24"/>
                <w:szCs w:val="24"/>
                <w:highlight w:val="none"/>
              </w:rPr>
              <w:t xml:space="preserve">可分解致癌芳香胺染料</w:t>
            </w:r>
            <w:r>
              <w:rPr>
                <w:rFonts w:hint="eastAsia"/>
                <w:sz w:val="24"/>
                <w:szCs w:val="24"/>
                <w:highlight w:val="none"/>
              </w:rPr>
            </w:r>
            <w:r/>
          </w:p>
        </w:tc>
        <w:tc>
          <w:tcPr>
            <w:tcW w:w="2752" w:type="dxa"/>
            <w:vAlign w:val="top"/>
            <w:textDirection w:val="lrTb"/>
            <w:noWrap w:val="false"/>
          </w:tcPr>
          <w:p>
            <w:pPr>
              <w:pStyle w:val="1124"/>
              <w:ind w:left="1487" w:hanging="9"/>
              <w:spacing w:before="67" w:line="360" w:lineRule="auto"/>
              <w:rPr>
                <w:rFonts w:hint="eastAsia"/>
                <w:sz w:val="24"/>
                <w:szCs w:val="24"/>
                <w:highlight w:val="none"/>
              </w:rPr>
            </w:pPr>
            <w:r>
              <w:rPr>
                <w:rFonts w:hint="eastAsia"/>
                <w:spacing w:val="-4"/>
                <w:sz w:val="24"/>
                <w:szCs w:val="24"/>
                <w:highlight w:val="none"/>
              </w:rPr>
              <w:t xml:space="preserve">禁用</w:t>
            </w:r>
            <w:r>
              <w:rPr>
                <w:rFonts w:hint="eastAsia"/>
                <w:sz w:val="24"/>
                <w:szCs w:val="24"/>
                <w:highlight w:val="none"/>
              </w:rPr>
            </w:r>
            <w:r/>
          </w:p>
        </w:tc>
      </w:tr>
    </w:tbl>
    <w:p>
      <w:pPr>
        <w:pStyle w:val="919"/>
        <w:spacing w:before="65" w:line="360" w:lineRule="auto"/>
        <w:rPr>
          <w:rFonts w:hint="eastAsia" w:ascii="宋体" w:hAnsi="宋体" w:cs="宋体"/>
          <w:sz w:val="24"/>
          <w:highlight w:val="none"/>
        </w:rPr>
      </w:pPr>
      <w:r>
        <w:rPr>
          <w:rFonts w:hint="eastAsia" w:ascii="宋体" w:hAnsi="宋体" w:cs="宋体"/>
          <w:spacing w:val="6"/>
          <w:sz w:val="24"/>
          <w:highlight w:val="none"/>
        </w:rPr>
        <w:t xml:space="preserve">4.3.1水洗尺寸变化率：</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按GB/T 8629-2017中规定的6B或6A程序洗涤，悬挂晾干，水洗后的尺寸变化率应符合表9的要求。</w:t>
      </w:r>
      <w:r>
        <w:rPr>
          <w:rFonts w:hint="eastAsia" w:ascii="宋体" w:hAnsi="宋体" w:cs="宋体"/>
          <w:sz w:val="24"/>
          <w:highlight w:val="none"/>
        </w:rPr>
      </w:r>
      <w:r/>
    </w:p>
    <w:p>
      <w:pPr>
        <w:pStyle w:val="919"/>
        <w:ind w:left="426"/>
        <w:jc w:val="center"/>
        <w:spacing w:before="131" w:line="360" w:lineRule="auto"/>
        <w:rPr>
          <w:rFonts w:hint="eastAsia" w:ascii="宋体" w:hAnsi="宋体" w:cs="宋体"/>
          <w:sz w:val="24"/>
          <w:highlight w:val="none"/>
        </w:rPr>
      </w:pPr>
      <w:r>
        <w:rPr>
          <w:rFonts w:hint="eastAsia" w:ascii="宋体" w:hAnsi="宋体" w:cs="宋体"/>
          <w:spacing w:val="6"/>
          <w:sz w:val="24"/>
          <w:highlight w:val="none"/>
        </w:rPr>
        <w:t xml:space="preserve">表 9   水洗尺寸变化率要求</w:t>
      </w:r>
      <w:r>
        <w:rPr>
          <w:rFonts w:hint="eastAsia" w:ascii="宋体" w:hAnsi="宋体" w:cs="宋体"/>
          <w:sz w:val="24"/>
          <w:highlight w:val="none"/>
        </w:rPr>
      </w:r>
      <w:r/>
    </w:p>
    <w:tbl>
      <w:tblPr>
        <w:tblW w:w="473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4353"/>
        <w:gridCol w:w="4888"/>
      </w:tblGrid>
      <w:tr>
        <w:trPr>
          <w:trHeight w:val="346"/>
        </w:trPr>
        <w:tc>
          <w:tcPr>
            <w:tcW w:w="2355" w:type="dxa"/>
            <w:vAlign w:val="top"/>
            <w:textDirection w:val="lrTb"/>
            <w:noWrap w:val="false"/>
          </w:tcPr>
          <w:p>
            <w:pPr>
              <w:pStyle w:val="1124"/>
              <w:ind w:left="1991"/>
              <w:spacing w:before="65" w:line="360" w:lineRule="auto"/>
              <w:rPr>
                <w:rFonts w:hint="eastAsia"/>
                <w:sz w:val="24"/>
                <w:szCs w:val="24"/>
                <w:highlight w:val="none"/>
              </w:rPr>
            </w:pPr>
            <w:r>
              <w:rPr>
                <w:rFonts w:hint="eastAsia"/>
                <w:spacing w:val="-2"/>
                <w:sz w:val="24"/>
                <w:szCs w:val="24"/>
                <w:highlight w:val="none"/>
              </w:rPr>
              <w:t xml:space="preserve">测试项目</w:t>
            </w:r>
            <w:r>
              <w:rPr>
                <w:rFonts w:hint="eastAsia"/>
                <w:sz w:val="24"/>
                <w:szCs w:val="24"/>
                <w:highlight w:val="none"/>
              </w:rPr>
            </w:r>
            <w:r/>
          </w:p>
        </w:tc>
        <w:tc>
          <w:tcPr>
            <w:tcW w:w="2644" w:type="dxa"/>
            <w:vAlign w:val="top"/>
            <w:textDirection w:val="lrTb"/>
            <w:noWrap w:val="false"/>
          </w:tcPr>
          <w:p>
            <w:pPr>
              <w:pStyle w:val="1124"/>
              <w:ind w:left="1944"/>
              <w:spacing w:before="38" w:line="360" w:lineRule="auto"/>
              <w:rPr>
                <w:rFonts w:hint="eastAsia"/>
                <w:sz w:val="24"/>
                <w:szCs w:val="24"/>
                <w:highlight w:val="none"/>
              </w:rPr>
            </w:pPr>
            <w:r>
              <w:rPr>
                <w:rFonts w:hint="eastAsia"/>
                <w:spacing w:val="-2"/>
                <w:position w:val="2"/>
                <w:sz w:val="24"/>
                <w:szCs w:val="24"/>
                <w:highlight w:val="none"/>
              </w:rPr>
              <w:t xml:space="preserve">尺寸变化率</w:t>
            </w:r>
            <w:r>
              <w:rPr>
                <w:rFonts w:hint="eastAsia"/>
                <w:spacing w:val="-34"/>
                <w:position w:val="2"/>
                <w:sz w:val="24"/>
                <w:szCs w:val="24"/>
                <w:highlight w:val="none"/>
              </w:rPr>
              <w:t xml:space="preserve"> </w:t>
            </w:r>
            <w:r>
              <w:rPr>
                <w:rFonts w:hint="eastAsia"/>
                <w:spacing w:val="-2"/>
                <w:position w:val="2"/>
                <w:sz w:val="24"/>
                <w:szCs w:val="24"/>
                <w:highlight w:val="none"/>
              </w:rPr>
              <w:t xml:space="preserve">%</w:t>
            </w:r>
            <w:r>
              <w:rPr>
                <w:rFonts w:hint="eastAsia"/>
                <w:sz w:val="24"/>
                <w:szCs w:val="24"/>
                <w:highlight w:val="none"/>
              </w:rPr>
            </w:r>
            <w:r/>
          </w:p>
        </w:tc>
      </w:tr>
      <w:tr>
        <w:trPr>
          <w:trHeight w:val="343"/>
        </w:trPr>
        <w:tc>
          <w:tcPr>
            <w:tcW w:w="2355" w:type="dxa"/>
            <w:vAlign w:val="top"/>
            <w:textDirection w:val="lrTb"/>
            <w:noWrap w:val="false"/>
          </w:tcPr>
          <w:p>
            <w:pPr>
              <w:pStyle w:val="1124"/>
              <w:ind w:left="2170"/>
              <w:spacing w:before="62" w:line="360" w:lineRule="auto"/>
              <w:rPr>
                <w:rFonts w:hint="eastAsia"/>
                <w:sz w:val="24"/>
                <w:szCs w:val="24"/>
                <w:highlight w:val="none"/>
              </w:rPr>
            </w:pPr>
            <w:r>
              <w:rPr>
                <w:rFonts w:hint="eastAsia"/>
                <w:spacing w:val="-4"/>
                <w:sz w:val="24"/>
                <w:szCs w:val="24"/>
                <w:highlight w:val="none"/>
              </w:rPr>
              <w:t xml:space="preserve">领大</w:t>
            </w:r>
            <w:r>
              <w:rPr>
                <w:rFonts w:hint="eastAsia"/>
                <w:sz w:val="24"/>
                <w:szCs w:val="24"/>
                <w:highlight w:val="none"/>
              </w:rPr>
            </w:r>
            <w:r/>
          </w:p>
        </w:tc>
        <w:tc>
          <w:tcPr>
            <w:tcW w:w="2644" w:type="dxa"/>
            <w:vAlign w:val="top"/>
            <w:textDirection w:val="lrTb"/>
            <w:noWrap w:val="false"/>
          </w:tcPr>
          <w:p>
            <w:pPr>
              <w:pStyle w:val="1124"/>
              <w:ind w:left="2235"/>
              <w:spacing w:before="62" w:line="360" w:lineRule="auto"/>
              <w:rPr>
                <w:rFonts w:hint="eastAsia"/>
                <w:sz w:val="24"/>
                <w:szCs w:val="24"/>
                <w:highlight w:val="none"/>
              </w:rPr>
            </w:pPr>
            <w:r>
              <w:rPr>
                <w:rFonts w:hint="eastAsia"/>
                <w:spacing w:val="17"/>
                <w:sz w:val="24"/>
                <w:szCs w:val="24"/>
                <w:highlight w:val="none"/>
              </w:rPr>
              <w:t xml:space="preserve">≥-1.5</w:t>
            </w:r>
            <w:r>
              <w:rPr>
                <w:rFonts w:hint="eastAsia"/>
                <w:sz w:val="24"/>
                <w:szCs w:val="24"/>
                <w:highlight w:val="none"/>
              </w:rPr>
            </w:r>
            <w:r/>
          </w:p>
        </w:tc>
      </w:tr>
      <w:tr>
        <w:trPr>
          <w:trHeight w:val="343"/>
        </w:trPr>
        <w:tc>
          <w:tcPr>
            <w:tcW w:w="2355" w:type="dxa"/>
            <w:vAlign w:val="top"/>
            <w:textDirection w:val="lrTb"/>
            <w:noWrap w:val="false"/>
          </w:tcPr>
          <w:p>
            <w:pPr>
              <w:pStyle w:val="1124"/>
              <w:ind w:left="2169"/>
              <w:spacing w:before="64" w:line="360" w:lineRule="auto"/>
              <w:rPr>
                <w:rFonts w:hint="eastAsia"/>
                <w:sz w:val="24"/>
                <w:szCs w:val="24"/>
                <w:highlight w:val="none"/>
              </w:rPr>
            </w:pPr>
            <w:r>
              <w:rPr>
                <w:rFonts w:hint="eastAsia"/>
                <w:spacing w:val="-4"/>
                <w:sz w:val="24"/>
                <w:szCs w:val="24"/>
                <w:highlight w:val="none"/>
              </w:rPr>
              <w:t xml:space="preserve">胸围</w:t>
            </w:r>
            <w:r>
              <w:rPr>
                <w:rFonts w:hint="eastAsia"/>
                <w:sz w:val="24"/>
                <w:szCs w:val="24"/>
                <w:highlight w:val="none"/>
              </w:rPr>
            </w:r>
            <w:r/>
          </w:p>
        </w:tc>
        <w:tc>
          <w:tcPr>
            <w:tcW w:w="2644" w:type="dxa"/>
            <w:vAlign w:val="top"/>
            <w:textDirection w:val="lrTb"/>
            <w:noWrap w:val="false"/>
          </w:tcPr>
          <w:p>
            <w:pPr>
              <w:pStyle w:val="1124"/>
              <w:ind w:left="2235"/>
              <w:spacing w:before="64" w:line="360" w:lineRule="auto"/>
              <w:rPr>
                <w:rFonts w:hint="eastAsia"/>
                <w:sz w:val="24"/>
                <w:szCs w:val="24"/>
                <w:highlight w:val="none"/>
              </w:rPr>
            </w:pPr>
            <w:r>
              <w:rPr>
                <w:rFonts w:hint="eastAsia"/>
                <w:spacing w:val="17"/>
                <w:sz w:val="24"/>
                <w:szCs w:val="24"/>
                <w:highlight w:val="none"/>
              </w:rPr>
              <w:t xml:space="preserve">≥-2.5</w:t>
            </w:r>
            <w:r>
              <w:rPr>
                <w:rFonts w:hint="eastAsia"/>
                <w:sz w:val="24"/>
                <w:szCs w:val="24"/>
                <w:highlight w:val="none"/>
              </w:rPr>
            </w:r>
            <w:r/>
          </w:p>
        </w:tc>
      </w:tr>
      <w:tr>
        <w:trPr>
          <w:trHeight w:val="343"/>
        </w:trPr>
        <w:tc>
          <w:tcPr>
            <w:tcW w:w="2355" w:type="dxa"/>
            <w:vAlign w:val="top"/>
            <w:textDirection w:val="lrTb"/>
            <w:noWrap w:val="false"/>
          </w:tcPr>
          <w:p>
            <w:pPr>
              <w:pStyle w:val="1124"/>
              <w:ind w:left="2170"/>
              <w:spacing w:before="64" w:line="360" w:lineRule="auto"/>
              <w:rPr>
                <w:rFonts w:hint="eastAsia"/>
                <w:sz w:val="24"/>
                <w:szCs w:val="24"/>
                <w:highlight w:val="none"/>
              </w:rPr>
            </w:pPr>
            <w:r>
              <w:rPr>
                <w:rFonts w:hint="eastAsia"/>
                <w:spacing w:val="-4"/>
                <w:sz w:val="24"/>
                <w:szCs w:val="24"/>
                <w:highlight w:val="none"/>
              </w:rPr>
              <w:t xml:space="preserve">衣长</w:t>
            </w:r>
            <w:r>
              <w:rPr>
                <w:rFonts w:hint="eastAsia"/>
                <w:sz w:val="24"/>
                <w:szCs w:val="24"/>
                <w:highlight w:val="none"/>
              </w:rPr>
            </w:r>
            <w:r/>
          </w:p>
        </w:tc>
        <w:tc>
          <w:tcPr>
            <w:tcW w:w="2644" w:type="dxa"/>
            <w:vAlign w:val="top"/>
            <w:textDirection w:val="lrTb"/>
            <w:noWrap w:val="false"/>
          </w:tcPr>
          <w:p>
            <w:pPr>
              <w:pStyle w:val="1124"/>
              <w:ind w:left="2235"/>
              <w:spacing w:before="64" w:line="360" w:lineRule="auto"/>
              <w:rPr>
                <w:rFonts w:hint="eastAsia"/>
                <w:sz w:val="24"/>
                <w:szCs w:val="24"/>
                <w:highlight w:val="none"/>
              </w:rPr>
            </w:pPr>
            <w:r>
              <w:rPr>
                <w:rFonts w:hint="eastAsia"/>
                <w:spacing w:val="17"/>
                <w:sz w:val="24"/>
                <w:szCs w:val="24"/>
                <w:highlight w:val="none"/>
              </w:rPr>
              <w:t xml:space="preserve">≥-3.5</w:t>
            </w:r>
            <w:r>
              <w:rPr>
                <w:rFonts w:hint="eastAsia"/>
                <w:sz w:val="24"/>
                <w:szCs w:val="24"/>
                <w:highlight w:val="none"/>
              </w:rPr>
            </w:r>
            <w:r/>
          </w:p>
        </w:tc>
      </w:tr>
      <w:tr>
        <w:trPr>
          <w:trHeight w:val="343"/>
        </w:trPr>
        <w:tc>
          <w:tcPr>
            <w:tcW w:w="2355" w:type="dxa"/>
            <w:vAlign w:val="top"/>
            <w:textDirection w:val="lrTb"/>
            <w:noWrap w:val="false"/>
          </w:tcPr>
          <w:p>
            <w:pPr>
              <w:pStyle w:val="1124"/>
              <w:ind w:left="2169"/>
              <w:spacing w:before="66" w:line="360" w:lineRule="auto"/>
              <w:rPr>
                <w:rFonts w:hint="eastAsia"/>
                <w:sz w:val="24"/>
                <w:szCs w:val="24"/>
                <w:highlight w:val="none"/>
              </w:rPr>
            </w:pPr>
            <w:r>
              <w:rPr>
                <w:rFonts w:hint="eastAsia"/>
                <w:spacing w:val="-4"/>
                <w:sz w:val="24"/>
                <w:szCs w:val="24"/>
                <w:highlight w:val="none"/>
              </w:rPr>
              <w:t xml:space="preserve">腰围</w:t>
            </w:r>
            <w:r>
              <w:rPr>
                <w:rFonts w:hint="eastAsia"/>
                <w:sz w:val="24"/>
                <w:szCs w:val="24"/>
                <w:highlight w:val="none"/>
              </w:rPr>
            </w:r>
            <w:r/>
          </w:p>
        </w:tc>
        <w:tc>
          <w:tcPr>
            <w:tcW w:w="2644" w:type="dxa"/>
            <w:vAlign w:val="top"/>
            <w:textDirection w:val="lrTb"/>
            <w:noWrap w:val="false"/>
          </w:tcPr>
          <w:p>
            <w:pPr>
              <w:pStyle w:val="1124"/>
              <w:ind w:left="2235"/>
              <w:spacing w:before="67" w:line="360" w:lineRule="auto"/>
              <w:rPr>
                <w:rFonts w:hint="eastAsia"/>
                <w:sz w:val="24"/>
                <w:szCs w:val="24"/>
                <w:highlight w:val="none"/>
              </w:rPr>
            </w:pPr>
            <w:r>
              <w:rPr>
                <w:rFonts w:hint="eastAsia"/>
                <w:spacing w:val="17"/>
                <w:sz w:val="24"/>
                <w:szCs w:val="24"/>
                <w:highlight w:val="none"/>
              </w:rPr>
              <w:t xml:space="preserve">≥-2.0</w:t>
            </w:r>
            <w:r>
              <w:rPr>
                <w:rFonts w:hint="eastAsia"/>
                <w:sz w:val="24"/>
                <w:szCs w:val="24"/>
                <w:highlight w:val="none"/>
              </w:rPr>
            </w:r>
            <w:r/>
          </w:p>
        </w:tc>
      </w:tr>
      <w:tr>
        <w:trPr>
          <w:trHeight w:val="348"/>
        </w:trPr>
        <w:tc>
          <w:tcPr>
            <w:tcW w:w="2355" w:type="dxa"/>
            <w:vAlign w:val="top"/>
            <w:textDirection w:val="lrTb"/>
            <w:noWrap w:val="false"/>
          </w:tcPr>
          <w:p>
            <w:pPr>
              <w:pStyle w:val="1124"/>
              <w:ind w:left="2169"/>
              <w:spacing w:before="66" w:line="360" w:lineRule="auto"/>
              <w:rPr>
                <w:rFonts w:hint="eastAsia"/>
                <w:sz w:val="24"/>
                <w:szCs w:val="24"/>
                <w:highlight w:val="none"/>
              </w:rPr>
            </w:pPr>
            <w:r>
              <w:rPr>
                <w:rFonts w:hint="eastAsia"/>
                <w:spacing w:val="-4"/>
                <w:sz w:val="24"/>
                <w:szCs w:val="24"/>
                <w:highlight w:val="none"/>
              </w:rPr>
              <w:t xml:space="preserve">裤长</w:t>
            </w:r>
            <w:r>
              <w:rPr>
                <w:rFonts w:hint="eastAsia"/>
                <w:sz w:val="24"/>
                <w:szCs w:val="24"/>
                <w:highlight w:val="none"/>
              </w:rPr>
            </w:r>
            <w:r/>
          </w:p>
        </w:tc>
        <w:tc>
          <w:tcPr>
            <w:tcW w:w="2644" w:type="dxa"/>
            <w:vAlign w:val="top"/>
            <w:textDirection w:val="lrTb"/>
            <w:noWrap w:val="false"/>
          </w:tcPr>
          <w:p>
            <w:pPr>
              <w:pStyle w:val="1124"/>
              <w:ind w:left="2235"/>
              <w:spacing w:before="67" w:line="360" w:lineRule="auto"/>
              <w:rPr>
                <w:rFonts w:hint="eastAsia"/>
                <w:sz w:val="24"/>
                <w:szCs w:val="24"/>
                <w:highlight w:val="none"/>
              </w:rPr>
            </w:pPr>
            <w:r>
              <w:rPr>
                <w:rFonts w:hint="eastAsia"/>
                <w:spacing w:val="17"/>
                <w:sz w:val="24"/>
                <w:szCs w:val="24"/>
                <w:highlight w:val="none"/>
              </w:rPr>
              <w:t xml:space="preserve">≥-3.5</w:t>
            </w:r>
            <w:r>
              <w:rPr>
                <w:rFonts w:hint="eastAsia"/>
                <w:sz w:val="24"/>
                <w:szCs w:val="24"/>
                <w:highlight w:val="none"/>
              </w:rPr>
            </w:r>
            <w:r/>
          </w:p>
        </w:tc>
      </w:tr>
    </w:tbl>
    <w:p>
      <w:pPr>
        <w:pStyle w:val="919"/>
        <w:spacing w:line="360" w:lineRule="auto"/>
        <w:rPr>
          <w:rFonts w:hint="eastAsia" w:ascii="宋体" w:hAnsi="宋体" w:cs="宋体"/>
          <w:sz w:val="24"/>
          <w:highlight w:val="none"/>
        </w:rPr>
      </w:pPr>
      <w:r>
        <w:rPr>
          <w:rFonts w:hint="eastAsia" w:ascii="宋体" w:hAnsi="宋体" w:cs="宋体"/>
          <w:spacing w:val="6"/>
          <w:sz w:val="24"/>
          <w:highlight w:val="none"/>
        </w:rPr>
        <w:t xml:space="preserve">4.3.2</w:t>
      </w:r>
      <w:r>
        <w:rPr>
          <w:rFonts w:hint="eastAsia" w:ascii="宋体" w:hAnsi="宋体" w:cs="宋体"/>
          <w:sz w:val="24"/>
          <w:highlight w:val="none"/>
        </w:rPr>
        <w:t xml:space="preserve">面料的成分和含量：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面料的成分和含量详见原材料基本规定，并符合FZ/T 01053的要求。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6"/>
          <w:sz w:val="24"/>
          <w:highlight w:val="none"/>
        </w:rPr>
        <w:t xml:space="preserve">4.3.3</w:t>
      </w:r>
      <w:r>
        <w:rPr>
          <w:rFonts w:hint="eastAsia" w:ascii="宋体" w:hAnsi="宋体" w:cs="宋体"/>
          <w:sz w:val="24"/>
          <w:highlight w:val="none"/>
        </w:rPr>
        <w:t xml:space="preserve">接缝强力：</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成品接缝强力：后袖缝和后裆缝不小于140N/（5.0cm×10cm），其它部位不小于100N/（5.0cm×10cm）。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pacing w:val="6"/>
          <w:sz w:val="24"/>
          <w:highlight w:val="none"/>
        </w:rPr>
        <w:t xml:space="preserve">4.3.4</w:t>
      </w:r>
      <w:r>
        <w:rPr>
          <w:rFonts w:hint="eastAsia" w:ascii="宋体" w:hAnsi="宋体" w:cs="宋体"/>
          <w:sz w:val="24"/>
          <w:highlight w:val="none"/>
        </w:rPr>
        <w:t xml:space="preserve">纰裂：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主要部位缝子纰裂程度要求≤0.6cm。</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4.4外观质量要求：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4.4.1疵点允许存在程度规定：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成品各部位的疵点均不允许存在严重疵点。任何大小的破损,断经、断纬，以及超过重度外观疵点范围的疵点，均不允许在任何裁片使用；每个独立部位只允许疵点一处不超过0.5cm。未列入本部分的疵点按其形态， 参照以上相似疵点执行。</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4.4.2色差规定色差允许程度:</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领面、过肩、贴袋、门襟、袖头面与大身的色差≥4～5级，之间色差不超过半级。上装与下装的色差≥4～5级，之间色差不超过半级。</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4.4.3缝制要求：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（1）针距密度要求，14～16针/3cm </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（2）各部位缝制平服，线路顺直、整齐、牢固，针迹均匀，上下线松紧要适宜，起止针处及袋口应回针缉牢。</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（3）各部位外露缝份应折光边。</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（4）各部位缝份不小于 0.8cm。</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（5）各部位30cm内不得有两处单跳针或连续跳针，不得脱线，明线不允许接线，链式线迹不允许跳。 </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4.4.4整烫及外观质量规定：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（1）各部位要熨烫平服、干燥。领子需定型整烫，挺括。无变色、无烫黄，水渍及亮光。</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（2）覆粘衬部位不允许有脱胶、渗透及起皱。</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4.4.5帽子要求：</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帽子须与服装连体（不可拆卸）。</w:t>
      </w:r>
      <w:r>
        <w:rPr>
          <w:rFonts w:hint="eastAsia" w:ascii="宋体" w:hAnsi="宋体" w:cs="宋体"/>
          <w:sz w:val="24"/>
          <w:highlight w:val="none"/>
        </w:rPr>
      </w:r>
      <w:r/>
    </w:p>
    <w:p>
      <w:pPr>
        <w:pStyle w:val="919"/>
        <w:jc w:val="center"/>
        <w:spacing w:line="360" w:lineRule="auto"/>
        <w:rPr>
          <w:rFonts w:hint="eastAsia" w:ascii="宋体" w:hAnsi="宋体" w:cs="宋体"/>
          <w:sz w:val="24"/>
          <w:highlight w:val="none"/>
        </w:rPr>
      </w:pPr>
      <w:r>
        <w:rPr>
          <w:rFonts w:hint="eastAsia" w:ascii="宋体" w:hAnsi="宋体" w:cs="宋体"/>
          <w:sz w:val="24"/>
          <w:highlight w:val="none"/>
        </w:rPr>
        <w:t xml:space="preserve">连帽连体劳保服（春秋季连体劳保服）效果图（仅供参考）【须配帽子】</w:t>
      </w:r>
      <w:r>
        <w:rPr>
          <w:rFonts w:hint="eastAsia" w:ascii="宋体" w:hAnsi="宋体" w:cs="宋体"/>
          <w:sz w:val="24"/>
          <w:highlight w:val="none"/>
        </w:rPr>
      </w:r>
      <w:r/>
    </w:p>
    <w:p>
      <w:pPr>
        <w:pStyle w:val="942"/>
        <w:jc w:val="center"/>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2004428" cy="2814396"/>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2004428" cy="28143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57.8pt;height:221.6pt;mso-wrap-distance-left:0.0pt;mso-wrap-distance-top:0.0pt;mso-wrap-distance-right:0.0pt;mso-wrap-distance-bottom:0.0pt;" stroked="f">
                <v:path textboxrect="0,0,0,0"/>
                <v:imagedata r:id="rId38"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841500" cy="274066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841500" cy="2740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45.0pt;height:215.8pt;mso-wrap-distance-left:0.0pt;mso-wrap-distance-top:0.0pt;mso-wrap-distance-right:0.0pt;mso-wrap-distance-bottom:0.0pt;" stroked="f">
                <v:path textboxrect="0,0,0,0"/>
                <v:imagedata r:id="rId39" o:title=""/>
              </v:shape>
            </w:pict>
          </mc:Fallback>
        </mc:AlternateContent>
      </w:r>
      <w:r>
        <w:rPr>
          <w:rFonts w:hint="eastAsia" w:ascii="宋体" w:hAnsi="宋体" w:cs="宋体"/>
          <w:sz w:val="24"/>
          <w:highlight w:val="none"/>
        </w:rPr>
      </w:r>
      <w:r/>
    </w:p>
    <w:p>
      <w:pPr>
        <w:pStyle w:val="919"/>
        <w:jc w:val="center"/>
        <w:spacing w:line="360" w:lineRule="auto"/>
        <w:rPr>
          <w:rFonts w:hint="eastAsia" w:ascii="宋体" w:hAnsi="宋体" w:cs="宋体"/>
          <w:sz w:val="24"/>
          <w:highlight w:val="none"/>
        </w:rPr>
      </w:pPr>
      <w:r>
        <w:rPr>
          <w:rFonts w:hint="eastAsia" w:ascii="宋体" w:hAnsi="宋体" w:cs="宋体"/>
          <w:sz w:val="24"/>
          <w:highlight w:val="none"/>
        </w:rPr>
      </w:r>
      <w:r/>
    </w:p>
    <w:p>
      <w:pPr>
        <w:pStyle w:val="942"/>
        <w:jc w:val="center"/>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971675" cy="2780030"/>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971675" cy="2780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5.2pt;height:218.9pt;mso-wrap-distance-left:0.0pt;mso-wrap-distance-top:0.0pt;mso-wrap-distance-right:0.0pt;mso-wrap-distance-bottom:0.0pt;" stroked="f">
                <v:path textboxrect="0,0,0,0"/>
                <v:imagedata r:id="rId40" o:title=""/>
              </v:shape>
            </w:pict>
          </mc:Fallback>
        </mc:AlternateContent>
      </w:r>
      <w:r>
        <w:rPr>
          <w:rFonts w:hint="eastAsia" w:ascii="宋体" w:hAnsi="宋体" w:cs="宋体"/>
          <w:sz w:val="24"/>
          <w:highlight w:val="none"/>
        </w:rPr>
        <w:t xml:space="preserve">          </w:t>
      </w:r>
      <w:r>
        <w:rPr>
          <w:rFonts w:hint="eastAsia" w:ascii="宋体" w:hAnsi="宋体" w:cs="宋体"/>
          <w:sz w:val="24"/>
          <w:highlight w:val="none"/>
        </w:rPr>
        <mc:AlternateContent>
          <mc:Choice Requires="wpg">
            <w:drawing>
              <wp:inline xmlns:wp="http://schemas.openxmlformats.org/drawingml/2006/wordprocessingDrawing" distT="0" distB="0" distL="0" distR="0">
                <wp:extent cx="1865630" cy="2785745"/>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865630" cy="2785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46.9pt;height:219.3pt;mso-wrap-distance-left:0.0pt;mso-wrap-distance-top:0.0pt;mso-wrap-distance-right:0.0pt;mso-wrap-distance-bottom:0.0pt;" stroked="f">
                <v:path textboxrect="0,0,0,0"/>
                <v:imagedata r:id="rId41" o:title=""/>
              </v:shape>
            </w:pict>
          </mc:Fallback>
        </mc:AlternateContent>
      </w:r>
      <w:r>
        <w:rPr>
          <w:rFonts w:hint="eastAsia" w:ascii="宋体" w:hAnsi="宋体" w:cs="宋体"/>
          <w:sz w:val="24"/>
          <w:highlight w:val="none"/>
        </w:rPr>
      </w:r>
      <w:r/>
    </w:p>
    <w:p>
      <w:pPr>
        <w:pStyle w:val="919"/>
        <w:spacing w:line="360" w:lineRule="auto"/>
        <w:rPr>
          <w:rFonts w:hint="eastAsia" w:ascii="宋体" w:hAnsi="宋体" w:cs="宋体"/>
          <w:spacing w:val="9"/>
          <w:sz w:val="24"/>
          <w:highlight w:val="none"/>
        </w:rPr>
      </w:pPr>
      <w:r>
        <w:rPr>
          <w:rFonts w:hint="eastAsia" w:ascii="宋体" w:hAnsi="宋体" w:cs="宋体"/>
          <w:spacing w:val="9"/>
          <w:sz w:val="24"/>
          <w:highlight w:val="none"/>
        </w:rPr>
      </w:r>
      <w:r/>
    </w:p>
    <w:p>
      <w:pPr>
        <w:pStyle w:val="919"/>
        <w:spacing w:line="360" w:lineRule="auto"/>
        <w:rPr>
          <w:rFonts w:hint="eastAsia" w:ascii="宋体" w:hAnsi="宋体" w:cs="宋体"/>
          <w:b/>
          <w:bCs/>
          <w:sz w:val="24"/>
          <w:highlight w:val="none"/>
        </w:rPr>
      </w:pPr>
      <w:r/>
      <w:bookmarkStart w:id="117" w:name="_Toc13239"/>
      <w:r>
        <w:rPr>
          <w:rFonts w:hint="eastAsia" w:ascii="宋体" w:hAnsi="宋体" w:cs="宋体"/>
          <w:b/>
          <w:bCs/>
          <w:sz w:val="24"/>
          <w:highlight w:val="none"/>
        </w:rPr>
        <w:t xml:space="preserve">（五）标志、包装、运输和贮存</w:t>
      </w:r>
      <w:bookmarkEnd w:id="117"/>
      <w:r>
        <w:rPr>
          <w:rFonts w:hint="eastAsia" w:ascii="宋体" w:hAnsi="宋体" w:cs="宋体"/>
          <w:b/>
          <w:bCs/>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1、标志</w:t>
      </w:r>
      <w:r>
        <w:rPr>
          <w:rFonts w:hint="eastAsia" w:ascii="宋体" w:hAnsi="宋体" w:cs="宋体"/>
          <w:sz w:val="24"/>
          <w:highlight w:val="none"/>
        </w:rPr>
      </w:r>
      <w:r/>
    </w:p>
    <w:p>
      <w:pPr>
        <w:pStyle w:val="919"/>
        <w:ind w:firstLine="240"/>
        <w:spacing w:line="360" w:lineRule="auto"/>
        <w:rPr>
          <w:rFonts w:hint="eastAsia" w:ascii="宋体" w:hAnsi="宋体" w:cs="宋体"/>
          <w:sz w:val="24"/>
          <w:highlight w:val="none"/>
        </w:rPr>
      </w:pPr>
      <w:r/>
      <w:bookmarkStart w:id="118" w:name="_Toc3253"/>
      <w:r>
        <w:rPr>
          <w:rFonts w:hint="eastAsia" w:ascii="宋体" w:hAnsi="宋体" w:cs="宋体"/>
          <w:sz w:val="24"/>
          <w:highlight w:val="none"/>
        </w:rPr>
        <w:t xml:space="preserve">永久标志</w:t>
      </w:r>
      <w:bookmarkEnd w:id="118"/>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（1）每套（件、条）服装上应有：商标、号型规格标及洗涤标（内容包括：生产厂名称、产品名称、面料成分、维护符号）。</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（2）每套（件、条）服装应附有合格证，内容包括：生产厂名称、厂址、联系电话、产品名称、规格型号、等级、标准号、检验章。</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（3）运输、贮存图示标志应符合GB/T 191-2008包装储运图示标志 、GB/T 6388-1986运输包装收发货标志等有关的规定。</w:t>
      </w:r>
      <w:r>
        <w:rPr>
          <w:rFonts w:hint="eastAsia" w:ascii="宋体" w:hAnsi="宋体" w:cs="宋体"/>
          <w:sz w:val="24"/>
          <w:highlight w:val="none"/>
        </w:rPr>
      </w:r>
      <w:r/>
    </w:p>
    <w:p>
      <w:pPr>
        <w:pStyle w:val="919"/>
        <w:ind w:firstLine="240"/>
        <w:spacing w:line="360" w:lineRule="auto"/>
        <w:rPr>
          <w:rFonts w:hint="eastAsia" w:ascii="宋体" w:hAnsi="宋体" w:cs="宋体"/>
          <w:sz w:val="24"/>
          <w:highlight w:val="none"/>
        </w:rPr>
      </w:pPr>
      <w:r/>
      <w:bookmarkStart w:id="119" w:name="_Toc121"/>
      <w:r>
        <w:rPr>
          <w:rFonts w:hint="eastAsia" w:ascii="宋体" w:hAnsi="宋体" w:cs="宋体"/>
          <w:sz w:val="24"/>
          <w:highlight w:val="none"/>
        </w:rPr>
        <w:t xml:space="preserve">产品使用说明：</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使用说明是交付产品的组成部分，可采用胶条印刷形式缝钉在服装上或在产品包装上体现。产品说明书应包括以下内容：</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——本服装适用于在一般生产工作场所可能引发的静电场所，穿用的劳保服装。</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——本防静电服不适用于抗电源电压。</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——禁止在火灾爆炸危险场所穿、脱防静电服。</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——禁止在火灾爆炸危险场所穿用的静电服上附加或佩戴任何金属物件。</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——外层服装应完全遮盖住内层服装。分体式上装应足以盖住腰头，弯腰时不应露出腰头。</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——在静场所穿用防静电服时必须与相关国家标准中规定的防静电鞋配套穿用。</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——须使用中性（pH7～7.5）洗涤剂温水（40±3）℃洗涤，不得使用漂白剂。</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——不适用于工业洗涤。</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——深色和浅色服装应分开洗涤。</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2、包装</w:t>
      </w:r>
      <w:r>
        <w:rPr>
          <w:rFonts w:hint="eastAsia" w:ascii="宋体" w:hAnsi="宋体" w:cs="宋体"/>
          <w:sz w:val="24"/>
          <w:highlight w:val="none"/>
        </w:rPr>
      </w:r>
      <w:r/>
    </w:p>
    <w:p>
      <w:pPr>
        <w:pStyle w:val="919"/>
        <w:ind w:firstLine="240"/>
        <w:spacing w:line="360" w:lineRule="auto"/>
        <w:rPr>
          <w:rFonts w:hint="eastAsia" w:ascii="宋体" w:hAnsi="宋体" w:cs="宋体"/>
          <w:sz w:val="24"/>
          <w:highlight w:val="none"/>
        </w:rPr>
      </w:pPr>
      <w:r>
        <w:rPr>
          <w:rFonts w:hint="eastAsia" w:ascii="宋体" w:hAnsi="宋体" w:cs="宋体"/>
          <w:sz w:val="24"/>
          <w:highlight w:val="none"/>
        </w:rPr>
        <w:t xml:space="preserve">内包装：</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每套（件、条）服装一个塑料袋，塑料袋材质、规格应与产品相适应，袋面应有排气孔；袋面醒目部位应</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标识服装号型。服装装入塑料袋要平整，松紧适宜，封口应牢固。</w:t>
      </w:r>
      <w:bookmarkStart w:id="120" w:name="_Toc3817"/>
      <w:r>
        <w:rPr>
          <w:rFonts w:hint="eastAsia" w:ascii="宋体" w:hAnsi="宋体" w:cs="宋体"/>
          <w:sz w:val="24"/>
          <w:highlight w:val="none"/>
        </w:rPr>
      </w:r>
      <w:r/>
    </w:p>
    <w:p>
      <w:pPr>
        <w:pStyle w:val="919"/>
        <w:ind w:firstLine="240"/>
        <w:spacing w:line="360" w:lineRule="auto"/>
        <w:rPr>
          <w:rFonts w:hint="eastAsia" w:ascii="宋体" w:hAnsi="宋体" w:cs="宋体"/>
          <w:sz w:val="24"/>
          <w:highlight w:val="none"/>
        </w:rPr>
      </w:pPr>
      <w:r>
        <w:rPr>
          <w:rFonts w:hint="eastAsia" w:ascii="宋体" w:hAnsi="宋体" w:cs="宋体"/>
          <w:sz w:val="24"/>
          <w:highlight w:val="none"/>
        </w:rPr>
        <w:t xml:space="preserve">外包装</w:t>
      </w:r>
      <w:bookmarkEnd w:id="120"/>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（1）纸箱采用瓦楞纸箱材质，材料应清洁、干燥、牢固，具体尺寸规格应与服装相适应。瓦楞纸箱的技术要求应符合GB/T 6543-2008 运输包装用单瓦楞纸箱和双瓦楞纸箱的规定。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（2）箱内应放入装箱清单，清单内容包括：产品名称、号型、数量等。</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（3）箱外明显处应注明：各箱号/总箱数、生产厂名称、厂址、产品名称、号型、数量。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（4）纸箱盖、底封口须用封箱带封贴严密、牢固，封箱带贴正、贴平，封箱带质量应符合QB/T 2422-1998 封箱用BOPP压敏胶粘带的规定。</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（5）箱外可用捆扎带等捆扎结实、卡扣牢固，捆扎带质量应符合QB/T 3811-1999 塑料打包带的规定。</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bookmarkStart w:id="121" w:name="_Toc19458"/>
      <w:r>
        <w:rPr>
          <w:rFonts w:hint="eastAsia" w:ascii="宋体" w:hAnsi="宋体" w:cs="宋体"/>
          <w:sz w:val="24"/>
          <w:highlight w:val="none"/>
        </w:rPr>
        <w:t xml:space="preserve">3、运输</w:t>
      </w:r>
      <w:bookmarkEnd w:id="121"/>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（1）运输时物品应码放整齐并固定牢固，不得受潮、雨淋、暴晒。</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（2）产品包装件的运输工具应干燥、洁净、平整，严禁与油、酸、碱类或其他腐蚀性化学物品混放。</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bookmarkStart w:id="122" w:name="_Toc6501"/>
      <w:r>
        <w:rPr>
          <w:rFonts w:hint="eastAsia" w:ascii="宋体" w:hAnsi="宋体" w:cs="宋体"/>
          <w:sz w:val="24"/>
          <w:highlight w:val="none"/>
        </w:rPr>
        <w:t xml:space="preserve">4、贮存</w:t>
      </w:r>
      <w:bookmarkEnd w:id="122"/>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产品包装件不得与有腐蚀性的物品放在一起，存放处应干燥通风，包装箱距离墙面、地面20以上，防止鼠咬、虫蛀、霉变。</w:t>
      </w:r>
      <w:bookmarkEnd w:id="119"/>
      <w:r>
        <w:rPr>
          <w:rFonts w:hint="eastAsia" w:ascii="宋体" w:hAnsi="宋体" w:cs="宋体"/>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t xml:space="preserve">（六）服装检验及质量验收</w:t>
      </w:r>
      <w:r>
        <w:rPr>
          <w:rFonts w:hint="eastAsia" w:ascii="宋体" w:hAnsi="宋体" w:cs="宋体"/>
          <w:b/>
          <w:bCs/>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t xml:space="preserve">6.1服装制造过程的抽检：</w:t>
      </w:r>
      <w:r>
        <w:rPr>
          <w:rFonts w:hint="eastAsia" w:ascii="宋体" w:hAnsi="宋体" w:cs="宋体"/>
          <w:b/>
          <w:bCs/>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6.1.1中标单位在原材料到齐后告知采购人，由采购人组织对原材料进行随机抽样检验，检验合格后方可安排大货生产。抽样检验时，采购人所提到的需修正或改进的问题，中标人需要按照采购人的要求修正。</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6.1.2服装生产过程中采购人有权随时到中标人生产线进行抽查，中标人需予以配合并提供便利。检查内容包括但不限于：面料、重要辅料的检验、抽检；制造过程的检验。</w:t>
      </w:r>
      <w:r>
        <w:rPr>
          <w:rFonts w:hint="eastAsia" w:ascii="宋体" w:hAnsi="宋体" w:cs="宋体"/>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t xml:space="preserve">6.2成品出厂检验：</w:t>
      </w:r>
      <w:r>
        <w:rPr>
          <w:rFonts w:hint="eastAsia" w:ascii="宋体" w:hAnsi="宋体" w:cs="宋体"/>
          <w:b/>
          <w:bCs/>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供应商在大货生产即将结束</w:t>
      </w:r>
      <w:r>
        <w:rPr>
          <w:rFonts w:hint="eastAsia" w:ascii="宋体" w:hAnsi="宋体" w:cs="宋体"/>
          <w:spacing w:val="9"/>
          <w:sz w:val="24"/>
          <w:highlight w:val="none"/>
        </w:rPr>
        <w:t xml:space="preserve">出厂交货前</w:t>
      </w:r>
      <w:r>
        <w:rPr>
          <w:rFonts w:hint="eastAsia" w:ascii="宋体" w:hAnsi="宋体" w:cs="宋体"/>
          <w:sz w:val="24"/>
          <w:highlight w:val="none"/>
        </w:rPr>
        <w:t xml:space="preserve">告知采购人，由采购人组织对成品进行随机抽样检验，检验合格后方可安排发货。</w:t>
      </w:r>
      <w:r>
        <w:rPr>
          <w:rFonts w:hint="eastAsia" w:ascii="宋体" w:hAnsi="宋体" w:cs="宋体"/>
          <w:spacing w:val="9"/>
          <w:sz w:val="24"/>
          <w:highlight w:val="none"/>
        </w:rPr>
        <w:t xml:space="preserve">检验样本由采购人或其委托第三方从企业生产的产品中随机抽取，样品数量以满足全部测试项目要求为原则。</w:t>
      </w:r>
      <w:r>
        <w:rPr>
          <w:rFonts w:hint="eastAsia" w:ascii="宋体" w:hAnsi="宋体" w:cs="宋体"/>
          <w:sz w:val="24"/>
          <w:highlight w:val="none"/>
        </w:rPr>
        <w:t xml:space="preserve">相关送检费用及补缺（将抽检出的产品补齐）的费用由中标单位承担。</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按照生产批次对成品逐批进行出厂检验，各测试项目、测试样本大小、不合格分类、判定数组见表10。</w:t>
      </w:r>
      <w:r>
        <w:rPr>
          <w:rFonts w:hint="eastAsia" w:ascii="宋体" w:hAnsi="宋体" w:cs="宋体"/>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表10 出厂检验测试项目、样本大小、不合格分类及判定数组</w:t>
      </w:r>
      <w:r>
        <w:rPr>
          <w:rFonts w:hint="eastAsia" w:ascii="宋体" w:hAnsi="宋体" w:cs="宋体"/>
          <w:spacing w:val="9"/>
          <w:sz w:val="24"/>
          <w:highlight w:val="none"/>
        </w:rPr>
      </w:r>
      <w:r/>
    </w:p>
    <w:tbl>
      <w:tblPr>
        <w:tblW w:w="4998"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869"/>
        <w:gridCol w:w="1432"/>
        <w:gridCol w:w="1288"/>
        <w:gridCol w:w="1005"/>
        <w:gridCol w:w="1574"/>
        <w:gridCol w:w="1580"/>
      </w:tblGrid>
      <w:tr>
        <w:trPr/>
        <w:tc>
          <w:tcPr>
            <w:tcW w:w="1471"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测试项目</w:t>
            </w:r>
            <w:r>
              <w:rPr>
                <w:rFonts w:hint="eastAsia" w:ascii="宋体" w:hAnsi="宋体" w:cs="宋体"/>
                <w:spacing w:val="9"/>
                <w:sz w:val="24"/>
                <w:highlight w:val="none"/>
              </w:rPr>
            </w:r>
            <w:r/>
          </w:p>
        </w:tc>
        <w:tc>
          <w:tcPr>
            <w:tcW w:w="734"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批量范围</w:t>
            </w:r>
            <w:r>
              <w:rPr>
                <w:rFonts w:hint="eastAsia" w:ascii="宋体" w:hAnsi="宋体" w:cs="宋体"/>
                <w:spacing w:val="9"/>
                <w:sz w:val="24"/>
                <w:highlight w:val="none"/>
              </w:rPr>
            </w:r>
            <w:r/>
          </w:p>
        </w:tc>
        <w:tc>
          <w:tcPr>
            <w:tcW w:w="660"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单项测试</w:t>
            </w: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样本大小</w:t>
            </w:r>
            <w:r>
              <w:rPr>
                <w:rFonts w:hint="eastAsia" w:ascii="宋体" w:hAnsi="宋体" w:cs="宋体"/>
                <w:spacing w:val="9"/>
                <w:sz w:val="24"/>
                <w:highlight w:val="none"/>
              </w:rPr>
            </w:r>
            <w:r/>
          </w:p>
        </w:tc>
        <w:tc>
          <w:tcPr>
            <w:tcW w:w="515"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不合格</w:t>
            </w: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分类</w:t>
            </w:r>
            <w:r>
              <w:rPr>
                <w:rFonts w:hint="eastAsia" w:ascii="宋体" w:hAnsi="宋体" w:cs="宋体"/>
                <w:spacing w:val="9"/>
                <w:sz w:val="24"/>
                <w:highlight w:val="none"/>
              </w:rPr>
            </w:r>
            <w:r/>
          </w:p>
        </w:tc>
        <w:tc>
          <w:tcPr>
            <w:gridSpan w:val="2"/>
            <w:tcW w:w="3154"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单项判定数组</w:t>
            </w:r>
            <w:r>
              <w:rPr>
                <w:rFonts w:hint="eastAsia" w:ascii="宋体" w:hAnsi="宋体" w:cs="宋体"/>
                <w:spacing w:val="9"/>
                <w:sz w:val="24"/>
                <w:highlight w:val="none"/>
              </w:rPr>
            </w:r>
            <w:r/>
          </w:p>
        </w:tc>
      </w:tr>
      <w:tr>
        <w:trPr/>
        <w:tc>
          <w:tcPr>
            <w:tcW w:w="1471"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734"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660"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515"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7"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合格判定数</w:t>
            </w:r>
            <w:r>
              <w:rPr>
                <w:rFonts w:hint="eastAsia" w:ascii="宋体" w:hAnsi="宋体" w:cs="宋体"/>
                <w:spacing w:val="9"/>
                <w:sz w:val="24"/>
                <w:highlight w:val="none"/>
              </w:rPr>
            </w:r>
            <w:r/>
          </w:p>
        </w:tc>
        <w:tc>
          <w:tcPr>
            <w:tcW w:w="809"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不合格判定数</w:t>
            </w:r>
            <w:r>
              <w:rPr>
                <w:rFonts w:hint="eastAsia" w:ascii="宋体" w:hAnsi="宋体" w:cs="宋体"/>
                <w:spacing w:val="9"/>
                <w:sz w:val="24"/>
                <w:highlight w:val="none"/>
              </w:rPr>
            </w:r>
            <w:r/>
          </w:p>
        </w:tc>
      </w:tr>
      <w:tr>
        <w:trPr/>
        <w:tc>
          <w:tcPr>
            <w:tcW w:w="1471"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附件衬里、</w:t>
            </w: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点对点电阻、</w:t>
            </w: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带电电荷量、尺寸变化率 断裂强力、标识</w:t>
            </w:r>
            <w:r>
              <w:rPr>
                <w:rFonts w:hint="eastAsia" w:ascii="宋体" w:hAnsi="宋体" w:cs="宋体"/>
                <w:spacing w:val="9"/>
                <w:sz w:val="24"/>
                <w:highlight w:val="none"/>
              </w:rPr>
            </w:r>
            <w:r/>
          </w:p>
        </w:tc>
        <w:tc>
          <w:tcPr>
            <w:tcW w:w="734"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≤100</w:t>
            </w:r>
            <w:r>
              <w:rPr>
                <w:rFonts w:hint="eastAsia" w:ascii="宋体" w:hAnsi="宋体" w:cs="宋体"/>
                <w:spacing w:val="9"/>
                <w:sz w:val="24"/>
                <w:highlight w:val="none"/>
              </w:rPr>
            </w:r>
            <w:r/>
          </w:p>
        </w:tc>
        <w:tc>
          <w:tcPr>
            <w:tcW w:w="660"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2</w:t>
            </w:r>
            <w:r>
              <w:rPr>
                <w:rFonts w:hint="eastAsia" w:ascii="宋体" w:hAnsi="宋体" w:cs="宋体"/>
                <w:spacing w:val="9"/>
                <w:sz w:val="24"/>
                <w:highlight w:val="none"/>
              </w:rPr>
            </w:r>
            <w:r/>
          </w:p>
        </w:tc>
        <w:tc>
          <w:tcPr>
            <w:tcW w:w="515"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A</w:t>
            </w:r>
            <w:r>
              <w:rPr>
                <w:rFonts w:hint="eastAsia" w:ascii="宋体" w:hAnsi="宋体" w:cs="宋体"/>
                <w:spacing w:val="9"/>
                <w:sz w:val="24"/>
                <w:highlight w:val="none"/>
              </w:rPr>
            </w:r>
            <w:r/>
          </w:p>
        </w:tc>
        <w:tc>
          <w:tcPr>
            <w:tcW w:w="807"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0</w:t>
            </w:r>
            <w:r>
              <w:rPr>
                <w:rFonts w:hint="eastAsia" w:ascii="宋体" w:hAnsi="宋体" w:cs="宋体"/>
                <w:spacing w:val="9"/>
                <w:sz w:val="24"/>
                <w:highlight w:val="none"/>
              </w:rPr>
            </w:r>
            <w:r/>
          </w:p>
        </w:tc>
        <w:tc>
          <w:tcPr>
            <w:tcW w:w="809"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w:t>
            </w:r>
            <w:r>
              <w:rPr>
                <w:rFonts w:hint="eastAsia" w:ascii="宋体" w:hAnsi="宋体" w:cs="宋体"/>
                <w:spacing w:val="9"/>
                <w:sz w:val="24"/>
                <w:highlight w:val="none"/>
              </w:rPr>
            </w:r>
            <w:r/>
          </w:p>
        </w:tc>
      </w:tr>
      <w:tr>
        <w:trPr/>
        <w:tc>
          <w:tcPr>
            <w:tcW w:w="1471"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734"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101～1000</w:t>
            </w:r>
            <w:r>
              <w:rPr>
                <w:rFonts w:hint="eastAsia" w:ascii="宋体" w:hAnsi="宋体" w:cs="宋体"/>
                <w:spacing w:val="9"/>
                <w:sz w:val="24"/>
                <w:highlight w:val="none"/>
              </w:rPr>
            </w:r>
            <w:r/>
          </w:p>
        </w:tc>
        <w:tc>
          <w:tcPr>
            <w:tcW w:w="660"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3</w:t>
            </w:r>
            <w:r>
              <w:rPr>
                <w:rFonts w:hint="eastAsia" w:ascii="宋体" w:hAnsi="宋体" w:cs="宋体"/>
                <w:spacing w:val="9"/>
                <w:sz w:val="24"/>
                <w:highlight w:val="none"/>
              </w:rPr>
            </w:r>
            <w:r/>
          </w:p>
        </w:tc>
        <w:tc>
          <w:tcPr>
            <w:tcW w:w="515"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7"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9"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r>
      <w:tr>
        <w:trPr/>
        <w:tc>
          <w:tcPr>
            <w:tcW w:w="1471"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734"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≥1001</w:t>
            </w:r>
            <w:r>
              <w:rPr>
                <w:rFonts w:hint="eastAsia" w:ascii="宋体" w:hAnsi="宋体" w:cs="宋体"/>
                <w:spacing w:val="9"/>
                <w:sz w:val="24"/>
                <w:highlight w:val="none"/>
              </w:rPr>
            </w:r>
            <w:r/>
          </w:p>
        </w:tc>
        <w:tc>
          <w:tcPr>
            <w:tcW w:w="660"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5</w:t>
            </w:r>
            <w:r>
              <w:rPr>
                <w:rFonts w:hint="eastAsia" w:ascii="宋体" w:hAnsi="宋体" w:cs="宋体"/>
                <w:spacing w:val="9"/>
                <w:sz w:val="24"/>
                <w:highlight w:val="none"/>
              </w:rPr>
            </w:r>
            <w:r/>
          </w:p>
        </w:tc>
        <w:tc>
          <w:tcPr>
            <w:tcW w:w="515"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7"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9"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r>
      <w:tr>
        <w:trPr/>
        <w:tc>
          <w:tcPr>
            <w:tcW w:w="1471"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外观质量、</w:t>
            </w: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款式、结构、缝制</w:t>
            </w:r>
            <w:r>
              <w:rPr>
                <w:rFonts w:hint="eastAsia" w:ascii="宋体" w:hAnsi="宋体" w:cs="宋体"/>
                <w:spacing w:val="9"/>
                <w:sz w:val="24"/>
                <w:highlight w:val="none"/>
              </w:rPr>
            </w:r>
            <w:r/>
          </w:p>
        </w:tc>
        <w:tc>
          <w:tcPr>
            <w:tcW w:w="734"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≤100</w:t>
            </w:r>
            <w:r>
              <w:rPr>
                <w:rFonts w:hint="eastAsia" w:ascii="宋体" w:hAnsi="宋体" w:cs="宋体"/>
                <w:spacing w:val="9"/>
                <w:sz w:val="24"/>
                <w:highlight w:val="none"/>
              </w:rPr>
            </w:r>
            <w:r/>
          </w:p>
        </w:tc>
        <w:tc>
          <w:tcPr>
            <w:tcW w:w="660"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2</w:t>
            </w:r>
            <w:r>
              <w:rPr>
                <w:rFonts w:hint="eastAsia" w:ascii="宋体" w:hAnsi="宋体" w:cs="宋体"/>
                <w:spacing w:val="9"/>
                <w:sz w:val="24"/>
                <w:highlight w:val="none"/>
              </w:rPr>
            </w:r>
            <w:r/>
          </w:p>
        </w:tc>
        <w:tc>
          <w:tcPr>
            <w:tcW w:w="515"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B</w:t>
            </w:r>
            <w:r>
              <w:rPr>
                <w:rFonts w:hint="eastAsia" w:ascii="宋体" w:hAnsi="宋体" w:cs="宋体"/>
                <w:spacing w:val="9"/>
                <w:sz w:val="24"/>
                <w:highlight w:val="none"/>
              </w:rPr>
            </w:r>
            <w:r/>
          </w:p>
        </w:tc>
        <w:tc>
          <w:tcPr>
            <w:tcW w:w="807"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w:t>
            </w:r>
            <w:r>
              <w:rPr>
                <w:rFonts w:hint="eastAsia" w:ascii="宋体" w:hAnsi="宋体" w:cs="宋体"/>
                <w:spacing w:val="9"/>
                <w:sz w:val="24"/>
                <w:highlight w:val="none"/>
              </w:rPr>
            </w:r>
            <w:r/>
          </w:p>
        </w:tc>
        <w:tc>
          <w:tcPr>
            <w:tcW w:w="809" w:type="dxa"/>
            <w:vAlign w:val="center"/>
            <w:vMerge w:val="restart"/>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2</w:t>
            </w:r>
            <w:r>
              <w:rPr>
                <w:rFonts w:hint="eastAsia" w:ascii="宋体" w:hAnsi="宋体" w:cs="宋体"/>
                <w:spacing w:val="9"/>
                <w:sz w:val="24"/>
                <w:highlight w:val="none"/>
              </w:rPr>
            </w:r>
            <w:r/>
          </w:p>
        </w:tc>
      </w:tr>
      <w:tr>
        <w:trPr/>
        <w:tc>
          <w:tcPr>
            <w:tcW w:w="1471"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734"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101～1000</w:t>
            </w:r>
            <w:r>
              <w:rPr>
                <w:rFonts w:hint="eastAsia" w:ascii="宋体" w:hAnsi="宋体" w:cs="宋体"/>
                <w:spacing w:val="9"/>
                <w:sz w:val="24"/>
                <w:highlight w:val="none"/>
              </w:rPr>
            </w:r>
            <w:r/>
          </w:p>
        </w:tc>
        <w:tc>
          <w:tcPr>
            <w:tcW w:w="660"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3</w:t>
            </w:r>
            <w:r>
              <w:rPr>
                <w:rFonts w:hint="eastAsia" w:ascii="宋体" w:hAnsi="宋体" w:cs="宋体"/>
                <w:spacing w:val="9"/>
                <w:sz w:val="24"/>
                <w:highlight w:val="none"/>
              </w:rPr>
            </w:r>
            <w:r/>
          </w:p>
        </w:tc>
        <w:tc>
          <w:tcPr>
            <w:tcW w:w="515"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7"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9"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r>
      <w:tr>
        <w:trPr/>
        <w:tc>
          <w:tcPr>
            <w:tcW w:w="1471"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734"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≥1001</w:t>
            </w:r>
            <w:r>
              <w:rPr>
                <w:rFonts w:hint="eastAsia" w:ascii="宋体" w:hAnsi="宋体" w:cs="宋体"/>
                <w:spacing w:val="9"/>
                <w:sz w:val="24"/>
                <w:highlight w:val="none"/>
              </w:rPr>
            </w:r>
            <w:r/>
          </w:p>
        </w:tc>
        <w:tc>
          <w:tcPr>
            <w:tcW w:w="660" w:type="dxa"/>
            <w:vAlign w:val="center"/>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5</w:t>
            </w:r>
            <w:r>
              <w:rPr>
                <w:rFonts w:hint="eastAsia" w:ascii="宋体" w:hAnsi="宋体" w:cs="宋体"/>
                <w:spacing w:val="9"/>
                <w:sz w:val="24"/>
                <w:highlight w:val="none"/>
              </w:rPr>
            </w:r>
            <w:r/>
          </w:p>
        </w:tc>
        <w:tc>
          <w:tcPr>
            <w:tcW w:w="515"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7"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c>
          <w:tcPr>
            <w:tcW w:w="809" w:type="dxa"/>
            <w:vAlign w:val="center"/>
            <w:vMerge w:val="continue"/>
            <w:textDirection w:val="lrTb"/>
            <w:noWrap w:val="false"/>
          </w:tcPr>
          <w:p>
            <w:pPr>
              <w:pStyle w:val="919"/>
              <w:jc w:val="center"/>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r>
            <w:r/>
          </w:p>
        </w:tc>
      </w:tr>
    </w:tbl>
    <w:p>
      <w:pPr>
        <w:pStyle w:val="919"/>
        <w:ind w:firstLine="516"/>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抽样规定：外观检验和理化检验抽样数量根据产品批量按</w:t>
      </w:r>
      <w:r>
        <w:rPr>
          <w:rFonts w:hint="eastAsia" w:ascii="宋体" w:hAnsi="宋体" w:cs="宋体"/>
          <w:sz w:val="24"/>
          <w:highlight w:val="none"/>
        </w:rPr>
        <w:t xml:space="preserve">表</w:t>
      </w:r>
      <w:r>
        <w:rPr>
          <w:rFonts w:hint="eastAsia" w:ascii="宋体" w:hAnsi="宋体" w:cs="宋体"/>
          <w:spacing w:val="9"/>
          <w:sz w:val="24"/>
          <w:highlight w:val="none"/>
        </w:rPr>
        <w:t xml:space="preserve">10规定进行。</w:t>
      </w:r>
      <w:r>
        <w:rPr>
          <w:rFonts w:hint="eastAsia" w:ascii="宋体" w:hAnsi="宋体" w:cs="宋体"/>
          <w:spacing w:val="9"/>
          <w:sz w:val="24"/>
          <w:highlight w:val="none"/>
        </w:rPr>
      </w:r>
      <w:r/>
    </w:p>
    <w:p>
      <w:pPr>
        <w:pStyle w:val="919"/>
        <w:spacing w:before="65" w:line="360" w:lineRule="auto"/>
        <w:rPr>
          <w:rFonts w:hint="eastAsia" w:ascii="宋体" w:hAnsi="宋体" w:cs="宋体"/>
          <w:spacing w:val="9"/>
          <w:sz w:val="24"/>
          <w:highlight w:val="none"/>
        </w:rPr>
      </w:pPr>
      <w:r>
        <w:rPr>
          <w:rFonts w:hint="eastAsia" w:ascii="宋体" w:hAnsi="宋体" w:cs="宋体"/>
          <w:b/>
          <w:bCs/>
          <w:sz w:val="24"/>
          <w:highlight w:val="none"/>
        </w:rPr>
        <w:t xml:space="preserve">6.3成品检验判定规则：</w:t>
      </w:r>
      <w:r>
        <w:rPr>
          <w:rFonts w:hint="eastAsia" w:ascii="宋体" w:hAnsi="宋体" w:cs="宋体"/>
          <w:spacing w:val="9"/>
          <w:sz w:val="24"/>
          <w:highlight w:val="none"/>
        </w:rPr>
      </w:r>
      <w:r/>
    </w:p>
    <w:p>
      <w:pPr>
        <w:pStyle w:val="919"/>
        <w:ind w:firstLine="240"/>
        <w:spacing w:before="65" w:line="360" w:lineRule="auto"/>
        <w:rPr>
          <w:rFonts w:hint="eastAsia" w:ascii="宋体" w:hAnsi="宋体" w:cs="宋体"/>
          <w:spacing w:val="9"/>
          <w:sz w:val="24"/>
          <w:highlight w:val="none"/>
        </w:rPr>
      </w:pPr>
      <w:r>
        <w:rPr>
          <w:rFonts w:hint="eastAsia" w:ascii="宋体" w:hAnsi="宋体" w:cs="宋体"/>
          <w:sz w:val="24"/>
          <w:highlight w:val="none"/>
        </w:rPr>
        <w:t xml:space="preserve">6.3.1</w:t>
      </w:r>
      <w:r>
        <w:rPr>
          <w:rFonts w:hint="eastAsia" w:ascii="宋体" w:hAnsi="宋体" w:cs="宋体"/>
          <w:spacing w:val="9"/>
          <w:sz w:val="24"/>
          <w:highlight w:val="none"/>
        </w:rPr>
        <w:t xml:space="preserve">分为单件判定和单件外观判定：</w:t>
      </w:r>
      <w:r>
        <w:rPr>
          <w:rFonts w:hint="eastAsia" w:ascii="宋体" w:hAnsi="宋体" w:cs="宋体"/>
          <w:spacing w:val="9"/>
          <w:sz w:val="24"/>
          <w:highlight w:val="none"/>
        </w:rPr>
      </w:r>
      <w:r/>
    </w:p>
    <w:p>
      <w:pPr>
        <w:pStyle w:val="919"/>
        <w:ind w:firstLine="516"/>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判定标准：按照国家标准“合格品”要求判定。</w:t>
      </w:r>
      <w:r>
        <w:rPr>
          <w:rFonts w:hint="eastAsia" w:ascii="宋体" w:hAnsi="宋体" w:cs="宋体"/>
          <w:spacing w:val="9"/>
          <w:sz w:val="24"/>
          <w:highlight w:val="none"/>
        </w:rPr>
      </w:r>
      <w:r/>
    </w:p>
    <w:p>
      <w:pPr>
        <w:pStyle w:val="919"/>
        <w:ind w:firstLine="240"/>
        <w:spacing w:before="65" w:line="360" w:lineRule="auto"/>
        <w:rPr>
          <w:rFonts w:hint="eastAsia" w:ascii="宋体" w:hAnsi="宋体" w:cs="宋体"/>
          <w:spacing w:val="9"/>
          <w:sz w:val="24"/>
          <w:highlight w:val="none"/>
        </w:rPr>
      </w:pPr>
      <w:r>
        <w:rPr>
          <w:rFonts w:hint="eastAsia" w:ascii="宋体" w:hAnsi="宋体" w:cs="宋体"/>
          <w:sz w:val="24"/>
          <w:highlight w:val="none"/>
        </w:rPr>
        <w:t xml:space="preserve">6.3.2</w:t>
      </w:r>
      <w:r>
        <w:rPr>
          <w:rFonts w:hint="eastAsia" w:ascii="宋体" w:hAnsi="宋体" w:cs="宋体"/>
          <w:spacing w:val="9"/>
          <w:sz w:val="24"/>
          <w:highlight w:val="none"/>
        </w:rPr>
        <w:t xml:space="preserve">单件理化性能判定：</w:t>
      </w:r>
      <w:r>
        <w:rPr>
          <w:rFonts w:hint="eastAsia" w:ascii="宋体" w:hAnsi="宋体" w:cs="宋体"/>
          <w:spacing w:val="9"/>
          <w:sz w:val="24"/>
          <w:highlight w:val="none"/>
        </w:rPr>
      </w:r>
      <w:r/>
    </w:p>
    <w:p>
      <w:pPr>
        <w:pStyle w:val="919"/>
        <w:ind w:firstLine="516"/>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理化性能测试有一项不合格，则该样品判定为不合格。</w:t>
      </w:r>
      <w:r>
        <w:rPr>
          <w:rFonts w:hint="eastAsia" w:ascii="宋体" w:hAnsi="宋体" w:cs="宋体"/>
          <w:spacing w:val="9"/>
          <w:sz w:val="24"/>
          <w:highlight w:val="none"/>
        </w:rPr>
      </w:r>
      <w:r/>
    </w:p>
    <w:p>
      <w:pPr>
        <w:pStyle w:val="919"/>
        <w:ind w:firstLine="240"/>
        <w:spacing w:before="65" w:line="360" w:lineRule="auto"/>
        <w:rPr>
          <w:rFonts w:hint="eastAsia" w:ascii="宋体" w:hAnsi="宋体" w:cs="宋体"/>
          <w:spacing w:val="9"/>
          <w:sz w:val="24"/>
          <w:highlight w:val="none"/>
        </w:rPr>
      </w:pPr>
      <w:r>
        <w:rPr>
          <w:rFonts w:hint="eastAsia" w:ascii="宋体" w:hAnsi="宋体" w:cs="宋体"/>
          <w:sz w:val="24"/>
          <w:highlight w:val="none"/>
        </w:rPr>
        <w:t xml:space="preserve">6.3.3</w:t>
      </w:r>
      <w:r>
        <w:rPr>
          <w:rFonts w:hint="eastAsia" w:ascii="宋体" w:hAnsi="宋体" w:cs="宋体"/>
          <w:spacing w:val="9"/>
          <w:sz w:val="24"/>
          <w:highlight w:val="none"/>
        </w:rPr>
        <w:t xml:space="preserve">批量判定：</w:t>
      </w:r>
      <w:r>
        <w:rPr>
          <w:rFonts w:hint="eastAsia" w:ascii="宋体" w:hAnsi="宋体" w:cs="宋体"/>
          <w:spacing w:val="9"/>
          <w:sz w:val="24"/>
          <w:highlight w:val="none"/>
        </w:rPr>
      </w:r>
      <w:r/>
    </w:p>
    <w:p>
      <w:pPr>
        <w:pStyle w:val="919"/>
        <w:ind w:firstLine="516"/>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合格品批量判定条件：如6.3.1、6.3.2检验判定为“不合格”，采购人组织对成品进行批量抽样检验判定，数量不低于采购数量的2%；</w:t>
      </w:r>
      <w:r>
        <w:rPr>
          <w:rFonts w:hint="eastAsia" w:ascii="宋体" w:hAnsi="宋体" w:cs="宋体"/>
          <w:spacing w:val="9"/>
          <w:sz w:val="24"/>
          <w:highlight w:val="none"/>
        </w:rPr>
      </w:r>
      <w:r/>
    </w:p>
    <w:p>
      <w:pPr>
        <w:pStyle w:val="919"/>
        <w:ind w:firstLine="516"/>
        <w:spacing w:before="65" w:line="360" w:lineRule="auto"/>
        <w:rPr>
          <w:rFonts w:hint="eastAsia" w:ascii="宋体" w:hAnsi="宋体" w:cs="宋体"/>
          <w:spacing w:val="9"/>
          <w:sz w:val="24"/>
          <w:highlight w:val="none"/>
        </w:rPr>
      </w:pPr>
      <w:r>
        <w:rPr>
          <w:rFonts w:hint="eastAsia" w:ascii="宋体" w:hAnsi="宋体" w:cs="宋体"/>
          <w:spacing w:val="9"/>
          <w:sz w:val="24"/>
          <w:highlight w:val="none"/>
        </w:rPr>
        <w:t xml:space="preserve">合格品判定标准：外观样本中的合格品以上的产品数≥95% ，不合格品数≤5%（不含严重缺陷不合格品），且理化性能达到合格品指标要求。理化性能测试有一项不合格，批量判定为不合格。</w:t>
      </w:r>
      <w:r>
        <w:rPr>
          <w:rFonts w:hint="eastAsia" w:ascii="宋体" w:hAnsi="宋体" w:cs="宋体"/>
          <w:spacing w:val="9"/>
          <w:sz w:val="24"/>
          <w:highlight w:val="none"/>
        </w:rPr>
      </w:r>
      <w:r/>
    </w:p>
    <w:p>
      <w:pPr>
        <w:pStyle w:val="919"/>
        <w:ind w:firstLine="516"/>
        <w:spacing w:before="65" w:line="360" w:lineRule="auto"/>
        <w:rPr>
          <w:rFonts w:hint="eastAsia" w:ascii="宋体" w:hAnsi="宋体" w:cs="宋体"/>
          <w:sz w:val="24"/>
          <w:highlight w:val="none"/>
        </w:rPr>
      </w:pPr>
      <w:r>
        <w:rPr>
          <w:rFonts w:hint="eastAsia" w:ascii="宋体" w:hAnsi="宋体" w:cs="宋体"/>
          <w:spacing w:val="9"/>
          <w:sz w:val="24"/>
          <w:highlight w:val="none"/>
        </w:rPr>
        <w:t xml:space="preserve">不合格品处置：如中标单位成品批量抽检不合格，视为中标单位无法履行合同。采购人有权拒绝接收货物及付款，并单方面终止合同，中标单位应在30日内将采购人已支付的货款全额退还。</w:t>
      </w:r>
      <w:r>
        <w:rPr>
          <w:rFonts w:hint="eastAsia" w:ascii="宋体" w:hAnsi="宋体" w:cs="宋体"/>
          <w:sz w:val="24"/>
          <w:highlight w:val="none"/>
        </w:rPr>
      </w:r>
      <w:r/>
    </w:p>
    <w:p>
      <w:pPr>
        <w:pStyle w:val="919"/>
        <w:spacing w:before="65" w:line="360" w:lineRule="auto"/>
        <w:rPr>
          <w:rFonts w:hint="eastAsia" w:ascii="宋体" w:hAnsi="宋体" w:cs="宋体"/>
          <w:b/>
          <w:bCs/>
          <w:spacing w:val="9"/>
          <w:sz w:val="24"/>
          <w:highlight w:val="none"/>
        </w:rPr>
      </w:pPr>
      <w:r>
        <w:rPr>
          <w:rFonts w:hint="eastAsia" w:ascii="宋体" w:hAnsi="宋体" w:cs="宋体"/>
          <w:b/>
          <w:bCs/>
          <w:spacing w:val="9"/>
          <w:sz w:val="24"/>
          <w:highlight w:val="none"/>
        </w:rPr>
        <w:t xml:space="preserve">6.4检验说明：</w:t>
      </w:r>
      <w:r>
        <w:rPr>
          <w:rFonts w:hint="eastAsia" w:ascii="宋体" w:hAnsi="宋体" w:cs="宋体"/>
          <w:b/>
          <w:bCs/>
          <w:spacing w:val="9"/>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6.4.1中标人提供的服装和配件均需提供检验记录、产品合格证和出厂检验报告。</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6.4.2若发现伪造、涂改质量检验报告或不正当手段获取质量检验报告以次充好等情况，且拒不改正的，视为中标人违约须偿付违约金，采购人有权终止合同并追究中标人法律责任。</w:t>
      </w:r>
      <w:r>
        <w:rPr>
          <w:rFonts w:hint="eastAsia" w:ascii="宋体" w:hAnsi="宋体" w:cs="宋体"/>
          <w:sz w:val="24"/>
          <w:highlight w:val="none"/>
        </w:rPr>
      </w:r>
      <w:r/>
    </w:p>
    <w:p>
      <w:pPr>
        <w:pStyle w:val="919"/>
        <w:ind w:firstLine="480"/>
        <w:spacing w:line="360" w:lineRule="auto"/>
        <w:rPr>
          <w:rFonts w:hint="eastAsia" w:ascii="宋体" w:hAnsi="宋体" w:cs="宋体"/>
          <w:b/>
          <w:sz w:val="24"/>
          <w:highlight w:val="none"/>
        </w:rPr>
      </w:pPr>
      <w:r>
        <w:rPr>
          <w:rFonts w:hint="eastAsia" w:ascii="宋体" w:hAnsi="宋体" w:cs="宋体"/>
          <w:sz w:val="24"/>
          <w:highlight w:val="none"/>
        </w:rPr>
        <w:t xml:space="preserve">6.4.3中标人在实际供货时，采购人有权对提供的服装进行随机抽样，由采购人或其委托第三方权威检测机构进行检测。所有检测及重新制作服装样品的费用由中标人承担。</w:t>
      </w:r>
      <w:r>
        <w:rPr>
          <w:rFonts w:hint="eastAsia" w:ascii="宋体" w:hAnsi="宋体" w:cs="宋体"/>
          <w:b/>
          <w:sz w:val="24"/>
          <w:highlight w:val="none"/>
        </w:rPr>
      </w:r>
      <w:r/>
    </w:p>
    <w:p>
      <w:pPr>
        <w:pStyle w:val="919"/>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三、质量保证要求</w:t>
      </w:r>
      <w:r>
        <w:rPr>
          <w:rFonts w:hint="eastAsia" w:ascii="宋体" w:hAnsi="宋体" w:cs="宋体"/>
          <w:b/>
          <w:sz w:val="24"/>
          <w:highlight w:val="none"/>
        </w:rPr>
      </w:r>
      <w:r/>
    </w:p>
    <w:p>
      <w:pPr>
        <w:pStyle w:val="919"/>
        <w:ind w:firstLine="480"/>
        <w:jc w:val="left"/>
        <w:spacing w:line="360" w:lineRule="auto"/>
        <w:widowControl/>
        <w:rPr>
          <w:rFonts w:hint="eastAsia" w:ascii="宋体" w:hAnsi="宋体" w:cs="宋体"/>
          <w:b/>
          <w:sz w:val="24"/>
          <w:highlight w:val="none"/>
        </w:rPr>
      </w:pPr>
      <w:r>
        <w:rPr>
          <w:rFonts w:hint="eastAsia" w:ascii="宋体" w:hAnsi="宋体" w:cs="宋体"/>
          <w:bCs/>
          <w:sz w:val="24"/>
          <w:highlight w:val="none"/>
        </w:rPr>
        <w:t xml:space="preserve">质量保证期及服务期：不少于2年，自采购方确认签收货物起开始计算。</w:t>
      </w:r>
      <w:r>
        <w:rPr>
          <w:rFonts w:hint="eastAsia" w:ascii="宋体" w:hAnsi="宋体" w:cs="宋体"/>
          <w:b/>
          <w:sz w:val="24"/>
          <w:highlight w:val="none"/>
        </w:rPr>
      </w:r>
      <w:r/>
    </w:p>
    <w:p>
      <w:pPr>
        <w:pStyle w:val="919"/>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四、项目实施方案要求等</w:t>
      </w:r>
      <w:r>
        <w:rPr>
          <w:rFonts w:hint="eastAsia" w:ascii="宋体" w:hAnsi="宋体" w:cs="宋体"/>
          <w:b/>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1、投标供应商在投标时，须针对本项目提交项目实施方案（格式自拟），内容应至少包括：</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（1）采购人驻厂监造建议方案；</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（2）项目组成员方案；</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（3）项目进度控制方案；</w:t>
      </w:r>
      <w:r>
        <w:rPr>
          <w:rFonts w:hint="eastAsia" w:ascii="宋体" w:hAnsi="宋体" w:cs="宋体"/>
          <w:bCs/>
          <w:sz w:val="24"/>
          <w:highlight w:val="none"/>
        </w:rPr>
      </w:r>
      <w:r/>
    </w:p>
    <w:p>
      <w:pPr>
        <w:pStyle w:val="919"/>
        <w:ind w:firstLine="480"/>
        <w:spacing w:line="360" w:lineRule="auto"/>
        <w:rPr>
          <w:rFonts w:hint="eastAsia" w:ascii="宋体" w:hAnsi="宋体" w:cs="宋体"/>
          <w:bCs/>
          <w:strike/>
          <w:sz w:val="24"/>
          <w:highlight w:val="none"/>
        </w:rPr>
      </w:pPr>
      <w:r>
        <w:rPr>
          <w:rFonts w:hint="eastAsia" w:ascii="宋体" w:hAnsi="宋体" w:cs="宋体"/>
          <w:bCs/>
          <w:sz w:val="24"/>
          <w:highlight w:val="none"/>
        </w:rPr>
        <w:t xml:space="preserve">（4）包装与运输方案。</w:t>
      </w:r>
      <w:r>
        <w:rPr>
          <w:rFonts w:hint="eastAsia" w:ascii="宋体" w:hAnsi="宋体" w:cs="宋体"/>
          <w:bCs/>
          <w:strike/>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项目实施方案及措施应科学、全面、切实可行，确保能实现本项目按时保质保量交付及验收等。</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2、生产及检测设备要求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投标人应具有完成本项目的相关生产设备和检测设备，提供生产设备和检测设备明细表</w:t>
      </w:r>
      <w:r>
        <w:rPr>
          <w:rFonts w:hint="eastAsia" w:ascii="宋体" w:hAnsi="宋体" w:cs="宋体"/>
          <w:sz w:val="24"/>
          <w:highlight w:val="none"/>
        </w:rPr>
        <w:t xml:space="preserve">（包括生产设备、检测设备名称和图片、功能、品牌、购入时间等）和生产工艺介绍等，并提供以投标人名义购置的生产设备、检测设备发票复印件</w:t>
      </w:r>
      <w:r>
        <w:rPr>
          <w:rFonts w:hint="eastAsia" w:ascii="宋体" w:hAnsi="宋体" w:cs="宋体"/>
          <w:bCs/>
          <w:sz w:val="24"/>
          <w:highlight w:val="none"/>
        </w:rPr>
        <w:t xml:space="preserve">，生产设备和检测设备应先进、自动化程度高，生产工艺成熟可靠，研发能力强，能确保所供应货物质量稳定可靠。</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3、产品质量控制方案</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应制定完善的原料辅料质量控制、生产工艺控制、生产过程质量监测、成品质量抽样控制等项目产品质量控制方案（包括产品自检方案、工艺过程保障与质检规程、生产过程中的自检标准和验收方案等），确保所交付产品达到投标承诺要求和招标文件质量及验收要求。</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4、售后服务方案</w:t>
      </w:r>
      <w:r>
        <w:rPr>
          <w:rFonts w:hint="eastAsia" w:ascii="宋体" w:hAnsi="宋体" w:cs="宋体"/>
          <w:bCs/>
          <w:sz w:val="24"/>
          <w:highlight w:val="none"/>
        </w:rPr>
      </w:r>
      <w:r/>
    </w:p>
    <w:p>
      <w:pPr>
        <w:pStyle w:val="919"/>
        <w:ind w:firstLine="480"/>
        <w:spacing w:line="360" w:lineRule="auto"/>
        <w:rPr>
          <w:rFonts w:hint="eastAsia" w:ascii="宋体" w:hAnsi="宋体" w:cs="宋体"/>
          <w:bCs/>
          <w:color w:val="c00000"/>
          <w:sz w:val="24"/>
          <w:highlight w:val="none"/>
        </w:rPr>
      </w:pPr>
      <w:r>
        <w:rPr>
          <w:rFonts w:hint="eastAsia" w:ascii="宋体" w:hAnsi="宋体" w:cs="宋体"/>
          <w:bCs/>
          <w:sz w:val="24"/>
          <w:highlight w:val="none"/>
        </w:rPr>
        <w:t xml:space="preserve">供应商应提供售后服务方案，方案需针对本项目提供</w:t>
      </w:r>
      <w:r>
        <w:rPr>
          <w:rFonts w:hint="eastAsia" w:ascii="宋体" w:hAnsi="宋体" w:cs="宋体"/>
          <w:bCs/>
          <w:color w:val="c00000"/>
          <w:sz w:val="24"/>
          <w:highlight w:val="none"/>
        </w:rPr>
        <w:t xml:space="preserve">专属售后服务标准、问题处置解决方案、专业技术人员保障、服务响应机制、售后保障措施等核心内容。</w:t>
      </w:r>
      <w:r>
        <w:rPr>
          <w:rFonts w:hint="eastAsia" w:ascii="宋体" w:hAnsi="宋体" w:cs="宋体"/>
          <w:bCs/>
          <w:color w:val="c00000"/>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供货商提供质量保证时间和售后服务措施，质量保证期及服务期不少于2年，自采购方确认签收货物起，开始进入质量保证期及服务期。</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质量保证期及服务期内，如发生质量问题，中标人在接到通知的2小时内响应，在1日内提出解决方案，于10日内进行产品的修复或更换等处理，并承担质量保证期及服务期内发生的一切费用及因货物缺陷给使用方造成的一切损失（非投标人原因除外）。</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5、个性化服务方案</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投标人提供针对本项目的详细的个性化服务方案，包括零星服务方案。</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6、服务响应及保障措施</w:t>
      </w:r>
      <w:r>
        <w:rPr>
          <w:rFonts w:hint="eastAsia" w:ascii="宋体" w:hAnsi="宋体" w:cs="宋体"/>
          <w:bCs/>
          <w:sz w:val="24"/>
          <w:highlight w:val="none"/>
        </w:rPr>
      </w:r>
      <w:r/>
    </w:p>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人应具有满足本项目需求的订单处理能力、保障措施以及服务网点，且具有训练有素的专业服务团队，可在采购人提出订单需求（含集中采购、零星采购）或投诉问题后，高效率地响应并解决问题，确保能实现本项目按时保质保量交付及验收。</w:t>
      </w:r>
      <w:r>
        <w:rPr>
          <w:rFonts w:hint="eastAsia" w:ascii="宋体" w:hAnsi="宋体" w:cs="宋体"/>
          <w:bCs/>
          <w:sz w:val="24"/>
          <w:highlight w:val="none"/>
        </w:rPr>
      </w:r>
      <w:r/>
    </w:p>
    <w:p>
      <w:pPr>
        <w:pStyle w:val="919"/>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五、主要商务条款</w:t>
      </w:r>
      <w:r>
        <w:rPr>
          <w:rFonts w:hint="eastAsia" w:ascii="宋体" w:hAnsi="宋体" w:cs="宋体"/>
          <w:b/>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1、交货期及交货地点。</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交货时间：供应商应在接到采购人供货通知后60日历天内完成交货，交货前应提前10天通知采购人并得到确认后交货。如供应商因不可抗力因素需调整交货进度，应提前10天通知采购人并协商确认具体交货日期。实际采购数量以签订合同后采购人每次下达的订货通知书为准，交货时间以货品达到最终验收标准且交付甲方使用的时间为准，合同执行过程中，采购人有权根据需方工作进度对交货期进行调整，供应商应配合调整交货期。</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交货地点：按采购人要求，送达指定地点。</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2、付款方式：</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项目合同签订后，中标单位主要原材料经采购人抽样检验合格后，支付货物合同金额的30%；中标单位成品经采购人抽样检验合格并全部交付使用后付款至货物合同金额的100%。</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当采购数量与实际使用数量不一致时，乙方应根据实际使用量供货，合同的最终结算金额按实际使用量乘以成交单价进行计算。</w:t>
      </w:r>
      <w:r>
        <w:rPr>
          <w:rFonts w:hint="eastAsia" w:ascii="宋体" w:hAnsi="宋体" w:cs="宋体"/>
          <w:sz w:val="24"/>
          <w:highlight w:val="none"/>
        </w:rPr>
      </w:r>
      <w:r/>
    </w:p>
    <w:p>
      <w:pPr>
        <w:pStyle w:val="919"/>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六、货物质量及验收要求</w:t>
      </w:r>
      <w:r>
        <w:rPr>
          <w:rFonts w:hint="eastAsia" w:ascii="宋体" w:hAnsi="宋体" w:cs="宋体"/>
          <w:b/>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对所有中标包组产品实行质量检验，包括原材料和成品检验两个部分：</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中标单位在原材料到齐后告知采购人，由采购人组织对原材料进行随机抽样检验，检验合格后方可安排大货生产。</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供应商在大货生产即将结束出厂交货前告知采购人，由采购人组织对成品进行随机抽样检验，检验合格后方可安排发货。</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原材料和成品质量检验产生的相关费用由中标单位支付。因抽检产生的相关产品损耗需重新制作费用由中标单位承担。</w:t>
      </w:r>
      <w:r>
        <w:rPr>
          <w:rFonts w:hint="eastAsia" w:ascii="宋体" w:hAnsi="宋体" w:cs="宋体"/>
          <w:sz w:val="24"/>
          <w:highlight w:val="none"/>
        </w:rPr>
      </w:r>
      <w:r/>
    </w:p>
    <w:p>
      <w:pPr>
        <w:pStyle w:val="919"/>
        <w:ind w:firstLine="482"/>
        <w:spacing w:line="360" w:lineRule="auto"/>
        <w:rPr>
          <w:rFonts w:hint="eastAsia" w:ascii="宋体" w:hAnsi="宋体" w:cs="宋体"/>
          <w:sz w:val="24"/>
          <w:highlight w:val="none"/>
        </w:rPr>
      </w:pPr>
      <w:r>
        <w:rPr>
          <w:rFonts w:hint="eastAsia" w:ascii="宋体" w:hAnsi="宋体" w:cs="宋体"/>
          <w:b/>
          <w:sz w:val="24"/>
          <w:highlight w:val="none"/>
        </w:rPr>
        <w:t xml:space="preserve">七、备注</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1、★号指标（如有）为必须满足指标，否则将视为非实质性响应招标文件要求，按无效投标处理。</w:t>
      </w:r>
      <w:r>
        <w:rPr>
          <w:rFonts w:hint="eastAsia" w:ascii="宋体" w:hAnsi="宋体" w:cs="宋体"/>
          <w:sz w:val="24"/>
          <w:highlight w:val="none"/>
        </w:rPr>
      </w:r>
      <w:r/>
    </w:p>
    <w:p>
      <w:pPr>
        <w:pStyle w:val="919"/>
        <w:ind w:firstLine="480"/>
        <w:spacing w:line="360" w:lineRule="auto"/>
        <w:rPr>
          <w:rFonts w:hint="eastAsia" w:ascii="宋体" w:hAnsi="宋体" w:cs="宋体"/>
          <w:sz w:val="28"/>
          <w:szCs w:val="28"/>
          <w:highlight w:val="none"/>
        </w:rPr>
        <w:sectPr>
          <w:footerReference w:type="default" r:id="rId18"/>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z w:val="24"/>
          <w:highlight w:val="none"/>
        </w:rPr>
        <w:t xml:space="preserve">2、其他要求及规范参照《江苏省特种设备安全监督检验研究院劳保服装制作技术规范</w:t>
      </w:r>
      <w:r>
        <w:rPr>
          <w:rFonts w:hint="eastAsia" w:ascii="宋体" w:hAnsi="宋体" w:cs="宋体"/>
          <w:sz w:val="24"/>
          <w:highlight w:val="none"/>
        </w:rPr>
        <w:t xml:space="preserve">（2026年7月版）</w:t>
      </w:r>
      <w:r>
        <w:rPr>
          <w:rFonts w:hint="eastAsia" w:ascii="宋体" w:hAnsi="宋体" w:cs="宋体"/>
          <w:sz w:val="24"/>
          <w:highlight w:val="none"/>
        </w:rPr>
        <w:t xml:space="preserve">》</w:t>
      </w:r>
      <w:r>
        <w:rPr>
          <w:rFonts w:hint="eastAsia" w:ascii="宋体" w:hAnsi="宋体" w:cs="宋体"/>
          <w:sz w:val="24"/>
          <w:highlight w:val="none"/>
        </w:rPr>
        <w:t xml:space="preserve">（获取招标文件后，该规范文件如有需要，可向采购代理机构获取。供应商中标后需主动向采购人或采购代理机构申领上述技术规范，充分理解规范内面料、工艺、辅料、缝制、标识、检验、验收等全部要求，产品制作、出厂检验、交货验收均严格遵照该规范执行，确保交付产品符合该规范全部规定。）</w:t>
      </w:r>
      <w:r>
        <w:rPr>
          <w:rFonts w:hint="eastAsia" w:ascii="宋体" w:hAnsi="宋体" w:cs="宋体"/>
          <w:sz w:val="28"/>
          <w:szCs w:val="28"/>
          <w:highlight w:val="none"/>
        </w:rPr>
      </w:r>
      <w:r/>
    </w:p>
    <w:p>
      <w:pPr>
        <w:pStyle w:val="920"/>
        <w:numPr>
          <w:ilvl w:val="0"/>
          <w:numId w:val="0"/>
        </w:numPr>
        <w:spacing w:line="360" w:lineRule="auto"/>
        <w:rPr>
          <w:rFonts w:hint="eastAsia" w:ascii="宋体" w:hAnsi="宋体" w:cs="宋体"/>
          <w:highlight w:val="none"/>
        </w:rPr>
      </w:pPr>
      <w:r/>
      <w:bookmarkStart w:id="123" w:name="_Toc27349"/>
      <w:r>
        <w:rPr>
          <w:rFonts w:hint="eastAsia" w:ascii="宋体" w:hAnsi="宋体" w:cs="宋体"/>
          <w:highlight w:val="none"/>
        </w:rPr>
        <w:t xml:space="preserve">第五章 </w:t>
      </w:r>
      <w:bookmarkEnd w:id="97"/>
      <w:r/>
      <w:bookmarkEnd w:id="98"/>
      <w:r/>
      <w:bookmarkEnd w:id="99"/>
      <w:r>
        <w:rPr>
          <w:rFonts w:hint="eastAsia" w:ascii="宋体" w:hAnsi="宋体" w:cs="宋体"/>
          <w:highlight w:val="none"/>
        </w:rPr>
        <w:t xml:space="preserve">拟签订的合同文本</w:t>
      </w:r>
      <w:bookmarkEnd w:id="123"/>
      <w:r>
        <w:rPr>
          <w:rFonts w:hint="eastAsia" w:ascii="宋体" w:hAnsi="宋体" w:cs="宋体"/>
          <w:highlight w:val="none"/>
        </w:rPr>
      </w:r>
      <w:r/>
    </w:p>
    <w:p>
      <w:pPr>
        <w:pStyle w:val="921"/>
        <w:spacing w:line="360" w:lineRule="auto"/>
        <w:rPr>
          <w:rFonts w:hint="eastAsia" w:ascii="宋体" w:hAnsi="宋体" w:cs="宋体"/>
          <w:highlight w:val="none"/>
        </w:rPr>
      </w:pPr>
      <w:r>
        <w:rPr>
          <w:rFonts w:hint="eastAsia" w:ascii="宋体" w:hAnsi="宋体" w:cs="宋体"/>
          <w:highlight w:val="none"/>
        </w:rPr>
      </w:r>
      <w:r/>
    </w:p>
    <w:p>
      <w:pPr>
        <w:pStyle w:val="919"/>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t xml:space="preserve">政府采购合同</w:t>
      </w:r>
      <w:r>
        <w:rPr>
          <w:rFonts w:hint="eastAsia" w:ascii="宋体" w:hAnsi="宋体" w:cs="宋体"/>
          <w:b/>
          <w:bCs/>
          <w:sz w:val="36"/>
          <w:szCs w:val="36"/>
          <w:highlight w:val="none"/>
        </w:rPr>
      </w:r>
      <w:r/>
    </w:p>
    <w:p>
      <w:pPr>
        <w:pStyle w:val="919"/>
        <w:jc w:val="center"/>
        <w:spacing w:before="360" w:after="360" w:line="360" w:lineRule="auto"/>
        <w:tabs>
          <w:tab w:val="left" w:pos="1440" w:leader="none"/>
          <w:tab w:val="left" w:pos="5670" w:leader="none"/>
        </w:tabs>
        <w:rPr>
          <w:rFonts w:hint="eastAsia" w:ascii="宋体" w:hAnsi="宋体" w:cs="宋体"/>
          <w:highlight w:val="none"/>
        </w:rPr>
      </w:pPr>
      <w:r>
        <w:rPr>
          <w:rFonts w:hint="eastAsia" w:ascii="宋体" w:hAnsi="宋体" w:cs="宋体"/>
          <w:sz w:val="28"/>
          <w:szCs w:val="28"/>
          <w:highlight w:val="none"/>
        </w:rPr>
        <w:t xml:space="preserve">（拟签订的合同文本）</w:t>
      </w:r>
      <w:r>
        <w:rPr>
          <w:rFonts w:hint="eastAsia" w:ascii="宋体" w:hAnsi="宋体" w:cs="宋体"/>
          <w:highlight w:val="none"/>
        </w:rPr>
      </w:r>
      <w:r/>
    </w:p>
    <w:p>
      <w:pPr>
        <w:pStyle w:val="1000"/>
        <w:ind w:firstLine="420"/>
        <w:spacing w:line="360" w:lineRule="auto"/>
        <w:rPr>
          <w:rFonts w:hint="eastAsia" w:hAnsi="宋体" w:cs="宋体"/>
          <w:highlight w:val="none"/>
        </w:rPr>
      </w:pPr>
      <w:r>
        <w:rPr>
          <w:rFonts w:hint="eastAsia" w:hAnsi="宋体" w:cs="宋体"/>
          <w:highlight w:val="none"/>
        </w:rPr>
      </w:r>
      <w:r/>
    </w:p>
    <w:p>
      <w:pPr>
        <w:pStyle w:val="919"/>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r>
      <w:r/>
    </w:p>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ind w:firstLine="315"/>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ind w:firstLine="1918"/>
        <w:spacing w:line="360" w:lineRule="auto"/>
        <w:widowControl/>
        <w:rPr>
          <w:rFonts w:hint="eastAsia" w:ascii="宋体" w:hAnsi="宋体" w:cs="宋体"/>
          <w:sz w:val="30"/>
          <w:szCs w:val="30"/>
          <w:highlight w:val="none"/>
        </w:rPr>
      </w:pPr>
      <w:r>
        <w:rPr>
          <w:rFonts w:hint="eastAsia" w:ascii="宋体" w:hAnsi="宋体" w:cs="宋体"/>
          <w:b/>
          <w:bCs/>
          <w:sz w:val="30"/>
          <w:szCs w:val="30"/>
          <w:highlight w:val="none"/>
        </w:rPr>
        <w:t xml:space="preserve">合同编号：</w:t>
      </w:r>
      <w:r>
        <w:rPr>
          <w:rFonts w:hint="eastAsia" w:ascii="宋体" w:hAnsi="宋体" w:cs="宋体"/>
          <w:b/>
          <w:bCs/>
          <w:sz w:val="30"/>
          <w:szCs w:val="30"/>
          <w:highlight w:val="none"/>
          <w:u w:val="single"/>
        </w:rPr>
        <w:t xml:space="preserve">                  </w:t>
      </w:r>
      <w:r>
        <w:rPr>
          <w:rFonts w:hint="eastAsia" w:ascii="宋体" w:hAnsi="宋体" w:cs="宋体"/>
          <w:sz w:val="30"/>
          <w:szCs w:val="30"/>
          <w:highlight w:val="none"/>
        </w:rPr>
      </w:r>
      <w:r/>
    </w:p>
    <w:p>
      <w:pPr>
        <w:pStyle w:val="919"/>
        <w:ind w:firstLine="1918"/>
        <w:spacing w:line="360" w:lineRule="auto"/>
        <w:widowControl/>
        <w:rPr>
          <w:rFonts w:hint="eastAsia" w:ascii="宋体" w:hAnsi="宋体" w:cs="宋体"/>
          <w:sz w:val="30"/>
          <w:szCs w:val="30"/>
          <w:highlight w:val="none"/>
        </w:rPr>
      </w:pPr>
      <w:r>
        <w:rPr>
          <w:rFonts w:hint="eastAsia" w:ascii="宋体" w:hAnsi="宋体" w:cs="宋体"/>
          <w:b/>
          <w:bCs/>
          <w:sz w:val="30"/>
          <w:szCs w:val="30"/>
          <w:highlight w:val="none"/>
        </w:rPr>
        <w:t xml:space="preserve">项目名称：</w:t>
      </w:r>
      <w:r>
        <w:rPr>
          <w:rFonts w:hint="eastAsia" w:ascii="宋体" w:hAnsi="宋体" w:cs="宋体"/>
          <w:b/>
          <w:bCs/>
          <w:sz w:val="30"/>
          <w:szCs w:val="30"/>
          <w:highlight w:val="none"/>
          <w:u w:val="single"/>
        </w:rPr>
        <w:t xml:space="preserve">                  </w:t>
      </w:r>
      <w:r>
        <w:rPr>
          <w:rFonts w:hint="eastAsia" w:ascii="宋体" w:hAnsi="宋体" w:cs="宋体"/>
          <w:sz w:val="30"/>
          <w:szCs w:val="30"/>
          <w:highlight w:val="none"/>
        </w:rPr>
      </w:r>
      <w:r/>
    </w:p>
    <w:p>
      <w:pPr>
        <w:pStyle w:val="919"/>
        <w:ind w:firstLine="1918"/>
        <w:spacing w:line="360" w:lineRule="auto"/>
        <w:widowControl/>
        <w:rPr>
          <w:rFonts w:hint="eastAsia" w:ascii="宋体" w:hAnsi="宋体" w:cs="宋体"/>
          <w:sz w:val="30"/>
          <w:szCs w:val="30"/>
          <w:highlight w:val="none"/>
        </w:rPr>
      </w:pPr>
      <w:r>
        <w:rPr>
          <w:rFonts w:hint="eastAsia" w:ascii="宋体" w:hAnsi="宋体" w:cs="宋体"/>
          <w:b/>
          <w:bCs/>
          <w:sz w:val="30"/>
          <w:szCs w:val="30"/>
          <w:highlight w:val="none"/>
        </w:rPr>
        <w:t xml:space="preserve">采购人（甲方）：</w:t>
      </w:r>
      <w:r>
        <w:rPr>
          <w:rFonts w:hint="eastAsia" w:ascii="宋体" w:hAnsi="宋体" w:cs="宋体"/>
          <w:b/>
          <w:bCs/>
          <w:sz w:val="30"/>
          <w:szCs w:val="30"/>
          <w:highlight w:val="none"/>
          <w:u w:val="single"/>
        </w:rPr>
        <w:t xml:space="preserve">            </w:t>
      </w:r>
      <w:r>
        <w:rPr>
          <w:rFonts w:hint="eastAsia" w:ascii="宋体" w:hAnsi="宋体" w:cs="宋体"/>
          <w:sz w:val="30"/>
          <w:szCs w:val="30"/>
          <w:highlight w:val="none"/>
        </w:rPr>
      </w:r>
      <w:r/>
    </w:p>
    <w:p>
      <w:pPr>
        <w:pStyle w:val="919"/>
        <w:ind w:firstLine="1916"/>
        <w:spacing w:line="360" w:lineRule="auto"/>
        <w:widowControl/>
        <w:rPr>
          <w:rFonts w:hint="eastAsia" w:ascii="宋体" w:hAnsi="宋体" w:cs="宋体"/>
          <w:sz w:val="30"/>
          <w:szCs w:val="30"/>
          <w:highlight w:val="none"/>
        </w:rPr>
      </w:pPr>
      <w:r>
        <w:rPr>
          <w:rFonts w:hint="eastAsia" w:ascii="宋体" w:hAnsi="宋体" w:cs="宋体"/>
          <w:b/>
          <w:bCs/>
          <w:sz w:val="30"/>
          <w:szCs w:val="30"/>
          <w:highlight w:val="none"/>
        </w:rPr>
        <w:t xml:space="preserve">供应商（乙方）：</w:t>
      </w:r>
      <w:r>
        <w:rPr>
          <w:rFonts w:hint="eastAsia" w:ascii="宋体" w:hAnsi="宋体" w:cs="宋体"/>
          <w:b/>
          <w:bCs/>
          <w:sz w:val="30"/>
          <w:szCs w:val="30"/>
          <w:highlight w:val="none"/>
          <w:u w:val="single"/>
        </w:rPr>
        <w:t xml:space="preserve">            </w:t>
      </w:r>
      <w:r>
        <w:rPr>
          <w:rFonts w:hint="eastAsia" w:ascii="宋体" w:hAnsi="宋体" w:cs="宋体"/>
          <w:sz w:val="30"/>
          <w:szCs w:val="30"/>
          <w:highlight w:val="none"/>
        </w:rPr>
      </w:r>
      <w:r/>
    </w:p>
    <w:p>
      <w:pPr>
        <w:pStyle w:val="919"/>
        <w:ind w:firstLine="1916"/>
        <w:spacing w:line="360" w:lineRule="auto"/>
        <w:widowControl/>
        <w:rPr>
          <w:rFonts w:hint="eastAsia" w:ascii="宋体" w:hAnsi="宋体" w:cs="宋体"/>
          <w:sz w:val="30"/>
          <w:szCs w:val="30"/>
          <w:highlight w:val="none"/>
        </w:rPr>
      </w:pPr>
      <w:r>
        <w:rPr>
          <w:rFonts w:hint="eastAsia" w:ascii="宋体" w:hAnsi="宋体" w:cs="宋体"/>
          <w:b/>
          <w:bCs/>
          <w:sz w:val="30"/>
          <w:szCs w:val="30"/>
          <w:highlight w:val="none"/>
        </w:rPr>
        <w:t xml:space="preserve">签订日期：</w:t>
      </w:r>
      <w:r>
        <w:rPr>
          <w:rFonts w:hint="eastAsia" w:ascii="宋体" w:hAnsi="宋体" w:cs="宋体"/>
          <w:b/>
          <w:bCs/>
          <w:sz w:val="30"/>
          <w:szCs w:val="30"/>
          <w:highlight w:val="none"/>
          <w:u w:val="single"/>
        </w:rPr>
        <w:t xml:space="preserve">                  </w:t>
      </w:r>
      <w:r>
        <w:rPr>
          <w:rFonts w:hint="eastAsia" w:ascii="宋体" w:hAnsi="宋体" w:cs="宋体"/>
          <w:sz w:val="30"/>
          <w:szCs w:val="30"/>
          <w:highlight w:val="none"/>
        </w:rPr>
      </w:r>
      <w:r/>
    </w:p>
    <w:p>
      <w:pPr>
        <w:pStyle w:val="919"/>
        <w:jc w:val="left"/>
        <w:spacing w:line="360" w:lineRule="auto"/>
        <w:rPr>
          <w:rFonts w:hint="eastAsia" w:ascii="宋体" w:hAnsi="宋体" w:cs="宋体"/>
          <w:sz w:val="32"/>
          <w:szCs w:val="32"/>
          <w:highlight w:val="none"/>
        </w:rPr>
      </w:pPr>
      <w:r>
        <w:rPr>
          <w:rFonts w:hint="eastAsia" w:ascii="宋体" w:hAnsi="宋体" w:cs="宋体"/>
          <w:sz w:val="32"/>
          <w:szCs w:val="32"/>
          <w:highlight w:val="none"/>
        </w:rPr>
      </w:r>
      <w:r/>
    </w:p>
    <w:p>
      <w:pPr>
        <w:pStyle w:val="919"/>
        <w:ind w:left="-420" w:right="-313" w:firstLine="241"/>
        <w:jc w:val="left"/>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19"/>
        <w:ind w:left="-420" w:right="-313" w:firstLine="241"/>
        <w:jc w:val="left"/>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19"/>
        <w:ind w:left="-420" w:right="-313" w:firstLine="241"/>
        <w:jc w:val="left"/>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19"/>
        <w:ind w:firstLine="335"/>
        <w:spacing w:line="360" w:lineRule="auto"/>
        <w:rPr>
          <w:rFonts w:hint="eastAsia" w:ascii="宋体" w:hAnsi="宋体" w:cs="宋体"/>
          <w:b/>
          <w:bCs/>
          <w:sz w:val="24"/>
          <w:highlight w:val="none"/>
        </w:rPr>
      </w:pPr>
      <w:r>
        <w:rPr>
          <w:rFonts w:hint="eastAsia" w:ascii="宋体" w:hAnsi="宋体" w:cs="宋体"/>
          <w:b/>
          <w:bCs/>
          <w:i/>
          <w:iCs/>
          <w:sz w:val="24"/>
          <w:highlight w:val="none"/>
        </w:rPr>
        <w:t xml:space="preserve">注：本合同文本仅为参考文本，合同签订双方可根据项目的具体要求进行修订。</w:t>
      </w:r>
      <w:r>
        <w:rPr>
          <w:rFonts w:hint="eastAsia" w:ascii="宋体" w:hAnsi="宋体" w:cs="宋体"/>
          <w:b/>
          <w:bCs/>
          <w:sz w:val="24"/>
          <w:highlight w:val="none"/>
        </w:rPr>
      </w:r>
      <w:r/>
    </w:p>
    <w:p>
      <w:pPr>
        <w:pStyle w:val="919"/>
        <w:ind w:firstLine="335"/>
        <w:spacing w:line="360" w:lineRule="auto"/>
        <w:rPr>
          <w:rFonts w:hint="eastAsia" w:ascii="宋体" w:hAnsi="宋体" w:cs="宋体"/>
          <w:b/>
          <w:bCs/>
          <w:sz w:val="24"/>
          <w:highlight w:val="none"/>
        </w:rPr>
        <w:sectPr>
          <w:footerReference w:type="default" r:id="rId19"/>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b/>
          <w:bCs/>
          <w:sz w:val="24"/>
          <w:highlight w:val="none"/>
        </w:rPr>
      </w:r>
      <w:r/>
    </w:p>
    <w:p>
      <w:pPr>
        <w:pStyle w:val="919"/>
        <w:ind w:firstLine="335"/>
        <w:spacing w:line="360" w:lineRule="auto"/>
        <w:rPr>
          <w:rFonts w:hint="eastAsia" w:ascii="宋体" w:hAnsi="宋体" w:cs="宋体"/>
          <w:b/>
          <w:bCs/>
          <w:sz w:val="24"/>
          <w:highlight w:val="none"/>
        </w:rPr>
      </w:pPr>
      <w:r>
        <w:rPr>
          <w:rFonts w:hint="eastAsia" w:ascii="宋体" w:hAnsi="宋体" w:cs="宋体"/>
          <w:b/>
          <w:bCs/>
          <w:sz w:val="24"/>
          <w:highlight w:val="none"/>
        </w:rPr>
        <w:t xml:space="preserve">甲方：江苏省特种设备安全监督检验研究院</w:t>
      </w:r>
      <w:r>
        <w:rPr>
          <w:rFonts w:hint="eastAsia" w:ascii="宋体" w:hAnsi="宋体" w:cs="宋体"/>
          <w:b/>
          <w:bCs/>
          <w:sz w:val="24"/>
          <w:highlight w:val="none"/>
        </w:rPr>
      </w:r>
      <w:r/>
    </w:p>
    <w:p>
      <w:pPr>
        <w:pStyle w:val="919"/>
        <w:ind w:firstLine="335"/>
        <w:spacing w:line="360" w:lineRule="auto"/>
        <w:rPr>
          <w:rFonts w:hint="eastAsia" w:ascii="宋体" w:hAnsi="宋体" w:cs="宋体"/>
          <w:b/>
          <w:bCs/>
          <w:sz w:val="24"/>
          <w:highlight w:val="none"/>
        </w:rPr>
      </w:pPr>
      <w:r>
        <w:rPr>
          <w:rFonts w:hint="eastAsia" w:ascii="宋体" w:hAnsi="宋体" w:cs="宋体"/>
          <w:b/>
          <w:bCs/>
          <w:sz w:val="24"/>
          <w:highlight w:val="none"/>
        </w:rPr>
        <w:t xml:space="preserve">乙方：</w:t>
      </w:r>
      <w:r>
        <w:rPr>
          <w:rFonts w:hint="eastAsia" w:ascii="宋体" w:hAnsi="宋体" w:cs="宋体"/>
          <w:b/>
          <w:bCs/>
          <w:sz w:val="24"/>
          <w:highlight w:val="none"/>
        </w:rPr>
      </w:r>
      <w:r/>
    </w:p>
    <w:p>
      <w:pPr>
        <w:pStyle w:val="919"/>
        <w:ind w:firstLine="335"/>
        <w:spacing w:line="360" w:lineRule="auto"/>
        <w:rPr>
          <w:rFonts w:hint="eastAsia" w:ascii="宋体" w:hAnsi="宋体" w:cs="宋体"/>
          <w:b/>
          <w:bCs/>
          <w:sz w:val="24"/>
          <w:highlight w:val="none"/>
        </w:rPr>
      </w:pPr>
      <w:r>
        <w:rPr>
          <w:rFonts w:hint="eastAsia" w:ascii="宋体" w:hAnsi="宋体" w:cs="宋体"/>
          <w:b/>
          <w:bCs/>
          <w:sz w:val="24"/>
          <w:highlight w:val="none"/>
        </w:rPr>
        <w:t xml:space="preserve">采购代理机构：江苏海外集团国际工程咨询有限公司</w:t>
      </w:r>
      <w:r>
        <w:rPr>
          <w:rFonts w:hint="eastAsia" w:ascii="宋体" w:hAnsi="宋体" w:cs="宋体"/>
          <w:b/>
          <w:bCs/>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一、说明：</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受甲方委托，采购代理机构于    年   月    日组织了江苏省特种设备安全监督检验研究院所需</w:t>
      </w:r>
      <w:r>
        <w:rPr>
          <w:rFonts w:hint="eastAsia" w:ascii="宋体" w:hAnsi="宋体" w:cs="宋体"/>
          <w:sz w:val="24"/>
          <w:highlight w:val="none"/>
          <w:u w:val="single"/>
        </w:rPr>
        <w:t xml:space="preserve">劳保服装采购</w:t>
      </w:r>
      <w:r>
        <w:rPr>
          <w:rFonts w:hint="eastAsia" w:ascii="宋体" w:hAnsi="宋体" w:cs="宋体"/>
          <w:sz w:val="24"/>
          <w:highlight w:val="none"/>
          <w:u w:val="single"/>
        </w:rPr>
        <w:t xml:space="preserve">项目</w:t>
      </w:r>
      <w:r>
        <w:rPr>
          <w:rFonts w:hint="eastAsia" w:ascii="宋体" w:hAnsi="宋体" w:cs="宋体"/>
          <w:sz w:val="24"/>
          <w:highlight w:val="none"/>
        </w:rPr>
        <w:t xml:space="preserve">（项目编号：</w:t>
      </w:r>
      <w:r>
        <w:rPr>
          <w:rFonts w:hint="eastAsia" w:ascii="宋体" w:hAnsi="宋体" w:cs="宋体"/>
          <w:sz w:val="24"/>
          <w:highlight w:val="none"/>
          <w:u w:val="single"/>
        </w:rPr>
        <w:t xml:space="preserve">       </w:t>
      </w:r>
      <w:r>
        <w:rPr>
          <w:rFonts w:hint="eastAsia" w:ascii="宋体" w:hAnsi="宋体" w:cs="宋体"/>
          <w:sz w:val="24"/>
          <w:highlight w:val="none"/>
        </w:rPr>
        <w:t xml:space="preserve">），经评委认真严格地评审，确定由乙方成交。</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二、合同条款：</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合同由甲乙双方签订，并依据</w:t>
      </w:r>
      <w:r>
        <w:rPr>
          <w:rFonts w:hint="eastAsia" w:ascii="宋体" w:hAnsi="宋体" w:cs="宋体"/>
          <w:sz w:val="24"/>
          <w:highlight w:val="none"/>
          <w:u w:val="single"/>
        </w:rPr>
        <w:t xml:space="preserve">       </w:t>
      </w:r>
      <w:r>
        <w:rPr>
          <w:rFonts w:hint="eastAsia" w:ascii="宋体" w:hAnsi="宋体" w:cs="宋体"/>
          <w:sz w:val="24"/>
          <w:highlight w:val="none"/>
        </w:rPr>
        <w:t xml:space="preserve">号招标文件规定，按下列合同条款甲方同意购入，乙方同意出售下列货物及服务。</w:t>
      </w:r>
      <w:r>
        <w:rPr>
          <w:rFonts w:hint="eastAsia" w:ascii="宋体" w:hAnsi="宋体" w:cs="宋体"/>
          <w:sz w:val="24"/>
          <w:highlight w:val="none"/>
        </w:rPr>
      </w:r>
      <w:r/>
    </w:p>
    <w:p>
      <w:pPr>
        <w:pStyle w:val="1126"/>
        <w:ind w:left="0" w:firstLine="480"/>
        <w:spacing w:line="360" w:lineRule="auto"/>
        <w:tabs>
          <w:tab w:val="left" w:pos="4785" w:leader="none"/>
        </w:tabs>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1.货物名称、型号规格、数量及服务内容。</w:t>
      </w:r>
      <w:r>
        <w:rPr>
          <w:rFonts w:hint="eastAsia" w:ascii="宋体" w:hAnsi="宋体" w:cs="宋体"/>
          <w:color w:val="000000"/>
          <w:sz w:val="24"/>
          <w:highlight w:val="none"/>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6"/>
        <w:gridCol w:w="1675"/>
        <w:gridCol w:w="1204"/>
        <w:gridCol w:w="982"/>
        <w:gridCol w:w="768"/>
        <w:gridCol w:w="1241"/>
        <w:gridCol w:w="1586"/>
      </w:tblGrid>
      <w:tr>
        <w:trPr>
          <w:trHeight w:val="19"/>
        </w:trPr>
        <w:tc>
          <w:tcPr>
            <w:tcW w:w="726"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产品名称</w:t>
            </w:r>
            <w:r>
              <w:rPr>
                <w:rFonts w:hint="eastAsia" w:ascii="宋体" w:hAnsi="宋体" w:cs="宋体"/>
                <w:szCs w:val="24"/>
                <w:highlight w:val="none"/>
              </w:rPr>
            </w:r>
            <w:r/>
          </w:p>
        </w:tc>
        <w:tc>
          <w:tcPr>
            <w:tcW w:w="960"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产品分项</w:t>
            </w:r>
            <w:r>
              <w:rPr>
                <w:rFonts w:hint="eastAsia" w:ascii="宋体" w:hAnsi="宋体" w:cs="宋体"/>
                <w:szCs w:val="24"/>
                <w:highlight w:val="none"/>
              </w:rPr>
            </w:r>
            <w:r/>
          </w:p>
        </w:tc>
        <w:tc>
          <w:tcPr>
            <w:tcW w:w="690"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型号</w:t>
            </w:r>
            <w:r>
              <w:rPr>
                <w:rFonts w:hint="eastAsia" w:ascii="宋体" w:hAnsi="宋体" w:cs="宋体"/>
                <w:szCs w:val="24"/>
                <w:highlight w:val="none"/>
              </w:rPr>
            </w:r>
            <w:r/>
          </w:p>
        </w:tc>
        <w:tc>
          <w:tcPr>
            <w:tcW w:w="562"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单位</w:t>
            </w:r>
            <w:r>
              <w:rPr>
                <w:rFonts w:hint="eastAsia" w:ascii="宋体" w:hAnsi="宋体" w:cs="宋体"/>
                <w:szCs w:val="24"/>
                <w:highlight w:val="none"/>
              </w:rPr>
            </w:r>
            <w:r/>
          </w:p>
        </w:tc>
        <w:tc>
          <w:tcPr>
            <w:tcW w:w="440"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数量</w:t>
            </w:r>
            <w:r>
              <w:rPr>
                <w:rFonts w:hint="eastAsia" w:ascii="宋体" w:hAnsi="宋体" w:cs="宋体"/>
                <w:szCs w:val="24"/>
                <w:highlight w:val="none"/>
              </w:rPr>
            </w:r>
            <w:r/>
          </w:p>
        </w:tc>
        <w:tc>
          <w:tcPr>
            <w:tcW w:w="711"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单价（元）</w:t>
            </w:r>
            <w:r>
              <w:rPr>
                <w:rFonts w:hint="eastAsia" w:ascii="宋体" w:hAnsi="宋体" w:cs="宋体"/>
                <w:szCs w:val="24"/>
                <w:highlight w:val="none"/>
              </w:rPr>
            </w:r>
            <w:r/>
          </w:p>
        </w:tc>
        <w:tc>
          <w:tcPr>
            <w:tcW w:w="908"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总价（元）</w:t>
            </w:r>
            <w:r>
              <w:rPr>
                <w:rFonts w:hint="eastAsia" w:ascii="宋体" w:hAnsi="宋体" w:cs="宋体"/>
                <w:szCs w:val="24"/>
                <w:highlight w:val="none"/>
              </w:rPr>
            </w:r>
            <w:r/>
          </w:p>
        </w:tc>
      </w:tr>
      <w:tr>
        <w:trPr>
          <w:trHeight w:val="19"/>
        </w:trPr>
        <w:tc>
          <w:tcPr>
            <w:tcW w:w="726"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0" w:type="dxa"/>
            <w:vAlign w:val="center"/>
            <w:textDirection w:val="lrTb"/>
            <w:noWrap w:val="false"/>
          </w:tcPr>
          <w:p>
            <w:pPr>
              <w:pStyle w:val="943"/>
              <w:ind w:firstLine="0"/>
              <w:jc w:val="center"/>
              <w:spacing w:line="360" w:lineRule="auto"/>
              <w:tabs>
                <w:tab w:val="left" w:pos="-235" w:leader="none"/>
              </w:tabs>
              <w:rPr>
                <w:rFonts w:hint="eastAsia" w:ascii="宋体" w:hAnsi="宋体" w:cs="宋体"/>
                <w:bCs/>
                <w:szCs w:val="24"/>
                <w:highlight w:val="none"/>
              </w:rPr>
            </w:pPr>
            <w:r>
              <w:rPr>
                <w:rFonts w:hint="eastAsia" w:ascii="宋体" w:hAnsi="宋体" w:cs="宋体"/>
                <w:bCs/>
                <w:szCs w:val="24"/>
                <w:highlight w:val="none"/>
              </w:rPr>
            </w:r>
            <w:r/>
          </w:p>
        </w:tc>
        <w:tc>
          <w:tcPr>
            <w:tcW w:w="690" w:type="dxa"/>
            <w:vAlign w:val="center"/>
            <w:textDirection w:val="lrTb"/>
            <w:noWrap w:val="false"/>
          </w:tcPr>
          <w:p>
            <w:pPr>
              <w:pStyle w:val="943"/>
              <w:ind w:firstLine="0"/>
              <w:jc w:val="center"/>
              <w:spacing w:line="360" w:lineRule="auto"/>
              <w:tabs>
                <w:tab w:val="left" w:pos="-235" w:leader="none"/>
              </w:tabs>
              <w:rPr>
                <w:rFonts w:hint="eastAsia" w:ascii="宋体" w:hAnsi="宋体" w:cs="宋体"/>
                <w:bCs/>
                <w:szCs w:val="24"/>
                <w:highlight w:val="none"/>
              </w:rPr>
            </w:pPr>
            <w:r>
              <w:rPr>
                <w:rFonts w:hint="eastAsia" w:ascii="宋体" w:hAnsi="宋体" w:cs="宋体"/>
                <w:bCs/>
                <w:szCs w:val="24"/>
                <w:highlight w:val="none"/>
              </w:rPr>
            </w:r>
            <w:r/>
          </w:p>
        </w:tc>
        <w:tc>
          <w:tcPr>
            <w:tcW w:w="562"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440"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711"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908"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r>
      <w:tr>
        <w:trPr>
          <w:trHeight w:val="19"/>
        </w:trPr>
        <w:tc>
          <w:tcPr>
            <w:tcW w:w="726"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0"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690" w:type="dxa"/>
            <w:vAlign w:val="center"/>
            <w:textDirection w:val="lrTb"/>
            <w:noWrap w:val="false"/>
          </w:tcPr>
          <w:p>
            <w:pPr>
              <w:pStyle w:val="943"/>
              <w:ind w:firstLine="0"/>
              <w:jc w:val="center"/>
              <w:spacing w:line="360" w:lineRule="auto"/>
              <w:tabs>
                <w:tab w:val="left" w:pos="-235" w:leader="none"/>
              </w:tabs>
              <w:rPr>
                <w:rFonts w:hint="eastAsia" w:ascii="宋体" w:hAnsi="宋体" w:cs="宋体"/>
                <w:bCs/>
                <w:szCs w:val="24"/>
                <w:highlight w:val="none"/>
              </w:rPr>
            </w:pPr>
            <w:r>
              <w:rPr>
                <w:rFonts w:hint="eastAsia" w:ascii="宋体" w:hAnsi="宋体" w:cs="宋体"/>
                <w:bCs/>
                <w:szCs w:val="24"/>
                <w:highlight w:val="none"/>
              </w:rPr>
            </w:r>
            <w:r/>
          </w:p>
        </w:tc>
        <w:tc>
          <w:tcPr>
            <w:tcW w:w="562"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440" w:type="dxa"/>
            <w:vAlign w:val="center"/>
            <w:textDirection w:val="lrTb"/>
            <w:noWrap w:val="false"/>
          </w:tcPr>
          <w:p>
            <w:pPr>
              <w:pStyle w:val="919"/>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11"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908"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r>
      <w:tr>
        <w:trPr>
          <w:trHeight w:val="19"/>
        </w:trPr>
        <w:tc>
          <w:tcPr>
            <w:tcW w:w="726"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0"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690" w:type="dxa"/>
            <w:vAlign w:val="center"/>
            <w:textDirection w:val="lrTb"/>
            <w:noWrap w:val="false"/>
          </w:tcPr>
          <w:p>
            <w:pPr>
              <w:pStyle w:val="943"/>
              <w:ind w:firstLine="0"/>
              <w:jc w:val="center"/>
              <w:spacing w:line="360" w:lineRule="auto"/>
              <w:tabs>
                <w:tab w:val="left" w:pos="-235" w:leader="none"/>
              </w:tabs>
              <w:rPr>
                <w:rFonts w:hint="eastAsia" w:ascii="宋体" w:hAnsi="宋体" w:cs="宋体"/>
                <w:bCs/>
                <w:szCs w:val="24"/>
                <w:highlight w:val="none"/>
              </w:rPr>
            </w:pPr>
            <w:r>
              <w:rPr>
                <w:rFonts w:hint="eastAsia" w:ascii="宋体" w:hAnsi="宋体" w:cs="宋体"/>
                <w:bCs/>
                <w:szCs w:val="24"/>
                <w:highlight w:val="none"/>
              </w:rPr>
            </w:r>
            <w:r/>
          </w:p>
        </w:tc>
        <w:tc>
          <w:tcPr>
            <w:tcW w:w="562"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440" w:type="dxa"/>
            <w:vAlign w:val="center"/>
            <w:textDirection w:val="lrTb"/>
            <w:noWrap w:val="false"/>
          </w:tcPr>
          <w:p>
            <w:pPr>
              <w:pStyle w:val="919"/>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11"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908"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r>
      <w:tr>
        <w:trPr>
          <w:trHeight w:val="19"/>
        </w:trPr>
        <w:tc>
          <w:tcPr>
            <w:tcW w:w="726"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r>
            <w:r/>
          </w:p>
        </w:tc>
        <w:tc>
          <w:tcPr>
            <w:tcW w:w="960"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690" w:type="dxa"/>
            <w:vAlign w:val="center"/>
            <w:textDirection w:val="lrTb"/>
            <w:noWrap w:val="false"/>
          </w:tcPr>
          <w:p>
            <w:pPr>
              <w:pStyle w:val="943"/>
              <w:ind w:firstLine="0"/>
              <w:jc w:val="center"/>
              <w:spacing w:line="360" w:lineRule="auto"/>
              <w:tabs>
                <w:tab w:val="left" w:pos="-235" w:leader="none"/>
              </w:tabs>
              <w:rPr>
                <w:rFonts w:hint="eastAsia" w:ascii="宋体" w:hAnsi="宋体" w:cs="宋体"/>
                <w:bCs/>
                <w:szCs w:val="24"/>
                <w:highlight w:val="none"/>
              </w:rPr>
            </w:pPr>
            <w:r>
              <w:rPr>
                <w:rFonts w:hint="eastAsia" w:ascii="宋体" w:hAnsi="宋体" w:cs="宋体"/>
                <w:bCs/>
                <w:szCs w:val="24"/>
                <w:highlight w:val="none"/>
              </w:rPr>
            </w:r>
            <w:r/>
          </w:p>
        </w:tc>
        <w:tc>
          <w:tcPr>
            <w:tcW w:w="562"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440" w:type="dxa"/>
            <w:vAlign w:val="center"/>
            <w:textDirection w:val="lrTb"/>
            <w:noWrap w:val="false"/>
          </w:tcPr>
          <w:p>
            <w:pPr>
              <w:pStyle w:val="919"/>
              <w:jc w:val="center"/>
              <w:spacing w:line="360" w:lineRule="auto"/>
              <w:rPr>
                <w:rFonts w:hint="eastAsia" w:ascii="宋体" w:hAnsi="宋体" w:cs="宋体"/>
                <w:sz w:val="24"/>
                <w:highlight w:val="none"/>
              </w:rPr>
            </w:pPr>
            <w:r>
              <w:rPr>
                <w:rFonts w:hint="eastAsia" w:ascii="宋体" w:hAnsi="宋体" w:cs="宋体"/>
                <w:sz w:val="24"/>
                <w:highlight w:val="none"/>
              </w:rPr>
            </w:r>
            <w:r/>
          </w:p>
        </w:tc>
        <w:tc>
          <w:tcPr>
            <w:tcW w:w="711"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c>
          <w:tcPr>
            <w:tcW w:w="908"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r>
            <w:r/>
          </w:p>
        </w:tc>
      </w:tr>
      <w:tr>
        <w:trPr>
          <w:trHeight w:val="19"/>
        </w:trPr>
        <w:tc>
          <w:tcPr>
            <w:gridSpan w:val="4"/>
            <w:tcW w:w="5127" w:type="dxa"/>
            <w:vAlign w:val="center"/>
            <w:textDirection w:val="lrTb"/>
            <w:noWrap w:val="false"/>
          </w:tcPr>
          <w:p>
            <w:pPr>
              <w:pStyle w:val="943"/>
              <w:ind w:firstLine="0"/>
              <w:jc w:val="center"/>
              <w:spacing w:line="360" w:lineRule="auto"/>
              <w:tabs>
                <w:tab w:val="left" w:pos="-235" w:leader="none"/>
              </w:tabs>
              <w:rPr>
                <w:rFonts w:hint="eastAsia" w:ascii="宋体" w:hAnsi="宋体" w:cs="宋体"/>
                <w:szCs w:val="24"/>
                <w:highlight w:val="none"/>
              </w:rPr>
            </w:pPr>
            <w:r>
              <w:rPr>
                <w:rFonts w:hint="eastAsia" w:ascii="宋体" w:hAnsi="宋体" w:cs="宋体"/>
                <w:bCs/>
                <w:szCs w:val="24"/>
                <w:highlight w:val="none"/>
              </w:rPr>
              <w:t xml:space="preserve">合计（元）</w:t>
            </w:r>
            <w:r>
              <w:rPr>
                <w:rFonts w:hint="eastAsia" w:ascii="宋体" w:hAnsi="宋体" w:cs="宋体"/>
                <w:szCs w:val="24"/>
                <w:highlight w:val="none"/>
              </w:rPr>
            </w:r>
            <w:r/>
          </w:p>
        </w:tc>
        <w:tc>
          <w:tcPr>
            <w:gridSpan w:val="3"/>
            <w:tcW w:w="3595" w:type="dxa"/>
            <w:vAlign w:val="center"/>
            <w:textDirection w:val="lrTb"/>
            <w:noWrap w:val="false"/>
          </w:tcPr>
          <w:p>
            <w:pPr>
              <w:pStyle w:val="943"/>
              <w:ind w:firstLine="0"/>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w:t>
            </w:r>
            <w:r>
              <w:rPr>
                <w:rFonts w:hint="eastAsia" w:ascii="宋体" w:hAnsi="宋体" w:cs="宋体"/>
                <w:szCs w:val="24"/>
                <w:highlight w:val="none"/>
              </w:rPr>
            </w:r>
            <w:r/>
          </w:p>
        </w:tc>
      </w:tr>
    </w:tbl>
    <w:p>
      <w:pPr>
        <w:pStyle w:val="919"/>
        <w:ind w:firstLine="480"/>
        <w:jc w:val="left"/>
        <w:spacing w:line="360" w:lineRule="auto"/>
        <w:tabs>
          <w:tab w:val="left" w:pos="4785" w:leader="none"/>
        </w:tabs>
        <w:rPr>
          <w:rFonts w:hint="eastAsia" w:ascii="宋体" w:hAnsi="宋体" w:cs="宋体"/>
          <w:bCs/>
          <w:sz w:val="24"/>
          <w:highlight w:val="none"/>
        </w:rPr>
      </w:pPr>
      <w:r>
        <w:rPr>
          <w:rFonts w:hint="eastAsia" w:ascii="宋体" w:hAnsi="宋体" w:cs="宋体"/>
          <w:sz w:val="24"/>
          <w:highlight w:val="none"/>
        </w:rPr>
        <w:t xml:space="preserve">2.合同总价（大写）：</w:t>
      </w:r>
      <w:r>
        <w:rPr>
          <w:rFonts w:hint="eastAsia" w:ascii="宋体" w:hAnsi="宋体" w:cs="宋体"/>
          <w:b/>
          <w:bCs/>
          <w:sz w:val="24"/>
          <w:highlight w:val="none"/>
        </w:rPr>
        <w:t xml:space="preserve">人民币</w:t>
      </w:r>
      <w:r>
        <w:rPr>
          <w:rFonts w:hint="eastAsia" w:ascii="宋体" w:hAnsi="宋体" w:cs="宋体"/>
          <w:b/>
          <w:bCs/>
          <w:sz w:val="24"/>
          <w:highlight w:val="none"/>
          <w:u w:val="single"/>
        </w:rPr>
        <w:t xml:space="preserve">               </w:t>
      </w:r>
      <w:r>
        <w:rPr>
          <w:rFonts w:hint="eastAsia" w:ascii="宋体" w:hAnsi="宋体" w:cs="宋体"/>
          <w:sz w:val="24"/>
          <w:highlight w:val="none"/>
        </w:rPr>
        <w:t xml:space="preserve">。</w:t>
      </w:r>
      <w:r>
        <w:rPr>
          <w:rFonts w:hint="eastAsia" w:ascii="宋体" w:hAnsi="宋体" w:cs="宋体"/>
          <w:bCs/>
          <w:sz w:val="24"/>
          <w:highlight w:val="none"/>
        </w:rPr>
        <w:t xml:space="preserve">（含13%增值税）</w:t>
      </w:r>
      <w:r>
        <w:rPr>
          <w:rFonts w:hint="eastAsia" w:ascii="宋体" w:hAnsi="宋体" w:cs="宋体"/>
          <w:bCs/>
          <w:sz w:val="24"/>
          <w:highlight w:val="none"/>
        </w:rPr>
      </w:r>
      <w:r/>
    </w:p>
    <w:p>
      <w:pPr>
        <w:pStyle w:val="919"/>
        <w:ind w:left="108" w:firstLine="1680"/>
        <w:jc w:val="left"/>
        <w:spacing w:line="360" w:lineRule="auto"/>
        <w:tabs>
          <w:tab w:val="left" w:pos="4785" w:leader="none"/>
        </w:tabs>
        <w:rPr>
          <w:rFonts w:hint="eastAsia" w:ascii="宋体" w:hAnsi="宋体" w:cs="宋体"/>
          <w:bCs/>
          <w:sz w:val="24"/>
          <w:highlight w:val="none"/>
        </w:rPr>
      </w:pPr>
      <w:r>
        <w:rPr>
          <w:rFonts w:hint="eastAsia" w:ascii="宋体" w:hAnsi="宋体" w:cs="宋体"/>
          <w:bCs/>
          <w:sz w:val="24"/>
          <w:highlight w:val="none"/>
        </w:rPr>
        <w:t xml:space="preserve">（小写）：</w:t>
      </w:r>
      <w:r>
        <w:rPr>
          <w:rFonts w:hint="eastAsia" w:ascii="宋体" w:hAnsi="宋体" w:cs="宋体"/>
          <w:b/>
          <w:bCs/>
          <w:sz w:val="24"/>
          <w:highlight w:val="none"/>
        </w:rPr>
        <w:t xml:space="preserve">￥</w:t>
      </w:r>
      <w:r>
        <w:rPr>
          <w:rFonts w:hint="eastAsia" w:ascii="宋体" w:hAnsi="宋体" w:cs="宋体"/>
          <w:b/>
          <w:bCs/>
          <w:sz w:val="24"/>
          <w:highlight w:val="none"/>
          <w:u w:val="single"/>
        </w:rPr>
        <w:t xml:space="preserve">       </w:t>
      </w:r>
      <w:r>
        <w:rPr>
          <w:rFonts w:hint="eastAsia" w:ascii="宋体" w:hAnsi="宋体" w:cs="宋体"/>
          <w:b/>
          <w:bCs/>
          <w:sz w:val="24"/>
          <w:highlight w:val="none"/>
        </w:rPr>
        <w:t xml:space="preserve">元。</w:t>
      </w:r>
      <w:r>
        <w:rPr>
          <w:rFonts w:hint="eastAsia" w:ascii="宋体" w:hAnsi="宋体" w:cs="宋体"/>
          <w:bCs/>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2.1</w:t>
      </w:r>
      <w:r>
        <w:rPr>
          <w:rFonts w:hint="eastAsia" w:ascii="宋体" w:hAnsi="宋体" w:cs="宋体"/>
          <w:bCs/>
          <w:sz w:val="24"/>
          <w:highlight w:val="none"/>
        </w:rPr>
        <w:t xml:space="preserve">投标报价，应包括本次采购范围内全部货物、材料、随货物提供的备品配件的价格、全部税费、包装费、运杂费（运抵甲方项目现场）、保险费、检测费及供应商认为需要的其他费用等，本合同执行期间合同总价款不变。</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2.2 在合同履约、验收过程中，如发现有漏项、缺件，乙方应无条件、无偿补齐，所发生的一切费用，视为已包含在乙方投标时的投标报价之中，且并不因此而影响交付甲方使用的时间。</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3. 交付使用时间：</w:t>
      </w:r>
      <w:r>
        <w:rPr>
          <w:rFonts w:hint="eastAsia" w:ascii="宋体" w:hAnsi="宋体" w:cs="宋体"/>
          <w:b/>
          <w:sz w:val="24"/>
          <w:highlight w:val="none"/>
          <w:u w:val="single"/>
        </w:rPr>
        <w:t xml:space="preserve">乙方应在接到甲方供货通知后60日历天内完成交货，交货前应提前10天通知甲方并得到确认后交货。如乙方因不可抗力因素需调整交货进度，应提前10天通知甲方并协商确认具体交货日期。实际采购数量以签订合同后甲方每次下达的订货通知书为准，交货时间以货品达到最终验收标准且交付甲方使用的时间为准，合同执行过程中，甲方有权根据需方工作进度对交货期进行调整，乙方应配合调整交货期。</w:t>
      </w:r>
      <w:r>
        <w:rPr>
          <w:rFonts w:hint="eastAsia" w:ascii="宋体" w:hAnsi="宋体" w:cs="宋体"/>
          <w:sz w:val="24"/>
          <w:highlight w:val="none"/>
        </w:rPr>
      </w:r>
      <w:r/>
    </w:p>
    <w:p>
      <w:pPr>
        <w:pStyle w:val="919"/>
        <w:ind w:firstLine="600"/>
        <w:spacing w:line="360" w:lineRule="auto"/>
        <w:rPr>
          <w:rFonts w:hint="eastAsia" w:ascii="宋体" w:hAnsi="宋体" w:cs="宋体"/>
          <w:sz w:val="24"/>
          <w:highlight w:val="none"/>
        </w:rPr>
      </w:pPr>
      <w:r>
        <w:rPr>
          <w:rFonts w:hint="eastAsia" w:ascii="宋体" w:hAnsi="宋体" w:cs="宋体"/>
          <w:sz w:val="24"/>
          <w:highlight w:val="none"/>
        </w:rPr>
        <w:t xml:space="preserve">4. 收货人：</w:t>
      </w:r>
      <w:r>
        <w:rPr>
          <w:rFonts w:hint="eastAsia" w:ascii="宋体" w:hAnsi="宋体" w:cs="宋体"/>
          <w:b/>
          <w:sz w:val="24"/>
          <w:highlight w:val="none"/>
          <w:u w:val="single"/>
        </w:rPr>
        <w:t xml:space="preserve">江苏省特种设备安全监督检验研究院</w:t>
      </w:r>
      <w:r>
        <w:rPr>
          <w:rFonts w:hint="eastAsia" w:ascii="宋体" w:hAnsi="宋体" w:cs="宋体"/>
          <w:sz w:val="24"/>
          <w:highlight w:val="none"/>
          <w:u w:val="single"/>
        </w:rPr>
        <w:t xml:space="preserve">。</w:t>
      </w:r>
      <w:r>
        <w:rPr>
          <w:rFonts w:hint="eastAsia" w:ascii="宋体" w:hAnsi="宋体" w:cs="宋体"/>
          <w:sz w:val="24"/>
          <w:highlight w:val="none"/>
        </w:rPr>
      </w:r>
      <w:r/>
    </w:p>
    <w:p>
      <w:pPr>
        <w:pStyle w:val="943"/>
        <w:ind w:firstLine="602"/>
        <w:spacing w:line="360" w:lineRule="auto"/>
        <w:tabs>
          <w:tab w:val="left" w:pos="-235" w:leader="none"/>
        </w:tabs>
        <w:rPr>
          <w:rFonts w:hint="eastAsia" w:ascii="宋体" w:hAnsi="宋体" w:cs="宋体"/>
          <w:szCs w:val="24"/>
          <w:highlight w:val="none"/>
          <w:u w:val="single"/>
        </w:rPr>
      </w:pPr>
      <w:r>
        <w:rPr>
          <w:rFonts w:hint="eastAsia" w:ascii="宋体" w:hAnsi="宋体" w:cs="宋体"/>
          <w:szCs w:val="24"/>
          <w:highlight w:val="none"/>
        </w:rPr>
        <w:t xml:space="preserve">5. 交货地点：</w:t>
      </w:r>
      <w:r>
        <w:rPr>
          <w:rFonts w:hint="eastAsia" w:ascii="宋体" w:hAnsi="宋体" w:cs="宋体"/>
          <w:bCs/>
          <w:szCs w:val="24"/>
          <w:highlight w:val="none"/>
          <w:u w:val="single"/>
        </w:rPr>
        <w:t xml:space="preserve">按甲方要求，送达指定地点。</w:t>
      </w:r>
      <w:r>
        <w:rPr>
          <w:rFonts w:hint="eastAsia" w:ascii="宋体" w:hAnsi="宋体" w:cs="宋体"/>
          <w:szCs w:val="24"/>
          <w:highlight w:val="none"/>
          <w:u w:val="single"/>
        </w:rPr>
      </w:r>
      <w:r/>
    </w:p>
    <w:p>
      <w:pPr>
        <w:pStyle w:val="943"/>
        <w:ind w:firstLine="602"/>
        <w:spacing w:line="360" w:lineRule="auto"/>
        <w:tabs>
          <w:tab w:val="left" w:pos="-235" w:leader="none"/>
        </w:tabs>
        <w:rPr>
          <w:rFonts w:hint="eastAsia" w:ascii="宋体" w:hAnsi="宋体" w:cs="宋体"/>
          <w:szCs w:val="24"/>
          <w:highlight w:val="none"/>
        </w:rPr>
      </w:pPr>
      <w:r>
        <w:rPr>
          <w:rFonts w:hint="eastAsia" w:ascii="宋体" w:hAnsi="宋体" w:cs="宋体"/>
          <w:szCs w:val="24"/>
          <w:highlight w:val="none"/>
        </w:rPr>
        <w:t xml:space="preserve">6. 货物的制造应符合下列标准或规范并据此验收：</w:t>
      </w:r>
      <w:r>
        <w:rPr>
          <w:rFonts w:hint="eastAsia" w:ascii="宋体" w:hAnsi="宋体" w:cs="宋体"/>
          <w:bCs/>
          <w:szCs w:val="24"/>
          <w:highlight w:val="none"/>
          <w:u w:val="single"/>
        </w:rPr>
        <w:t xml:space="preserve">招标文件、投标文件、双方签订的技术协议和国家的相关标准。</w:t>
      </w:r>
      <w:r>
        <w:rPr>
          <w:rFonts w:hint="eastAsia" w:ascii="宋体" w:hAnsi="宋体" w:cs="宋体"/>
          <w:szCs w:val="24"/>
          <w:highlight w:val="none"/>
        </w:rPr>
        <w:t xml:space="preserve">（上述标准或规范不一致时,则以要求较高者为准。）</w:t>
      </w:r>
      <w:r>
        <w:rPr>
          <w:rFonts w:hint="eastAsia" w:ascii="宋体" w:hAnsi="宋体" w:cs="宋体"/>
          <w:szCs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7. 包装要求：全部货物的外包装，必须采用防漏、防潮、防震、防盗和考虑到可能会发生的野蛮装卸等长途内陆运输及多次装卸之需要。</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8. 甲方付款方式及期限：</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u w:val="single"/>
        </w:rPr>
      </w:pPr>
      <w:r>
        <w:rPr>
          <w:rFonts w:hint="eastAsia" w:ascii="宋体" w:hAnsi="宋体" w:cs="宋体"/>
          <w:bCs/>
          <w:sz w:val="24"/>
          <w:highlight w:val="none"/>
          <w:u w:val="single"/>
        </w:rPr>
        <w:t xml:space="preserve">1）项目合同签订后，乙方提供的主要原材料经采购人抽样检验合格后，支付货物合同金额的30%；乙方提供的</w:t>
      </w:r>
      <w:r>
        <w:rPr>
          <w:rFonts w:hint="eastAsia" w:ascii="宋体" w:hAnsi="宋体" w:cs="宋体"/>
          <w:sz w:val="24"/>
          <w:highlight w:val="none"/>
          <w:u w:val="single"/>
        </w:rPr>
        <w:t xml:space="preserve">成品经采购人抽样检验合格并全部交付使用后付款至货物合同金额的100%。</w:t>
      </w:r>
      <w:r>
        <w:rPr>
          <w:rFonts w:hint="eastAsia" w:ascii="宋体" w:hAnsi="宋体" w:cs="宋体"/>
          <w:sz w:val="24"/>
          <w:highlight w:val="none"/>
          <w:u w:val="single"/>
        </w:rPr>
      </w:r>
      <w:r/>
    </w:p>
    <w:p>
      <w:pPr>
        <w:pStyle w:val="919"/>
        <w:ind w:left="108" w:firstLine="480"/>
        <w:jc w:val="left"/>
        <w:spacing w:line="360" w:lineRule="auto"/>
        <w:tabs>
          <w:tab w:val="left" w:pos="4785" w:leader="none"/>
        </w:tabs>
        <w:rPr>
          <w:rFonts w:hint="eastAsia" w:ascii="宋体" w:hAnsi="宋体" w:cs="宋体"/>
          <w:sz w:val="24"/>
          <w:highlight w:val="none"/>
          <w:u w:val="single"/>
        </w:rPr>
      </w:pPr>
      <w:r>
        <w:rPr>
          <w:rFonts w:hint="eastAsia" w:ascii="宋体" w:hAnsi="宋体" w:cs="宋体"/>
          <w:sz w:val="24"/>
          <w:highlight w:val="none"/>
          <w:u w:val="single"/>
        </w:rPr>
        <w:t xml:space="preserve">2）当采购数量与实际使用数量不一致时，乙方应根据实际使用量供货，合同的最终结算金额按实际使用量乘以成交单价进行计算。</w:t>
      </w:r>
      <w:r>
        <w:rPr>
          <w:rFonts w:hint="eastAsia" w:ascii="宋体" w:hAnsi="宋体" w:cs="宋体"/>
          <w:sz w:val="24"/>
          <w:highlight w:val="none"/>
          <w:u w:val="singl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9.交付和验收</w:t>
      </w:r>
      <w:r>
        <w:rPr>
          <w:rFonts w:hint="eastAsia" w:ascii="宋体" w:hAnsi="宋体" w:cs="宋体"/>
          <w:sz w:val="24"/>
          <w:highlight w:val="none"/>
        </w:rPr>
      </w:r>
      <w:r/>
    </w:p>
    <w:p>
      <w:pPr>
        <w:pStyle w:val="919"/>
        <w:ind w:firstLine="720"/>
        <w:jc w:val="left"/>
        <w:spacing w:line="360" w:lineRule="auto"/>
        <w:rPr>
          <w:rFonts w:hint="eastAsia" w:ascii="宋体" w:hAnsi="宋体" w:cs="宋体"/>
          <w:sz w:val="24"/>
          <w:highlight w:val="none"/>
        </w:rPr>
      </w:pPr>
      <w:r>
        <w:rPr>
          <w:rFonts w:hint="eastAsia" w:ascii="宋体" w:hAnsi="宋体" w:cs="宋体"/>
          <w:sz w:val="24"/>
          <w:highlight w:val="none"/>
        </w:rPr>
        <w:t xml:space="preserve">1）乙方应当在合同签订后，根据招标文件及招标文件的要求完成服务事项。</w:t>
      </w:r>
      <w:r>
        <w:rPr>
          <w:rFonts w:hint="eastAsia" w:ascii="宋体" w:hAnsi="宋体" w:cs="宋体"/>
          <w:sz w:val="24"/>
          <w:highlight w:val="none"/>
        </w:rPr>
      </w:r>
      <w:r/>
    </w:p>
    <w:p>
      <w:pPr>
        <w:pStyle w:val="919"/>
        <w:ind w:firstLine="720"/>
        <w:jc w:val="left"/>
        <w:spacing w:line="360" w:lineRule="auto"/>
        <w:rPr>
          <w:rFonts w:hint="eastAsia" w:ascii="宋体" w:hAnsi="宋体" w:cs="宋体"/>
          <w:sz w:val="24"/>
          <w:highlight w:val="none"/>
        </w:rPr>
      </w:pPr>
      <w:r>
        <w:rPr>
          <w:rFonts w:hint="eastAsia" w:ascii="宋体" w:hAnsi="宋体" w:cs="宋体"/>
          <w:sz w:val="24"/>
          <w:highlight w:val="none"/>
        </w:rPr>
        <w:t xml:space="preserve">2）验收标准：按行业通行标准和乙方招标文件的承诺（不低于国家相关标准）。</w:t>
      </w:r>
      <w:r>
        <w:rPr>
          <w:rFonts w:hint="eastAsia" w:ascii="宋体" w:hAnsi="宋体" w:cs="宋体"/>
          <w:sz w:val="24"/>
          <w:highlight w:val="none"/>
        </w:rPr>
      </w:r>
      <w:r/>
    </w:p>
    <w:p>
      <w:pPr>
        <w:pStyle w:val="919"/>
        <w:ind w:firstLine="720"/>
        <w:jc w:val="left"/>
        <w:spacing w:line="360" w:lineRule="auto"/>
        <w:rPr>
          <w:rFonts w:hint="eastAsia" w:ascii="宋体" w:hAnsi="宋体" w:cs="宋体"/>
          <w:sz w:val="24"/>
          <w:highlight w:val="none"/>
        </w:rPr>
      </w:pPr>
      <w:r>
        <w:rPr>
          <w:rFonts w:hint="eastAsia" w:ascii="宋体" w:hAnsi="宋体" w:cs="宋体"/>
          <w:sz w:val="24"/>
          <w:highlight w:val="none"/>
        </w:rPr>
        <w:t xml:space="preserve">3）验收方式：所提供的货物（含服务）符合招标文件及招标文件、双方签订的技术协议和国家的相关标准，经采购人项目负责人确认填写项目验收报告。</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10. 质保期及售后服务</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b/>
          <w:bCs/>
          <w:sz w:val="24"/>
          <w:highlight w:val="none"/>
        </w:rPr>
      </w:pPr>
      <w:r>
        <w:rPr>
          <w:rFonts w:hint="eastAsia" w:ascii="宋体" w:hAnsi="宋体" w:cs="宋体"/>
          <w:sz w:val="24"/>
          <w:highlight w:val="none"/>
        </w:rPr>
        <w:t xml:space="preserve">10.1 乙方所供货物、材料及安装的质量保证期：</w:t>
      </w:r>
      <w:r>
        <w:rPr>
          <w:rFonts w:hint="eastAsia" w:ascii="宋体" w:hAnsi="宋体" w:cs="宋体"/>
          <w:b/>
          <w:bCs/>
          <w:sz w:val="24"/>
          <w:highlight w:val="none"/>
          <w:u w:val="single"/>
        </w:rPr>
        <w:t xml:space="preserve">按照招标文件、投标文件要求</w:t>
      </w:r>
      <w:r>
        <w:rPr>
          <w:rFonts w:hint="eastAsia" w:ascii="宋体" w:hAnsi="宋体" w:cs="宋体"/>
          <w:b/>
          <w:bCs/>
          <w:sz w:val="24"/>
          <w:highlight w:val="none"/>
          <w:u w:val="single"/>
        </w:rPr>
        <w:t xml:space="preserve">。</w:t>
      </w:r>
      <w:r>
        <w:rPr>
          <w:rFonts w:hint="eastAsia" w:ascii="宋体" w:hAnsi="宋体" w:cs="宋体"/>
          <w:b/>
          <w:bCs/>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10.2 质量保证期及服务期内，如发生质量问题，中标人在接到通知的2小时内响应，在1日内提出解决方案，于10日内进行产品的修复或更换等处理，并承担质量保证期及服务期内发生的一切费用及因货物缺陷给使用方造成的一切损失（非投标人原因除外）。</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10.3 在质保期内，因甲方使用不当原因出现服装损坏时，乙方在接甲方通知后，厂家售后人员应在10.2条款中所述的时限内进行产品的修复或维修，仅收取成本费。</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11. 技术资料</w:t>
      </w:r>
      <w:r>
        <w:rPr>
          <w:rFonts w:hint="eastAsia" w:ascii="宋体" w:hAnsi="宋体" w:cs="宋体"/>
          <w:sz w:val="24"/>
          <w:highlight w:val="none"/>
        </w:rPr>
      </w:r>
      <w:r/>
    </w:p>
    <w:p>
      <w:pPr>
        <w:pStyle w:val="919"/>
        <w:ind w:left="108"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按第四章技术规格、参数及其他要求中的要求提供相关资料（见附件）。</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12.货物风险承担</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12.1乙方应当按照甲方指定的地点交货，需要运输的货物，乙方应当妥善保障货物在运输过程中的安全。</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12.2乙方将货物运输至甲方指定的地点后，应当及时通知甲方进行接收，由甲方进行检验。</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12.3在货物验收合格之前毁损、灭失的风险由乙方承担，因甲方原因造成货物毁损、灭失的除外。</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13. 乙方的违约责任</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13.1乙方未按合同规定的质量要求交货，甲方有权拒收，由此造成的直接损失和间接损失由乙方承担。</w:t>
      </w:r>
      <w:r>
        <w:rPr>
          <w:rFonts w:hint="eastAsia" w:ascii="宋体" w:hAnsi="宋体" w:cs="宋体"/>
          <w:sz w:val="24"/>
          <w:highlight w:val="none"/>
        </w:rPr>
      </w:r>
      <w:r/>
    </w:p>
    <w:p>
      <w:pPr>
        <w:pStyle w:val="919"/>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13.2</w:t>
      </w:r>
      <w:r>
        <w:rPr>
          <w:rFonts w:hint="eastAsia" w:ascii="宋体" w:hAnsi="宋体" w:cs="宋体"/>
          <w:sz w:val="24"/>
          <w:highlight w:val="none"/>
        </w:rPr>
        <w:t xml:space="preserve">乙方逾期交付的，每逾期1天，乙方向甲方偿付合同总额的5‰的违约金。</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13.3货物有合格证及说明书等资料的，在交付货物时，乙方应当一并交付合格证及说明书等资料，未交付的甲方有权拒绝接收。因此造成的损失由乙方承担。</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13.4 乙方拒绝交付、不能交付、不能完成合同约定的义务或者未取得处分权致使货物所有权不能转移的，甲方有权解除本合同并要求乙方双倍返还甲方已支付的货款，甲方在未支付货款前因此解除合同的，乙方应当向甲方支付合同总价款10%的违约金。</w:t>
      </w:r>
      <w:r>
        <w:rPr>
          <w:rFonts w:hint="eastAsia" w:ascii="宋体" w:hAnsi="宋体" w:cs="宋体"/>
          <w:sz w:val="24"/>
          <w:highlight w:val="none"/>
        </w:rPr>
      </w:r>
      <w:r/>
    </w:p>
    <w:p>
      <w:pPr>
        <w:pStyle w:val="919"/>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13.5乙方逾期交付达10天，视为乙方拒绝交付、不能交付或不能完成合同，甲方有权解除合同，解除合同的通知自到达乙方时生效，解除合同造成的直接损失和间接损失全部由乙方承担。</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13.6转包或分包</w:t>
      </w:r>
      <w:r>
        <w:rPr>
          <w:rFonts w:hint="eastAsia" w:ascii="宋体" w:hAnsi="宋体" w:cs="宋体"/>
          <w:sz w:val="24"/>
          <w:highlight w:val="none"/>
        </w:rPr>
      </w:r>
      <w:r/>
    </w:p>
    <w:p>
      <w:pPr>
        <w:pStyle w:val="919"/>
        <w:ind w:firstLine="482"/>
        <w:jc w:val="left"/>
        <w:spacing w:line="360" w:lineRule="auto"/>
        <w:tabs>
          <w:tab w:val="left" w:pos="4785" w:leader="none"/>
        </w:tabs>
        <w:rPr>
          <w:rFonts w:hint="eastAsia" w:ascii="宋体" w:hAnsi="宋体" w:cs="宋体"/>
          <w:b/>
          <w:bCs/>
          <w:sz w:val="24"/>
          <w:highlight w:val="none"/>
        </w:rPr>
      </w:pPr>
      <w:r>
        <w:rPr>
          <w:rFonts w:hint="eastAsia" w:ascii="宋体" w:hAnsi="宋体" w:cs="宋体"/>
          <w:b/>
          <w:bCs/>
          <w:sz w:val="24"/>
          <w:highlight w:val="none"/>
        </w:rPr>
        <w:t xml:space="preserve">本合同所有服装的制造及售后服务，都必须由乙方自己承担，不得转包或分包给其他单位。否则，甲方有权按乙方拒绝交付、不能交付或不能完成合同处理。</w:t>
      </w:r>
      <w:r>
        <w:rPr>
          <w:rFonts w:hint="eastAsia" w:ascii="宋体" w:hAnsi="宋体" w:cs="宋体"/>
          <w:b/>
          <w:bCs/>
          <w:sz w:val="24"/>
          <w:highlight w:val="none"/>
        </w:rPr>
      </w:r>
      <w:r/>
    </w:p>
    <w:p>
      <w:pPr>
        <w:pStyle w:val="919"/>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13.7</w:t>
      </w:r>
      <w:r>
        <w:rPr>
          <w:rFonts w:hint="eastAsia" w:ascii="宋体" w:hAnsi="宋体" w:cs="宋体"/>
          <w:sz w:val="24"/>
          <w:highlight w:val="none"/>
        </w:rPr>
        <w:t xml:space="preserve">乙方所交付的货物或服务不符合合同规定的，甲方有权拒收。甲方拒收的，乙方应向甲方支付合同总款5‰的违约金。甲方未拒收的，采购代理机构发现后将向有关部门反映，并责成乙方按照采购结果提供服务。</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13.8乙方履行义务不符合合同约定时，甲方将扣减10%尾款，同时甲方有权按照本合同的约定追究乙方的违约责任。</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13.9乙方应当向甲方提供合法且符合甲方要求的发票，乙方未提供发票之前甲方有权拒绝支付合同款项，由此造成的损失由乙方承担，因乙方未提供发票导致甲方未支付货款的，并不因此免除乙方按约定供货的义务。</w:t>
      </w:r>
      <w:r>
        <w:rPr>
          <w:rFonts w:hint="eastAsia" w:ascii="宋体" w:hAnsi="宋体" w:cs="宋体"/>
          <w:sz w:val="24"/>
          <w:highlight w:val="none"/>
        </w:rPr>
        <w:tab/>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14.甲方的违约责任</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14.1甲方未按合同规定的时间和要求向乙方提供技术资料等，乙方交付时间顺延。</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15. 乙方供给甲方的货物、材料及乙方自己的用具，进入甲方现场后的保管，由乙方负责；乙方在甲方现场服务人员及验收人员的安全、保险、食宿、交通由乙方负责。</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16. 乙方在项目的服务及验收过程中，甲方提供下列条件和配合，超出下列范围的由乙方自理：</w:t>
      </w:r>
      <w:r>
        <w:rPr>
          <w:rFonts w:hint="eastAsia" w:ascii="宋体" w:hAnsi="宋体" w:cs="宋体"/>
          <w:sz w:val="24"/>
          <w:highlight w:val="none"/>
          <w:u w:val="single"/>
        </w:rPr>
        <w:t xml:space="preserve">无</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17. 甲方使用乙方提供的货物，当受到第三方提出的侵犯其专利权、商标权或工业设计权等知识产权的起诉时，一切后果由乙方负责，包括但不限于甲方被起诉赔偿、停止使用等所产生的损失。</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18. 合同的生效：本合同一式陆份，各份具有同等法律效力，自甲乙双方签字盖章并加盖骑缝章之日起生效。</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19. 未尽事宜、双方协商解决，并按《中华人民共和国民法典》的规定调整。</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20.招标文件、成交通知书、乙方的招标文件及投标承诺书是签订本合同的依据，本合同未尽事项首先依据招标文件、成交（成交）通知书、乙方的招标文件及投标承诺书进行履行，双方也可以在不违背本合同实质性内容的基础上达成补充协议，补充协议与本合同具有相同的法律效力。</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bookmarkStart w:id="124" w:name="_Toc4445"/>
      <w:r>
        <w:rPr>
          <w:rFonts w:hint="eastAsia" w:ascii="宋体" w:hAnsi="宋体" w:cs="宋体"/>
          <w:sz w:val="24"/>
          <w:highlight w:val="none"/>
        </w:rPr>
        <w:t xml:space="preserve">三、合同的变更和终止</w:t>
      </w:r>
      <w:bookmarkEnd w:id="124"/>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1、除《政府采购法》第50条第二款规定的情形外，本合同一经签订，甲乙双方不得擅自变更、中止或终止合同。</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2、除发生法律规定的不能预见、不能避免并不能克服的客观情况外，甲乙双方不得放弃或拒绝履行合同。</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3、在不改变合同其他条款的前提下，甲方有权在合同价款百分之十的范围内追加与合同标的相同的货物或服务，并就此与乙方签订补充合同，乙方不得拒绝。</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bookmarkStart w:id="125" w:name="_Toc19018"/>
      <w:r>
        <w:rPr>
          <w:rFonts w:hint="eastAsia" w:ascii="宋体" w:hAnsi="宋体" w:cs="宋体"/>
          <w:sz w:val="24"/>
          <w:highlight w:val="none"/>
        </w:rPr>
        <w:t xml:space="preserve">四、合同权利义务的转让</w:t>
      </w:r>
      <w:bookmarkEnd w:id="125"/>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合同履行过程中，乙方未经甲方书面同意，不得将合同权利义务转让给第三方，否则甲方有权解除合同，同时乙方应当向甲方支付合同总价款5%的违约金，造成甲方损失的还应当进行赔偿。</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五、货物、服务的购买或租赁权利瑕疵</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乙方应保证提供的货物或服务不存在所有权、抵押权、使用权、知识产权等权利瑕疵。</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bookmarkStart w:id="126" w:name="_Toc30322"/>
      <w:r>
        <w:rPr>
          <w:rFonts w:hint="eastAsia" w:ascii="宋体" w:hAnsi="宋体" w:cs="宋体"/>
          <w:sz w:val="24"/>
          <w:highlight w:val="none"/>
        </w:rPr>
        <w:t xml:space="preserve">六、争议解决条款</w:t>
      </w:r>
      <w:bookmarkEnd w:id="126"/>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合同履行过程中发生争议，双方应友好协商，协商不成的，同意提交南京仲裁委员会按其仲裁规则裁决，仲裁产生的仲裁费、鉴定费、保全费、担保费、律师费等合理支出由违约方承担。</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bookmarkStart w:id="127" w:name="_Toc20895"/>
      <w:r>
        <w:rPr>
          <w:rFonts w:hint="eastAsia" w:ascii="宋体" w:hAnsi="宋体" w:cs="宋体"/>
          <w:sz w:val="24"/>
          <w:highlight w:val="none"/>
        </w:rPr>
        <w:t xml:space="preserve">七、</w:t>
      </w:r>
      <w:bookmarkEnd w:id="127"/>
      <w:r>
        <w:rPr>
          <w:rFonts w:hint="eastAsia" w:ascii="宋体" w:hAnsi="宋体" w:cs="宋体"/>
          <w:sz w:val="24"/>
          <w:highlight w:val="none"/>
        </w:rPr>
        <w:t xml:space="preserve">廉洁条款</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协议签订前、履行期间及履行完毕后，乙方应当遵守廉洁原则，不得向甲方工作人员行贿、变相行贿，不得以任何理由向甲方工作人员及第三方赠送礼品、礼金、各种有价证券及其他支付凭证，不以任何理由为甲方工作人员报销应由个人支付的费用。一旦发生上述事由，甲方有权无条件解除本协议。</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八、保密条款</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双方应当对协议的内容、因履行协议期间获得的或收到的对方的商务、财务、技术、产品的信息、用户资料或其他标明保密的文件或信息的内容保守秘密，未经信息披露方书面事先同意，不得向协议以外的任何第三方披露。双方均不得将协议中的内容及在协议执行过程中获得的对方的商业信息向任何第三方泄露。本保密义务应在本协议期满、解除或终止后仍然有效；</w:t>
      </w:r>
      <w:r>
        <w:rPr>
          <w:rFonts w:hint="eastAsia" w:ascii="宋体" w:hAnsi="宋体" w:cs="宋体"/>
          <w:sz w:val="24"/>
          <w:highlight w:val="none"/>
        </w:rPr>
      </w:r>
      <w:r/>
    </w:p>
    <w:p>
      <w:pPr>
        <w:pStyle w:val="984"/>
        <w:ind w:firstLine="420"/>
        <w:spacing w:before="0" w:beforeAutospacing="0" w:after="0" w:afterAutospacing="0" w:line="440" w:lineRule="exact"/>
        <w:rPr>
          <w:rFonts w:hint="eastAsia"/>
          <w:color w:val="622423"/>
          <w:highlight w:val="none"/>
        </w:rPr>
      </w:pPr>
      <w:r>
        <w:rPr>
          <w:rFonts w:hint="eastAsia"/>
          <w:color w:val="622423"/>
          <w:highlight w:val="none"/>
        </w:rPr>
        <w:t xml:space="preserve">九、不可抗力</w:t>
      </w:r>
      <w:r>
        <w:rPr>
          <w:rFonts w:hint="eastAsia"/>
          <w:color w:val="622423"/>
          <w:highlight w:val="none"/>
        </w:rPr>
      </w:r>
      <w:r/>
    </w:p>
    <w:p>
      <w:pPr>
        <w:pStyle w:val="984"/>
        <w:ind w:firstLine="420"/>
        <w:spacing w:before="0" w:beforeAutospacing="0" w:after="0" w:afterAutospacing="0" w:line="440" w:lineRule="exact"/>
        <w:rPr>
          <w:rFonts w:hint="eastAsia"/>
          <w:color w:val="622423"/>
          <w:highlight w:val="none"/>
        </w:rPr>
      </w:pPr>
      <w:r>
        <w:rPr>
          <w:rFonts w:hint="eastAsia"/>
          <w:color w:val="622423"/>
          <w:highlight w:val="none"/>
        </w:rPr>
        <w:t xml:space="preserve">本项目所指的不可抗力按照国家法律法规等规定执行，包括：（1）战争、叛乱、恐怖主义、骚乱、空中飞行物体坠落或其他非发包人或承包人责任造成的爆炸、火灾、自然灾害等以及《民法典》中不可抗力定义的内容；（2）本地区发生烈度Ⅶ度以上（含Ⅶ度）的地震。</w:t>
      </w:r>
      <w:r>
        <w:rPr>
          <w:rFonts w:hint="eastAsia"/>
          <w:color w:val="622423"/>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十、送达条款</w:t>
      </w:r>
      <w:r>
        <w:rPr>
          <w:rFonts w:hint="eastAsia" w:ascii="宋体" w:hAnsi="宋体" w:cs="宋体"/>
          <w:sz w:val="24"/>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t xml:space="preserve">协议尾部联系方式和联系信息适用于双方往来联系、书面文件送达及争议解决时法律文书送达，送达文书的效力及于本合同纠纷所引发的仲裁、诉讼程序和执行程序。乙方确认的最后送达地址如发生变更等情形，应在三日内重新确认填写最后送达地址并以书面方式予以通知甲方，否则原确认的最后送达地址继续有效，乙方自行承担由此可能产生的法律后果。</w:t>
      </w:r>
      <w:r>
        <w:rPr>
          <w:rFonts w:hint="eastAsia" w:ascii="宋体" w:hAnsi="宋体" w:cs="宋体"/>
          <w:sz w:val="24"/>
          <w:highlight w:val="none"/>
        </w:rPr>
      </w:r>
      <w:r/>
    </w:p>
    <w:p>
      <w:pPr>
        <w:pStyle w:val="984"/>
        <w:ind w:firstLine="420"/>
        <w:spacing w:before="0" w:beforeAutospacing="0" w:after="0" w:afterAutospacing="0" w:line="440" w:lineRule="exact"/>
        <w:rPr>
          <w:rFonts w:hint="eastAsia"/>
          <w:color w:val="622423"/>
          <w:highlight w:val="none"/>
        </w:rPr>
      </w:pPr>
      <w:r>
        <w:rPr>
          <w:rFonts w:hint="eastAsia"/>
          <w:color w:val="622423"/>
          <w:highlight w:val="none"/>
        </w:rPr>
        <w:t xml:space="preserve">十一、其他</w:t>
      </w:r>
      <w:r>
        <w:rPr>
          <w:rFonts w:hint="eastAsia"/>
          <w:color w:val="622423"/>
          <w:highlight w:val="none"/>
        </w:rPr>
      </w:r>
      <w:r/>
    </w:p>
    <w:p>
      <w:pPr>
        <w:pStyle w:val="984"/>
        <w:ind w:firstLine="420"/>
        <w:spacing w:before="0" w:beforeAutospacing="0" w:after="0" w:afterAutospacing="0" w:line="440" w:lineRule="exact"/>
        <w:rPr>
          <w:rFonts w:hint="eastAsia"/>
          <w:color w:val="622423"/>
          <w:highlight w:val="none"/>
        </w:rPr>
      </w:pPr>
      <w:r>
        <w:rPr>
          <w:rFonts w:hint="eastAsia"/>
          <w:color w:val="622423"/>
          <w:highlight w:val="none"/>
        </w:rPr>
        <w:t xml:space="preserve">11.1、合同的生效：本合同一式陆份，自甲乙双方签字并加盖骑缝章之日起生效。</w:t>
      </w:r>
      <w:r>
        <w:rPr>
          <w:rFonts w:hint="eastAsia"/>
          <w:color w:val="622423"/>
          <w:highlight w:val="none"/>
        </w:rPr>
      </w:r>
      <w:r/>
    </w:p>
    <w:p>
      <w:pPr>
        <w:pStyle w:val="984"/>
        <w:ind w:firstLine="420"/>
        <w:spacing w:before="0" w:beforeAutospacing="0" w:after="0" w:afterAutospacing="0" w:line="440" w:lineRule="exact"/>
        <w:rPr>
          <w:rFonts w:hint="eastAsia"/>
          <w:color w:val="622423"/>
          <w:highlight w:val="none"/>
        </w:rPr>
      </w:pPr>
      <w:r>
        <w:rPr>
          <w:rFonts w:hint="eastAsia"/>
          <w:color w:val="622423"/>
          <w:highlight w:val="none"/>
        </w:rPr>
        <w:t xml:space="preserve">11.2、未尽事宜、双方协商解决，并按《中华人民共和国民法典》及相关法律、法规的规定调整。</w:t>
      </w:r>
      <w:r>
        <w:rPr>
          <w:rFonts w:hint="eastAsia"/>
          <w:color w:val="622423"/>
          <w:highlight w:val="none"/>
        </w:rPr>
      </w:r>
      <w:r/>
    </w:p>
    <w:p>
      <w:pPr>
        <w:pStyle w:val="984"/>
        <w:ind w:firstLine="420"/>
        <w:spacing w:before="0" w:beforeAutospacing="0" w:after="0" w:afterAutospacing="0" w:line="440" w:lineRule="exact"/>
        <w:rPr>
          <w:rFonts w:hint="eastAsia"/>
          <w:color w:val="622423"/>
          <w:highlight w:val="none"/>
        </w:rPr>
      </w:pPr>
      <w:r>
        <w:rPr>
          <w:rFonts w:hint="eastAsia"/>
          <w:color w:val="622423"/>
          <w:highlight w:val="none"/>
        </w:rPr>
        <w:t xml:space="preserve">11.3、采购文件、成交通知书、乙方的响应文件及响应承诺书是签订本合同的依据，本合同未尽事项首先依据采购文件、成交通知书、乙方的响应文件及响应承诺书进行履行，双方也可以在不违背本合同实质性内容的基础上达成补充协议，补充协议与本合同具有相同的法律效力。</w:t>
      </w:r>
      <w:r>
        <w:rPr>
          <w:rFonts w:hint="eastAsia"/>
          <w:color w:val="622423"/>
          <w:highlight w:val="none"/>
        </w:rPr>
      </w:r>
      <w:r/>
    </w:p>
    <w:p>
      <w:pPr>
        <w:pStyle w:val="919"/>
        <w:ind w:firstLine="480"/>
        <w:jc w:val="left"/>
        <w:spacing w:line="360" w:lineRule="auto"/>
        <w:tabs>
          <w:tab w:val="left" w:pos="4785" w:leader="none"/>
        </w:tabs>
        <w:rPr>
          <w:rFonts w:hint="eastAsia" w:ascii="宋体" w:hAnsi="宋体" w:cs="宋体"/>
          <w:sz w:val="24"/>
          <w:highlight w:val="none"/>
        </w:rPr>
      </w:pPr>
      <w:r>
        <w:rPr>
          <w:rFonts w:hint="eastAsia" w:ascii="宋体" w:hAnsi="宋体" w:cs="宋体"/>
          <w:sz w:val="24"/>
          <w:highlight w:val="none"/>
        </w:rPr>
      </w:r>
      <w:r/>
    </w:p>
    <w:p>
      <w:pPr>
        <w:pStyle w:val="919"/>
        <w:ind w:firstLine="48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（以下无正文）</w:t>
      </w:r>
      <w:r>
        <w:rPr>
          <w:rFonts w:hint="eastAsia" w:ascii="宋体" w:hAnsi="宋体" w:cs="宋体"/>
          <w:sz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79"/>
        <w:gridCol w:w="4241"/>
      </w:tblGrid>
      <w:tr>
        <w:trPr>
          <w:trHeight w:val="4651"/>
        </w:trPr>
        <w:tc>
          <w:tcPr>
            <w:tcW w:w="2568" w:type="dxa"/>
            <w:vAlign w:val="top"/>
            <w:textDirection w:val="lrTb"/>
            <w:noWrap w:val="false"/>
          </w:tcPr>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甲方（盖公章/加盖CA电子公章）：</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单位名称：江苏省特种设备安全监督检验研究院</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单位地址：江苏省南京市鼓楼区草场门大街107号龙江大厦</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签订日期：  年  月  日</w:t>
            </w:r>
            <w:r>
              <w:rPr>
                <w:rFonts w:hint="eastAsia" w:ascii="宋体" w:hAnsi="宋体" w:cs="宋体"/>
                <w:szCs w:val="21"/>
                <w:highlight w:val="none"/>
              </w:rPr>
            </w:r>
            <w:r/>
          </w:p>
        </w:tc>
        <w:tc>
          <w:tcPr>
            <w:tcW w:w="2431" w:type="dxa"/>
            <w:vAlign w:val="top"/>
            <w:textDirection w:val="lrTb"/>
            <w:noWrap w:val="false"/>
          </w:tcPr>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乙方（盖公章/加盖CA电子公章）：</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单位名称：</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单位地址：</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法定代表人：</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委托代理人（签字）：</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电话：</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传真：</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帐号：</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税号：</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szCs w:val="21"/>
                <w:highlight w:val="none"/>
              </w:rPr>
              <w:t xml:space="preserve">签订日期：  年  月  日</w:t>
            </w:r>
            <w:r>
              <w:rPr>
                <w:rFonts w:hint="eastAsia" w:ascii="宋体" w:hAnsi="宋体" w:cs="宋体"/>
                <w:szCs w:val="21"/>
                <w:highlight w:val="none"/>
              </w:rPr>
            </w:r>
            <w:r/>
          </w:p>
        </w:tc>
      </w:tr>
    </w:tbl>
    <w:p>
      <w:pPr>
        <w:pStyle w:val="919"/>
        <w:ind w:firstLine="480"/>
        <w:spacing w:line="360" w:lineRule="auto"/>
        <w:rPr>
          <w:rFonts w:hint="eastAsia" w:ascii="宋体" w:hAnsi="宋体" w:cs="宋体"/>
          <w:bCs/>
          <w:sz w:val="24"/>
          <w:highlight w:val="none"/>
        </w:rPr>
      </w:pPr>
      <w:r>
        <w:rPr>
          <w:rFonts w:hint="eastAsia" w:ascii="宋体" w:hAnsi="宋体" w:cs="宋体"/>
          <w:bCs/>
          <w:sz w:val="24"/>
          <w:highlight w:val="none"/>
        </w:rPr>
      </w:r>
      <w:r/>
    </w:p>
    <w:p>
      <w:pPr>
        <w:pStyle w:val="919"/>
        <w:spacing w:line="360" w:lineRule="auto"/>
        <w:rPr>
          <w:rFonts w:hint="eastAsia" w:ascii="宋体" w:hAnsi="宋体" w:cs="宋体"/>
          <w:b/>
          <w:highlight w:val="none"/>
        </w:rPr>
      </w:pPr>
      <w:r>
        <w:rPr>
          <w:rFonts w:hint="eastAsia" w:ascii="宋体" w:hAnsi="宋体" w:cs="宋体"/>
          <w:b/>
          <w:highlight w:val="none"/>
        </w:rPr>
      </w:r>
      <w:r/>
    </w:p>
    <w:p>
      <w:pPr>
        <w:pStyle w:val="919"/>
        <w:spacing w:before="19" w:line="360" w:lineRule="auto"/>
        <w:widowControl/>
        <w:rPr>
          <w:rFonts w:hint="eastAsia" w:ascii="宋体" w:hAnsi="宋体" w:cs="宋体"/>
          <w:sz w:val="24"/>
          <w:highlight w:val="none"/>
        </w:rPr>
      </w:pPr>
      <w:r>
        <w:rPr>
          <w:rFonts w:hint="eastAsia" w:ascii="宋体" w:hAnsi="宋体" w:cs="宋体"/>
          <w:sz w:val="24"/>
          <w:highlight w:val="none"/>
        </w:rPr>
      </w:r>
      <w:r/>
    </w:p>
    <w:p>
      <w:pPr>
        <w:pStyle w:val="919"/>
        <w:jc w:val="left"/>
        <w:spacing w:line="360" w:lineRule="auto"/>
        <w:widowControl/>
        <w:rPr>
          <w:rFonts w:hint="eastAsia" w:ascii="宋体" w:hAnsi="宋体" w:cs="宋体"/>
          <w:b/>
          <w:bCs/>
          <w:sz w:val="32"/>
          <w:szCs w:val="44"/>
          <w:highlight w:val="none"/>
        </w:rPr>
      </w:pPr>
      <w:r>
        <w:rPr>
          <w:rFonts w:hint="eastAsia" w:ascii="宋体" w:hAnsi="宋体" w:cs="宋体"/>
          <w:b/>
          <w:bCs/>
          <w:sz w:val="32"/>
          <w:szCs w:val="44"/>
          <w:highlight w:val="none"/>
        </w:rPr>
      </w:r>
      <w:r/>
    </w:p>
    <w:p>
      <w:pPr>
        <w:pStyle w:val="919"/>
        <w:spacing w:line="360" w:lineRule="auto"/>
        <w:rPr>
          <w:rFonts w:hint="eastAsia" w:ascii="宋体" w:hAnsi="宋体" w:cs="宋体"/>
          <w:highlight w:val="none"/>
        </w:rPr>
      </w:pPr>
      <w:r/>
      <w:bookmarkStart w:id="128" w:name="_Toc43902853"/>
      <w:r>
        <w:rPr>
          <w:rFonts w:hint="eastAsia" w:ascii="宋体" w:hAnsi="宋体" w:cs="宋体"/>
          <w:highlight w:val="none"/>
        </w:rPr>
      </w:r>
      <w:r/>
    </w:p>
    <w:p>
      <w:pPr>
        <w:pStyle w:val="920"/>
        <w:numPr>
          <w:ilvl w:val="0"/>
          <w:numId w:val="0"/>
        </w:numPr>
        <w:spacing w:line="360" w:lineRule="auto"/>
        <w:rPr>
          <w:rFonts w:hint="eastAsia" w:ascii="宋体" w:hAnsi="宋体" w:cs="宋体"/>
          <w:highlight w:val="none"/>
        </w:rPr>
      </w:pPr>
      <w:r/>
      <w:bookmarkStart w:id="129" w:name="_Toc1117"/>
      <w:r/>
      <w:bookmarkStart w:id="130" w:name="_Toc17651"/>
      <w:r>
        <w:rPr>
          <w:rFonts w:hint="eastAsia" w:ascii="宋体" w:hAnsi="宋体" w:cs="宋体"/>
          <w:highlight w:val="none"/>
        </w:rPr>
        <w:t xml:space="preserve">第六章 </w:t>
      </w:r>
      <w:bookmarkEnd w:id="128"/>
      <w:r/>
      <w:bookmarkEnd w:id="129"/>
      <w:r>
        <w:rPr>
          <w:rFonts w:hint="eastAsia" w:ascii="宋体" w:hAnsi="宋体" w:cs="宋体"/>
          <w:highlight w:val="none"/>
        </w:rPr>
        <w:t xml:space="preserve">投标文件格式</w:t>
      </w:r>
      <w:bookmarkEnd w:id="130"/>
      <w:r>
        <w:rPr>
          <w:rFonts w:hint="eastAsia" w:ascii="宋体" w:hAnsi="宋体" w:cs="宋体"/>
          <w:highlight w:val="none"/>
        </w:rPr>
      </w:r>
      <w:r/>
    </w:p>
    <w:p>
      <w:pPr>
        <w:pStyle w:val="919"/>
        <w:jc w:val="left"/>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pStyle w:val="919"/>
        <w:jc w:val="center"/>
        <w:rPr>
          <w:rFonts w:hint="eastAsia" w:ascii="宋体" w:hAnsi="宋体" w:cs="宋体"/>
          <w:sz w:val="44"/>
          <w:szCs w:val="44"/>
          <w:highlight w:val="none"/>
        </w:rPr>
      </w:pPr>
      <w:r>
        <w:rPr>
          <w:rFonts w:hint="eastAsia" w:ascii="宋体" w:hAnsi="宋体" w:cs="宋体"/>
          <w:sz w:val="44"/>
          <w:szCs w:val="44"/>
          <w:highlight w:val="none"/>
        </w:rPr>
        <w:t xml:space="preserve">江苏省特检院劳保服装采购</w:t>
      </w:r>
      <w:r>
        <w:rPr>
          <w:rFonts w:hint="eastAsia" w:ascii="宋体" w:hAnsi="宋体" w:cs="宋体"/>
          <w:sz w:val="44"/>
          <w:szCs w:val="44"/>
          <w:highlight w:val="none"/>
        </w:rPr>
      </w:r>
      <w:r/>
    </w:p>
    <w:p>
      <w:pPr>
        <w:pStyle w:val="919"/>
        <w:spacing w:line="360" w:lineRule="auto"/>
        <w:rPr>
          <w:rFonts w:hint="eastAsia" w:ascii="宋体" w:hAnsi="宋体" w:cs="宋体"/>
          <w:sz w:val="20"/>
          <w:szCs w:val="20"/>
          <w:highlight w:val="none"/>
        </w:rPr>
      </w:pPr>
      <w:r>
        <w:rPr>
          <w:rFonts w:hint="eastAsia" w:ascii="宋体" w:hAnsi="宋体" w:cs="宋体"/>
          <w:sz w:val="20"/>
          <w:szCs w:val="20"/>
          <w:highlight w:val="none"/>
        </w:rPr>
      </w:r>
      <w:r/>
    </w:p>
    <w:p>
      <w:pPr>
        <w:pStyle w:val="919"/>
        <w:jc w:val="center"/>
        <w:rPr>
          <w:rFonts w:hint="eastAsia" w:ascii="宋体" w:hAnsi="宋体" w:cs="宋体"/>
          <w:sz w:val="44"/>
          <w:szCs w:val="44"/>
          <w:highlight w:val="none"/>
        </w:rPr>
      </w:pPr>
      <w:r>
        <w:rPr>
          <w:rFonts w:hint="eastAsia" w:ascii="宋体" w:hAnsi="宋体" w:cs="宋体"/>
          <w:sz w:val="44"/>
          <w:szCs w:val="44"/>
          <w:highlight w:val="none"/>
        </w:rPr>
      </w:r>
      <w:r/>
    </w:p>
    <w:p>
      <w:pPr>
        <w:pStyle w:val="919"/>
        <w:jc w:val="center"/>
        <w:rPr>
          <w:rFonts w:hint="eastAsia" w:ascii="宋体" w:hAnsi="宋体" w:cs="宋体"/>
          <w:sz w:val="44"/>
          <w:szCs w:val="44"/>
          <w:highlight w:val="none"/>
        </w:rPr>
      </w:pPr>
      <w:r>
        <w:rPr>
          <w:rFonts w:hint="eastAsia" w:ascii="宋体" w:hAnsi="宋体" w:cs="宋体"/>
          <w:sz w:val="44"/>
          <w:szCs w:val="44"/>
          <w:highlight w:val="none"/>
        </w:rPr>
        <w:t xml:space="preserve">投标文件</w:t>
      </w:r>
      <w:r>
        <w:rPr>
          <w:rFonts w:hint="eastAsia" w:ascii="宋体" w:hAnsi="宋体" w:cs="宋体"/>
          <w:sz w:val="44"/>
          <w:szCs w:val="44"/>
          <w:highlight w:val="none"/>
        </w:rPr>
      </w:r>
      <w:r/>
    </w:p>
    <w:p>
      <w:pPr>
        <w:pStyle w:val="919"/>
        <w:jc w:val="center"/>
        <w:rPr>
          <w:rFonts w:hint="eastAsia" w:ascii="宋体" w:hAnsi="宋体" w:cs="宋体"/>
          <w:bCs/>
          <w:sz w:val="32"/>
          <w:szCs w:val="32"/>
          <w:highlight w:val="none"/>
        </w:rPr>
      </w:pPr>
      <w:r>
        <w:rPr>
          <w:rFonts w:hint="eastAsia" w:ascii="宋体" w:hAnsi="宋体" w:cs="宋体"/>
          <w:bCs/>
          <w:sz w:val="32"/>
          <w:szCs w:val="32"/>
          <w:highlight w:val="none"/>
        </w:rPr>
      </w:r>
      <w:r/>
    </w:p>
    <w:p>
      <w:pPr>
        <w:pStyle w:val="919"/>
        <w:jc w:val="center"/>
        <w:rPr>
          <w:rFonts w:hint="eastAsia" w:ascii="宋体" w:hAnsi="宋体" w:cs="宋体"/>
          <w:bCs/>
          <w:sz w:val="32"/>
          <w:szCs w:val="32"/>
          <w:highlight w:val="none"/>
        </w:rPr>
      </w:pPr>
      <w:r>
        <w:rPr>
          <w:rFonts w:hint="eastAsia" w:ascii="宋体" w:hAnsi="宋体" w:cs="宋体"/>
          <w:bCs/>
          <w:sz w:val="32"/>
          <w:szCs w:val="32"/>
          <w:highlight w:val="none"/>
        </w:rPr>
      </w:r>
      <w:r/>
    </w:p>
    <w:p>
      <w:pPr>
        <w:pStyle w:val="919"/>
        <w:ind w:firstLine="1386"/>
        <w:rPr>
          <w:rFonts w:hint="eastAsia" w:ascii="宋体" w:hAnsi="宋体" w:cs="宋体"/>
          <w:sz w:val="30"/>
          <w:szCs w:val="30"/>
          <w:highlight w:val="none"/>
        </w:rPr>
      </w:pPr>
      <w:r>
        <w:rPr>
          <w:rFonts w:hint="eastAsia" w:ascii="宋体" w:hAnsi="宋体" w:cs="宋体"/>
          <w:sz w:val="30"/>
          <w:szCs w:val="30"/>
          <w:highlight w:val="none"/>
        </w:rPr>
        <w:t xml:space="preserve">项目编号：</w:t>
      </w:r>
      <w:r>
        <w:rPr>
          <w:rFonts w:hint="eastAsia" w:ascii="宋体" w:hAnsi="宋体" w:cs="宋体"/>
          <w:sz w:val="30"/>
          <w:szCs w:val="30"/>
          <w:highlight w:val="none"/>
        </w:rPr>
      </w:r>
      <w:r/>
    </w:p>
    <w:p>
      <w:pPr>
        <w:pStyle w:val="919"/>
        <w:ind w:firstLine="1386"/>
        <w:rPr>
          <w:rFonts w:hint="eastAsia" w:ascii="宋体" w:hAnsi="宋体" w:cs="宋体"/>
          <w:sz w:val="30"/>
          <w:szCs w:val="30"/>
          <w:highlight w:val="none"/>
        </w:rPr>
      </w:pPr>
      <w:r>
        <w:rPr>
          <w:rFonts w:hint="eastAsia" w:ascii="宋体" w:hAnsi="宋体" w:cs="宋体"/>
          <w:sz w:val="30"/>
          <w:szCs w:val="30"/>
          <w:highlight w:val="none"/>
        </w:rPr>
        <w:t xml:space="preserve">采购分包号（标段号）：</w:t>
      </w:r>
      <w:r>
        <w:rPr>
          <w:rFonts w:hint="eastAsia" w:ascii="宋体" w:hAnsi="宋体" w:cs="宋体"/>
          <w:sz w:val="30"/>
          <w:szCs w:val="30"/>
          <w:highlight w:val="none"/>
        </w:rPr>
      </w:r>
      <w:r/>
    </w:p>
    <w:p>
      <w:pPr>
        <w:pStyle w:val="919"/>
        <w:ind w:firstLine="1386"/>
        <w:rPr>
          <w:rFonts w:hint="eastAsia" w:ascii="宋体" w:hAnsi="宋体" w:cs="宋体"/>
          <w:sz w:val="30"/>
          <w:szCs w:val="30"/>
          <w:highlight w:val="none"/>
        </w:rPr>
      </w:pPr>
      <w:r>
        <w:rPr>
          <w:rFonts w:hint="eastAsia" w:ascii="宋体" w:hAnsi="宋体" w:cs="宋体"/>
          <w:sz w:val="30"/>
          <w:szCs w:val="30"/>
          <w:highlight w:val="none"/>
        </w:rPr>
        <w:t xml:space="preserve">投标人名称：（加盖单位公章）</w:t>
      </w:r>
      <w:r>
        <w:rPr>
          <w:rFonts w:hint="eastAsia" w:ascii="宋体" w:hAnsi="宋体" w:cs="宋体"/>
          <w:sz w:val="30"/>
          <w:szCs w:val="30"/>
          <w:highlight w:val="none"/>
        </w:rPr>
      </w:r>
      <w:r/>
    </w:p>
    <w:p>
      <w:pPr>
        <w:pStyle w:val="919"/>
        <w:ind w:firstLine="1386"/>
        <w:rPr>
          <w:rFonts w:hint="eastAsia" w:ascii="宋体" w:hAnsi="宋体" w:cs="宋体"/>
          <w:bCs/>
          <w:sz w:val="30"/>
          <w:szCs w:val="30"/>
          <w:highlight w:val="none"/>
        </w:rPr>
      </w:pPr>
      <w:r>
        <w:rPr>
          <w:rFonts w:hint="eastAsia" w:ascii="宋体" w:hAnsi="宋体" w:cs="宋体"/>
          <w:sz w:val="30"/>
          <w:szCs w:val="30"/>
          <w:highlight w:val="none"/>
        </w:rPr>
        <w:t xml:space="preserve">联系人：</w:t>
      </w:r>
      <w:r>
        <w:rPr>
          <w:rFonts w:hint="eastAsia" w:ascii="宋体" w:hAnsi="宋体" w:cs="宋体"/>
          <w:bCs/>
          <w:sz w:val="30"/>
          <w:szCs w:val="30"/>
          <w:highlight w:val="none"/>
        </w:rPr>
      </w:r>
      <w:r/>
    </w:p>
    <w:p>
      <w:pPr>
        <w:pStyle w:val="919"/>
        <w:ind w:firstLine="1386"/>
        <w:rPr>
          <w:rFonts w:hint="eastAsia" w:ascii="宋体" w:hAnsi="宋体" w:cs="宋体"/>
          <w:sz w:val="30"/>
          <w:szCs w:val="30"/>
          <w:highlight w:val="none"/>
        </w:rPr>
      </w:pPr>
      <w:r>
        <w:rPr>
          <w:rFonts w:hint="eastAsia" w:ascii="宋体" w:hAnsi="宋体" w:cs="宋体"/>
          <w:sz w:val="30"/>
          <w:szCs w:val="30"/>
          <w:highlight w:val="none"/>
        </w:rPr>
        <w:t xml:space="preserve">联系方式：</w:t>
      </w:r>
      <w:r>
        <w:rPr>
          <w:rFonts w:hint="eastAsia" w:ascii="宋体" w:hAnsi="宋体" w:cs="宋体"/>
          <w:sz w:val="30"/>
          <w:szCs w:val="30"/>
          <w:highlight w:val="none"/>
        </w:rPr>
      </w:r>
      <w:r/>
    </w:p>
    <w:p>
      <w:pPr>
        <w:pStyle w:val="919"/>
        <w:ind w:firstLine="1386"/>
        <w:rPr>
          <w:rFonts w:hint="eastAsia" w:ascii="宋体" w:hAnsi="宋体" w:cs="宋体"/>
          <w:sz w:val="30"/>
          <w:szCs w:val="30"/>
          <w:highlight w:val="none"/>
        </w:rPr>
      </w:pPr>
      <w:r>
        <w:rPr>
          <w:rFonts w:hint="eastAsia" w:ascii="宋体" w:hAnsi="宋体" w:cs="宋体"/>
          <w:sz w:val="30"/>
          <w:szCs w:val="30"/>
          <w:highlight w:val="none"/>
        </w:rPr>
        <w:t xml:space="preserve">单位地址：</w:t>
      </w:r>
      <w:r>
        <w:rPr>
          <w:rFonts w:hint="eastAsia" w:ascii="宋体" w:hAnsi="宋体" w:cs="宋体"/>
          <w:sz w:val="30"/>
          <w:szCs w:val="30"/>
          <w:highlight w:val="none"/>
        </w:rPr>
      </w:r>
      <w:r/>
    </w:p>
    <w:p>
      <w:pPr>
        <w:pStyle w:val="919"/>
        <w:jc w:val="center"/>
        <w:rPr>
          <w:rFonts w:hint="eastAsia" w:ascii="宋体" w:hAnsi="宋体" w:cs="宋体"/>
          <w:sz w:val="30"/>
          <w:szCs w:val="30"/>
          <w:highlight w:val="none"/>
        </w:rPr>
      </w:pPr>
      <w:r>
        <w:rPr>
          <w:rFonts w:hint="eastAsia" w:ascii="宋体" w:hAnsi="宋体" w:cs="宋体"/>
          <w:sz w:val="30"/>
          <w:szCs w:val="30"/>
          <w:highlight w:val="none"/>
        </w:rPr>
        <w:t xml:space="preserve">  年  月  日</w:t>
      </w:r>
      <w:r>
        <w:rPr>
          <w:rFonts w:hint="eastAsia" w:ascii="宋体" w:hAnsi="宋体" w:cs="宋体"/>
          <w:sz w:val="30"/>
          <w:szCs w:val="30"/>
          <w:highlight w:val="none"/>
        </w:rPr>
      </w:r>
      <w:r/>
    </w:p>
    <w:p>
      <w:pPr>
        <w:pStyle w:val="919"/>
        <w:jc w:val="left"/>
        <w:spacing w:line="360" w:lineRule="auto"/>
        <w:widowControl/>
        <w:rPr>
          <w:rFonts w:hint="eastAsia" w:ascii="宋体" w:hAnsi="宋体" w:cs="宋体"/>
          <w:sz w:val="28"/>
          <w:szCs w:val="28"/>
          <w:highlight w:val="none"/>
        </w:rPr>
      </w:pPr>
      <w:r>
        <w:rPr>
          <w:rFonts w:hint="eastAsia" w:ascii="宋体" w:hAnsi="宋体" w:cs="宋体"/>
          <w:sz w:val="28"/>
          <w:szCs w:val="28"/>
          <w:highlight w:val="none"/>
        </w:rPr>
        <w:br w:type="page" w:clear="all"/>
      </w:r>
      <w:r>
        <w:rPr>
          <w:rFonts w:hint="eastAsia" w:ascii="宋体" w:hAnsi="宋体" w:cs="宋体"/>
          <w:sz w:val="28"/>
          <w:szCs w:val="28"/>
          <w:highlight w:val="none"/>
        </w:rPr>
      </w:r>
      <w:r/>
    </w:p>
    <w:p>
      <w:pPr>
        <w:pStyle w:val="919"/>
        <w:jc w:val="center"/>
        <w:spacing w:before="312" w:after="312" w:line="360" w:lineRule="auto"/>
        <w:rPr>
          <w:rFonts w:hint="eastAsia" w:ascii="宋体" w:hAnsi="宋体" w:cs="宋体"/>
          <w:sz w:val="32"/>
          <w:szCs w:val="32"/>
          <w:highlight w:val="none"/>
        </w:rPr>
      </w:pPr>
      <w:r>
        <w:rPr>
          <w:rFonts w:hint="eastAsia" w:ascii="宋体" w:hAnsi="宋体" w:cs="宋体"/>
          <w:sz w:val="32"/>
          <w:szCs w:val="32"/>
          <w:highlight w:val="none"/>
        </w:rPr>
        <w:t xml:space="preserve">目录</w:t>
      </w:r>
      <w:r>
        <w:rPr>
          <w:rFonts w:hint="eastAsia" w:ascii="宋体" w:hAnsi="宋体" w:cs="宋体"/>
          <w:sz w:val="32"/>
          <w:szCs w:val="32"/>
          <w:highlight w:val="none"/>
        </w:rPr>
      </w:r>
      <w:r/>
    </w:p>
    <w:p>
      <w:pPr>
        <w:pStyle w:val="919"/>
        <w:jc w:val="center"/>
        <w:spacing w:line="360" w:lineRule="auto"/>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（注：供应商根据附件顺序编制投标文件并制作目录（生成页码））</w:t>
      </w:r>
      <w:r>
        <w:rPr>
          <w:rFonts w:hint="eastAsia" w:ascii="宋体" w:hAnsi="宋体" w:cs="宋体"/>
          <w:szCs w:val="21"/>
          <w:highlight w:val="none"/>
        </w:rPr>
      </w:r>
      <w:r/>
    </w:p>
    <w:p>
      <w:pPr>
        <w:pStyle w:val="919"/>
        <w:spacing w:line="360" w:lineRule="auto"/>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 w:val="28"/>
          <w:szCs w:val="28"/>
          <w:highlight w:val="none"/>
        </w:rPr>
        <w:t xml:space="preserve">1、投标申请及声明格式</w:t>
      </w:r>
      <w:r>
        <w:rPr>
          <w:rFonts w:hint="eastAsia" w:ascii="宋体" w:hAnsi="宋体" w:cs="宋体"/>
          <w:szCs w:val="21"/>
          <w:highlight w:val="none"/>
        </w:rPr>
      </w:r>
      <w:r/>
    </w:p>
    <w:p>
      <w:pPr>
        <w:pStyle w:val="919"/>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投标申请及声明</w:t>
      </w:r>
      <w:r>
        <w:rPr>
          <w:rFonts w:hint="eastAsia" w:ascii="宋体" w:hAnsi="宋体" w:cs="宋体"/>
          <w:b/>
          <w:sz w:val="28"/>
          <w:szCs w:val="28"/>
          <w:highlight w:val="none"/>
        </w:rPr>
      </w:r>
      <w:r/>
    </w:p>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t xml:space="preserve"> 致：江苏海外集团国际工程咨询有限公司</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rPr>
          <w:rFonts w:hint="eastAsia" w:ascii="宋体" w:hAnsi="宋体" w:cs="宋体"/>
          <w:szCs w:val="21"/>
          <w:highlight w:val="none"/>
        </w:rPr>
      </w:r>
      <w:r/>
    </w:p>
    <w:p>
      <w:pPr>
        <w:pStyle w:val="919"/>
        <w:ind w:left="1470" w:hanging="1050"/>
        <w:spacing w:line="360" w:lineRule="auto"/>
        <w:widowControl/>
        <w:rPr>
          <w:rFonts w:hint="eastAsia" w:ascii="宋体" w:hAnsi="宋体" w:cs="宋体"/>
          <w:szCs w:val="21"/>
          <w:highlight w:val="none"/>
        </w:rPr>
      </w:pPr>
      <w:r>
        <w:rPr>
          <w:rFonts w:hint="eastAsia" w:ascii="宋体" w:hAnsi="宋体" w:cs="宋体"/>
          <w:szCs w:val="21"/>
          <w:highlight w:val="none"/>
        </w:rPr>
        <w:t xml:space="preserve">2、按招标要求，我们的投标总报价</w:t>
      </w:r>
      <w:r>
        <w:rPr>
          <w:rFonts w:hint="eastAsia" w:ascii="宋体" w:hAnsi="宋体" w:cs="宋体"/>
          <w:szCs w:val="21"/>
          <w:highlight w:val="none"/>
          <w:u w:val="single"/>
        </w:rPr>
        <w:t xml:space="preserve">详见开标一览表</w:t>
      </w:r>
      <w:r>
        <w:rPr>
          <w:rFonts w:hint="eastAsia" w:ascii="宋体" w:hAnsi="宋体" w:cs="宋体"/>
          <w:szCs w:val="21"/>
          <w:highlight w:val="none"/>
        </w:rPr>
        <w:t xml:space="preserve">。</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3、本项目交付时间为：</w:t>
      </w:r>
      <w:r>
        <w:rPr>
          <w:rFonts w:hint="eastAsia" w:ascii="宋体" w:hAnsi="宋体" w:cs="宋体"/>
          <w:szCs w:val="21"/>
          <w:highlight w:val="none"/>
          <w:u w:val="single"/>
        </w:rPr>
        <w:t xml:space="preserve">满足招标文件要求</w:t>
      </w:r>
      <w:r>
        <w:rPr>
          <w:rFonts w:hint="eastAsia" w:ascii="宋体" w:hAnsi="宋体" w:cs="宋体"/>
          <w:szCs w:val="21"/>
          <w:highlight w:val="none"/>
        </w:rPr>
        <w:t xml:space="preserve">。</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 xml:space="preserve">贵方组织的其他采购方式采购</w:t>
      </w:r>
      <w:r>
        <w:rPr>
          <w:rFonts w:hint="eastAsia" w:ascii="宋体" w:hAnsi="宋体" w:cs="宋体"/>
          <w:szCs w:val="21"/>
          <w:highlight w:val="none"/>
        </w:rPr>
        <w:t xml:space="preserve">。</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7、一旦我方中标，我方将根据招标文件的规定严格履行合同，并保证于承诺的时间内完成货物的启动/集成、调试等服务，交付采购人验收、使用。</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9、与本投标有关的正式联系方式为：</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开户银行：</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银行账号：</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投标人授权代表姓名（签字或盖章）：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投标人名称（盖公章/加盖CA电子公章）：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rPr>
          <w:rFonts w:hint="eastAsia" w:ascii="宋体" w:hAnsi="宋体" w:cs="宋体"/>
          <w:szCs w:val="21"/>
          <w:highlight w:val="none"/>
        </w:rPr>
      </w:r>
      <w:r/>
    </w:p>
    <w:p>
      <w:pPr>
        <w:pStyle w:val="919"/>
        <w:spacing w:line="360" w:lineRule="auto"/>
        <w:widowControl/>
        <w:rPr>
          <w:rFonts w:hint="eastAsia" w:ascii="宋体" w:hAnsi="宋体" w:cs="宋体"/>
          <w:sz w:val="36"/>
          <w:szCs w:val="36"/>
          <w:highlight w:val="none"/>
        </w:rPr>
      </w:pPr>
      <w:r>
        <w:rPr>
          <w:rFonts w:hint="eastAsia" w:ascii="宋体" w:hAnsi="宋体" w:cs="宋体"/>
          <w:b/>
          <w:bCs/>
          <w:szCs w:val="21"/>
          <w:highlight w:val="none"/>
        </w:rPr>
        <w:br w:type="page" w:clear="all"/>
      </w:r>
      <w:r>
        <w:rPr>
          <w:rFonts w:hint="eastAsia" w:ascii="宋体" w:hAnsi="宋体" w:cs="宋体"/>
          <w:b/>
          <w:bCs/>
          <w:sz w:val="28"/>
          <w:szCs w:val="28"/>
          <w:highlight w:val="none"/>
        </w:rPr>
        <w:t xml:space="preserve">2、法定代表人授权委托书格式</w:t>
      </w:r>
      <w:r>
        <w:rPr>
          <w:rFonts w:hint="eastAsia" w:ascii="宋体" w:hAnsi="宋体" w:cs="宋体"/>
          <w:sz w:val="36"/>
          <w:szCs w:val="36"/>
          <w:highlight w:val="none"/>
        </w:rPr>
      </w:r>
      <w:r/>
    </w:p>
    <w:p>
      <w:pPr>
        <w:pStyle w:val="919"/>
        <w:jc w:val="center"/>
        <w:spacing w:before="156" w:after="156" w:line="360" w:lineRule="auto"/>
        <w:widowControl/>
        <w:rPr>
          <w:rFonts w:hint="eastAsia" w:ascii="宋体" w:hAnsi="宋体" w:cs="宋体"/>
          <w:sz w:val="28"/>
          <w:szCs w:val="28"/>
          <w:highlight w:val="none"/>
        </w:rPr>
      </w:pPr>
      <w:r>
        <w:rPr>
          <w:rFonts w:hint="eastAsia" w:ascii="宋体" w:hAnsi="宋体" w:cs="宋体"/>
          <w:b/>
          <w:sz w:val="28"/>
          <w:szCs w:val="28"/>
          <w:highlight w:val="none"/>
        </w:rPr>
        <w:t xml:space="preserve">法定代表人授权委托书</w:t>
      </w:r>
      <w:r>
        <w:rPr>
          <w:rFonts w:hint="eastAsia" w:ascii="宋体" w:hAnsi="宋体" w:cs="宋体"/>
          <w:sz w:val="28"/>
          <w:szCs w:val="28"/>
          <w:highlight w:val="none"/>
        </w:rPr>
      </w:r>
      <w:r/>
    </w:p>
    <w:p>
      <w:pPr>
        <w:pStyle w:val="919"/>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致：江苏海外集团国际工程咨询有限公司</w:t>
      </w:r>
      <w:r>
        <w:rPr>
          <w:rFonts w:hint="eastAsia" w:ascii="宋体" w:hAnsi="宋体" w:cs="宋体"/>
          <w:sz w:val="24"/>
          <w:highlight w:val="none"/>
        </w:rPr>
      </w:r>
      <w:r/>
    </w:p>
    <w:p>
      <w:pPr>
        <w:pStyle w:val="919"/>
        <w:ind w:firstLine="42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本授权书声明：注册于</w:t>
      </w:r>
      <w:r>
        <w:rPr>
          <w:rFonts w:hint="eastAsia" w:ascii="宋体" w:hAnsi="宋体" w:cs="宋体"/>
          <w:sz w:val="24"/>
          <w:highlight w:val="none"/>
          <w:u w:val="single"/>
        </w:rPr>
        <w:t xml:space="preserve">              </w:t>
      </w:r>
      <w:r>
        <w:rPr>
          <w:rFonts w:hint="eastAsia" w:ascii="宋体" w:hAnsi="宋体" w:cs="宋体"/>
          <w:sz w:val="24"/>
          <w:highlight w:val="none"/>
        </w:rPr>
        <w:t xml:space="preserve">（投标人住址）的</w:t>
      </w:r>
      <w:r>
        <w:rPr>
          <w:rFonts w:hint="eastAsia" w:ascii="宋体" w:hAnsi="宋体" w:cs="宋体"/>
          <w:sz w:val="24"/>
          <w:highlight w:val="none"/>
          <w:u w:val="single"/>
        </w:rPr>
        <w:t xml:space="preserve">           </w:t>
      </w:r>
      <w:r>
        <w:rPr>
          <w:rFonts w:hint="eastAsia" w:ascii="宋体" w:hAnsi="宋体" w:cs="宋体"/>
          <w:sz w:val="24"/>
          <w:highlight w:val="none"/>
        </w:rPr>
        <w:t xml:space="preserve">（投标人名称）法定代表人</w:t>
      </w:r>
      <w:r>
        <w:rPr>
          <w:rFonts w:hint="eastAsia" w:ascii="宋体" w:hAnsi="宋体" w:cs="宋体"/>
          <w:sz w:val="24"/>
          <w:highlight w:val="none"/>
          <w:u w:val="single"/>
        </w:rPr>
        <w:t xml:space="preserve">        </w:t>
      </w:r>
      <w:r>
        <w:rPr>
          <w:rFonts w:hint="eastAsia" w:ascii="宋体" w:hAnsi="宋体" w:cs="宋体"/>
          <w:sz w:val="24"/>
          <w:highlight w:val="none"/>
        </w:rPr>
        <w:t xml:space="preserve">（法定代表人姓名、职务）代表本公司授权在下面签字的</w:t>
      </w:r>
      <w:r>
        <w:rPr>
          <w:rFonts w:hint="eastAsia" w:ascii="宋体" w:hAnsi="宋体" w:cs="宋体"/>
          <w:sz w:val="24"/>
          <w:highlight w:val="none"/>
          <w:u w:val="single"/>
        </w:rPr>
        <w:t xml:space="preserve">        </w:t>
      </w:r>
      <w:r>
        <w:rPr>
          <w:rFonts w:hint="eastAsia" w:ascii="宋体" w:hAnsi="宋体" w:cs="宋体"/>
          <w:sz w:val="24"/>
          <w:highlight w:val="none"/>
        </w:rPr>
        <w:t xml:space="preserve">（投标人代表姓名、职务）为本公司的合法代理人，就贵方组织的</w:t>
      </w:r>
      <w:r>
        <w:rPr>
          <w:rFonts w:hint="eastAsia" w:ascii="宋体" w:hAnsi="宋体" w:cs="宋体"/>
          <w:b/>
          <w:bCs/>
          <w:sz w:val="24"/>
          <w:highlight w:val="none"/>
          <w:u w:val="single"/>
        </w:rPr>
        <w:t xml:space="preserve">                   </w:t>
      </w:r>
      <w:r>
        <w:rPr>
          <w:rFonts w:hint="eastAsia" w:ascii="宋体" w:hAnsi="宋体" w:cs="宋体"/>
          <w:sz w:val="24"/>
          <w:highlight w:val="none"/>
        </w:rPr>
        <w:t xml:space="preserve">（项目名称），</w:t>
      </w:r>
      <w:r>
        <w:rPr>
          <w:rFonts w:hint="eastAsia" w:ascii="宋体" w:hAnsi="宋体" w:cs="宋体"/>
          <w:sz w:val="24"/>
          <w:highlight w:val="none"/>
          <w:u w:val="single"/>
        </w:rPr>
        <w:t xml:space="preserve">        </w:t>
      </w:r>
      <w:r>
        <w:rPr>
          <w:rFonts w:hint="eastAsia" w:ascii="宋体" w:hAnsi="宋体" w:cs="宋体"/>
          <w:sz w:val="24"/>
          <w:highlight w:val="none"/>
        </w:rPr>
        <w:t xml:space="preserve">（项目编号）投标，以本公司名义处理一切与之有关的事务。</w:t>
      </w:r>
      <w:r>
        <w:rPr>
          <w:rFonts w:hint="eastAsia" w:ascii="宋体" w:hAnsi="宋体" w:cs="宋体"/>
          <w:sz w:val="24"/>
          <w:highlight w:val="none"/>
        </w:rPr>
      </w:r>
      <w:r/>
    </w:p>
    <w:p>
      <w:pPr>
        <w:pStyle w:val="919"/>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  本授权书于    年  月  日签字生效，特此声明。</w:t>
      </w:r>
      <w:r>
        <w:rPr>
          <w:rFonts w:hint="eastAsia" w:ascii="宋体" w:hAnsi="宋体" w:cs="宋体"/>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投标人名称（盖公章/加盖CA电子公章）：</w:t>
      </w:r>
      <w:r>
        <w:rPr>
          <w:rFonts w:hint="eastAsia" w:ascii="宋体" w:hAnsi="宋体" w:cs="宋体"/>
          <w:szCs w:val="21"/>
          <w:highlight w:val="none"/>
          <w:u w:val="single"/>
        </w:rPr>
        <w:t xml:space="preserve">      </w:t>
      </w:r>
      <w:r>
        <w:rPr>
          <w:rFonts w:hint="eastAsia" w:ascii="宋体" w:hAnsi="宋体" w:cs="宋体"/>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法定代表人（签字或盖章）：</w:t>
      </w:r>
      <w:r>
        <w:rPr>
          <w:rFonts w:hint="eastAsia" w:ascii="宋体" w:hAnsi="宋体" w:cs="宋体"/>
          <w:szCs w:val="21"/>
          <w:highlight w:val="none"/>
          <w:u w:val="single"/>
        </w:rPr>
        <w:t xml:space="preserve">        </w:t>
      </w:r>
      <w:r>
        <w:rPr>
          <w:rFonts w:hint="eastAsia" w:ascii="宋体" w:hAnsi="宋体" w:cs="宋体"/>
          <w:sz w:val="24"/>
          <w:highlight w:val="none"/>
        </w:rPr>
      </w:r>
      <w:r/>
    </w:p>
    <w:p>
      <w:pPr>
        <w:pStyle w:val="919"/>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授权委托人（签字）：</w:t>
      </w:r>
      <w:r>
        <w:rPr>
          <w:rFonts w:hint="eastAsia" w:ascii="宋体" w:hAnsi="宋体" w:cs="宋体"/>
          <w:szCs w:val="21"/>
          <w:highlight w:val="none"/>
          <w:u w:val="single"/>
        </w:rPr>
        <w:t xml:space="preserve">        </w:t>
      </w:r>
      <w:r>
        <w:rPr>
          <w:rFonts w:hint="eastAsia" w:ascii="宋体" w:hAnsi="宋体" w:cs="宋体"/>
          <w:sz w:val="24"/>
          <w:highlight w:val="none"/>
        </w:rPr>
        <w:t xml:space="preserve">                   </w:t>
      </w:r>
      <w:r>
        <w:rPr>
          <w:rFonts w:hint="eastAsia" w:ascii="宋体" w:hAnsi="宋体" w:cs="宋体"/>
          <w:sz w:val="24"/>
          <w:highlight w:val="none"/>
        </w:rPr>
      </w:r>
      <w:r/>
    </w:p>
    <w:p>
      <w:pPr>
        <w:pStyle w:val="919"/>
        <w:spacing w:line="360" w:lineRule="auto"/>
        <w:widowControl/>
        <w:rPr>
          <w:rFonts w:hint="eastAsia" w:ascii="宋体" w:hAnsi="宋体" w:cs="宋体"/>
          <w:szCs w:val="21"/>
          <w:highlight w:val="none"/>
        </w:rPr>
      </w:pPr>
      <w:r>
        <w:rPr>
          <w:rFonts w:hint="eastAsia" w:ascii="宋体" w:hAnsi="宋体" w:cs="宋体"/>
          <w:sz w:val="24"/>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附：法定代表人身份证复印件：</w:t>
      </w:r>
      <w:r>
        <w:rPr>
          <w:rFonts w:hint="eastAsia" w:ascii="宋体" w:hAnsi="宋体" w:cs="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7"/>
        <w:gridCol w:w="4295"/>
      </w:tblGrid>
      <w:tr>
        <w:trPr>
          <w:trHeight w:val="2641"/>
        </w:trPr>
        <w:tc>
          <w:tcPr>
            <w:tcW w:w="5057" w:type="dxa"/>
            <w:vAlign w:val="top"/>
            <w:textDirection w:val="lrTb"/>
            <w:noWrap w:val="false"/>
          </w:tcPr>
          <w:p>
            <w:pPr>
              <w:pStyle w:val="955"/>
              <w:ind w:left="1260"/>
              <w:spacing w:line="360" w:lineRule="auto"/>
              <w:rPr>
                <w:rFonts w:hint="eastAsia" w:ascii="宋体" w:hAnsi="宋体" w:cs="宋体"/>
                <w:highlight w:val="none"/>
              </w:rPr>
            </w:pPr>
            <w:r>
              <w:rPr>
                <w:rFonts w:hint="eastAsia" w:ascii="宋体" w:hAnsi="宋体" w:cs="宋体"/>
                <w:highlight w:val="none"/>
              </w:rPr>
            </w:r>
            <w:r/>
          </w:p>
          <w:p>
            <w:pPr>
              <w:pStyle w:val="919"/>
              <w:spacing w:line="360" w:lineRule="auto"/>
              <w:rPr>
                <w:rFonts w:hint="eastAsia" w:ascii="宋体" w:hAnsi="宋体" w:cs="宋体"/>
                <w:highlight w:val="none"/>
              </w:rPr>
            </w:pPr>
            <w:r>
              <w:rPr>
                <w:rFonts w:hint="eastAsia" w:ascii="宋体" w:hAnsi="宋体" w:cs="宋体"/>
                <w:highlight w:val="none"/>
              </w:rPr>
            </w:r>
            <w:r/>
          </w:p>
          <w:p>
            <w:pPr>
              <w:pStyle w:val="951"/>
              <w:spacing w:line="360" w:lineRule="auto"/>
              <w:rPr>
                <w:rFonts w:hint="eastAsia" w:ascii="宋体" w:hAnsi="宋体" w:eastAsia="宋体" w:cs="宋体"/>
                <w:highlight w:val="none"/>
              </w:rPr>
            </w:pPr>
            <w:r>
              <w:rPr>
                <w:rFonts w:hint="eastAsia" w:ascii="宋体" w:hAnsi="宋体" w:eastAsia="宋体" w:cs="宋体"/>
                <w:highlight w:val="none"/>
              </w:rPr>
            </w:r>
            <w:r/>
          </w:p>
          <w:p>
            <w:pPr>
              <w:pStyle w:val="919"/>
              <w:spacing w:line="360" w:lineRule="auto"/>
              <w:rPr>
                <w:rFonts w:hint="eastAsia" w:ascii="宋体" w:hAnsi="宋体" w:cs="宋体"/>
                <w:highlight w:val="none"/>
              </w:rPr>
            </w:pPr>
            <w:r>
              <w:rPr>
                <w:rFonts w:hint="eastAsia" w:ascii="宋体" w:hAnsi="宋体" w:cs="宋体"/>
                <w:highlight w:val="none"/>
              </w:rPr>
            </w:r>
            <w:r/>
          </w:p>
        </w:tc>
        <w:tc>
          <w:tcPr>
            <w:tcW w:w="4905" w:type="dxa"/>
            <w:vAlign w:val="top"/>
            <w:textDirection w:val="lrTb"/>
            <w:noWrap w:val="false"/>
          </w:tcPr>
          <w:p>
            <w:pPr>
              <w:pStyle w:val="955"/>
              <w:ind w:left="1260"/>
              <w:spacing w:line="360" w:lineRule="auto"/>
              <w:rPr>
                <w:rFonts w:hint="eastAsia" w:ascii="宋体" w:hAnsi="宋体" w:cs="宋体"/>
                <w:highlight w:val="none"/>
              </w:rPr>
            </w:pPr>
            <w:r>
              <w:rPr>
                <w:rFonts w:hint="eastAsia" w:ascii="宋体" w:hAnsi="宋体" w:cs="宋体"/>
                <w:highlight w:val="none"/>
              </w:rPr>
            </w:r>
            <w:r/>
          </w:p>
          <w:p>
            <w:pPr>
              <w:pStyle w:val="919"/>
              <w:spacing w:line="360" w:lineRule="auto"/>
              <w:rPr>
                <w:rFonts w:hint="eastAsia" w:ascii="宋体" w:hAnsi="宋体" w:cs="宋体"/>
                <w:highlight w:val="none"/>
              </w:rPr>
            </w:pPr>
            <w:r>
              <w:rPr>
                <w:rFonts w:hint="eastAsia" w:ascii="宋体" w:hAnsi="宋体" w:cs="宋体"/>
                <w:highlight w:val="none"/>
              </w:rPr>
            </w:r>
            <w:r/>
          </w:p>
          <w:p>
            <w:pPr>
              <w:pStyle w:val="951"/>
              <w:spacing w:line="360" w:lineRule="auto"/>
              <w:rPr>
                <w:rFonts w:hint="eastAsia" w:ascii="宋体" w:hAnsi="宋体" w:eastAsia="宋体" w:cs="宋体"/>
                <w:highlight w:val="none"/>
              </w:rPr>
            </w:pPr>
            <w:r>
              <w:rPr>
                <w:rFonts w:hint="eastAsia" w:ascii="宋体" w:hAnsi="宋体" w:eastAsia="宋体" w:cs="宋体"/>
                <w:highlight w:val="none"/>
              </w:rPr>
            </w:r>
            <w:r/>
          </w:p>
          <w:p>
            <w:pPr>
              <w:pStyle w:val="955"/>
              <w:ind w:left="1260"/>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授权代表身份证复印件：</w:t>
      </w:r>
      <w:r>
        <w:rPr>
          <w:rFonts w:hint="eastAsia" w:ascii="宋体" w:hAnsi="宋体" w:cs="宋体"/>
          <w:sz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27"/>
        <w:gridCol w:w="4295"/>
      </w:tblGrid>
      <w:tr>
        <w:trPr>
          <w:trHeight w:val="2656"/>
        </w:trPr>
        <w:tc>
          <w:tcPr>
            <w:tcW w:w="5057" w:type="dxa"/>
            <w:vAlign w:val="top"/>
            <w:textDirection w:val="lrTb"/>
            <w:noWrap w:val="false"/>
          </w:tcPr>
          <w:p>
            <w:pPr>
              <w:pStyle w:val="955"/>
              <w:ind w:left="1260"/>
              <w:spacing w:line="360" w:lineRule="auto"/>
              <w:rPr>
                <w:rFonts w:hint="eastAsia" w:ascii="宋体" w:hAnsi="宋体" w:cs="宋体"/>
                <w:highlight w:val="none"/>
              </w:rPr>
            </w:pPr>
            <w:r>
              <w:rPr>
                <w:rFonts w:hint="eastAsia" w:ascii="宋体" w:hAnsi="宋体" w:cs="宋体"/>
                <w:highlight w:val="none"/>
              </w:rPr>
            </w:r>
            <w:r/>
          </w:p>
          <w:p>
            <w:pPr>
              <w:pStyle w:val="919"/>
              <w:spacing w:line="360" w:lineRule="auto"/>
              <w:rPr>
                <w:rFonts w:hint="eastAsia" w:ascii="宋体" w:hAnsi="宋体" w:cs="宋体"/>
                <w:highlight w:val="none"/>
              </w:rPr>
            </w:pPr>
            <w:r>
              <w:rPr>
                <w:rFonts w:hint="eastAsia" w:ascii="宋体" w:hAnsi="宋体" w:cs="宋体"/>
                <w:highlight w:val="none"/>
              </w:rPr>
            </w:r>
            <w:r/>
          </w:p>
          <w:p>
            <w:pPr>
              <w:pStyle w:val="951"/>
              <w:spacing w:line="360" w:lineRule="auto"/>
              <w:rPr>
                <w:rFonts w:hint="eastAsia" w:ascii="宋体" w:hAnsi="宋体" w:eastAsia="宋体" w:cs="宋体"/>
                <w:highlight w:val="none"/>
              </w:rPr>
            </w:pPr>
            <w:r>
              <w:rPr>
                <w:rFonts w:hint="eastAsia" w:ascii="宋体" w:hAnsi="宋体" w:eastAsia="宋体" w:cs="宋体"/>
                <w:highlight w:val="none"/>
              </w:rPr>
            </w:r>
            <w:r/>
          </w:p>
          <w:p>
            <w:pPr>
              <w:pStyle w:val="955"/>
              <w:ind w:left="1260"/>
              <w:spacing w:line="360" w:lineRule="auto"/>
              <w:rPr>
                <w:rFonts w:hint="eastAsia" w:ascii="宋体" w:hAnsi="宋体" w:cs="宋体"/>
                <w:sz w:val="24"/>
                <w:highlight w:val="none"/>
              </w:rPr>
            </w:pPr>
            <w:r>
              <w:rPr>
                <w:rFonts w:hint="eastAsia" w:ascii="宋体" w:hAnsi="宋体" w:cs="宋体"/>
                <w:sz w:val="24"/>
                <w:highlight w:val="none"/>
              </w:rPr>
            </w:r>
            <w:r/>
          </w:p>
        </w:tc>
        <w:tc>
          <w:tcPr>
            <w:tcW w:w="4905" w:type="dxa"/>
            <w:vAlign w:val="top"/>
            <w:textDirection w:val="lrTb"/>
            <w:noWrap w:val="false"/>
          </w:tcPr>
          <w:p>
            <w:pPr>
              <w:pStyle w:val="955"/>
              <w:ind w:left="1260"/>
              <w:spacing w:line="360" w:lineRule="auto"/>
              <w:rPr>
                <w:rFonts w:hint="eastAsia" w:ascii="宋体" w:hAnsi="宋体" w:cs="宋体"/>
                <w:highlight w:val="none"/>
              </w:rPr>
            </w:pPr>
            <w:r>
              <w:rPr>
                <w:rFonts w:hint="eastAsia" w:ascii="宋体" w:hAnsi="宋体" w:cs="宋体"/>
                <w:highlight w:val="none"/>
              </w:rPr>
            </w:r>
            <w:r/>
          </w:p>
          <w:p>
            <w:pPr>
              <w:pStyle w:val="919"/>
              <w:spacing w:line="360" w:lineRule="auto"/>
              <w:rPr>
                <w:rFonts w:hint="eastAsia" w:ascii="宋体" w:hAnsi="宋体" w:cs="宋体"/>
                <w:highlight w:val="none"/>
              </w:rPr>
            </w:pPr>
            <w:r>
              <w:rPr>
                <w:rFonts w:hint="eastAsia" w:ascii="宋体" w:hAnsi="宋体" w:cs="宋体"/>
                <w:highlight w:val="none"/>
              </w:rPr>
            </w:r>
            <w:r/>
          </w:p>
          <w:p>
            <w:pPr>
              <w:pStyle w:val="951"/>
              <w:spacing w:line="360" w:lineRule="auto"/>
              <w:rPr>
                <w:rFonts w:hint="eastAsia" w:ascii="宋体" w:hAnsi="宋体" w:eastAsia="宋体" w:cs="宋体"/>
                <w:highlight w:val="none"/>
              </w:rPr>
            </w:pPr>
            <w:r>
              <w:rPr>
                <w:rFonts w:hint="eastAsia" w:ascii="宋体" w:hAnsi="宋体" w:eastAsia="宋体" w:cs="宋体"/>
                <w:highlight w:val="none"/>
              </w:rPr>
            </w:r>
            <w:r/>
          </w:p>
          <w:p>
            <w:pPr>
              <w:pStyle w:val="955"/>
              <w:ind w:left="1260"/>
              <w:spacing w:line="360" w:lineRule="auto"/>
              <w:rPr>
                <w:rFonts w:hint="eastAsia" w:ascii="宋体" w:hAnsi="宋体" w:cs="宋体"/>
                <w:sz w:val="24"/>
                <w:highlight w:val="none"/>
              </w:rPr>
            </w:pPr>
            <w:r>
              <w:rPr>
                <w:rFonts w:hint="eastAsia" w:ascii="宋体" w:hAnsi="宋体" w:cs="宋体"/>
                <w:sz w:val="24"/>
                <w:highlight w:val="none"/>
              </w:rPr>
            </w:r>
            <w:r/>
          </w:p>
        </w:tc>
      </w:tr>
    </w:tbl>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r>
      <w:r/>
    </w:p>
    <w:p>
      <w:pPr>
        <w:pStyle w:val="919"/>
        <w:spacing w:line="360" w:lineRule="auto"/>
        <w:rPr>
          <w:rFonts w:hint="eastAsia" w:ascii="宋体" w:hAnsi="宋体" w:cs="宋体"/>
          <w:b/>
          <w:bCs/>
          <w:sz w:val="24"/>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宋体"/>
          <w:b/>
          <w:bCs/>
          <w:sz w:val="24"/>
          <w:highlight w:val="none"/>
        </w:rPr>
      </w:r>
      <w:r/>
    </w:p>
    <w:p>
      <w:pPr>
        <w:pStyle w:val="919"/>
        <w:spacing w:line="360" w:lineRule="auto"/>
        <w:rPr>
          <w:rFonts w:hint="eastAsia" w:ascii="宋体" w:hAnsi="宋体" w:cs="宋体"/>
          <w:b/>
          <w:bCs/>
          <w:sz w:val="24"/>
          <w:highlight w:val="none"/>
        </w:rPr>
      </w:pPr>
      <w:r>
        <w:rPr>
          <w:rFonts w:hint="eastAsia" w:ascii="宋体" w:hAnsi="宋体" w:cs="宋体"/>
          <w:b/>
          <w:bCs/>
          <w:sz w:val="24"/>
          <w:highlight w:val="none"/>
        </w:rPr>
        <w:t xml:space="preserve">授权委托书附件：</w:t>
      </w:r>
      <w:r>
        <w:rPr>
          <w:rFonts w:hint="eastAsia" w:ascii="宋体" w:hAnsi="宋体" w:cs="宋体"/>
          <w:b/>
          <w:bCs/>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授权代表社保证明：</w:t>
      </w:r>
      <w:r>
        <w:rPr>
          <w:rFonts w:hint="eastAsia" w:ascii="宋体" w:hAnsi="宋体" w:cs="宋体"/>
          <w:sz w:val="24"/>
          <w:highlight w:val="none"/>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919"/>
              <w:spacing w:line="360" w:lineRule="auto"/>
              <w:rPr>
                <w:rFonts w:hint="eastAsia" w:ascii="宋体" w:hAnsi="宋体" w:cs="宋体"/>
                <w:highlight w:val="none"/>
              </w:rPr>
            </w:pPr>
            <w:r>
              <w:rPr>
                <w:rFonts w:hint="eastAsia" w:ascii="宋体" w:hAnsi="宋体" w:cs="宋体"/>
                <w:highlight w:val="none"/>
              </w:rPr>
            </w:r>
            <w:r/>
          </w:p>
        </w:tc>
      </w:tr>
    </w:tbl>
    <w:p>
      <w:pPr>
        <w:pStyle w:val="919"/>
        <w:spacing w:line="360" w:lineRule="auto"/>
        <w:rPr>
          <w:rFonts w:hint="eastAsia" w:ascii="宋体" w:hAnsi="宋体" w:cs="宋体"/>
          <w:highlight w:val="none"/>
          <w:lang w:val="zh-CN"/>
        </w:rPr>
      </w:pPr>
      <w:r>
        <w:rPr>
          <w:rFonts w:hint="eastAsia" w:ascii="宋体" w:hAnsi="宋体" w:cs="宋体"/>
          <w:sz w:val="24"/>
          <w:highlight w:val="none"/>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cs="宋体"/>
          <w:b/>
          <w:bCs/>
          <w:szCs w:val="21"/>
          <w:highlight w:val="none"/>
        </w:rPr>
        <w:br w:type="page" w:clear="all"/>
      </w:r>
      <w:bookmarkStart w:id="131" w:name="_Toc26810"/>
      <w:r>
        <w:rPr>
          <w:rFonts w:hint="eastAsia" w:ascii="宋体" w:hAnsi="宋体" w:cs="宋体"/>
          <w:b/>
          <w:bCs/>
          <w:sz w:val="28"/>
          <w:szCs w:val="28"/>
          <w:highlight w:val="none"/>
        </w:rPr>
        <w:t xml:space="preserve">3</w:t>
      </w:r>
      <w:r>
        <w:rPr>
          <w:rFonts w:hint="eastAsia" w:ascii="宋体" w:hAnsi="宋体" w:cs="宋体"/>
          <w:b/>
          <w:bCs/>
          <w:sz w:val="28"/>
          <w:szCs w:val="28"/>
          <w:highlight w:val="none"/>
          <w:lang w:val="zh-CN"/>
        </w:rPr>
        <w:t xml:space="preserve">、报价表</w:t>
      </w:r>
      <w:bookmarkEnd w:id="131"/>
      <w:r>
        <w:rPr>
          <w:rFonts w:hint="eastAsia" w:ascii="宋体" w:hAnsi="宋体" w:cs="宋体"/>
          <w:highlight w:val="none"/>
          <w:lang w:val="zh-CN"/>
        </w:rPr>
      </w:r>
      <w:r/>
    </w:p>
    <w:p>
      <w:pPr>
        <w:pStyle w:val="919"/>
        <w:spacing w:line="360" w:lineRule="auto"/>
        <w:rPr>
          <w:rFonts w:hint="eastAsia" w:ascii="宋体" w:hAnsi="宋体" w:cs="宋体"/>
          <w:b/>
          <w:bCs/>
          <w:highlight w:val="none"/>
          <w:lang w:val="zh-CN"/>
        </w:rPr>
      </w:pPr>
      <w:r>
        <w:rPr>
          <w:rFonts w:hint="eastAsia" w:ascii="宋体" w:hAnsi="宋体" w:cs="宋体"/>
          <w:b/>
          <w:bCs/>
          <w:highlight w:val="none"/>
          <w:lang w:val="zh-CN"/>
        </w:rPr>
      </w:r>
      <w:r/>
    </w:p>
    <w:p>
      <w:pPr>
        <w:pStyle w:val="919"/>
        <w:jc w:val="center"/>
        <w:spacing w:line="360" w:lineRule="auto"/>
        <w:rPr>
          <w:rFonts w:hint="eastAsia" w:ascii="宋体" w:hAnsi="宋体" w:cs="宋体"/>
          <w:sz w:val="28"/>
          <w:szCs w:val="28"/>
          <w:highlight w:val="none"/>
        </w:rPr>
      </w:pPr>
      <w:r>
        <w:rPr>
          <w:rFonts w:hint="eastAsia" w:ascii="宋体" w:hAnsi="宋体" w:cs="宋体"/>
          <w:b/>
          <w:sz w:val="28"/>
          <w:szCs w:val="28"/>
          <w:highlight w:val="none"/>
        </w:rPr>
        <w:t xml:space="preserve">3.1报价一览表（格式）</w:t>
      </w:r>
      <w:r>
        <w:rPr>
          <w:rFonts w:hint="eastAsia" w:ascii="宋体" w:hAnsi="宋体" w:cs="宋体"/>
          <w:sz w:val="28"/>
          <w:szCs w:val="28"/>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66"/>
        <w:gridCol w:w="3477"/>
        <w:gridCol w:w="8"/>
        <w:gridCol w:w="4409"/>
      </w:tblGrid>
      <w:tr>
        <w:trPr>
          <w:cantSplit/>
          <w:trHeight w:val="555"/>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项目名称</w:t>
            </w:r>
            <w:r>
              <w:rPr>
                <w:rFonts w:hint="eastAsia" w:ascii="宋体" w:hAnsi="宋体" w:cs="宋体"/>
                <w:b/>
                <w:bCs/>
                <w:highlight w:val="none"/>
              </w:rPr>
            </w:r>
            <w:r/>
          </w:p>
        </w:tc>
        <w:tc>
          <w:tcPr>
            <w:gridSpan w:val="3"/>
            <w:tcW w:w="7894" w:type="dxa"/>
            <w:vAlign w:val="center"/>
            <w:textDirection w:val="lrTb"/>
            <w:noWrap w:val="false"/>
          </w:tcPr>
          <w:p>
            <w:pPr>
              <w:pStyle w:val="919"/>
              <w:spacing w:line="360" w:lineRule="auto"/>
              <w:rPr>
                <w:rFonts w:hint="eastAsia" w:ascii="宋体" w:hAnsi="宋体" w:cs="宋体"/>
                <w:highlight w:val="none"/>
              </w:rPr>
            </w:pPr>
            <w:r>
              <w:rPr>
                <w:rFonts w:hint="eastAsia" w:ascii="宋体" w:hAnsi="宋体" w:cs="宋体"/>
                <w:highlight w:val="none"/>
              </w:rPr>
            </w:r>
            <w:r/>
          </w:p>
        </w:tc>
      </w:tr>
      <w:tr>
        <w:trPr>
          <w:cantSplit/>
          <w:trHeight w:val="515"/>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项目编号</w:t>
            </w:r>
            <w:r>
              <w:rPr>
                <w:rFonts w:hint="eastAsia" w:ascii="宋体" w:hAnsi="宋体" w:cs="宋体"/>
                <w:b/>
                <w:bCs/>
                <w:highlight w:val="none"/>
              </w:rPr>
            </w:r>
            <w:r/>
          </w:p>
        </w:tc>
        <w:tc>
          <w:tcPr>
            <w:gridSpan w:val="3"/>
            <w:tcW w:w="7894" w:type="dxa"/>
            <w:vAlign w:val="center"/>
            <w:textDirection w:val="lrTb"/>
            <w:noWrap w:val="false"/>
          </w:tcPr>
          <w:p>
            <w:pPr>
              <w:pStyle w:val="919"/>
              <w:spacing w:line="360" w:lineRule="auto"/>
              <w:rPr>
                <w:rFonts w:hint="eastAsia" w:ascii="宋体" w:hAnsi="宋体" w:cs="宋体"/>
                <w:highlight w:val="none"/>
              </w:rPr>
            </w:pPr>
            <w:r>
              <w:rPr>
                <w:rFonts w:hint="eastAsia" w:ascii="宋体" w:hAnsi="宋体" w:cs="宋体"/>
                <w:highlight w:val="none"/>
              </w:rPr>
            </w:r>
            <w:r/>
          </w:p>
        </w:tc>
      </w:tr>
      <w:tr>
        <w:trPr>
          <w:cantSplit/>
          <w:trHeight w:val="485"/>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采购分包号（标段号）</w:t>
            </w:r>
            <w:r>
              <w:rPr>
                <w:rFonts w:hint="eastAsia" w:ascii="宋体" w:hAnsi="宋体" w:cs="宋体"/>
                <w:b/>
                <w:bCs/>
                <w:highlight w:val="none"/>
              </w:rPr>
            </w:r>
            <w:r/>
          </w:p>
        </w:tc>
        <w:tc>
          <w:tcPr>
            <w:gridSpan w:val="3"/>
            <w:tcW w:w="7894" w:type="dxa"/>
            <w:vAlign w:val="center"/>
            <w:textDirection w:val="lrTb"/>
            <w:noWrap w:val="false"/>
          </w:tcPr>
          <w:p>
            <w:pPr>
              <w:pStyle w:val="919"/>
              <w:spacing w:line="360" w:lineRule="auto"/>
              <w:rPr>
                <w:rFonts w:hint="eastAsia" w:ascii="宋体" w:hAnsi="宋体" w:cs="宋体"/>
                <w:highlight w:val="none"/>
              </w:rPr>
            </w:pPr>
            <w:r>
              <w:rPr>
                <w:rFonts w:hint="eastAsia" w:ascii="宋体" w:hAnsi="宋体" w:cs="宋体"/>
                <w:highlight w:val="none"/>
              </w:rPr>
            </w:r>
            <w:r/>
          </w:p>
        </w:tc>
      </w:tr>
      <w:tr>
        <w:trPr>
          <w:cantSplit/>
          <w:trHeight w:val="505"/>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投标报价（含税）</w:t>
            </w:r>
            <w:r>
              <w:rPr>
                <w:rFonts w:hint="eastAsia" w:ascii="宋体" w:hAnsi="宋体" w:cs="宋体"/>
                <w:b/>
                <w:bCs/>
                <w:highlight w:val="none"/>
              </w:rPr>
            </w:r>
            <w:r/>
          </w:p>
        </w:tc>
        <w:tc>
          <w:tcPr>
            <w:gridSpan w:val="2"/>
            <w:tcW w:w="3485" w:type="dxa"/>
            <w:vAlign w:val="center"/>
            <w:textDirection w:val="lrTb"/>
            <w:noWrap w:val="false"/>
          </w:tcPr>
          <w:p>
            <w:pPr>
              <w:pStyle w:val="919"/>
              <w:jc w:val="center"/>
              <w:spacing w:line="360" w:lineRule="auto"/>
              <w:rPr>
                <w:rFonts w:hint="eastAsia" w:ascii="宋体" w:hAnsi="宋体" w:cs="宋体"/>
                <w:highlight w:val="none"/>
                <w:lang w:val="zh-CN"/>
              </w:rPr>
            </w:pPr>
            <w:r>
              <w:rPr>
                <w:rFonts w:hint="eastAsia" w:ascii="宋体" w:hAnsi="宋体" w:cs="宋体"/>
                <w:highlight w:val="none"/>
              </w:rPr>
              <w:t xml:space="preserve">大写：</w:t>
            </w:r>
            <w:r>
              <w:rPr>
                <w:rFonts w:hint="eastAsia" w:ascii="宋体" w:hAnsi="宋体" w:cs="宋体"/>
                <w:highlight w:val="none"/>
                <w:u w:val="single"/>
              </w:rPr>
              <w:t xml:space="preserve">      </w:t>
            </w:r>
            <w:r>
              <w:rPr>
                <w:rFonts w:hint="eastAsia" w:ascii="宋体" w:hAnsi="宋体" w:cs="宋体"/>
                <w:highlight w:val="none"/>
              </w:rPr>
              <w:t xml:space="preserve">元</w:t>
            </w:r>
            <w:r>
              <w:rPr>
                <w:rFonts w:hint="eastAsia" w:ascii="宋体" w:hAnsi="宋体" w:cs="宋体"/>
                <w:highlight w:val="none"/>
                <w:lang w:val="zh-CN"/>
              </w:rPr>
            </w:r>
            <w:r/>
          </w:p>
        </w:tc>
        <w:tc>
          <w:tcPr>
            <w:tcW w:w="2213" w:type="dxa"/>
            <w:vAlign w:val="center"/>
            <w:textDirection w:val="lrTb"/>
            <w:noWrap w:val="false"/>
          </w:tcPr>
          <w:p>
            <w:pPr>
              <w:pStyle w:val="919"/>
              <w:jc w:val="center"/>
              <w:spacing w:line="360" w:lineRule="auto"/>
              <w:rPr>
                <w:rFonts w:hint="eastAsia" w:ascii="宋体" w:hAnsi="宋体" w:cs="宋体"/>
                <w:highlight w:val="none"/>
                <w:u w:val="single"/>
              </w:rPr>
            </w:pPr>
            <w:r>
              <w:rPr>
                <w:rFonts w:hint="eastAsia" w:ascii="宋体" w:hAnsi="宋体" w:cs="宋体"/>
                <w:highlight w:val="none"/>
              </w:rPr>
              <w:t xml:space="preserve">小写：</w:t>
            </w:r>
            <w:r>
              <w:rPr>
                <w:rFonts w:hint="eastAsia" w:ascii="宋体" w:hAnsi="宋体" w:cs="宋体"/>
                <w:highlight w:val="none"/>
                <w:u w:val="single"/>
              </w:rPr>
              <w:t xml:space="preserve">      </w:t>
            </w:r>
            <w:r>
              <w:rPr>
                <w:rFonts w:hint="eastAsia" w:ascii="宋体" w:hAnsi="宋体" w:cs="宋体"/>
                <w:highlight w:val="none"/>
              </w:rPr>
              <w:t xml:space="preserve">元</w:t>
            </w:r>
            <w:r>
              <w:rPr>
                <w:rFonts w:hint="eastAsia" w:ascii="宋体" w:hAnsi="宋体" w:cs="宋体"/>
                <w:highlight w:val="none"/>
                <w:u w:val="single"/>
              </w:rPr>
            </w:r>
            <w:r/>
          </w:p>
        </w:tc>
      </w:tr>
      <w:tr>
        <w:trPr>
          <w:cantSplit/>
          <w:trHeight w:val="505"/>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税率</w:t>
            </w:r>
            <w:r>
              <w:rPr>
                <w:rFonts w:hint="eastAsia" w:ascii="宋体" w:hAnsi="宋体" w:cs="宋体"/>
                <w:b/>
                <w:bCs/>
                <w:highlight w:val="none"/>
              </w:rPr>
            </w:r>
            <w:r/>
          </w:p>
        </w:tc>
        <w:tc>
          <w:tcPr>
            <w:gridSpan w:val="3"/>
            <w:tcW w:w="7894" w:type="dxa"/>
            <w:vAlign w:val="center"/>
            <w:textDirection w:val="lrTb"/>
            <w:noWrap w:val="false"/>
          </w:tcPr>
          <w:p>
            <w:pPr>
              <w:pStyle w:val="919"/>
              <w:jc w:val="center"/>
              <w:spacing w:line="360" w:lineRule="auto"/>
              <w:rPr>
                <w:rFonts w:hint="eastAsia" w:ascii="宋体" w:hAnsi="宋体" w:cs="宋体"/>
                <w:highlight w:val="none"/>
                <w:lang w:val="zh-CN"/>
              </w:rPr>
            </w:pPr>
            <w:r>
              <w:rPr>
                <w:rFonts w:hint="eastAsia" w:ascii="宋体" w:hAnsi="宋体" w:cs="宋体"/>
                <w:highlight w:val="none"/>
                <w:u w:val="single"/>
              </w:rPr>
              <w:t xml:space="preserve">      </w:t>
            </w:r>
            <w:r>
              <w:rPr>
                <w:rFonts w:hint="eastAsia" w:ascii="宋体" w:hAnsi="宋体" w:cs="宋体"/>
                <w:highlight w:val="none"/>
              </w:rPr>
              <w:t xml:space="preserve">%</w:t>
            </w:r>
            <w:r>
              <w:rPr>
                <w:rFonts w:hint="eastAsia" w:ascii="宋体" w:hAnsi="宋体" w:cs="宋体"/>
                <w:highlight w:val="none"/>
                <w:lang w:val="zh-CN"/>
              </w:rPr>
            </w:r>
            <w:r/>
          </w:p>
        </w:tc>
      </w:tr>
      <w:tr>
        <w:trPr>
          <w:cantSplit/>
          <w:trHeight w:val="495"/>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交货期</w:t>
            </w:r>
            <w:r>
              <w:rPr>
                <w:rFonts w:hint="eastAsia" w:ascii="宋体" w:hAnsi="宋体" w:cs="宋体"/>
                <w:b/>
                <w:bCs/>
                <w:highlight w:val="none"/>
              </w:rPr>
            </w:r>
            <w:r/>
          </w:p>
        </w:tc>
        <w:tc>
          <w:tcPr>
            <w:gridSpan w:val="3"/>
            <w:tcW w:w="7894" w:type="dxa"/>
            <w:vAlign w:val="center"/>
            <w:textDirection w:val="lrTb"/>
            <w:noWrap w:val="false"/>
          </w:tcPr>
          <w:p>
            <w:pPr>
              <w:pStyle w:val="919"/>
              <w:jc w:val="center"/>
              <w:spacing w:line="360" w:lineRule="auto"/>
              <w:rPr>
                <w:rFonts w:hint="eastAsia" w:ascii="宋体" w:hAnsi="宋体" w:cs="宋体"/>
                <w:highlight w:val="none"/>
                <w:lang w:val="zh-CN"/>
              </w:rPr>
            </w:pPr>
            <w:r>
              <w:rPr>
                <w:rFonts w:hint="eastAsia" w:ascii="宋体" w:hAnsi="宋体" w:cs="宋体"/>
                <w:highlight w:val="none"/>
                <w:u w:val="single"/>
              </w:rPr>
              <w:t xml:space="preserve">   </w:t>
            </w:r>
            <w:r>
              <w:rPr>
                <w:rFonts w:hint="eastAsia" w:ascii="宋体" w:hAnsi="宋体" w:cs="宋体"/>
                <w:highlight w:val="none"/>
                <w:lang w:val="zh-CN"/>
              </w:rPr>
            </w:r>
            <w:r/>
          </w:p>
        </w:tc>
      </w:tr>
      <w:tr>
        <w:trPr>
          <w:cantSplit/>
          <w:trHeight w:val="648"/>
        </w:trPr>
        <w:tc>
          <w:tcPr>
            <w:tcW w:w="1037" w:type="dxa"/>
            <w:vAlign w:val="center"/>
            <w:vMerge w:val="restart"/>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企业类型</w:t>
            </w:r>
            <w:r>
              <w:rPr>
                <w:rFonts w:hint="eastAsia" w:ascii="宋体" w:hAnsi="宋体" w:cs="宋体"/>
                <w:b/>
                <w:bCs/>
                <w:highlight w:val="none"/>
              </w:rPr>
            </w:r>
            <w:r/>
          </w:p>
        </w:tc>
        <w:tc>
          <w:tcPr>
            <w:tcW w:w="1745"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lang w:val="zh-CN"/>
              </w:rPr>
              <w:t xml:space="preserve">是否属于小微型企业</w:t>
            </w:r>
            <w:r>
              <w:rPr>
                <w:rFonts w:hint="eastAsia" w:ascii="宋体" w:hAnsi="宋体" w:cs="宋体"/>
                <w:highlight w:val="none"/>
              </w:rPr>
            </w:r>
            <w:r/>
          </w:p>
        </w:tc>
        <w:tc>
          <w:tcPr>
            <w:gridSpan w:val="2"/>
            <w:tcW w:w="4417" w:type="dxa"/>
            <w:vAlign w:val="center"/>
            <w:textDirection w:val="lrTb"/>
            <w:noWrap w:val="false"/>
          </w:tcPr>
          <w:p>
            <w:pPr>
              <w:pStyle w:val="919"/>
              <w:jc w:val="center"/>
              <w:spacing w:line="360" w:lineRule="auto"/>
              <w:rPr>
                <w:rFonts w:hint="eastAsia" w:ascii="宋体" w:hAnsi="宋体" w:cs="宋体"/>
                <w:sz w:val="24"/>
                <w:highlight w:val="none"/>
              </w:rPr>
            </w:pPr>
            <w:r>
              <w:rPr>
                <w:rFonts w:hint="eastAsia" w:ascii="宋体" w:hAnsi="宋体" w:cs="宋体"/>
                <w:sz w:val="24"/>
                <w:highlight w:val="none"/>
                <w:lang w:val="zh-CN"/>
              </w:rPr>
              <w:t xml:space="preserve">是</w:t>
            </w:r>
            <w:r>
              <w:rPr>
                <w:rFonts w:hint="eastAsia" w:ascii="宋体" w:hAnsi="宋体" w:cs="宋体"/>
                <w:sz w:val="24"/>
                <w:highlight w:val="none"/>
              </w:rPr>
              <w:t xml:space="preserve">（  ）</w:t>
            </w:r>
            <w:r>
              <w:rPr>
                <w:rFonts w:hint="eastAsia" w:ascii="宋体" w:hAnsi="宋体" w:cs="宋体"/>
                <w:sz w:val="24"/>
                <w:highlight w:val="none"/>
                <w:lang w:val="zh-CN"/>
              </w:rPr>
              <w:t xml:space="preserve">否</w:t>
            </w:r>
            <w:r>
              <w:rPr>
                <w:rFonts w:hint="eastAsia" w:ascii="宋体" w:hAnsi="宋体" w:cs="宋体"/>
                <w:sz w:val="24"/>
                <w:highlight w:val="none"/>
              </w:rPr>
              <w:t xml:space="preserve">（  ）</w:t>
            </w:r>
            <w:r>
              <w:rPr>
                <w:rFonts w:hint="eastAsia" w:ascii="宋体" w:hAnsi="宋体" w:cs="宋体"/>
                <w:sz w:val="24"/>
                <w:highlight w:val="none"/>
              </w:rPr>
            </w:r>
            <w:r/>
          </w:p>
        </w:tc>
      </w:tr>
      <w:tr>
        <w:trPr>
          <w:cantSplit/>
          <w:trHeight w:val="627"/>
        </w:trPr>
        <w:tc>
          <w:tcPr>
            <w:tcW w:w="1037" w:type="dxa"/>
            <w:vAlign w:val="center"/>
            <w:vMerge w:val="continue"/>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r>
            <w:r/>
          </w:p>
        </w:tc>
        <w:tc>
          <w:tcPr>
            <w:tcW w:w="1745"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lang w:val="zh-CN"/>
              </w:rPr>
              <w:t xml:space="preserve">是否属于残疾人福利性单位</w:t>
            </w:r>
            <w:r>
              <w:rPr>
                <w:rFonts w:hint="eastAsia" w:ascii="宋体" w:hAnsi="宋体" w:cs="宋体"/>
                <w:highlight w:val="none"/>
              </w:rPr>
            </w:r>
            <w:r/>
          </w:p>
        </w:tc>
        <w:tc>
          <w:tcPr>
            <w:gridSpan w:val="2"/>
            <w:tcW w:w="4417" w:type="dxa"/>
            <w:vAlign w:val="center"/>
            <w:textDirection w:val="lrTb"/>
            <w:noWrap w:val="false"/>
          </w:tcPr>
          <w:p>
            <w:pPr>
              <w:pStyle w:val="919"/>
              <w:jc w:val="center"/>
              <w:spacing w:line="360" w:lineRule="auto"/>
              <w:rPr>
                <w:rFonts w:hint="eastAsia" w:ascii="宋体" w:hAnsi="宋体" w:cs="宋体"/>
                <w:sz w:val="24"/>
                <w:highlight w:val="none"/>
              </w:rPr>
            </w:pPr>
            <w:r>
              <w:rPr>
                <w:rFonts w:hint="eastAsia" w:ascii="宋体" w:hAnsi="宋体" w:cs="宋体"/>
                <w:sz w:val="24"/>
                <w:highlight w:val="none"/>
                <w:lang w:val="zh-CN"/>
              </w:rPr>
              <w:t xml:space="preserve">是</w:t>
            </w:r>
            <w:r>
              <w:rPr>
                <w:rFonts w:hint="eastAsia" w:ascii="宋体" w:hAnsi="宋体" w:cs="宋体"/>
                <w:sz w:val="24"/>
                <w:highlight w:val="none"/>
              </w:rPr>
              <w:t xml:space="preserve">（  ）</w:t>
            </w:r>
            <w:r>
              <w:rPr>
                <w:rFonts w:hint="eastAsia" w:ascii="宋体" w:hAnsi="宋体" w:cs="宋体"/>
                <w:sz w:val="24"/>
                <w:highlight w:val="none"/>
                <w:lang w:val="zh-CN"/>
              </w:rPr>
              <w:t xml:space="preserve">否</w:t>
            </w:r>
            <w:r>
              <w:rPr>
                <w:rFonts w:hint="eastAsia" w:ascii="宋体" w:hAnsi="宋体" w:cs="宋体"/>
                <w:sz w:val="24"/>
                <w:highlight w:val="none"/>
              </w:rPr>
              <w:t xml:space="preserve">（  ）</w:t>
            </w:r>
            <w:r>
              <w:rPr>
                <w:rFonts w:hint="eastAsia" w:ascii="宋体" w:hAnsi="宋体" w:cs="宋体"/>
                <w:sz w:val="24"/>
                <w:highlight w:val="none"/>
              </w:rPr>
            </w:r>
            <w:r/>
          </w:p>
        </w:tc>
      </w:tr>
      <w:tr>
        <w:trPr>
          <w:cantSplit/>
          <w:trHeight w:val="612"/>
        </w:trPr>
        <w:tc>
          <w:tcPr>
            <w:tcW w:w="1037" w:type="dxa"/>
            <w:vAlign w:val="center"/>
            <w:vMerge w:val="continue"/>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r>
            <w:r/>
          </w:p>
        </w:tc>
        <w:tc>
          <w:tcPr>
            <w:tcW w:w="1745" w:type="dxa"/>
            <w:vAlign w:val="center"/>
            <w:textDirection w:val="lrTb"/>
            <w:noWrap w:val="false"/>
          </w:tcPr>
          <w:p>
            <w:pPr>
              <w:pStyle w:val="919"/>
              <w:jc w:val="center"/>
              <w:spacing w:line="360" w:lineRule="auto"/>
              <w:rPr>
                <w:rFonts w:hint="eastAsia" w:ascii="宋体" w:hAnsi="宋体" w:cs="宋体"/>
                <w:highlight w:val="none"/>
              </w:rPr>
            </w:pPr>
            <w:r>
              <w:rPr>
                <w:rFonts w:hint="eastAsia" w:ascii="宋体" w:hAnsi="宋体" w:cs="宋体"/>
                <w:highlight w:val="none"/>
                <w:lang w:val="zh-CN"/>
              </w:rPr>
              <w:t xml:space="preserve">是否属于监狱企业</w:t>
            </w:r>
            <w:r>
              <w:rPr>
                <w:rFonts w:hint="eastAsia" w:ascii="宋体" w:hAnsi="宋体" w:cs="宋体"/>
                <w:highlight w:val="none"/>
              </w:rPr>
            </w:r>
            <w:r/>
          </w:p>
        </w:tc>
        <w:tc>
          <w:tcPr>
            <w:gridSpan w:val="2"/>
            <w:tcW w:w="4417" w:type="dxa"/>
            <w:vAlign w:val="center"/>
            <w:textDirection w:val="lrTb"/>
            <w:noWrap w:val="false"/>
          </w:tcPr>
          <w:p>
            <w:pPr>
              <w:pStyle w:val="919"/>
              <w:jc w:val="center"/>
              <w:spacing w:line="360" w:lineRule="auto"/>
              <w:rPr>
                <w:rFonts w:hint="eastAsia" w:ascii="宋体" w:hAnsi="宋体" w:cs="宋体"/>
                <w:sz w:val="24"/>
                <w:highlight w:val="none"/>
              </w:rPr>
            </w:pPr>
            <w:r>
              <w:rPr>
                <w:rFonts w:hint="eastAsia" w:ascii="宋体" w:hAnsi="宋体" w:cs="宋体"/>
                <w:sz w:val="24"/>
                <w:highlight w:val="none"/>
                <w:lang w:val="zh-CN"/>
              </w:rPr>
              <w:t xml:space="preserve">是</w:t>
            </w:r>
            <w:r>
              <w:rPr>
                <w:rFonts w:hint="eastAsia" w:ascii="宋体" w:hAnsi="宋体" w:cs="宋体"/>
                <w:sz w:val="24"/>
                <w:highlight w:val="none"/>
              </w:rPr>
              <w:t xml:space="preserve">（  ）</w:t>
            </w:r>
            <w:r>
              <w:rPr>
                <w:rFonts w:hint="eastAsia" w:ascii="宋体" w:hAnsi="宋体" w:cs="宋体"/>
                <w:sz w:val="24"/>
                <w:highlight w:val="none"/>
                <w:lang w:val="zh-CN"/>
              </w:rPr>
              <w:t xml:space="preserve">否</w:t>
            </w:r>
            <w:r>
              <w:rPr>
                <w:rFonts w:hint="eastAsia" w:ascii="宋体" w:hAnsi="宋体" w:cs="宋体"/>
                <w:sz w:val="24"/>
                <w:highlight w:val="none"/>
              </w:rPr>
              <w:t xml:space="preserve">（  ）</w:t>
            </w:r>
            <w:r>
              <w:rPr>
                <w:rFonts w:hint="eastAsia" w:ascii="宋体" w:hAnsi="宋体" w:cs="宋体"/>
                <w:sz w:val="24"/>
                <w:highlight w:val="none"/>
              </w:rPr>
            </w:r>
            <w:r/>
          </w:p>
        </w:tc>
      </w:tr>
      <w:tr>
        <w:trPr>
          <w:cantSplit/>
          <w:trHeight w:val="680"/>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售后服务承诺</w:t>
            </w:r>
            <w:r>
              <w:rPr>
                <w:rFonts w:hint="eastAsia" w:ascii="宋体" w:hAnsi="宋体" w:cs="宋体"/>
                <w:b/>
                <w:bCs/>
                <w:highlight w:val="none"/>
              </w:rPr>
            </w:r>
            <w:r/>
          </w:p>
        </w:tc>
        <w:tc>
          <w:tcPr>
            <w:gridSpan w:val="3"/>
            <w:tcW w:w="7894" w:type="dxa"/>
            <w:vAlign w:val="center"/>
            <w:textDirection w:val="lrTb"/>
            <w:noWrap w:val="false"/>
          </w:tcPr>
          <w:p>
            <w:pPr>
              <w:pStyle w:val="919"/>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tc>
      </w:tr>
      <w:tr>
        <w:trPr>
          <w:cantSplit/>
          <w:trHeight w:val="680"/>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优惠条件承诺</w:t>
            </w:r>
            <w:r>
              <w:rPr>
                <w:rFonts w:hint="eastAsia" w:ascii="宋体" w:hAnsi="宋体" w:cs="宋体"/>
                <w:b/>
                <w:bCs/>
                <w:highlight w:val="none"/>
              </w:rPr>
            </w:r>
            <w:r/>
          </w:p>
        </w:tc>
        <w:tc>
          <w:tcPr>
            <w:gridSpan w:val="3"/>
            <w:tcW w:w="7894" w:type="dxa"/>
            <w:vAlign w:val="center"/>
            <w:textDirection w:val="lrTb"/>
            <w:noWrap w:val="false"/>
          </w:tcPr>
          <w:p>
            <w:pPr>
              <w:pStyle w:val="919"/>
              <w:jc w:val="left"/>
              <w:spacing w:line="360" w:lineRule="auto"/>
              <w:rPr>
                <w:rFonts w:hint="eastAsia" w:ascii="宋体" w:hAnsi="宋体" w:cs="宋体"/>
                <w:sz w:val="24"/>
                <w:highlight w:val="none"/>
                <w:lang w:val="zh-CN"/>
              </w:rPr>
            </w:pPr>
            <w:r>
              <w:rPr>
                <w:rFonts w:hint="eastAsia" w:ascii="宋体" w:hAnsi="宋体" w:cs="宋体"/>
                <w:sz w:val="24"/>
                <w:highlight w:val="none"/>
                <w:lang w:val="zh-CN"/>
              </w:rPr>
            </w:r>
            <w:r/>
          </w:p>
        </w:tc>
      </w:tr>
      <w:tr>
        <w:trPr>
          <w:cantSplit/>
          <w:trHeight w:val="698"/>
        </w:trPr>
        <w:tc>
          <w:tcPr>
            <w:tcW w:w="1037" w:type="dxa"/>
            <w:vAlign w:val="center"/>
            <w:textDirection w:val="lrTb"/>
            <w:noWrap w:val="false"/>
          </w:tcPr>
          <w:p>
            <w:pPr>
              <w:pStyle w:val="919"/>
              <w:jc w:val="center"/>
              <w:spacing w:line="360" w:lineRule="auto"/>
              <w:rPr>
                <w:rFonts w:hint="eastAsia" w:ascii="宋体" w:hAnsi="宋体" w:cs="宋体"/>
                <w:b/>
                <w:bCs/>
                <w:highlight w:val="none"/>
              </w:rPr>
            </w:pPr>
            <w:r>
              <w:rPr>
                <w:rFonts w:hint="eastAsia" w:ascii="宋体" w:hAnsi="宋体" w:cs="宋体"/>
                <w:b/>
                <w:bCs/>
                <w:highlight w:val="none"/>
              </w:rPr>
              <w:t xml:space="preserve">备注</w:t>
            </w:r>
            <w:r>
              <w:rPr>
                <w:rFonts w:hint="eastAsia" w:ascii="宋体" w:hAnsi="宋体" w:cs="宋体"/>
                <w:b/>
                <w:bCs/>
                <w:highlight w:val="none"/>
              </w:rPr>
            </w:r>
            <w:r/>
          </w:p>
        </w:tc>
        <w:tc>
          <w:tcPr>
            <w:gridSpan w:val="3"/>
            <w:tcW w:w="7894" w:type="dxa"/>
            <w:vAlign w:val="top"/>
            <w:textDirection w:val="lrTb"/>
            <w:noWrap w:val="false"/>
          </w:tcPr>
          <w:p>
            <w:pPr>
              <w:pStyle w:val="919"/>
              <w:spacing w:line="360" w:lineRule="auto"/>
              <w:rPr>
                <w:rFonts w:hint="eastAsia" w:ascii="宋体" w:hAnsi="宋体" w:cs="宋体"/>
                <w:szCs w:val="21"/>
                <w:highlight w:val="none"/>
              </w:rPr>
            </w:pPr>
            <w:r>
              <w:rPr>
                <w:rFonts w:hint="eastAsia" w:ascii="宋体" w:hAnsi="宋体" w:cs="宋体"/>
                <w:szCs w:val="21"/>
                <w:highlight w:val="none"/>
              </w:rPr>
            </w:r>
            <w:r/>
          </w:p>
        </w:tc>
      </w:tr>
    </w:tbl>
    <w:p>
      <w:pPr>
        <w:pStyle w:val="919"/>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rPr>
          <w:rFonts w:hint="eastAsia" w:ascii="宋体" w:hAnsi="宋体" w:cs="宋体"/>
          <w:bCs/>
          <w:szCs w:val="21"/>
          <w:highlight w:val="none"/>
        </w:rPr>
      </w:r>
      <w:r/>
    </w:p>
    <w:p>
      <w:pPr>
        <w:pStyle w:val="919"/>
        <w:spacing w:line="360" w:lineRule="auto"/>
        <w:rPr>
          <w:rFonts w:hint="eastAsia" w:ascii="宋体" w:hAnsi="宋体" w:cs="宋体"/>
          <w:bCs/>
          <w:szCs w:val="21"/>
          <w:highlight w:val="none"/>
        </w:rPr>
      </w:pPr>
      <w:r>
        <w:rPr>
          <w:rFonts w:hint="eastAsia" w:ascii="宋体" w:hAnsi="宋体" w:cs="宋体"/>
          <w:bCs/>
          <w:szCs w:val="21"/>
          <w:highlight w:val="none"/>
        </w:rPr>
        <w:t xml:space="preserve">1.报价币种：人民币。</w:t>
      </w:r>
      <w:r>
        <w:rPr>
          <w:rFonts w:hint="eastAsia" w:ascii="宋体" w:hAnsi="宋体" w:cs="宋体"/>
          <w:bCs/>
          <w:szCs w:val="21"/>
          <w:highlight w:val="none"/>
        </w:rPr>
      </w:r>
      <w:r/>
    </w:p>
    <w:p>
      <w:pPr>
        <w:pStyle w:val="919"/>
        <w:spacing w:line="360" w:lineRule="auto"/>
        <w:rPr>
          <w:rFonts w:hint="eastAsia" w:ascii="宋体" w:hAnsi="宋体" w:cs="宋体"/>
          <w:b/>
          <w:szCs w:val="21"/>
          <w:highlight w:val="none"/>
        </w:rPr>
      </w:pPr>
      <w:r>
        <w:rPr>
          <w:rFonts w:hint="eastAsia" w:ascii="宋体" w:hAnsi="宋体" w:cs="宋体"/>
          <w:bCs/>
          <w:szCs w:val="21"/>
          <w:highlight w:val="none"/>
        </w:rPr>
        <w:t xml:space="preserve">2.</w:t>
      </w:r>
      <w:r>
        <w:rPr>
          <w:rFonts w:hint="eastAsia" w:ascii="宋体" w:hAnsi="宋体" w:cs="宋体"/>
          <w:b/>
          <w:szCs w:val="21"/>
          <w:highlight w:val="none"/>
        </w:rPr>
        <w:t xml:space="preserve">在供应商“是否属于小和微型企业”、“</w:t>
      </w:r>
      <w:r>
        <w:rPr>
          <w:rFonts w:hint="eastAsia" w:ascii="宋体" w:hAnsi="宋体" w:cs="宋体"/>
          <w:b/>
          <w:szCs w:val="21"/>
          <w:highlight w:val="none"/>
          <w:lang w:val="zh-CN"/>
        </w:rPr>
        <w:t xml:space="preserve">是否属于残疾人福利性单位</w:t>
      </w:r>
      <w:r>
        <w:rPr>
          <w:rFonts w:hint="eastAsia" w:ascii="宋体" w:hAnsi="宋体" w:cs="宋体"/>
          <w:b/>
          <w:szCs w:val="21"/>
          <w:highlight w:val="none"/>
        </w:rPr>
        <w:t xml:space="preserve">”、“</w:t>
      </w:r>
      <w:r>
        <w:rPr>
          <w:rFonts w:hint="eastAsia" w:ascii="宋体" w:hAnsi="宋体" w:cs="宋体"/>
          <w:b/>
          <w:szCs w:val="21"/>
          <w:highlight w:val="none"/>
          <w:lang w:val="zh-CN"/>
        </w:rPr>
        <w:t xml:space="preserve">是否属于监狱企业</w:t>
      </w:r>
      <w:r>
        <w:rPr>
          <w:rFonts w:hint="eastAsia" w:ascii="宋体" w:hAnsi="宋体" w:cs="宋体"/>
          <w:b/>
          <w:szCs w:val="21"/>
          <w:highlight w:val="none"/>
        </w:rPr>
        <w:t xml:space="preserve">”栏后“是”或“否”上打“√”,并按要求提供分项报价表及中小企业声明函。评审过程中，如果小、微型企业报价无法划分计算的，将不予认可。</w:t>
      </w:r>
      <w:r>
        <w:rPr>
          <w:rFonts w:hint="eastAsia" w:ascii="宋体" w:hAnsi="宋体" w:cs="宋体"/>
          <w:b/>
          <w:szCs w:val="21"/>
          <w:highlight w:val="none"/>
        </w:rPr>
      </w:r>
      <w:r/>
    </w:p>
    <w:p>
      <w:pPr>
        <w:pStyle w:val="919"/>
        <w:spacing w:line="360" w:lineRule="auto"/>
        <w:rPr>
          <w:rFonts w:hint="eastAsia" w:ascii="宋体" w:hAnsi="宋体" w:cs="宋体"/>
          <w:bCs/>
          <w:szCs w:val="21"/>
          <w:highlight w:val="none"/>
        </w:rPr>
      </w:pPr>
      <w:r>
        <w:rPr>
          <w:rFonts w:hint="eastAsia" w:ascii="宋体" w:hAnsi="宋体" w:cs="宋体"/>
          <w:bCs/>
          <w:szCs w:val="21"/>
          <w:highlight w:val="none"/>
        </w:rPr>
        <w:t xml:space="preserve">3.本项目仅接受一个价格，不得填报有选择性报价方案。如有优惠条款须注明，但不得影响报价，影响项目履约交付。</w:t>
      </w:r>
      <w:r>
        <w:rPr>
          <w:rFonts w:hint="eastAsia" w:ascii="宋体" w:hAnsi="宋体" w:cs="宋体"/>
          <w:bCs/>
          <w:szCs w:val="21"/>
          <w:highlight w:val="none"/>
        </w:rPr>
      </w:r>
      <w:r/>
    </w:p>
    <w:p>
      <w:pPr>
        <w:pStyle w:val="919"/>
        <w:spacing w:line="360" w:lineRule="auto"/>
        <w:rPr>
          <w:rFonts w:hint="eastAsia" w:ascii="宋体" w:hAnsi="宋体" w:cs="宋体"/>
          <w:bCs/>
          <w:szCs w:val="21"/>
          <w:highlight w:val="none"/>
        </w:rPr>
      </w:pPr>
      <w:r>
        <w:rPr>
          <w:rFonts w:hint="eastAsia" w:ascii="宋体" w:hAnsi="宋体" w:cs="宋体"/>
          <w:bCs/>
          <w:szCs w:val="21"/>
          <w:highlight w:val="none"/>
        </w:rPr>
        <w:t xml:space="preserve">4.供应商应报出最具有竞争力的价格，项目总报价中包含的所有要求提供货物和服务本身已支付或将支付的各种税费及其他相关费用。</w:t>
      </w:r>
      <w:r>
        <w:rPr>
          <w:rFonts w:hint="eastAsia" w:ascii="宋体" w:hAnsi="宋体" w:cs="宋体"/>
          <w:bCs/>
          <w:szCs w:val="21"/>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t xml:space="preserve">投标人名称（盖公章/加盖CA电子公章）：</w:t>
      </w:r>
      <w:r>
        <w:rPr>
          <w:rFonts w:hint="eastAsia" w:ascii="宋体" w:hAnsi="宋体" w:cs="宋体"/>
          <w:sz w:val="24"/>
          <w:highlight w:val="none"/>
        </w:rPr>
      </w:r>
      <w:r/>
    </w:p>
    <w:p>
      <w:pPr>
        <w:pStyle w:val="919"/>
        <w:jc w:val="left"/>
        <w:spacing w:line="360" w:lineRule="auto"/>
        <w:rPr>
          <w:rFonts w:hint="eastAsia" w:ascii="宋体" w:hAnsi="宋体" w:cs="宋体"/>
          <w:sz w:val="24"/>
          <w:highlight w:val="none"/>
        </w:rPr>
      </w:pPr>
      <w:r>
        <w:rPr>
          <w:rFonts w:hint="eastAsia" w:ascii="宋体" w:hAnsi="宋体" w:cs="宋体"/>
          <w:sz w:val="24"/>
          <w:highlight w:val="none"/>
        </w:rPr>
        <w:t xml:space="preserve">法定代表人或授权代表（签字或盖章）：</w:t>
      </w:r>
      <w:r>
        <w:rPr>
          <w:rFonts w:hint="eastAsia" w:ascii="宋体" w:hAnsi="宋体" w:cs="宋体"/>
          <w:sz w:val="24"/>
          <w:highlight w:val="none"/>
        </w:rPr>
      </w:r>
      <w:r/>
    </w:p>
    <w:p>
      <w:pPr>
        <w:pStyle w:val="919"/>
        <w:jc w:val="left"/>
        <w:spacing w:line="360" w:lineRule="auto"/>
        <w:rPr>
          <w:rFonts w:hint="eastAsia" w:ascii="宋体" w:hAnsi="宋体" w:cs="宋体"/>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19"/>
        <w:jc w:val="center"/>
        <w:spacing w:line="360" w:lineRule="auto"/>
        <w:widowControl/>
        <w:rPr>
          <w:rFonts w:hint="eastAsia" w:ascii="宋体" w:hAnsi="宋体" w:cs="宋体"/>
          <w:b/>
          <w:sz w:val="28"/>
          <w:szCs w:val="28"/>
          <w:highlight w:val="none"/>
        </w:rPr>
      </w:pPr>
      <w:r>
        <w:rPr>
          <w:rFonts w:hint="eastAsia" w:ascii="宋体" w:hAnsi="宋体" w:cs="宋体"/>
          <w:b/>
          <w:sz w:val="28"/>
          <w:szCs w:val="28"/>
          <w:highlight w:val="none"/>
        </w:rPr>
        <w:t xml:space="preserve">3.2分项价格表（格式）</w:t>
      </w:r>
      <w:r>
        <w:rPr>
          <w:rFonts w:hint="eastAsia" w:ascii="宋体" w:hAnsi="宋体" w:cs="宋体"/>
          <w:b/>
          <w:sz w:val="28"/>
          <w:szCs w:val="28"/>
          <w:highlight w:val="none"/>
        </w:rPr>
      </w:r>
      <w:r/>
    </w:p>
    <w:tbl>
      <w:tblPr>
        <w:tblW w:w="5772" w:type="pct"/>
        <w:jc w:val="center"/>
        <w:tblInd w:w="-3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536"/>
        <w:gridCol w:w="1048"/>
        <w:gridCol w:w="855"/>
        <w:gridCol w:w="791"/>
        <w:gridCol w:w="906"/>
        <w:gridCol w:w="983"/>
        <w:gridCol w:w="733"/>
        <w:gridCol w:w="858"/>
        <w:gridCol w:w="1637"/>
      </w:tblGrid>
      <w:tr>
        <w:trPr>
          <w:trHeight w:val="90"/>
        </w:trPr>
        <w:tc>
          <w:tcPr>
            <w:tcW w:w="358"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序号</w:t>
            </w:r>
            <w:r>
              <w:rPr>
                <w:rFonts w:hint="eastAsia" w:ascii="宋体" w:hAnsi="宋体" w:cs="宋体"/>
                <w:szCs w:val="21"/>
                <w:highlight w:val="none"/>
              </w:rPr>
            </w:r>
            <w:r/>
          </w:p>
        </w:tc>
        <w:tc>
          <w:tcPr>
            <w:tcW w:w="762"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分项内容</w:t>
            </w:r>
            <w:r>
              <w:rPr>
                <w:rFonts w:hint="eastAsia" w:ascii="宋体" w:hAnsi="宋体" w:cs="宋体"/>
                <w:szCs w:val="21"/>
                <w:highlight w:val="none"/>
              </w:rPr>
            </w:r>
            <w:r/>
          </w:p>
        </w:tc>
        <w:tc>
          <w:tcPr>
            <w:tcW w:w="520"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制造商名称</w:t>
            </w:r>
            <w:r>
              <w:rPr>
                <w:rFonts w:hint="eastAsia" w:ascii="宋体" w:hAnsi="宋体" w:cs="宋体"/>
                <w:szCs w:val="21"/>
                <w:highlight w:val="none"/>
              </w:rPr>
            </w:r>
            <w:r/>
          </w:p>
        </w:tc>
        <w:tc>
          <w:tcPr>
            <w:tcW w:w="424" w:type="dxa"/>
            <w:vAlign w:val="center"/>
            <w:textDirection w:val="lrTb"/>
            <w:noWrap w:val="false"/>
          </w:tcPr>
          <w:p>
            <w:pPr>
              <w:pStyle w:val="919"/>
              <w:jc w:val="center"/>
              <w:widowControl/>
              <w:rPr>
                <w:rFonts w:ascii="宋体" w:hAnsi="宋体" w:cs="宋体"/>
                <w:szCs w:val="21"/>
                <w:highlight w:val="none"/>
              </w:rPr>
            </w:pPr>
            <w:r>
              <w:rPr>
                <w:rFonts w:hint="eastAsia" w:ascii="宋体" w:hAnsi="宋体" w:cs="宋体"/>
                <w:szCs w:val="21"/>
                <w:highlight w:val="none"/>
              </w:rPr>
              <w:t xml:space="preserve">品牌及型号</w:t>
            </w:r>
            <w:r>
              <w:rPr>
                <w:rFonts w:ascii="宋体" w:hAnsi="宋体" w:cs="宋体"/>
                <w:szCs w:val="21"/>
                <w:highlight w:val="none"/>
              </w:rPr>
            </w:r>
            <w:r/>
          </w:p>
        </w:tc>
        <w:tc>
          <w:tcPr>
            <w:tcW w:w="393"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单位</w:t>
            </w:r>
            <w:r>
              <w:rPr>
                <w:rFonts w:hint="eastAsia" w:ascii="宋体" w:hAnsi="宋体" w:cs="宋体"/>
                <w:szCs w:val="21"/>
                <w:highlight w:val="none"/>
              </w:rPr>
            </w:r>
            <w:r/>
          </w:p>
        </w:tc>
        <w:tc>
          <w:tcPr>
            <w:tcW w:w="450"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最高限制单价（元）</w:t>
            </w:r>
            <w:r>
              <w:rPr>
                <w:rFonts w:hint="eastAsia" w:ascii="宋体" w:hAnsi="宋体" w:cs="宋体"/>
                <w:spacing w:val="8"/>
                <w:szCs w:val="21"/>
                <w:highlight w:val="none"/>
              </w:rPr>
            </w:r>
            <w:r/>
          </w:p>
        </w:tc>
        <w:tc>
          <w:tcPr>
            <w:tcW w:w="484"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投标单价(元)</w:t>
            </w:r>
            <w:r>
              <w:rPr>
                <w:rFonts w:hint="eastAsia" w:ascii="宋体" w:hAnsi="宋体" w:cs="宋体"/>
                <w:szCs w:val="21"/>
                <w:highlight w:val="none"/>
              </w:rPr>
            </w:r>
            <w:r/>
          </w:p>
        </w:tc>
        <w:tc>
          <w:tcPr>
            <w:tcW w:w="364"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数量</w:t>
            </w:r>
            <w:r>
              <w:rPr>
                <w:rFonts w:hint="eastAsia" w:ascii="宋体" w:hAnsi="宋体" w:cs="宋体"/>
                <w:szCs w:val="21"/>
                <w:highlight w:val="none"/>
              </w:rPr>
            </w:r>
            <w:r/>
          </w:p>
        </w:tc>
        <w:tc>
          <w:tcPr>
            <w:tcW w:w="426"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小计（元）</w:t>
            </w:r>
            <w:r>
              <w:rPr>
                <w:rFonts w:hint="eastAsia" w:ascii="宋体" w:hAnsi="宋体" w:cs="宋体"/>
                <w:szCs w:val="21"/>
                <w:highlight w:val="none"/>
              </w:rPr>
            </w:r>
            <w:r/>
          </w:p>
        </w:tc>
        <w:tc>
          <w:tcPr>
            <w:tcW w:w="812" w:type="dxa"/>
            <w:vAlign w:val="center"/>
            <w:textDirection w:val="lrTb"/>
            <w:noWrap w:val="false"/>
          </w:tcPr>
          <w:p>
            <w:pPr>
              <w:pStyle w:val="919"/>
              <w:jc w:val="center"/>
              <w:widowControl/>
              <w:rPr>
                <w:rFonts w:hint="eastAsia" w:ascii="宋体" w:hAnsi="宋体" w:cs="宋体"/>
                <w:szCs w:val="21"/>
                <w:highlight w:val="none"/>
              </w:rPr>
            </w:pPr>
            <w:r>
              <w:rPr>
                <w:rFonts w:hint="eastAsia" w:ascii="宋体" w:hAnsi="宋体" w:cs="宋体"/>
                <w:szCs w:val="21"/>
                <w:highlight w:val="none"/>
              </w:rPr>
              <w:t xml:space="preserve">是否小、微企业产品（货物）</w:t>
            </w:r>
            <w:r>
              <w:rPr>
                <w:rFonts w:hint="eastAsia" w:ascii="宋体" w:hAnsi="宋体" w:cs="宋体"/>
                <w:szCs w:val="21"/>
                <w:highlight w:val="none"/>
              </w:rPr>
            </w:r>
            <w:r/>
          </w:p>
        </w:tc>
      </w:tr>
      <w:tr>
        <w:trPr>
          <w:trHeight w:val="561"/>
        </w:trPr>
        <w:tc>
          <w:tcPr>
            <w:tcW w:w="35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1</w:t>
            </w:r>
            <w:r>
              <w:rPr>
                <w:rFonts w:hint="eastAsia" w:ascii="宋体" w:hAnsi="宋体" w:cs="宋体"/>
                <w:szCs w:val="21"/>
                <w:highlight w:val="none"/>
              </w:rPr>
            </w:r>
            <w:r/>
          </w:p>
        </w:tc>
        <w:tc>
          <w:tcPr>
            <w:tcW w:w="762"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茄克式长袖套装（夏季劳保服）</w:t>
            </w:r>
            <w:r>
              <w:rPr>
                <w:rFonts w:hint="eastAsia" w:ascii="宋体" w:hAnsi="宋体" w:cs="宋体"/>
                <w:spacing w:val="8"/>
                <w:szCs w:val="21"/>
                <w:highlight w:val="none"/>
              </w:rPr>
            </w:r>
            <w:r/>
          </w:p>
        </w:tc>
        <w:tc>
          <w:tcPr>
            <w:tcW w:w="520"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424"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393"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套</w:t>
            </w:r>
            <w:r>
              <w:rPr>
                <w:rFonts w:hint="eastAsia" w:ascii="宋体" w:hAnsi="宋体" w:cs="宋体"/>
                <w:highlight w:val="none"/>
              </w:rPr>
            </w:r>
            <w:r/>
          </w:p>
        </w:tc>
        <w:tc>
          <w:tcPr>
            <w:tcW w:w="450"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250</w:t>
            </w:r>
            <w:r>
              <w:rPr>
                <w:rFonts w:hint="eastAsia" w:ascii="宋体" w:hAnsi="宋体" w:cs="宋体"/>
                <w:highlight w:val="none"/>
              </w:rPr>
            </w:r>
            <w:r/>
          </w:p>
        </w:tc>
        <w:tc>
          <w:tcPr>
            <w:tcW w:w="484"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64"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2718</w:t>
            </w:r>
            <w:r>
              <w:rPr>
                <w:rFonts w:hint="eastAsia" w:ascii="宋体" w:hAnsi="宋体" w:cs="宋体"/>
                <w:highlight w:val="none"/>
              </w:rPr>
            </w:r>
            <w:r/>
          </w:p>
        </w:tc>
        <w:tc>
          <w:tcPr>
            <w:tcW w:w="426"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8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496"/>
        </w:trPr>
        <w:tc>
          <w:tcPr>
            <w:tcW w:w="35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2</w:t>
            </w:r>
            <w:r>
              <w:rPr>
                <w:rFonts w:hint="eastAsia" w:ascii="宋体" w:hAnsi="宋体" w:cs="宋体"/>
                <w:szCs w:val="21"/>
                <w:highlight w:val="none"/>
              </w:rPr>
            </w:r>
            <w:r/>
          </w:p>
        </w:tc>
        <w:tc>
          <w:tcPr>
            <w:tcW w:w="762"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茄克式长袖套装（春秋季劳保服）</w:t>
            </w:r>
            <w:r>
              <w:rPr>
                <w:rFonts w:hint="eastAsia" w:ascii="宋体" w:hAnsi="宋体" w:cs="宋体"/>
                <w:spacing w:val="8"/>
                <w:szCs w:val="21"/>
                <w:highlight w:val="none"/>
              </w:rPr>
            </w:r>
            <w:r/>
          </w:p>
        </w:tc>
        <w:tc>
          <w:tcPr>
            <w:tcW w:w="520" w:type="dxa"/>
            <w:vAlign w:val="center"/>
            <w:textDirection w:val="lrTb"/>
            <w:noWrap w:val="false"/>
          </w:tcPr>
          <w:p>
            <w:pPr>
              <w:pStyle w:val="919"/>
              <w:jc w:val="center"/>
              <w:spacing w:line="360" w:lineRule="auto"/>
              <w:widowControl/>
              <w:rPr>
                <w:rFonts w:hint="eastAsia" w:ascii="宋体" w:hAnsi="宋体" w:cs="宋体"/>
                <w:szCs w:val="28"/>
                <w:highlight w:val="none"/>
              </w:rPr>
            </w:pPr>
            <w:r>
              <w:rPr>
                <w:rFonts w:hint="eastAsia" w:ascii="宋体" w:hAnsi="宋体" w:cs="宋体"/>
                <w:szCs w:val="28"/>
                <w:highlight w:val="none"/>
              </w:rPr>
            </w:r>
            <w:r/>
          </w:p>
        </w:tc>
        <w:tc>
          <w:tcPr>
            <w:tcW w:w="424" w:type="dxa"/>
            <w:vAlign w:val="center"/>
            <w:textDirection w:val="lrTb"/>
            <w:noWrap w:val="false"/>
          </w:tcPr>
          <w:p>
            <w:pPr>
              <w:pStyle w:val="919"/>
              <w:jc w:val="center"/>
              <w:spacing w:line="360" w:lineRule="auto"/>
              <w:widowControl/>
              <w:rPr>
                <w:rFonts w:hint="eastAsia" w:ascii="宋体" w:hAnsi="宋体" w:cs="宋体"/>
                <w:szCs w:val="28"/>
                <w:highlight w:val="none"/>
              </w:rPr>
            </w:pPr>
            <w:r>
              <w:rPr>
                <w:rFonts w:hint="eastAsia" w:ascii="宋体" w:hAnsi="宋体" w:cs="宋体"/>
                <w:szCs w:val="28"/>
                <w:highlight w:val="none"/>
              </w:rPr>
            </w:r>
            <w:r/>
          </w:p>
        </w:tc>
        <w:tc>
          <w:tcPr>
            <w:tcW w:w="393"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套</w:t>
            </w:r>
            <w:r>
              <w:rPr>
                <w:rFonts w:hint="eastAsia" w:ascii="宋体" w:hAnsi="宋体" w:cs="宋体"/>
                <w:highlight w:val="none"/>
              </w:rPr>
            </w:r>
            <w:r/>
          </w:p>
        </w:tc>
        <w:tc>
          <w:tcPr>
            <w:tcW w:w="450"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280</w:t>
            </w:r>
            <w:r>
              <w:rPr>
                <w:rFonts w:hint="eastAsia" w:ascii="宋体" w:hAnsi="宋体" w:cs="宋体"/>
                <w:highlight w:val="none"/>
              </w:rPr>
            </w:r>
            <w:r/>
          </w:p>
        </w:tc>
        <w:tc>
          <w:tcPr>
            <w:tcW w:w="484"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64"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2143</w:t>
            </w:r>
            <w:r>
              <w:rPr>
                <w:rFonts w:hint="eastAsia" w:ascii="宋体" w:hAnsi="宋体" w:cs="宋体"/>
                <w:highlight w:val="none"/>
              </w:rPr>
            </w:r>
            <w:r/>
          </w:p>
        </w:tc>
        <w:tc>
          <w:tcPr>
            <w:tcW w:w="426"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8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485"/>
        </w:trPr>
        <w:tc>
          <w:tcPr>
            <w:tcW w:w="35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3</w:t>
            </w:r>
            <w:r>
              <w:rPr>
                <w:rFonts w:hint="eastAsia" w:ascii="宋体" w:hAnsi="宋体" w:cs="宋体"/>
                <w:szCs w:val="21"/>
                <w:highlight w:val="none"/>
              </w:rPr>
            </w:r>
            <w:r/>
          </w:p>
        </w:tc>
        <w:tc>
          <w:tcPr>
            <w:tcW w:w="762"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冲锋衣防寒服 （冬季劳保服）</w:t>
            </w:r>
            <w:r>
              <w:rPr>
                <w:rFonts w:hint="eastAsia" w:ascii="宋体" w:hAnsi="宋体" w:cs="宋体"/>
                <w:spacing w:val="8"/>
                <w:szCs w:val="21"/>
                <w:highlight w:val="none"/>
              </w:rPr>
            </w:r>
            <w:r/>
          </w:p>
          <w:p>
            <w:pPr>
              <w:pStyle w:val="919"/>
              <w:jc w:val="center"/>
              <w:widowControl/>
              <w:rPr>
                <w:rFonts w:hint="eastAsia" w:ascii="宋体" w:hAnsi="宋体" w:cs="宋体"/>
                <w:spacing w:val="8"/>
                <w:szCs w:val="21"/>
                <w:highlight w:val="none"/>
              </w:rPr>
            </w:pPr>
            <w:r>
              <w:rPr>
                <w:rFonts w:hint="eastAsia" w:ascii="宋体" w:hAnsi="宋体" w:cs="宋体"/>
                <w:b/>
                <w:bCs/>
                <w:spacing w:val="8"/>
                <w:szCs w:val="21"/>
                <w:highlight w:val="none"/>
              </w:rPr>
              <w:t xml:space="preserve">（核心产品）</w:t>
            </w:r>
            <w:r>
              <w:rPr>
                <w:rFonts w:hint="eastAsia" w:ascii="宋体" w:hAnsi="宋体" w:cs="宋体"/>
                <w:spacing w:val="8"/>
                <w:szCs w:val="21"/>
                <w:highlight w:val="none"/>
              </w:rPr>
            </w:r>
            <w:r/>
          </w:p>
        </w:tc>
        <w:tc>
          <w:tcPr>
            <w:tcW w:w="520" w:type="dxa"/>
            <w:vAlign w:val="center"/>
            <w:textDirection w:val="lrTb"/>
            <w:noWrap w:val="false"/>
          </w:tcPr>
          <w:p>
            <w:pPr>
              <w:pStyle w:val="919"/>
              <w:jc w:val="center"/>
              <w:spacing w:line="360" w:lineRule="auto"/>
              <w:widowControl/>
              <w:rPr>
                <w:rFonts w:hint="eastAsia" w:ascii="宋体" w:hAnsi="宋体" w:cs="宋体"/>
                <w:szCs w:val="28"/>
                <w:highlight w:val="none"/>
              </w:rPr>
            </w:pPr>
            <w:r>
              <w:rPr>
                <w:rFonts w:hint="eastAsia" w:ascii="宋体" w:hAnsi="宋体" w:cs="宋体"/>
                <w:szCs w:val="28"/>
                <w:highlight w:val="none"/>
              </w:rPr>
            </w:r>
            <w:r/>
          </w:p>
        </w:tc>
        <w:tc>
          <w:tcPr>
            <w:tcW w:w="424" w:type="dxa"/>
            <w:vAlign w:val="center"/>
            <w:textDirection w:val="lrTb"/>
            <w:noWrap w:val="false"/>
          </w:tcPr>
          <w:p>
            <w:pPr>
              <w:pStyle w:val="919"/>
              <w:jc w:val="center"/>
              <w:spacing w:line="360" w:lineRule="auto"/>
              <w:widowControl/>
              <w:rPr>
                <w:rFonts w:hint="eastAsia" w:ascii="宋体" w:hAnsi="宋体" w:cs="宋体"/>
                <w:szCs w:val="28"/>
                <w:highlight w:val="none"/>
              </w:rPr>
            </w:pPr>
            <w:r>
              <w:rPr>
                <w:rFonts w:hint="eastAsia" w:ascii="宋体" w:hAnsi="宋体" w:cs="宋体"/>
                <w:szCs w:val="28"/>
                <w:highlight w:val="none"/>
              </w:rPr>
            </w:r>
            <w:r/>
          </w:p>
        </w:tc>
        <w:tc>
          <w:tcPr>
            <w:tcW w:w="393"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套</w:t>
            </w:r>
            <w:r>
              <w:rPr>
                <w:rFonts w:hint="eastAsia" w:ascii="宋体" w:hAnsi="宋体" w:cs="宋体"/>
                <w:highlight w:val="none"/>
              </w:rPr>
            </w:r>
            <w:r/>
          </w:p>
        </w:tc>
        <w:tc>
          <w:tcPr>
            <w:tcW w:w="450"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380</w:t>
            </w:r>
            <w:r>
              <w:rPr>
                <w:rFonts w:hint="eastAsia" w:ascii="宋体" w:hAnsi="宋体" w:cs="宋体"/>
                <w:highlight w:val="none"/>
              </w:rPr>
            </w:r>
            <w:r/>
          </w:p>
        </w:tc>
        <w:tc>
          <w:tcPr>
            <w:tcW w:w="484"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64"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1788</w:t>
            </w:r>
            <w:r>
              <w:rPr>
                <w:rFonts w:hint="eastAsia" w:ascii="宋体" w:hAnsi="宋体" w:cs="宋体"/>
                <w:highlight w:val="none"/>
              </w:rPr>
            </w:r>
            <w:r/>
          </w:p>
        </w:tc>
        <w:tc>
          <w:tcPr>
            <w:tcW w:w="426"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8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543"/>
        </w:trPr>
        <w:tc>
          <w:tcPr>
            <w:tcW w:w="35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lang w:bidi="ar"/>
              </w:rPr>
              <w:t xml:space="preserve">4</w:t>
            </w:r>
            <w:r>
              <w:rPr>
                <w:rFonts w:hint="eastAsia" w:ascii="宋体" w:hAnsi="宋体" w:cs="宋体"/>
                <w:szCs w:val="21"/>
                <w:highlight w:val="none"/>
              </w:rPr>
            </w:r>
            <w:r/>
          </w:p>
        </w:tc>
        <w:tc>
          <w:tcPr>
            <w:tcW w:w="762" w:type="dxa"/>
            <w:vAlign w:val="center"/>
            <w:textDirection w:val="lrTb"/>
            <w:noWrap w:val="false"/>
          </w:tcPr>
          <w:p>
            <w:pPr>
              <w:pStyle w:val="919"/>
              <w:jc w:val="center"/>
              <w:widowControl/>
              <w:rPr>
                <w:rFonts w:hint="eastAsia" w:ascii="宋体" w:hAnsi="宋体" w:cs="宋体"/>
                <w:spacing w:val="8"/>
                <w:szCs w:val="21"/>
                <w:highlight w:val="none"/>
              </w:rPr>
            </w:pPr>
            <w:r>
              <w:rPr>
                <w:rFonts w:hint="eastAsia" w:ascii="宋体" w:hAnsi="宋体" w:cs="宋体"/>
                <w:spacing w:val="8"/>
                <w:szCs w:val="21"/>
                <w:highlight w:val="none"/>
              </w:rPr>
              <w:t xml:space="preserve">连帽连体劳保服（春秋季连体劳保服）</w:t>
            </w:r>
            <w:r>
              <w:rPr>
                <w:rFonts w:hint="eastAsia" w:ascii="宋体" w:hAnsi="宋体" w:cs="宋体"/>
                <w:spacing w:val="8"/>
                <w:szCs w:val="21"/>
                <w:highlight w:val="none"/>
              </w:rPr>
            </w:r>
            <w:r/>
          </w:p>
        </w:tc>
        <w:tc>
          <w:tcPr>
            <w:tcW w:w="520"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424"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393"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套</w:t>
            </w:r>
            <w:r>
              <w:rPr>
                <w:rFonts w:hint="eastAsia" w:ascii="宋体" w:hAnsi="宋体" w:cs="宋体"/>
                <w:highlight w:val="none"/>
              </w:rPr>
            </w:r>
            <w:r/>
          </w:p>
        </w:tc>
        <w:tc>
          <w:tcPr>
            <w:tcW w:w="450"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spacing w:val="8"/>
                <w:szCs w:val="21"/>
                <w:highlight w:val="none"/>
              </w:rPr>
              <w:t xml:space="preserve">280</w:t>
            </w:r>
            <w:r>
              <w:rPr>
                <w:rFonts w:hint="eastAsia" w:ascii="宋体" w:hAnsi="宋体" w:cs="宋体"/>
                <w:highlight w:val="none"/>
              </w:rPr>
            </w:r>
            <w:r/>
          </w:p>
        </w:tc>
        <w:tc>
          <w:tcPr>
            <w:tcW w:w="484"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W w:w="364"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t xml:space="preserve">380</w:t>
            </w:r>
            <w:r>
              <w:rPr>
                <w:rFonts w:hint="eastAsia" w:ascii="宋体" w:hAnsi="宋体" w:cs="宋体"/>
                <w:highlight w:val="none"/>
              </w:rPr>
            </w:r>
            <w:r/>
          </w:p>
        </w:tc>
        <w:tc>
          <w:tcPr>
            <w:tcW w:w="426" w:type="dxa"/>
            <w:vAlign w:val="center"/>
            <w:textDirection w:val="lrTb"/>
            <w:noWrap w:val="false"/>
          </w:tcPr>
          <w:p>
            <w:pPr>
              <w:pStyle w:val="919"/>
              <w:jc w:val="center"/>
              <w:spacing w:line="360" w:lineRule="auto"/>
              <w:widowControl/>
              <w:rPr>
                <w:rFonts w:hint="eastAsia" w:ascii="宋体" w:hAnsi="宋体" w:cs="宋体"/>
                <w:highlight w:val="none"/>
              </w:rPr>
            </w:pPr>
            <w:r>
              <w:rPr>
                <w:rFonts w:hint="eastAsia" w:ascii="宋体" w:hAnsi="宋体" w:cs="宋体"/>
                <w:highlight w:val="none"/>
              </w:rPr>
            </w:r>
            <w:r/>
          </w:p>
        </w:tc>
        <w:tc>
          <w:tcPr>
            <w:tcW w:w="8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603"/>
        </w:trPr>
        <w:tc>
          <w:tcPr>
            <w:tcW w:w="358" w:type="dxa"/>
            <w:vAlign w:val="center"/>
            <w:textDirection w:val="lrTb"/>
            <w:noWrap w:val="false"/>
          </w:tcPr>
          <w:p>
            <w:pPr>
              <w:pStyle w:val="919"/>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r>
            <w:r/>
          </w:p>
        </w:tc>
        <w:tc>
          <w:tcPr>
            <w:gridSpan w:val="6"/>
            <w:tcW w:w="6119" w:type="dxa"/>
            <w:vAlign w:val="center"/>
            <w:textDirection w:val="lrTb"/>
            <w:noWrap w:val="false"/>
          </w:tcPr>
          <w:p>
            <w:pPr>
              <w:pStyle w:val="919"/>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合计（小数点保留两位）</w:t>
            </w:r>
            <w:r>
              <w:rPr>
                <w:rFonts w:hint="eastAsia" w:ascii="宋体" w:hAnsi="宋体" w:cs="宋体"/>
                <w:szCs w:val="21"/>
                <w:highlight w:val="none"/>
                <w:lang w:bidi="ar"/>
              </w:rPr>
            </w:r>
            <w:r/>
          </w:p>
        </w:tc>
        <w:tc>
          <w:tcPr>
            <w:gridSpan w:val="3"/>
            <w:tcW w:w="3228" w:type="dxa"/>
            <w:vAlign w:val="center"/>
            <w:textDirection w:val="lrTb"/>
            <w:noWrap w:val="false"/>
          </w:tcPr>
          <w:p>
            <w:pPr>
              <w:pStyle w:val="919"/>
              <w:jc w:val="center"/>
              <w:spacing w:line="360" w:lineRule="auto"/>
              <w:widowControl/>
              <w:rPr>
                <w:rFonts w:hint="eastAsia" w:ascii="宋体" w:hAnsi="宋体" w:cs="宋体"/>
                <w:szCs w:val="21"/>
                <w:highlight w:val="none"/>
                <w:lang w:bidi="ar"/>
              </w:rPr>
            </w:pPr>
            <w:r>
              <w:rPr>
                <w:rFonts w:hint="eastAsia" w:ascii="宋体" w:hAnsi="宋体" w:cs="宋体"/>
                <w:szCs w:val="21"/>
                <w:highlight w:val="none"/>
                <w:lang w:bidi="ar"/>
              </w:rPr>
              <w:t xml:space="preserve">元</w:t>
            </w:r>
            <w:r>
              <w:rPr>
                <w:rFonts w:hint="eastAsia" w:ascii="宋体" w:hAnsi="宋体" w:cs="宋体"/>
                <w:szCs w:val="21"/>
                <w:highlight w:val="none"/>
                <w:lang w:bidi="ar"/>
              </w:rPr>
            </w:r>
            <w:r/>
          </w:p>
        </w:tc>
      </w:tr>
    </w:tbl>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1、如果行数不够，请自行增加。</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2、未注明小微企业的，不享受价格扣除。</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3、以上品种投标报价保留到小数点后2位。</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投标人（盖公章/加盖CA电子公章）：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法定代表人或授权代表（签字或盖章）：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19"/>
        <w:jc w:val="left"/>
        <w:spacing w:line="360" w:lineRule="auto"/>
        <w:tabs>
          <w:tab w:val="left" w:pos="216" w:leader="none"/>
        </w:tabs>
        <w:rPr>
          <w:rFonts w:hint="eastAsia" w:ascii="宋体" w:hAnsi="宋体" w:cs="宋体"/>
          <w:highlight w:val="none"/>
        </w:rPr>
        <w:sectPr>
          <w:footnotePr/>
          <w:endnotePr/>
          <w:type w:val="nextPage"/>
          <w:pgSz w:w="11906" w:h="16838" w:orient="portrait"/>
          <w:pgMar w:top="1440" w:right="1800" w:bottom="1440" w:left="1600" w:header="851" w:footer="992" w:gutter="0"/>
          <w:cols w:num="1" w:sep="0" w:space="1701" w:equalWidth="1"/>
          <w:docGrid w:linePitch="360"/>
          <w:titlePg/>
        </w:sectPr>
      </w:pPr>
      <w:r>
        <w:rPr>
          <w:rFonts w:hint="eastAsia" w:ascii="宋体" w:hAnsi="宋体" w:cs="宋体"/>
          <w:highlight w:val="none"/>
        </w:rPr>
      </w:r>
      <w:r/>
    </w:p>
    <w:p>
      <w:pPr>
        <w:pStyle w:val="919"/>
        <w:ind w:firstLine="440"/>
        <w:jc w:val="left"/>
        <w:spacing w:line="360" w:lineRule="auto"/>
        <w:rPr>
          <w:rFonts w:hint="eastAsia" w:ascii="宋体" w:hAnsi="宋体" w:cs="宋体"/>
          <w:sz w:val="22"/>
          <w:szCs w:val="22"/>
          <w:highlight w:val="none"/>
        </w:rPr>
        <w:sectPr>
          <w:footnotePr/>
          <w:endnotePr/>
          <w:type w:val="continuous"/>
          <w:pgSz w:w="11906" w:h="16838" w:orient="portrait"/>
          <w:pgMar w:top="1440" w:right="1080" w:bottom="1440" w:left="1080" w:header="851" w:footer="680" w:gutter="0"/>
          <w:cols w:num="1" w:sep="0" w:space="1701" w:equalWidth="1"/>
          <w:docGrid w:linePitch="360"/>
        </w:sectPr>
      </w:pPr>
      <w:r>
        <w:rPr>
          <w:rFonts w:hint="eastAsia" w:ascii="宋体" w:hAnsi="宋体" w:cs="宋体"/>
          <w:sz w:val="22"/>
          <w:szCs w:val="22"/>
          <w:highlight w:val="none"/>
        </w:rPr>
        <w:t xml:space="preserve">日期：  年  月  日</w:t>
      </w:r>
      <w:r>
        <w:rPr>
          <w:rFonts w:hint="eastAsia" w:ascii="宋体" w:hAnsi="宋体" w:cs="宋体"/>
          <w:sz w:val="22"/>
          <w:szCs w:val="22"/>
          <w:highlight w:val="none"/>
        </w:rPr>
        <w:br w:type="page" w:clear="all"/>
      </w:r>
      <w:r/>
    </w:p>
    <w:p>
      <w:pPr>
        <w:pStyle w:val="919"/>
        <w:jc w:val="left"/>
        <w:spacing w:line="360" w:lineRule="auto"/>
        <w:widowControl/>
        <w:rPr>
          <w:rFonts w:hint="eastAsia" w:ascii="宋体" w:hAnsi="宋体" w:cs="宋体"/>
          <w:b/>
          <w:bCs/>
          <w:sz w:val="28"/>
          <w:szCs w:val="28"/>
          <w:highlight w:val="none"/>
        </w:rPr>
        <w:sectPr>
          <w:footnotePr/>
          <w:endnotePr/>
          <w:type w:val="continuous"/>
          <w:pgSz w:w="11906" w:h="16838" w:orient="portrait"/>
          <w:pgMar w:top="1440" w:right="1080" w:bottom="1440" w:left="1080" w:header="851" w:footer="680" w:gutter="0"/>
          <w:cols w:num="1" w:sep="0" w:space="1701" w:equalWidth="1"/>
          <w:docGrid w:linePitch="360"/>
        </w:sectPr>
      </w:pPr>
      <w:r>
        <w:rPr>
          <w:rFonts w:hint="eastAsia" w:ascii="宋体" w:hAnsi="宋体" w:cs="宋体"/>
          <w:b/>
          <w:bCs/>
          <w:sz w:val="28"/>
          <w:szCs w:val="28"/>
          <w:highlight w:val="none"/>
        </w:rPr>
        <w:br w:type="page" w:clear="all"/>
      </w:r>
      <w:r/>
    </w:p>
    <w:p>
      <w:pPr>
        <w:pStyle w:val="919"/>
        <w:jc w:val="left"/>
        <w:spacing w:line="360" w:lineRule="auto"/>
        <w:widowControl/>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4、</w:t>
      </w:r>
      <w:r>
        <w:rPr>
          <w:rFonts w:hint="eastAsia" w:ascii="宋体" w:hAnsi="宋体" w:cs="宋体"/>
          <w:b/>
          <w:bCs/>
          <w:sz w:val="28"/>
          <w:szCs w:val="28"/>
          <w:highlight w:val="none"/>
          <w:lang w:val="zh-CN"/>
        </w:rPr>
        <w:t xml:space="preserve">资格审查</w:t>
      </w:r>
      <w:r>
        <w:rPr>
          <w:rFonts w:hint="eastAsia" w:ascii="宋体" w:hAnsi="宋体" w:cs="宋体"/>
          <w:b/>
          <w:bCs/>
          <w:sz w:val="28"/>
          <w:szCs w:val="28"/>
          <w:highlight w:val="none"/>
          <w:lang w:val="zh-CN"/>
        </w:rPr>
      </w:r>
      <w:r/>
    </w:p>
    <w:p>
      <w:pPr>
        <w:pStyle w:val="919"/>
        <w:ind w:firstLine="480"/>
        <w:jc w:val="left"/>
        <w:spacing w:line="360" w:lineRule="auto"/>
        <w:rPr>
          <w:rFonts w:hint="eastAsia" w:ascii="宋体" w:hAnsi="宋体" w:cs="宋体"/>
          <w:sz w:val="24"/>
          <w:highlight w:val="none"/>
        </w:rPr>
      </w:pPr>
      <w:r>
        <w:rPr>
          <w:rFonts w:hint="eastAsia" w:ascii="宋体" w:hAnsi="宋体" w:cs="宋体"/>
          <w:bCs/>
          <w:sz w:val="24"/>
          <w:highlight w:val="none"/>
        </w:rPr>
        <w:t xml:space="preserve">供应商根据第一章招标公告中第二项“申请人的资格要求”，逐一提供相应资质文件，并加盖公章；根据文件内容提供</w:t>
      </w:r>
      <w:r>
        <w:rPr>
          <w:rFonts w:hint="eastAsia" w:ascii="宋体" w:hAnsi="宋体" w:cs="宋体"/>
          <w:sz w:val="24"/>
          <w:highlight w:val="none"/>
        </w:rPr>
        <w:t xml:space="preserve">相关承诺，格式自拟，并</w:t>
      </w:r>
      <w:r>
        <w:rPr>
          <w:rFonts w:hint="eastAsia" w:ascii="宋体" w:hAnsi="宋体" w:cs="宋体"/>
          <w:bCs/>
          <w:sz w:val="24"/>
          <w:highlight w:val="none"/>
        </w:rPr>
        <w:t xml:space="preserve">加盖公章</w:t>
      </w:r>
      <w:r>
        <w:rPr>
          <w:rFonts w:hint="eastAsia" w:ascii="宋体" w:hAnsi="宋体" w:cs="宋体"/>
          <w:sz w:val="24"/>
          <w:highlight w:val="none"/>
        </w:rPr>
        <w:t xml:space="preserve">。</w:t>
      </w:r>
      <w:r>
        <w:rPr>
          <w:rFonts w:hint="eastAsia" w:ascii="宋体" w:hAnsi="宋体" w:cs="宋体"/>
          <w:sz w:val="24"/>
          <w:highlight w:val="none"/>
        </w:rPr>
      </w:r>
      <w:r/>
    </w:p>
    <w:p>
      <w:pPr>
        <w:pStyle w:val="919"/>
        <w:jc w:val="center"/>
        <w:spacing w:line="360" w:lineRule="auto"/>
        <w:rPr>
          <w:rFonts w:hint="eastAsia" w:ascii="宋体" w:hAnsi="宋体" w:cs="宋体"/>
          <w:b/>
          <w:sz w:val="24"/>
          <w:highlight w:val="none"/>
        </w:rPr>
      </w:pPr>
      <w:r>
        <w:rPr>
          <w:rFonts w:hint="eastAsia" w:ascii="宋体" w:hAnsi="宋体" w:cs="宋体"/>
          <w:b/>
          <w:sz w:val="24"/>
          <w:highlight w:val="none"/>
        </w:rPr>
      </w:r>
      <w:r/>
    </w:p>
    <w:p>
      <w:pPr>
        <w:pStyle w:val="919"/>
        <w:jc w:val="center"/>
        <w:spacing w:line="360" w:lineRule="auto"/>
        <w:rPr>
          <w:rFonts w:hint="eastAsia" w:ascii="宋体" w:hAnsi="宋体" w:cs="宋体"/>
          <w:b/>
          <w:sz w:val="24"/>
          <w:highlight w:val="none"/>
        </w:rPr>
      </w:pPr>
      <w:r>
        <w:rPr>
          <w:rFonts w:hint="eastAsia" w:ascii="宋体" w:hAnsi="宋体" w:cs="宋体"/>
          <w:b/>
          <w:sz w:val="24"/>
          <w:highlight w:val="none"/>
        </w:rPr>
        <w:t xml:space="preserve">（1）资格审查承诺函（格式）</w:t>
      </w:r>
      <w:r>
        <w:rPr>
          <w:rFonts w:hint="eastAsia" w:ascii="宋体" w:hAnsi="宋体" w:cs="宋体"/>
          <w:b/>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致：江苏省特种设备安全监督检验研究院、江苏海外集团国际工程咨询有限公司</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为确保</w:t>
      </w:r>
      <w:r>
        <w:rPr>
          <w:rFonts w:hint="eastAsia" w:ascii="宋体" w:hAnsi="宋体" w:cs="宋体"/>
          <w:sz w:val="24"/>
          <w:highlight w:val="none"/>
          <w:u w:val="single"/>
        </w:rPr>
        <w:t xml:space="preserve">（项目名称）（项目编号）</w:t>
      </w:r>
      <w:r>
        <w:rPr>
          <w:rFonts w:hint="eastAsia" w:ascii="宋体" w:hAnsi="宋体" w:cs="宋体"/>
          <w:sz w:val="24"/>
          <w:highlight w:val="none"/>
        </w:rPr>
        <w:t xml:space="preserve">招标工作顺利进行，我公司在此承诺：</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1、我公司未处于被责令停业、投标资格被取消或者财产被接管，冻结和破产状态。</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2、我公司的资格审查资料中的重要内容没有失实或弄虚作假。</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3、我公司符合法律、法规规定的其他条件。</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4、我公司无下列行为：</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（1）有违反法律、法规行为，依法被取消投标资格且期限未满的；</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（2）因招标活动中有违法违规和不良行为，被有关行政监督部门公示且公示期限未满的。</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5.在参加本次政府采购活动中不存在与参加本项目的其他供应商单位负责人为同一人或者存在直接控股、管理关系情形。</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6.我公司中标后，不对本项目转包、分包。</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7.我公司未为采购项目提供整体设计、规范编制或者项目管理、监理、检测等服务。</w:t>
      </w:r>
      <w:r>
        <w:rPr>
          <w:rFonts w:hint="eastAsia" w:ascii="宋体" w:hAnsi="宋体" w:cs="宋体"/>
          <w:sz w:val="24"/>
          <w:highlight w:val="none"/>
        </w:rPr>
      </w:r>
      <w:r/>
    </w:p>
    <w:p>
      <w:pPr>
        <w:pStyle w:val="919"/>
        <w:ind w:firstLine="420"/>
        <w:spacing w:line="360" w:lineRule="auto"/>
        <w:widowControl/>
        <w:rPr>
          <w:rFonts w:hint="eastAsia" w:ascii="宋体" w:hAnsi="宋体" w:cs="宋体"/>
          <w:sz w:val="24"/>
          <w:highlight w:val="none"/>
        </w:rPr>
      </w:pPr>
      <w:r>
        <w:rPr>
          <w:rFonts w:hint="eastAsia" w:ascii="宋体" w:hAnsi="宋体" w:cs="宋体"/>
          <w:sz w:val="24"/>
          <w:highlight w:val="none"/>
        </w:rPr>
        <w:t xml:space="preserve">8.我公司投标文件中的重要内容没有失实或弄虚作假。</w:t>
      </w:r>
      <w:r>
        <w:rPr>
          <w:rFonts w:hint="eastAsia" w:ascii="宋体" w:hAnsi="宋体" w:cs="宋体"/>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本公司对上述承诺的真实性负责。如有虚假，将依法承担相应责任。</w:t>
      </w:r>
      <w:r>
        <w:rPr>
          <w:rFonts w:hint="eastAsia" w:ascii="宋体" w:hAnsi="宋体" w:cs="宋体"/>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特此承诺！</w:t>
      </w:r>
      <w:r>
        <w:rPr>
          <w:rFonts w:hint="eastAsia" w:ascii="宋体" w:hAnsi="宋体" w:cs="宋体"/>
          <w:sz w:val="24"/>
          <w:highlight w:val="none"/>
        </w:rPr>
      </w:r>
      <w:r/>
    </w:p>
    <w:p>
      <w:pPr>
        <w:pStyle w:val="919"/>
        <w:ind w:firstLine="480"/>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919"/>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sz w:val="24"/>
          <w:highlight w:val="none"/>
          <w:u w:val="single"/>
        </w:rPr>
        <w:t xml:space="preserve">                </w:t>
      </w:r>
      <w:r>
        <w:rPr>
          <w:rFonts w:hint="eastAsia" w:ascii="宋体" w:hAnsi="宋体" w:cs="宋体"/>
          <w:sz w:val="24"/>
          <w:highlight w:val="none"/>
        </w:rPr>
        <w:t xml:space="preserve">（盖公章/加盖CA电子公章）</w:t>
      </w:r>
      <w:r>
        <w:rPr>
          <w:rFonts w:hint="eastAsia" w:ascii="宋体" w:hAnsi="宋体" w:cs="宋体"/>
          <w:sz w:val="24"/>
          <w:highlight w:val="none"/>
        </w:rPr>
      </w:r>
      <w:r/>
    </w:p>
    <w:p>
      <w:pPr>
        <w:pStyle w:val="919"/>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法定代表人或授权代表（签字或签章）：</w:t>
      </w:r>
      <w:r>
        <w:rPr>
          <w:rFonts w:hint="eastAsia" w:ascii="宋体" w:hAnsi="宋体" w:cs="宋体"/>
          <w:sz w:val="24"/>
          <w:highlight w:val="none"/>
        </w:rPr>
      </w:r>
      <w:r/>
    </w:p>
    <w:p>
      <w:pPr>
        <w:pStyle w:val="919"/>
        <w:ind w:firstLine="470"/>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19"/>
        <w:jc w:val="center"/>
        <w:spacing w:line="360" w:lineRule="auto"/>
        <w:widowControl/>
        <w:rPr>
          <w:rFonts w:hint="eastAsia" w:ascii="宋体" w:hAnsi="宋体" w:cs="宋体"/>
          <w:b/>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b/>
          <w:sz w:val="24"/>
          <w:highlight w:val="none"/>
        </w:rPr>
      </w:r>
      <w:r/>
    </w:p>
    <w:p>
      <w:pPr>
        <w:pStyle w:val="919"/>
        <w:jc w:val="center"/>
        <w:spacing w:line="360" w:lineRule="auto"/>
        <w:widowControl/>
        <w:rPr>
          <w:rFonts w:hint="eastAsia" w:ascii="宋体" w:hAnsi="宋体" w:cs="宋体"/>
          <w:b/>
          <w:sz w:val="28"/>
          <w:szCs w:val="28"/>
          <w:highlight w:val="none"/>
        </w:rPr>
      </w:pPr>
      <w:r>
        <w:rPr>
          <w:rFonts w:hint="eastAsia" w:ascii="宋体" w:hAnsi="宋体" w:cs="宋体"/>
          <w:b/>
          <w:sz w:val="24"/>
          <w:highlight w:val="none"/>
        </w:rPr>
        <w:t xml:space="preserve">（2）无重大违法记录声明函（格式）</w:t>
      </w:r>
      <w:r>
        <w:rPr>
          <w:rFonts w:hint="eastAsia" w:ascii="宋体" w:hAnsi="宋体" w:cs="宋体"/>
          <w:b/>
          <w:sz w:val="28"/>
          <w:szCs w:val="28"/>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致：江苏省特种设备安全监督检验研究院、江苏海外集团国际工程咨询有限公司</w:t>
      </w:r>
      <w:r>
        <w:rPr>
          <w:rFonts w:hint="eastAsia" w:ascii="宋体" w:hAnsi="宋体" w:cs="宋体"/>
          <w:sz w:val="24"/>
          <w:highlight w:val="none"/>
        </w:rPr>
      </w:r>
      <w:r/>
    </w:p>
    <w:p>
      <w:pPr>
        <w:pStyle w:val="919"/>
        <w:spacing w:line="360" w:lineRule="auto"/>
        <w:rPr>
          <w:rFonts w:hint="eastAsia" w:ascii="宋体" w:hAnsi="宋体" w:cs="宋体"/>
          <w:sz w:val="24"/>
          <w:highlight w:val="none"/>
        </w:rPr>
      </w:pPr>
      <w:r>
        <w:rPr>
          <w:rFonts w:hint="eastAsia" w:ascii="宋体" w:hAnsi="宋体" w:cs="宋体"/>
          <w:sz w:val="24"/>
          <w:highlight w:val="none"/>
        </w:rPr>
      </w:r>
      <w:r/>
    </w:p>
    <w:p>
      <w:pPr>
        <w:pStyle w:val="919"/>
        <w:ind w:firstLine="456"/>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我单位（供应商名称）郑重声明：</w:t>
      </w:r>
      <w:r>
        <w:rPr>
          <w:rFonts w:hint="eastAsia" w:ascii="宋体" w:hAnsi="宋体" w:cs="宋体"/>
          <w:sz w:val="24"/>
          <w:szCs w:val="32"/>
          <w:highlight w:val="none"/>
        </w:rPr>
      </w:r>
      <w:r/>
    </w:p>
    <w:p>
      <w:pPr>
        <w:pStyle w:val="919"/>
        <w:ind w:firstLine="456"/>
        <w:spacing w:line="360" w:lineRule="auto"/>
        <w:widowControl/>
        <w:rPr>
          <w:rFonts w:hint="eastAsia" w:ascii="宋体" w:hAnsi="宋体" w:cs="宋体"/>
          <w:b/>
          <w:sz w:val="24"/>
          <w:highlight w:val="none"/>
        </w:rPr>
      </w:pPr>
      <w:r>
        <w:rPr>
          <w:rFonts w:hint="eastAsia" w:ascii="宋体" w:hAnsi="宋体" w:cs="宋体"/>
          <w:sz w:val="24"/>
          <w:highlight w:val="none"/>
        </w:rPr>
        <w:t xml:space="preserve">我单位</w:t>
      </w:r>
      <w:r>
        <w:rPr>
          <w:rFonts w:hint="eastAsia" w:ascii="宋体" w:hAnsi="宋体" w:cs="宋体"/>
          <w:sz w:val="24"/>
          <w:szCs w:val="32"/>
          <w:highlight w:val="none"/>
        </w:rPr>
        <w:t xml:space="preserve">参加政府采购活动前3年内在经营活动中（</w:t>
      </w:r>
      <w:r>
        <w:rPr>
          <w:rFonts w:hint="eastAsia" w:ascii="宋体" w:hAnsi="宋体" w:cs="宋体"/>
          <w:b/>
          <w:i/>
          <w:sz w:val="24"/>
          <w:szCs w:val="32"/>
          <w:highlight w:val="none"/>
          <w:u w:val="single"/>
        </w:rPr>
        <w:t xml:space="preserve">在下划线上如实填写：有或没有</w:t>
      </w:r>
      <w:r>
        <w:rPr>
          <w:rFonts w:hint="eastAsia" w:ascii="宋体" w:hAnsi="宋体" w:cs="宋体"/>
          <w:sz w:val="24"/>
          <w:szCs w:val="32"/>
          <w:highlight w:val="none"/>
        </w:rPr>
        <w:t xml:space="preserve">）</w:t>
      </w:r>
      <w:r>
        <w:rPr>
          <w:rFonts w:hint="eastAsia" w:ascii="宋体" w:hAnsi="宋体" w:cs="宋体"/>
          <w:b/>
          <w:sz w:val="24"/>
          <w:szCs w:val="32"/>
          <w:highlight w:val="none"/>
        </w:rPr>
        <w:t xml:space="preserve">重大违法记录</w:t>
      </w:r>
      <w:r>
        <w:rPr>
          <w:rFonts w:hint="eastAsia" w:ascii="宋体" w:hAnsi="宋体" w:cs="宋体"/>
          <w:b/>
          <w:sz w:val="24"/>
          <w:highlight w:val="none"/>
        </w:rPr>
        <w:t xml:space="preserve">，且不是失信被执行人、重大税收违法案件当事人名单、政府采购严重违法失信行为记录名单的供应商。</w:t>
      </w:r>
      <w:r>
        <w:rPr>
          <w:rFonts w:hint="eastAsia" w:ascii="宋体" w:hAnsi="宋体" w:cs="宋体"/>
          <w:b/>
          <w:sz w:val="24"/>
          <w:highlight w:val="none"/>
        </w:rPr>
      </w:r>
      <w:r/>
    </w:p>
    <w:p>
      <w:pPr>
        <w:pStyle w:val="919"/>
        <w:ind w:firstLine="480"/>
        <w:spacing w:line="360" w:lineRule="auto"/>
        <w:rPr>
          <w:rFonts w:hint="eastAsia" w:ascii="宋体" w:hAnsi="宋体" w:cs="宋体"/>
          <w:sz w:val="24"/>
          <w:szCs w:val="32"/>
          <w:highlight w:val="none"/>
        </w:rPr>
      </w:pPr>
      <w:r>
        <w:rPr>
          <w:rFonts w:hint="eastAsia" w:ascii="宋体" w:hAnsi="宋体" w:cs="宋体"/>
          <w:sz w:val="24"/>
          <w:szCs w:val="32"/>
          <w:highlight w:val="none"/>
        </w:rPr>
      </w:r>
      <w:r/>
    </w:p>
    <w:p>
      <w:pPr>
        <w:pStyle w:val="919"/>
        <w:ind w:firstLine="360"/>
        <w:spacing w:line="360" w:lineRule="auto"/>
        <w:rPr>
          <w:rFonts w:hint="eastAsia" w:ascii="宋体" w:hAnsi="宋体" w:cs="宋体"/>
          <w:sz w:val="24"/>
          <w:szCs w:val="32"/>
          <w:highlight w:val="none"/>
        </w:rPr>
      </w:pPr>
      <w:r>
        <w:rPr>
          <w:rFonts w:hint="eastAsia" w:ascii="宋体" w:hAnsi="宋体" w:cs="宋体"/>
          <w:sz w:val="24"/>
          <w:szCs w:val="32"/>
          <w:highlight w:val="none"/>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sz w:val="24"/>
          <w:szCs w:val="32"/>
          <w:highlight w:val="none"/>
        </w:rPr>
      </w:r>
      <w:r/>
    </w:p>
    <w:p>
      <w:pPr>
        <w:pStyle w:val="919"/>
        <w:spacing w:line="360" w:lineRule="auto"/>
        <w:rPr>
          <w:rFonts w:hint="eastAsia" w:ascii="宋体" w:hAnsi="宋体" w:cs="宋体"/>
          <w:sz w:val="22"/>
          <w:szCs w:val="28"/>
          <w:highlight w:val="none"/>
        </w:rPr>
      </w:pPr>
      <w:r>
        <w:rPr>
          <w:rFonts w:hint="eastAsia" w:ascii="宋体" w:hAnsi="宋体" w:cs="宋体"/>
          <w:sz w:val="22"/>
          <w:szCs w:val="28"/>
          <w:highlight w:val="none"/>
        </w:rPr>
      </w:r>
      <w:r/>
    </w:p>
    <w:p>
      <w:pPr>
        <w:pStyle w:val="919"/>
        <w:spacing w:line="360" w:lineRule="auto"/>
        <w:rPr>
          <w:rFonts w:hint="eastAsia" w:ascii="宋体" w:hAnsi="宋体" w:cs="宋体"/>
          <w:sz w:val="22"/>
          <w:szCs w:val="28"/>
          <w:highlight w:val="none"/>
        </w:rPr>
      </w:pPr>
      <w:r>
        <w:rPr>
          <w:rFonts w:hint="eastAsia" w:ascii="宋体" w:hAnsi="宋体" w:cs="宋体"/>
          <w:sz w:val="22"/>
          <w:szCs w:val="28"/>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特此声明！</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sz w:val="24"/>
          <w:highlight w:val="none"/>
          <w:u w:val="single"/>
        </w:rPr>
        <w:t xml:space="preserve">           </w:t>
      </w:r>
      <w:r>
        <w:rPr>
          <w:rFonts w:hint="eastAsia" w:ascii="宋体" w:hAnsi="宋体" w:cs="宋体"/>
          <w:sz w:val="24"/>
          <w:highlight w:val="none"/>
        </w:rPr>
        <w:t xml:space="preserve">（盖公章/加盖CA电子公章）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法定代表人或授权代表（签字或盖章）：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55"/>
        <w:ind w:left="0"/>
        <w:spacing w:line="360" w:lineRule="auto"/>
        <w:rPr>
          <w:rFonts w:hint="eastAsia" w:ascii="宋体" w:hAnsi="宋体" w:cs="宋体"/>
          <w:sz w:val="22"/>
          <w:szCs w:val="28"/>
          <w:highlight w:val="none"/>
        </w:rPr>
      </w:pPr>
      <w:r>
        <w:rPr>
          <w:rFonts w:hint="eastAsia" w:ascii="宋体" w:hAnsi="宋体" w:cs="宋体"/>
          <w:sz w:val="22"/>
          <w:szCs w:val="28"/>
          <w:highlight w:val="none"/>
        </w:rPr>
      </w:r>
      <w:r/>
    </w:p>
    <w:p>
      <w:pPr>
        <w:pStyle w:val="955"/>
        <w:ind w:left="0"/>
        <w:spacing w:line="360" w:lineRule="auto"/>
        <w:rPr>
          <w:rFonts w:hint="eastAsia" w:ascii="宋体" w:hAnsi="宋体" w:cs="宋体"/>
          <w:sz w:val="22"/>
          <w:szCs w:val="28"/>
          <w:highlight w:val="none"/>
        </w:rPr>
      </w:pPr>
      <w:r>
        <w:rPr>
          <w:rFonts w:hint="eastAsia" w:ascii="宋体" w:hAnsi="宋体" w:cs="宋体"/>
          <w:sz w:val="22"/>
          <w:szCs w:val="28"/>
          <w:highlight w:val="none"/>
        </w:rPr>
      </w:r>
      <w:r/>
    </w:p>
    <w:p>
      <w:pPr>
        <w:pStyle w:val="919"/>
        <w:jc w:val="center"/>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919"/>
        <w:jc w:val="center"/>
        <w:spacing w:line="360" w:lineRule="auto"/>
        <w:widowControl/>
        <w:rPr>
          <w:rFonts w:hint="eastAsia" w:ascii="宋体" w:hAnsi="宋体" w:cs="宋体"/>
          <w:b/>
          <w:sz w:val="28"/>
          <w:szCs w:val="28"/>
          <w:highlight w:val="none"/>
        </w:rPr>
      </w:pPr>
      <w:r>
        <w:rPr>
          <w:rFonts w:hint="eastAsia" w:ascii="宋体" w:hAnsi="宋体" w:cs="宋体"/>
          <w:b/>
          <w:sz w:val="24"/>
          <w:highlight w:val="none"/>
        </w:rPr>
        <w:t xml:space="preserve">（3）具备履行合同所必需的设备和专业技术能力的书面声明（格式）</w:t>
      </w:r>
      <w:r>
        <w:rPr>
          <w:rFonts w:hint="eastAsia" w:ascii="宋体" w:hAnsi="宋体" w:cs="宋体"/>
          <w:b/>
          <w:sz w:val="28"/>
          <w:szCs w:val="28"/>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致：江苏省特种设备安全监督检验研究院、江苏海外集团国际工程咨询有限公司</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主要设备有：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360" w:lineRule="auto"/>
        <w:rPr>
          <w:rFonts w:hint="eastAsia" w:ascii="宋体" w:hAnsi="宋体" w:cs="宋体"/>
          <w:b/>
          <w:sz w:val="28"/>
          <w:szCs w:val="28"/>
          <w:highlight w:val="none"/>
        </w:rPr>
      </w:pPr>
      <w:r>
        <w:rPr>
          <w:rFonts w:hint="eastAsia" w:ascii="宋体" w:hAnsi="宋体" w:cs="宋体"/>
          <w:sz w:val="24"/>
          <w:highlight w:val="none"/>
        </w:rPr>
        <w:t xml:space="preserve">主要专业技术能力有：</w:t>
      </w:r>
      <w:r>
        <w:rPr>
          <w:rFonts w:hint="eastAsia" w:ascii="宋体" w:hAnsi="宋体" w:cs="宋体"/>
          <w:sz w:val="24"/>
          <w:highlight w:val="none"/>
          <w:u w:val="single"/>
        </w:rPr>
        <w:t xml:space="preserve">          </w:t>
      </w:r>
      <w:r>
        <w:rPr>
          <w:rFonts w:hint="eastAsia" w:ascii="宋体" w:hAnsi="宋体" w:cs="宋体"/>
          <w:sz w:val="24"/>
          <w:highlight w:val="none"/>
        </w:rPr>
        <w:t xml:space="preserve">。</w:t>
      </w:r>
      <w:r>
        <w:rPr>
          <w:rFonts w:hint="eastAsia" w:ascii="宋体" w:hAnsi="宋体" w:cs="宋体"/>
          <w:b/>
          <w:sz w:val="28"/>
          <w:szCs w:val="28"/>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特此声明！</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sz w:val="24"/>
          <w:highlight w:val="none"/>
          <w:u w:val="single"/>
        </w:rPr>
        <w:t xml:space="preserve">           </w:t>
      </w:r>
      <w:r>
        <w:rPr>
          <w:rFonts w:hint="eastAsia" w:ascii="宋体" w:hAnsi="宋体" w:cs="宋体"/>
          <w:sz w:val="24"/>
          <w:highlight w:val="none"/>
        </w:rPr>
        <w:t xml:space="preserve">（盖公章/加盖CA电子公章）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法定代表人或授权代表（签字或签章）：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19"/>
        <w:jc w:val="center"/>
        <w:spacing w:line="360" w:lineRule="auto"/>
        <w:widowControl/>
        <w:rPr>
          <w:rFonts w:hint="eastAsia" w:ascii="宋体" w:hAnsi="宋体" w:cs="宋体"/>
          <w:b/>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b/>
          <w:sz w:val="24"/>
          <w:highlight w:val="none"/>
        </w:rPr>
      </w:r>
      <w:r/>
    </w:p>
    <w:p>
      <w:pPr>
        <w:pStyle w:val="919"/>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（4）声明函（格式）</w:t>
      </w:r>
      <w:r>
        <w:rPr>
          <w:rFonts w:hint="eastAsia" w:ascii="宋体" w:hAnsi="宋体" w:cs="宋体"/>
          <w:b/>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致：江苏省特种设备安全监督检验研究院、江苏海外集团国际工程咨询有限公司</w:t>
      </w:r>
      <w:r>
        <w:rPr>
          <w:rFonts w:hint="eastAsia" w:ascii="宋体" w:hAnsi="宋体" w:cs="宋体"/>
          <w:sz w:val="24"/>
          <w:highlight w:val="none"/>
        </w:rPr>
      </w:r>
      <w:r/>
    </w:p>
    <w:p>
      <w:pPr>
        <w:pStyle w:val="919"/>
        <w:ind w:firstLine="480"/>
        <w:spacing w:line="360" w:lineRule="auto"/>
        <w:rPr>
          <w:rFonts w:hint="eastAsia" w:ascii="宋体" w:hAnsi="宋体" w:cs="宋体"/>
          <w:highlight w:val="none"/>
        </w:rPr>
      </w:pPr>
      <w:r>
        <w:rPr>
          <w:rFonts w:hint="eastAsia" w:ascii="宋体" w:hAnsi="宋体" w:cs="宋体"/>
          <w:sz w:val="24"/>
          <w:highlight w:val="none"/>
        </w:rPr>
        <w:t xml:space="preserve">我公司郑重声明：在提交投标文件时，未被国家财政部指定的信用记录查询渠道（中国政府采购网www.ccgp.gov.cn、信用中国网站</w:t>
      </w:r>
      <w:r>
        <w:rPr>
          <w:rFonts w:hint="eastAsia" w:ascii="宋体" w:hAnsi="宋体" w:cs="宋体"/>
          <w:sz w:val="24"/>
          <w:highlight w:val="none"/>
        </w:rPr>
        <w:fldChar w:fldCharType="begin"/>
      </w:r>
      <w:r>
        <w:rPr>
          <w:rFonts w:hint="eastAsia" w:ascii="宋体" w:hAnsi="宋体" w:cs="宋体"/>
          <w:sz w:val="24"/>
          <w:highlight w:val="none"/>
        </w:rPr>
        <w:instrText xml:space="preserve"> HYPERLINK "http://www.creditchina.gov.cn" </w:instrText>
      </w:r>
      <w:r>
        <w:rPr>
          <w:rFonts w:hint="eastAsia" w:ascii="宋体" w:hAnsi="宋体" w:cs="宋体"/>
          <w:sz w:val="24"/>
          <w:highlight w:val="none"/>
        </w:rPr>
        <w:fldChar w:fldCharType="separate"/>
      </w:r>
      <w:r>
        <w:rPr>
          <w:rFonts w:hint="eastAsia" w:ascii="宋体" w:hAnsi="宋体" w:cs="宋体"/>
          <w:sz w:val="24"/>
          <w:highlight w:val="none"/>
        </w:rPr>
        <w:t xml:space="preserve">www.creditchina.gov.cn</w:t>
      </w:r>
      <w:r>
        <w:rPr>
          <w:rFonts w:hint="eastAsia" w:ascii="宋体" w:hAnsi="宋体" w:cs="宋体"/>
          <w:sz w:val="24"/>
          <w:highlight w:val="none"/>
        </w:rPr>
        <w:fldChar w:fldCharType="end"/>
      </w:r>
      <w:r>
        <w:rPr>
          <w:rFonts w:hint="eastAsia" w:ascii="宋体" w:hAnsi="宋体" w:cs="宋体"/>
          <w:sz w:val="24"/>
          <w:highlight w:val="none"/>
        </w:rPr>
        <w:t xml:space="preserve">、信用江苏网站credit.jiangsu.gov.cn）列入失信被执行主体、重大税收违法案件当事主体、政府采购严重违法失信行为当事主体等严重失信记录名单。</w:t>
      </w:r>
      <w:r>
        <w:rPr>
          <w:rFonts w:hint="eastAsia" w:ascii="宋体" w:hAnsi="宋体" w:cs="宋体"/>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特此声明！</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sz w:val="24"/>
          <w:highlight w:val="none"/>
          <w:u w:val="single"/>
        </w:rPr>
        <w:t xml:space="preserve">           </w:t>
      </w:r>
      <w:r>
        <w:rPr>
          <w:rFonts w:hint="eastAsia" w:ascii="宋体" w:hAnsi="宋体" w:cs="宋体"/>
          <w:sz w:val="24"/>
          <w:highlight w:val="none"/>
        </w:rPr>
        <w:t xml:space="preserve">（盖公章/加盖CA电子公章）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法定代表人或授权代表（签字或签章）：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55"/>
        <w:ind w:left="0"/>
        <w:spacing w:line="360" w:lineRule="auto"/>
        <w:rPr>
          <w:rFonts w:hint="eastAsia" w:ascii="宋体" w:hAnsi="宋体" w:cs="宋体"/>
          <w:sz w:val="22"/>
          <w:szCs w:val="28"/>
          <w:highlight w:val="none"/>
        </w:rPr>
      </w:pPr>
      <w:r>
        <w:rPr>
          <w:rFonts w:hint="eastAsia" w:ascii="宋体" w:hAnsi="宋体" w:cs="宋体"/>
          <w:sz w:val="22"/>
          <w:szCs w:val="28"/>
          <w:highlight w:val="none"/>
        </w:rPr>
      </w:r>
      <w:r/>
    </w:p>
    <w:p>
      <w:pPr>
        <w:pStyle w:val="955"/>
        <w:ind w:left="0"/>
        <w:spacing w:line="360" w:lineRule="auto"/>
        <w:rPr>
          <w:rFonts w:hint="eastAsia" w:ascii="宋体" w:hAnsi="宋体" w:cs="宋体"/>
          <w:sz w:val="22"/>
          <w:szCs w:val="28"/>
          <w:highlight w:val="none"/>
        </w:rPr>
      </w:pPr>
      <w:r>
        <w:rPr>
          <w:rFonts w:hint="eastAsia" w:ascii="宋体" w:hAnsi="宋体" w:cs="宋体"/>
          <w:sz w:val="22"/>
          <w:szCs w:val="28"/>
          <w:highlight w:val="none"/>
        </w:rPr>
        <w:t xml:space="preserve">“信用中国”网站自查截图：</w:t>
      </w:r>
      <w:r>
        <w:rPr>
          <w:rFonts w:hint="eastAsia" w:ascii="宋体" w:hAnsi="宋体" w:cs="宋体"/>
          <w:sz w:val="22"/>
          <w:szCs w:val="28"/>
          <w:highlight w:val="none"/>
        </w:rPr>
      </w:r>
      <w:r/>
    </w:p>
    <w:p>
      <w:pPr>
        <w:pStyle w:val="919"/>
        <w:spacing w:line="360" w:lineRule="auto"/>
        <w:rPr>
          <w:rFonts w:hint="eastAsia" w:ascii="宋体" w:hAnsi="宋体" w:cs="宋体"/>
          <w:highlight w:val="none"/>
        </w:rPr>
      </w:pPr>
      <w:r>
        <w:rPr>
          <w:rFonts w:hint="eastAsia" w:ascii="宋体" w:hAnsi="宋体" w:cs="宋体"/>
          <w:highlight w:val="none"/>
        </w:rPr>
      </w:r>
      <w:r/>
    </w:p>
    <w:p>
      <w:pPr>
        <w:pStyle w:val="955"/>
        <w:ind w:left="0"/>
        <w:spacing w:line="360" w:lineRule="auto"/>
        <w:rPr>
          <w:rFonts w:hint="eastAsia" w:ascii="宋体" w:hAnsi="宋体" w:cs="宋体"/>
          <w:sz w:val="22"/>
          <w:szCs w:val="28"/>
          <w:highlight w:val="none"/>
        </w:rPr>
      </w:pPr>
      <w:r>
        <w:rPr>
          <w:rFonts w:hint="eastAsia" w:ascii="宋体" w:hAnsi="宋体" w:cs="宋体"/>
          <w:sz w:val="22"/>
          <w:szCs w:val="28"/>
          <w:highlight w:val="none"/>
        </w:rPr>
        <w:t xml:space="preserve">“中国政府采购网”网站自查截图：</w:t>
      </w:r>
      <w:r>
        <w:rPr>
          <w:rFonts w:hint="eastAsia" w:ascii="宋体" w:hAnsi="宋体" w:cs="宋体"/>
          <w:sz w:val="22"/>
          <w:szCs w:val="28"/>
          <w:highlight w:val="none"/>
        </w:rPr>
      </w:r>
      <w:r/>
    </w:p>
    <w:p>
      <w:pPr>
        <w:pStyle w:val="919"/>
        <w:jc w:val="center"/>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919"/>
        <w:jc w:val="center"/>
        <w:spacing w:line="360" w:lineRule="auto"/>
        <w:widowControl/>
        <w:rPr>
          <w:rFonts w:hint="eastAsia" w:ascii="宋体" w:hAnsi="宋体" w:cs="宋体"/>
          <w:b/>
          <w:sz w:val="24"/>
          <w:highlight w:val="none"/>
        </w:rPr>
      </w:pPr>
      <w:r>
        <w:rPr>
          <w:rFonts w:hint="eastAsia" w:ascii="宋体" w:hAnsi="宋体" w:cs="宋体"/>
          <w:b/>
          <w:sz w:val="24"/>
          <w:highlight w:val="none"/>
        </w:rPr>
      </w:r>
      <w:r/>
    </w:p>
    <w:p>
      <w:pPr>
        <w:pStyle w:val="919"/>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（5）“不存在与参加本项目的其他供应商单位负责人为同一人或者存在直接控股、管理关系”的承诺函（格式）</w:t>
      </w:r>
      <w:r>
        <w:rPr>
          <w:rFonts w:hint="eastAsia" w:ascii="宋体" w:hAnsi="宋体" w:cs="宋体"/>
          <w:b/>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致：江苏省特种设备安全监督检验研究院、江苏海外集团国际工程咨询有限公司</w:t>
      </w:r>
      <w:r>
        <w:rPr>
          <w:rFonts w:hint="eastAsia" w:ascii="宋体" w:hAnsi="宋体" w:cs="宋体"/>
          <w:sz w:val="24"/>
          <w:highlight w:val="none"/>
        </w:rPr>
      </w:r>
      <w:r/>
    </w:p>
    <w:p>
      <w:pPr>
        <w:pStyle w:val="919"/>
        <w:ind w:firstLine="480"/>
        <w:spacing w:line="360" w:lineRule="auto"/>
        <w:rPr>
          <w:rFonts w:hint="eastAsia" w:ascii="宋体" w:hAnsi="宋体" w:cs="宋体"/>
          <w:sz w:val="24"/>
          <w:highlight w:val="none"/>
        </w:rPr>
      </w:pPr>
      <w:r>
        <w:rPr>
          <w:rFonts w:hint="eastAsia" w:ascii="宋体" w:hAnsi="宋体" w:cs="宋体"/>
          <w:sz w:val="24"/>
          <w:highlight w:val="none"/>
        </w:rPr>
        <w:t xml:space="preserve">根据贵方</w:t>
      </w:r>
      <w:r>
        <w:rPr>
          <w:rFonts w:hint="eastAsia" w:ascii="宋体" w:hAnsi="宋体" w:cs="宋体"/>
          <w:sz w:val="24"/>
          <w:highlight w:val="none"/>
          <w:u w:val="single"/>
        </w:rPr>
        <w:t xml:space="preserve">（项目名称）（项目编号）</w:t>
      </w:r>
      <w:r>
        <w:rPr>
          <w:rFonts w:hint="eastAsia" w:ascii="宋体" w:hAnsi="宋体" w:cs="宋体"/>
          <w:sz w:val="24"/>
          <w:highlight w:val="none"/>
        </w:rPr>
        <w:t xml:space="preserve">采购公告，我公司郑重承诺：在参加本次政府采购活动中不存在与参加本项目的其他供应商单位负责人为同一人或者存在直接控股、管理关系情形。本公司对上述承诺的真实性负责。如有虚假，将依法承担相应责任。</w:t>
      </w:r>
      <w:r>
        <w:rPr>
          <w:rFonts w:hint="eastAsia" w:ascii="宋体" w:hAnsi="宋体" w:cs="宋体"/>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特此承诺！</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投标人名称：</w:t>
      </w:r>
      <w:r>
        <w:rPr>
          <w:rFonts w:hint="eastAsia" w:ascii="宋体" w:hAnsi="宋体" w:cs="宋体"/>
          <w:sz w:val="24"/>
          <w:highlight w:val="none"/>
          <w:u w:val="single"/>
        </w:rPr>
        <w:t xml:space="preserve">           </w:t>
      </w:r>
      <w:r>
        <w:rPr>
          <w:rFonts w:hint="eastAsia" w:ascii="宋体" w:hAnsi="宋体" w:cs="宋体"/>
          <w:sz w:val="24"/>
          <w:highlight w:val="none"/>
        </w:rPr>
        <w:t xml:space="preserve">（盖公章/加盖CA电子公章）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法定代表人或授权代表（签字或签章）：</w:t>
      </w:r>
      <w:r>
        <w:rPr>
          <w:rFonts w:hint="eastAsia" w:ascii="宋体" w:hAnsi="宋体" w:cs="宋体"/>
          <w:sz w:val="24"/>
          <w:highlight w:val="none"/>
        </w:rPr>
      </w:r>
      <w:r/>
    </w:p>
    <w:p>
      <w:pPr>
        <w:pStyle w:val="919"/>
        <w:ind w:left="420"/>
        <w:spacing w:line="360" w:lineRule="auto"/>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19"/>
        <w:jc w:val="left"/>
        <w:spacing w:line="360" w:lineRule="auto"/>
        <w:widowControl/>
        <w:rPr>
          <w:rFonts w:hint="eastAsia" w:ascii="宋体" w:hAnsi="宋体" w:cs="宋体"/>
          <w:b/>
          <w:bCs/>
          <w:sz w:val="28"/>
          <w:szCs w:val="28"/>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b/>
          <w:bCs/>
          <w:sz w:val="28"/>
          <w:szCs w:val="28"/>
          <w:highlight w:val="none"/>
          <w:lang w:bidi="ar"/>
        </w:rPr>
      </w:r>
      <w:r/>
    </w:p>
    <w:p>
      <w:pPr>
        <w:pStyle w:val="919"/>
        <w:jc w:val="left"/>
        <w:spacing w:line="360" w:lineRule="auto"/>
        <w:widowControl/>
        <w:rPr>
          <w:rFonts w:hint="eastAsia" w:ascii="宋体" w:hAnsi="宋体" w:cs="宋体"/>
          <w:sz w:val="20"/>
          <w:szCs w:val="18"/>
          <w:highlight w:val="none"/>
        </w:rPr>
      </w:pPr>
      <w:r>
        <w:rPr>
          <w:rFonts w:hint="eastAsia" w:ascii="宋体" w:hAnsi="宋体" w:cs="宋体"/>
          <w:b/>
          <w:bCs/>
          <w:sz w:val="24"/>
          <w:highlight w:val="none"/>
          <w:lang w:bidi="ar"/>
        </w:rPr>
        <w:t xml:space="preserve">单位负责人、公司控股关系及公司管理关系释义：</w:t>
      </w:r>
      <w:r>
        <w:rPr>
          <w:rFonts w:hint="eastAsia" w:ascii="宋体" w:hAnsi="宋体" w:cs="宋体"/>
          <w:sz w:val="20"/>
          <w:szCs w:val="18"/>
          <w:highlight w:val="none"/>
        </w:rPr>
      </w:r>
      <w:r/>
    </w:p>
    <w:p>
      <w:pPr>
        <w:pStyle w:val="919"/>
        <w:jc w:val="left"/>
        <w:spacing w:line="360" w:lineRule="auto"/>
        <w:widowControl/>
        <w:rPr>
          <w:rFonts w:hint="eastAsia" w:ascii="宋体" w:hAnsi="宋体" w:cs="宋体"/>
          <w:highlight w:val="none"/>
        </w:rPr>
      </w:pPr>
      <w:r>
        <w:rPr>
          <w:rFonts w:hint="eastAsia" w:ascii="宋体" w:hAnsi="宋体" w:cs="宋体"/>
          <w:b/>
          <w:bCs/>
          <w:sz w:val="24"/>
          <w:highlight w:val="none"/>
          <w:lang w:bidi="ar"/>
        </w:rPr>
        <w:t xml:space="preserve">①单位负责人：</w:t>
      </w:r>
      <w:r>
        <w:rPr>
          <w:rFonts w:hint="eastAsia" w:ascii="宋体" w:hAnsi="宋体" w:cs="宋体"/>
          <w:sz w:val="24"/>
          <w:highlight w:val="none"/>
          <w:lang w:bidi="ar"/>
        </w:rPr>
        <w:t xml:space="preserve">是指 </w:t>
      </w:r>
      <w:r>
        <w:rPr>
          <w:rFonts w:hint="eastAsia" w:ascii="宋体" w:hAnsi="宋体" w:cs="宋体"/>
          <w:b/>
          <w:bCs/>
          <w:sz w:val="12"/>
          <w:szCs w:val="12"/>
          <w:highlight w:val="none"/>
          <w:lang w:bidi="ar"/>
        </w:rPr>
        <w:t xml:space="preserve">A</w:t>
      </w:r>
      <w:r>
        <w:rPr>
          <w:rFonts w:hint="eastAsia" w:ascii="宋体" w:hAnsi="宋体" w:cs="宋体"/>
          <w:b/>
          <w:bCs/>
          <w:sz w:val="24"/>
          <w:highlight w:val="none"/>
          <w:lang w:bidi="ar"/>
        </w:rPr>
        <w:t xml:space="preserve">单位法定代表人</w:t>
      </w:r>
      <w:r>
        <w:rPr>
          <w:rFonts w:hint="eastAsia" w:ascii="宋体" w:hAnsi="宋体" w:cs="宋体"/>
          <w:sz w:val="24"/>
          <w:highlight w:val="none"/>
          <w:lang w:bidi="ar"/>
        </w:rPr>
        <w:t xml:space="preserve">或者 </w:t>
      </w:r>
      <w:r>
        <w:rPr>
          <w:rFonts w:hint="eastAsia" w:ascii="宋体" w:hAnsi="宋体" w:cs="宋体"/>
          <w:b/>
          <w:bCs/>
          <w:sz w:val="12"/>
          <w:szCs w:val="12"/>
          <w:highlight w:val="none"/>
          <w:lang w:bidi="ar"/>
        </w:rPr>
        <w:t xml:space="preserve">B</w:t>
      </w:r>
      <w:r>
        <w:rPr>
          <w:rFonts w:hint="eastAsia" w:ascii="宋体" w:hAnsi="宋体" w:cs="宋体"/>
          <w:b/>
          <w:bCs/>
          <w:sz w:val="24"/>
          <w:highlight w:val="none"/>
          <w:lang w:bidi="ar"/>
        </w:rPr>
        <w:t xml:space="preserve">法律、行政法规规定代表单位行使职 </w:t>
      </w:r>
      <w:r>
        <w:rPr>
          <w:rFonts w:hint="eastAsia" w:ascii="宋体" w:hAnsi="宋体" w:cs="宋体"/>
          <w:highlight w:val="none"/>
        </w:rPr>
      </w:r>
      <w:r/>
    </w:p>
    <w:p>
      <w:pPr>
        <w:pStyle w:val="919"/>
        <w:jc w:val="left"/>
        <w:spacing w:line="360" w:lineRule="auto"/>
        <w:widowControl/>
        <w:rPr>
          <w:rFonts w:hint="eastAsia" w:ascii="宋体" w:hAnsi="宋体" w:cs="宋体"/>
          <w:highlight w:val="none"/>
        </w:rPr>
      </w:pPr>
      <w:r>
        <w:rPr>
          <w:rFonts w:hint="eastAsia" w:ascii="宋体" w:hAnsi="宋体" w:cs="宋体"/>
          <w:b/>
          <w:bCs/>
          <w:sz w:val="24"/>
          <w:highlight w:val="none"/>
          <w:lang w:bidi="ar"/>
        </w:rPr>
        <w:t xml:space="preserve">权的主要负责人。 </w:t>
      </w:r>
      <w:r>
        <w:rPr>
          <w:rFonts w:hint="eastAsia" w:ascii="宋体" w:hAnsi="宋体" w:cs="宋体"/>
          <w:highlight w:val="none"/>
        </w:rPr>
      </w:r>
      <w:r/>
    </w:p>
    <w:p>
      <w:pPr>
        <w:pStyle w:val="919"/>
        <w:jc w:val="left"/>
        <w:spacing w:line="360" w:lineRule="auto"/>
        <w:widowControl/>
        <w:rPr>
          <w:rFonts w:hint="eastAsia" w:ascii="宋体" w:hAnsi="宋体" w:cs="宋体"/>
          <w:highlight w:val="none"/>
        </w:rPr>
      </w:pPr>
      <w:r>
        <w:rPr>
          <w:rFonts w:hint="eastAsia" w:ascii="宋体" w:hAnsi="宋体" w:cs="宋体"/>
          <w:b/>
          <w:bCs/>
          <w:sz w:val="24"/>
          <w:highlight w:val="none"/>
          <w:lang w:bidi="ar"/>
        </w:rPr>
        <w:t xml:space="preserve">A：所谓法定代表人：</w:t>
      </w:r>
      <w:r>
        <w:rPr>
          <w:rFonts w:hint="eastAsia" w:ascii="宋体" w:hAnsi="宋体" w:cs="宋体"/>
          <w:sz w:val="24"/>
          <w:highlight w:val="none"/>
          <w:lang w:bidi="ar"/>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hint="eastAsia" w:ascii="宋体" w:hAnsi="宋体" w:cs="宋体"/>
          <w:highlight w:val="none"/>
        </w:rPr>
      </w:r>
      <w:r/>
    </w:p>
    <w:p>
      <w:pPr>
        <w:pStyle w:val="919"/>
        <w:jc w:val="left"/>
        <w:spacing w:line="360" w:lineRule="auto"/>
        <w:widowControl/>
        <w:rPr>
          <w:rFonts w:hint="eastAsia" w:ascii="宋体" w:hAnsi="宋体" w:cs="宋体"/>
          <w:highlight w:val="none"/>
        </w:rPr>
      </w:pPr>
      <w:r>
        <w:rPr>
          <w:rFonts w:hint="eastAsia" w:ascii="宋体" w:hAnsi="宋体" w:cs="宋体"/>
          <w:b/>
          <w:bCs/>
          <w:sz w:val="24"/>
          <w:highlight w:val="none"/>
          <w:lang w:bidi="ar"/>
        </w:rPr>
        <w:t xml:space="preserve">B：所谓法律、行政法规规定代表单位行使职权的主要负责人：</w:t>
      </w:r>
      <w:r>
        <w:rPr>
          <w:rFonts w:hint="eastAsia" w:ascii="宋体" w:hAnsi="宋体" w:cs="宋体"/>
          <w:sz w:val="24"/>
          <w:highlight w:val="none"/>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cs="宋体"/>
          <w:highlight w:val="none"/>
        </w:rPr>
      </w:r>
      <w:r/>
    </w:p>
    <w:p>
      <w:pPr>
        <w:pStyle w:val="919"/>
        <w:jc w:val="left"/>
        <w:spacing w:line="360" w:lineRule="auto"/>
        <w:widowControl/>
        <w:rPr>
          <w:rFonts w:hint="eastAsia" w:ascii="宋体" w:hAnsi="宋体" w:cs="宋体"/>
          <w:highlight w:val="none"/>
        </w:rPr>
      </w:pPr>
      <w:r>
        <w:rPr>
          <w:rFonts w:hint="eastAsia" w:ascii="宋体" w:hAnsi="宋体" w:cs="宋体"/>
          <w:b/>
          <w:bCs/>
          <w:sz w:val="24"/>
          <w:highlight w:val="none"/>
          <w:lang w:bidi="ar"/>
        </w:rPr>
        <w:t xml:space="preserve">②控股关系：</w:t>
      </w:r>
      <w:r>
        <w:rPr>
          <w:rFonts w:hint="eastAsia" w:ascii="宋体" w:hAnsi="宋体" w:cs="宋体"/>
          <w:sz w:val="24"/>
          <w:highlight w:val="none"/>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cs="宋体"/>
          <w:b/>
          <w:bCs/>
          <w:sz w:val="24"/>
          <w:highlight w:val="none"/>
          <w:lang w:bidi="ar"/>
        </w:rPr>
        <w:t xml:space="preserve">（二）控股股东，是指 </w:t>
      </w:r>
      <w:r>
        <w:rPr>
          <w:rFonts w:hint="eastAsia" w:ascii="宋体" w:hAnsi="宋体" w:cs="宋体"/>
          <w:b/>
          <w:bCs/>
          <w:sz w:val="12"/>
          <w:szCs w:val="12"/>
          <w:highlight w:val="none"/>
          <w:lang w:bidi="ar"/>
        </w:rPr>
        <w:t xml:space="preserve">A</w:t>
      </w:r>
      <w:r>
        <w:rPr>
          <w:rFonts w:hint="eastAsia" w:ascii="宋体" w:hAnsi="宋体" w:cs="宋体"/>
          <w:b/>
          <w:bCs/>
          <w:sz w:val="24"/>
          <w:highlight w:val="none"/>
          <w:lang w:bidi="ar"/>
        </w:rPr>
        <w:t xml:space="preserve">其出资额占有限责任公司资本总额百分之五十以上或者其持有的股份占股份有限公司股本总额百分之五十以上的股东；</w:t>
      </w:r>
      <w:r>
        <w:rPr>
          <w:rFonts w:hint="eastAsia" w:ascii="宋体" w:hAnsi="宋体" w:cs="宋体"/>
          <w:b/>
          <w:bCs/>
          <w:sz w:val="12"/>
          <w:szCs w:val="12"/>
          <w:highlight w:val="none"/>
          <w:lang w:bidi="ar"/>
        </w:rPr>
        <w:t xml:space="preserve">B</w:t>
      </w:r>
      <w:r>
        <w:rPr>
          <w:rFonts w:hint="eastAsia" w:ascii="宋体" w:hAnsi="宋体" w:cs="宋体"/>
          <w:b/>
          <w:bCs/>
          <w:sz w:val="24"/>
          <w:highlight w:val="none"/>
          <w:lang w:bidi="ar"/>
        </w:rPr>
        <w:t xml:space="preserve">出资额或者持有股份的比例虽然不足百分之五十，但依其出资额或者持有的股份所享有的表决权已足以对股东会、股东大会的决议产生重大影响的股东</w:t>
      </w:r>
      <w:r>
        <w:rPr>
          <w:rFonts w:hint="eastAsia" w:ascii="宋体" w:hAnsi="宋体" w:cs="宋体"/>
          <w:sz w:val="24"/>
          <w:highlight w:val="none"/>
          <w:lang w:bidi="ar"/>
        </w:rPr>
        <w:t xml:space="preserve">”。实践中，一般对A所述情形称为绝对控股，B所述情形称为相对控股，政府采购法实施条例所称“控股”包括绝对控股和相对控股。</w:t>
      </w:r>
      <w:r>
        <w:rPr>
          <w:rFonts w:hint="eastAsia" w:ascii="宋体" w:hAnsi="宋体" w:cs="宋体"/>
          <w:highlight w:val="none"/>
        </w:rPr>
      </w:r>
      <w:r/>
    </w:p>
    <w:p>
      <w:pPr>
        <w:pStyle w:val="919"/>
        <w:jc w:val="left"/>
        <w:spacing w:line="360" w:lineRule="auto"/>
        <w:widowControl/>
        <w:rPr>
          <w:rFonts w:hint="eastAsia" w:ascii="宋体" w:hAnsi="宋体" w:cs="宋体"/>
          <w:highlight w:val="none"/>
        </w:rPr>
      </w:pPr>
      <w:r>
        <w:rPr>
          <w:rFonts w:hint="eastAsia" w:ascii="宋体" w:hAnsi="宋体" w:cs="宋体"/>
          <w:b/>
          <w:bCs/>
          <w:sz w:val="24"/>
          <w:highlight w:val="none"/>
          <w:lang w:bidi="ar"/>
        </w:rPr>
        <w:t xml:space="preserve">③管理关系：</w:t>
      </w:r>
      <w:r>
        <w:rPr>
          <w:rFonts w:hint="eastAsia" w:ascii="宋体" w:hAnsi="宋体" w:cs="宋体"/>
          <w:sz w:val="24"/>
          <w:highlight w:val="none"/>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cs="宋体"/>
          <w:highlight w:val="none"/>
        </w:rPr>
      </w:r>
      <w:r/>
    </w:p>
    <w:p>
      <w:pPr>
        <w:pStyle w:val="951"/>
        <w:jc w:val="left"/>
        <w:spacing w:line="360" w:lineRule="auto"/>
        <w:rPr>
          <w:rFonts w:hint="eastAsia" w:ascii="宋体" w:hAnsi="宋体" w:eastAsia="宋体" w:cs="宋体"/>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highlight w:val="none"/>
        </w:rPr>
      </w:r>
      <w:r/>
    </w:p>
    <w:p>
      <w:pPr>
        <w:pStyle w:val="951"/>
        <w:jc w:val="left"/>
        <w:spacing w:before="240" w:after="240" w:line="36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（6）招标公告中“申请人的资格要求”所要求其他的证明材料</w:t>
      </w:r>
      <w:r>
        <w:rPr>
          <w:rFonts w:hint="eastAsia" w:ascii="宋体" w:hAnsi="宋体" w:eastAsia="宋体" w:cs="宋体"/>
          <w:b w:val="0"/>
          <w:bCs w:val="0"/>
          <w:sz w:val="24"/>
          <w:highlight w:val="none"/>
        </w:rPr>
      </w:r>
      <w:r/>
    </w:p>
    <w:p>
      <w:pPr>
        <w:pStyle w:val="951"/>
        <w:jc w:val="left"/>
        <w:spacing w:line="360" w:lineRule="auto"/>
        <w:rPr>
          <w:rFonts w:hint="eastAsia" w:ascii="宋体" w:hAnsi="宋体" w:eastAsia="宋体" w:cs="宋体"/>
          <w:b w:val="0"/>
          <w:bCs w:val="0"/>
          <w:sz w:val="24"/>
          <w:highlight w:val="none"/>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val="0"/>
          <w:bCs w:val="0"/>
          <w:sz w:val="24"/>
          <w:highlight w:val="none"/>
        </w:rPr>
        <w:t xml:space="preserve">（投标文件中按照第一章招标公告中“申请人的资格要求”要求，逐条提供除以上资格审查格式以外的其他的证明材料）</w:t>
      </w:r>
      <w:r>
        <w:rPr>
          <w:rFonts w:hint="eastAsia" w:ascii="宋体" w:hAnsi="宋体" w:eastAsia="宋体" w:cs="宋体"/>
          <w:b w:val="0"/>
          <w:bCs w:val="0"/>
          <w:sz w:val="24"/>
          <w:highlight w:val="none"/>
          <w:lang w:bidi="ar"/>
        </w:rPr>
      </w:r>
      <w:r/>
    </w:p>
    <w:p>
      <w:pPr>
        <w:pStyle w:val="919"/>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919"/>
        <w:jc w:val="left"/>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919"/>
        <w:jc w:val="left"/>
        <w:spacing w:line="360" w:lineRule="auto"/>
        <w:widowControl/>
        <w:rPr>
          <w:rFonts w:hint="eastAsia" w:ascii="宋体" w:hAnsi="宋体" w:cs="宋体"/>
          <w:b/>
          <w:bCs/>
          <w:sz w:val="24"/>
          <w:highlight w:val="none"/>
        </w:rPr>
        <w:sectPr>
          <w:footnotePr/>
          <w:endnotePr/>
          <w:type w:val="continuous"/>
          <w:pgSz w:w="11906" w:h="16838" w:orient="portrait"/>
          <w:pgMar w:top="1440" w:right="1080" w:bottom="1440" w:left="1080" w:header="851" w:footer="680" w:gutter="0"/>
          <w:cols w:num="1" w:sep="0" w:space="1701" w:equalWidth="1"/>
          <w:docGrid w:linePitch="360"/>
        </w:sectPr>
      </w:pPr>
      <w:r>
        <w:rPr>
          <w:rFonts w:hint="eastAsia" w:ascii="宋体" w:hAnsi="宋体" w:cs="宋体"/>
          <w:b/>
          <w:bCs/>
          <w:sz w:val="24"/>
          <w:highlight w:val="none"/>
        </w:rPr>
        <w:br w:type="page" w:clear="all"/>
      </w:r>
      <w:r/>
    </w:p>
    <w:p>
      <w:pPr>
        <w:pStyle w:val="919"/>
        <w:jc w:val="left"/>
        <w:spacing w:line="360" w:lineRule="auto"/>
        <w:widowControl/>
        <w:rPr>
          <w:rFonts w:hint="eastAsia" w:ascii="宋体" w:hAnsi="宋体" w:cs="宋体"/>
          <w:sz w:val="28"/>
          <w:szCs w:val="28"/>
          <w:highlight w:val="none"/>
        </w:rPr>
      </w:pPr>
      <w:r>
        <w:rPr>
          <w:rFonts w:hint="eastAsia" w:ascii="宋体" w:hAnsi="宋体" w:cs="宋体"/>
          <w:b/>
          <w:bCs/>
          <w:sz w:val="28"/>
          <w:szCs w:val="28"/>
          <w:highlight w:val="none"/>
        </w:rPr>
        <w:t xml:space="preserve">5、技术规格偏离表格式</w:t>
      </w:r>
      <w:r>
        <w:rPr>
          <w:rFonts w:hint="eastAsia" w:ascii="宋体" w:hAnsi="宋体" w:cs="宋体"/>
          <w:sz w:val="28"/>
          <w:szCs w:val="28"/>
          <w:highlight w:val="none"/>
        </w:rPr>
      </w:r>
      <w:r/>
    </w:p>
    <w:p>
      <w:pPr>
        <w:pStyle w:val="919"/>
        <w:ind w:left="435"/>
        <w:jc w:val="left"/>
        <w:spacing w:line="360" w:lineRule="auto"/>
        <w:widowControl/>
        <w:rPr>
          <w:rFonts w:hint="eastAsia"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r>
      <w:r/>
    </w:p>
    <w:p>
      <w:pPr>
        <w:pStyle w:val="919"/>
        <w:ind w:left="420"/>
        <w:jc w:val="center"/>
        <w:spacing w:line="360" w:lineRule="auto"/>
        <w:widowControl/>
        <w:rPr>
          <w:rFonts w:hint="eastAsia" w:ascii="宋体" w:hAnsi="宋体" w:cs="宋体"/>
          <w:b/>
          <w:szCs w:val="21"/>
          <w:highlight w:val="none"/>
        </w:rPr>
      </w:pPr>
      <w:r>
        <w:rPr>
          <w:rFonts w:hint="eastAsia" w:ascii="宋体" w:hAnsi="宋体" w:cs="宋体"/>
          <w:b/>
          <w:sz w:val="36"/>
          <w:szCs w:val="36"/>
          <w:highlight w:val="none"/>
        </w:rPr>
        <w:t xml:space="preserve">技术条款偏离表</w:t>
      </w:r>
      <w:r>
        <w:rPr>
          <w:rFonts w:hint="eastAsia" w:ascii="宋体" w:hAnsi="宋体" w:cs="宋体"/>
          <w:b/>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19"/>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rPr>
          <w:rFonts w:hint="eastAsia" w:ascii="宋体" w:hAnsi="宋体" w:cs="宋体"/>
          <w:szCs w:val="21"/>
          <w:highlight w:val="none"/>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307"/>
        <w:gridCol w:w="2119"/>
        <w:gridCol w:w="1977"/>
        <w:gridCol w:w="3084"/>
        <w:gridCol w:w="1275"/>
      </w:tblGrid>
      <w:tr>
        <w:trPr>
          <w:trHeight w:val="284"/>
        </w:trPr>
        <w:tc>
          <w:tcPr>
            <w:tcMar>
              <w:left w:w="10" w:type="dxa"/>
              <w:top w:w="0" w:type="dxa"/>
              <w:right w:w="10" w:type="dxa"/>
              <w:bottom w:w="0" w:type="dxa"/>
            </w:tcMar>
            <w:tcW w:w="669"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Mar>
              <w:left w:w="10" w:type="dxa"/>
              <w:top w:w="0" w:type="dxa"/>
              <w:right w:w="10" w:type="dxa"/>
              <w:bottom w:w="0" w:type="dxa"/>
            </w:tcMar>
            <w:tcW w:w="1085"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rPr>
                <w:rFonts w:hint="eastAsia" w:ascii="宋体" w:hAnsi="宋体" w:cs="宋体"/>
                <w:b/>
                <w:szCs w:val="21"/>
                <w:highlight w:val="none"/>
              </w:rPr>
            </w:r>
            <w:r/>
          </w:p>
        </w:tc>
        <w:tc>
          <w:tcPr>
            <w:tcMar>
              <w:left w:w="10" w:type="dxa"/>
              <w:top w:w="0" w:type="dxa"/>
              <w:right w:w="10" w:type="dxa"/>
              <w:bottom w:w="0" w:type="dxa"/>
            </w:tcMar>
            <w:tcW w:w="1012"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招标要求规格</w:t>
            </w:r>
            <w:r>
              <w:rPr>
                <w:rFonts w:hint="eastAsia" w:ascii="宋体" w:hAnsi="宋体" w:cs="宋体"/>
                <w:b/>
                <w:szCs w:val="21"/>
                <w:highlight w:val="none"/>
              </w:rPr>
            </w:r>
            <w:r/>
          </w:p>
        </w:tc>
        <w:tc>
          <w:tcPr>
            <w:tcMar>
              <w:left w:w="10" w:type="dxa"/>
              <w:top w:w="0" w:type="dxa"/>
              <w:right w:w="10" w:type="dxa"/>
              <w:bottom w:w="0" w:type="dxa"/>
            </w:tcMar>
            <w:tcW w:w="1579"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rPr>
                <w:rFonts w:hint="eastAsia" w:ascii="宋体" w:hAnsi="宋体" w:cs="宋体"/>
                <w:b/>
                <w:szCs w:val="21"/>
                <w:highlight w:val="none"/>
              </w:rPr>
            </w:r>
            <w:r/>
          </w:p>
        </w:tc>
        <w:tc>
          <w:tcPr>
            <w:tcMar>
              <w:left w:w="10" w:type="dxa"/>
              <w:top w:w="0" w:type="dxa"/>
              <w:right w:w="10" w:type="dxa"/>
              <w:bottom w:w="0" w:type="dxa"/>
            </w:tcMar>
            <w:tcW w:w="653"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rPr>
                <w:rFonts w:hint="eastAsia" w:ascii="宋体" w:hAnsi="宋体" w:cs="宋体"/>
                <w:b/>
                <w:szCs w:val="21"/>
                <w:highlight w:val="none"/>
              </w:rPr>
            </w:r>
            <w:r/>
          </w:p>
        </w:tc>
      </w:tr>
      <w:tr>
        <w:trPr>
          <w:trHeight w:val="284"/>
        </w:trPr>
        <w:tc>
          <w:tcPr>
            <w:tcMar>
              <w:left w:w="10" w:type="dxa"/>
              <w:top w:w="0" w:type="dxa"/>
              <w:right w:w="10" w:type="dxa"/>
              <w:bottom w:w="0" w:type="dxa"/>
            </w:tcMar>
            <w:tcW w:w="66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085"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0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57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5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6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085"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0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57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5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6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085"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0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57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5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6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085"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0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57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5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6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085"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0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57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5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6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085"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01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579"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5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 供应商须根据第四章《采购需要》要求填写此表，作为投标文件的组成部分，如果行数不够，请自行增加。</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 所有偏离必须在本表中列出，未在本偏离表中列出偏离，将视为供应商已完全接受招标要求。如完全无偏离，也无其他说明，可在本表第一行填写“全部无偏离”。</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 偏离包括正、负偏离，正偏离指供应商的响应高于招标文件要求，负偏离指供应商的响应低于招标文件要求。</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 如供应商将此表空白，视为供应商无任何偏离。</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投标人（盖公章/加盖CA电子公章）：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法定代表人或授权代表（签字或盖章）：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spacing w:line="440" w:lineRule="exact"/>
        <w:rPr>
          <w:rFonts w:hint="eastAsia" w:ascii="宋体" w:hAnsi="宋体" w:cs="宋体"/>
          <w:sz w:val="28"/>
          <w:szCs w:val="28"/>
          <w:highlight w:val="none"/>
        </w:rPr>
      </w:pPr>
      <w:r>
        <w:rPr>
          <w:rFonts w:hint="eastAsia" w:ascii="宋体" w:hAnsi="宋体" w:cs="宋体"/>
          <w:sz w:val="22"/>
          <w:szCs w:val="22"/>
          <w:highlight w:val="none"/>
        </w:rPr>
        <w:t xml:space="preserve">日期：  年  月  日</w:t>
      </w:r>
      <w:r>
        <w:rPr>
          <w:rFonts w:hint="eastAsia" w:ascii="宋体" w:hAnsi="宋体" w:cs="宋体"/>
          <w:sz w:val="28"/>
          <w:szCs w:val="28"/>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z w:val="24"/>
          <w:highlight w:val="none"/>
        </w:rPr>
        <w:t xml:space="preserve"> </w:t>
      </w:r>
      <w:r>
        <w:rPr>
          <w:rFonts w:hint="eastAsia" w:ascii="宋体" w:hAnsi="宋体" w:cs="宋体"/>
          <w:sz w:val="24"/>
          <w:highlight w:val="none"/>
        </w:rPr>
      </w:r>
      <w:r/>
    </w:p>
    <w:p>
      <w:pPr>
        <w:pStyle w:val="919"/>
        <w:jc w:val="left"/>
        <w:spacing w:line="360" w:lineRule="auto"/>
        <w:widowControl/>
        <w:rPr>
          <w:rFonts w:hint="eastAsia" w:ascii="宋体" w:hAnsi="宋体" w:cs="宋体"/>
          <w:sz w:val="28"/>
          <w:szCs w:val="28"/>
          <w:highlight w:val="none"/>
        </w:rPr>
      </w:pPr>
      <w:r>
        <w:rPr>
          <w:rFonts w:hint="eastAsia" w:ascii="宋体" w:hAnsi="宋体" w:cs="宋体"/>
          <w:b/>
          <w:bCs/>
          <w:sz w:val="28"/>
          <w:szCs w:val="28"/>
          <w:highlight w:val="none"/>
        </w:rPr>
        <w:t xml:space="preserve">6、商务条款偏离表格式</w:t>
      </w:r>
      <w:r>
        <w:rPr>
          <w:rFonts w:hint="eastAsia" w:ascii="宋体" w:hAnsi="宋体" w:cs="宋体"/>
          <w:sz w:val="28"/>
          <w:szCs w:val="28"/>
          <w:highlight w:val="none"/>
        </w:rPr>
      </w:r>
      <w:r/>
    </w:p>
    <w:p>
      <w:pPr>
        <w:pStyle w:val="919"/>
        <w:ind w:firstLine="42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19"/>
        <w:ind w:left="420"/>
        <w:jc w:val="center"/>
        <w:spacing w:line="360" w:lineRule="auto"/>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rPr>
          <w:rFonts w:hint="eastAsia" w:ascii="宋体" w:hAnsi="宋体" w:cs="宋体"/>
          <w:b/>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 w:val="24"/>
          <w:highlight w:val="none"/>
        </w:rPr>
        <w:t xml:space="preserve"> </w:t>
      </w:r>
      <w:r>
        <w:rPr>
          <w:rFonts w:hint="eastAsia" w:ascii="宋体" w:hAnsi="宋体" w:cs="宋体"/>
          <w:szCs w:val="21"/>
          <w:highlight w:val="none"/>
        </w:rPr>
      </w:r>
      <w:r/>
    </w:p>
    <w:p>
      <w:pPr>
        <w:pStyle w:val="919"/>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rPr>
          <w:rFonts w:hint="eastAsia" w:ascii="宋体" w:hAnsi="宋体" w:cs="宋体"/>
          <w:szCs w:val="21"/>
          <w:highlight w:val="none"/>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1273"/>
        <w:gridCol w:w="1702"/>
        <w:gridCol w:w="3171"/>
        <w:gridCol w:w="2399"/>
        <w:gridCol w:w="1217"/>
      </w:tblGrid>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rPr>
                <w:rFonts w:hint="eastAsia" w:ascii="宋体" w:hAnsi="宋体" w:cs="宋体"/>
                <w:b/>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rPr>
                <w:rFonts w:hint="eastAsia" w:ascii="宋体" w:hAnsi="宋体" w:cs="宋体"/>
                <w:b/>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rPr>
                <w:rFonts w:hint="eastAsia" w:ascii="宋体" w:hAnsi="宋体" w:cs="宋体"/>
                <w:b/>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rPr>
                <w:rFonts w:hint="eastAsia" w:ascii="宋体" w:hAnsi="宋体" w:cs="宋体"/>
                <w:b/>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rPr>
                <w:rFonts w:hint="eastAsia" w:ascii="宋体" w:hAnsi="宋体" w:cs="宋体"/>
                <w:b/>
                <w:szCs w:val="21"/>
                <w:highlight w:val="none"/>
              </w:rPr>
            </w:r>
            <w:r/>
          </w:p>
        </w:tc>
      </w:tr>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tc>
      </w:tr>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rHeight w:val="284"/>
        </w:trPr>
        <w:tc>
          <w:tcPr>
            <w:tcMar>
              <w:left w:w="10" w:type="dxa"/>
              <w:top w:w="0" w:type="dxa"/>
              <w:right w:w="10" w:type="dxa"/>
              <w:bottom w:w="0" w:type="dxa"/>
            </w:tcMar>
            <w:tcW w:w="652"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871"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28"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623" w:type="dxa"/>
            <w:vAlign w:val="center"/>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919"/>
        <w:ind w:left="-19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说明：</w:t>
      </w:r>
      <w:r>
        <w:rPr>
          <w:rFonts w:hint="eastAsia" w:ascii="宋体" w:hAnsi="宋体" w:cs="宋体"/>
          <w:szCs w:val="21"/>
          <w:highlight w:val="none"/>
        </w:rPr>
      </w:r>
      <w:r/>
    </w:p>
    <w:p>
      <w:pPr>
        <w:pStyle w:val="919"/>
        <w:ind w:left="-19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1. 供应商须根据“第五章 《拟签订的合同文本》”及“第四章《采购需要》”要求填写此表，作为投标文件的组成部分，如果行数不够，请自行增加。</w:t>
      </w:r>
      <w:r>
        <w:rPr>
          <w:rFonts w:hint="eastAsia" w:ascii="宋体" w:hAnsi="宋体" w:cs="宋体"/>
          <w:szCs w:val="21"/>
          <w:highlight w:val="none"/>
        </w:rPr>
      </w:r>
      <w:r/>
    </w:p>
    <w:p>
      <w:pPr>
        <w:pStyle w:val="919"/>
        <w:ind w:left="-19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cs="宋体"/>
          <w:szCs w:val="21"/>
          <w:highlight w:val="none"/>
        </w:rPr>
      </w:r>
      <w:r/>
    </w:p>
    <w:p>
      <w:pPr>
        <w:pStyle w:val="919"/>
        <w:ind w:left="-19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3. 偏离包括正、负偏离，正偏离指供应商的响应高于招标文件要求，负偏离指供应商的响应低于招标文件要求。</w:t>
      </w:r>
      <w:r>
        <w:rPr>
          <w:rFonts w:hint="eastAsia" w:ascii="宋体" w:hAnsi="宋体" w:cs="宋体"/>
          <w:szCs w:val="21"/>
          <w:highlight w:val="none"/>
        </w:rPr>
      </w:r>
      <w:r/>
    </w:p>
    <w:p>
      <w:pPr>
        <w:pStyle w:val="919"/>
        <w:ind w:left="-19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4. 如供应商将此表空白，视为供应商无任何偏离。</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投标人（盖公章/加盖CA电子公章）：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u w:val="single"/>
        </w:rPr>
      </w:pPr>
      <w:r>
        <w:rPr>
          <w:rFonts w:hint="eastAsia" w:ascii="宋体" w:hAnsi="宋体" w:cs="宋体"/>
          <w:szCs w:val="21"/>
          <w:highlight w:val="none"/>
        </w:rPr>
        <w:t xml:space="preserve">法定代表人或授权代表（签字或盖章）：</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919"/>
        <w:spacing w:line="440" w:lineRule="exact"/>
        <w:rPr>
          <w:rFonts w:hint="eastAsia" w:ascii="宋体" w:hAnsi="宋体" w:cs="宋体"/>
          <w:sz w:val="28"/>
          <w:szCs w:val="28"/>
          <w:highlight w:val="none"/>
        </w:rPr>
      </w:pPr>
      <w:r>
        <w:rPr>
          <w:rFonts w:hint="eastAsia" w:ascii="宋体" w:hAnsi="宋体" w:cs="宋体"/>
          <w:sz w:val="22"/>
          <w:szCs w:val="22"/>
          <w:highlight w:val="none"/>
        </w:rPr>
        <w:t xml:space="preserve">日期：  年  月  日</w:t>
      </w:r>
      <w:r>
        <w:rPr>
          <w:rFonts w:hint="eastAsia" w:ascii="宋体" w:hAnsi="宋体" w:cs="宋体"/>
          <w:sz w:val="28"/>
          <w:szCs w:val="28"/>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r>
      <w:r/>
    </w:p>
    <w:p>
      <w:pPr>
        <w:pStyle w:val="919"/>
        <w:jc w:val="left"/>
        <w:spacing w:line="360" w:lineRule="auto"/>
        <w:widowControl/>
        <w:rPr>
          <w:rFonts w:hint="eastAsia" w:ascii="宋体" w:hAnsi="宋体" w:cs="宋体"/>
          <w:b/>
          <w:bCs/>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b/>
          <w:bCs/>
          <w:sz w:val="24"/>
          <w:highlight w:val="none"/>
        </w:rPr>
      </w:r>
      <w:r/>
    </w:p>
    <w:p>
      <w:pPr>
        <w:pStyle w:val="919"/>
        <w:jc w:val="left"/>
        <w:spacing w:line="360" w:lineRule="auto"/>
        <w:widowControl/>
        <w:rPr>
          <w:rFonts w:hint="eastAsia" w:ascii="宋体" w:hAnsi="宋体" w:cs="宋体"/>
          <w:b/>
          <w:sz w:val="28"/>
          <w:szCs w:val="28"/>
          <w:highlight w:val="none"/>
          <w:lang w:val="zh-CN"/>
        </w:rPr>
      </w:pPr>
      <w:r>
        <w:rPr>
          <w:rFonts w:hint="eastAsia" w:ascii="宋体" w:hAnsi="宋体" w:cs="宋体"/>
          <w:b/>
          <w:bCs/>
          <w:sz w:val="28"/>
          <w:szCs w:val="28"/>
          <w:highlight w:val="none"/>
        </w:rPr>
        <w:t xml:space="preserve">7、</w:t>
      </w:r>
      <w:r>
        <w:rPr>
          <w:rFonts w:hint="eastAsia" w:ascii="宋体" w:hAnsi="宋体" w:cs="宋体"/>
          <w:b/>
          <w:sz w:val="28"/>
          <w:szCs w:val="28"/>
          <w:highlight w:val="none"/>
          <w:lang w:val="zh-CN"/>
        </w:rPr>
        <w:t xml:space="preserve">技术方案及服务承诺</w:t>
      </w:r>
      <w:r>
        <w:rPr>
          <w:rFonts w:hint="eastAsia" w:ascii="宋体" w:hAnsi="宋体" w:cs="宋体"/>
          <w:b/>
          <w:sz w:val="28"/>
          <w:szCs w:val="28"/>
          <w:highlight w:val="none"/>
          <w:lang w:val="zh-CN"/>
        </w:rPr>
      </w:r>
      <w:r/>
    </w:p>
    <w:p>
      <w:pPr>
        <w:pStyle w:val="919"/>
        <w:jc w:val="left"/>
        <w:spacing w:line="360" w:lineRule="auto"/>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105"/>
        <w:ind w:firstLine="420"/>
        <w:spacing w:before="0" w:after="0"/>
        <w:rPr>
          <w:rFonts w:hint="eastAsia" w:ascii="宋体" w:hAnsi="宋体" w:cs="宋体"/>
          <w:sz w:val="21"/>
          <w:szCs w:val="21"/>
          <w:highlight w:val="none"/>
        </w:rPr>
      </w:pPr>
      <w:r>
        <w:rPr>
          <w:rFonts w:hint="eastAsia" w:ascii="宋体" w:hAnsi="宋体" w:cs="宋体"/>
          <w:sz w:val="21"/>
          <w:szCs w:val="21"/>
          <w:highlight w:val="none"/>
        </w:rPr>
        <w:t xml:space="preserve">技术方案及服务承诺应根据采购人对项目的要求、评标标准的要求及项目本身的特点编写。</w:t>
      </w:r>
      <w:r>
        <w:rPr>
          <w:rFonts w:hint="eastAsia" w:ascii="宋体" w:hAnsi="宋体" w:cs="宋体"/>
          <w:sz w:val="21"/>
          <w:szCs w:val="21"/>
          <w:highlight w:val="none"/>
        </w:rPr>
      </w:r>
      <w:r/>
    </w:p>
    <w:p>
      <w:pPr>
        <w:pStyle w:val="1105"/>
        <w:ind w:firstLine="420"/>
        <w:spacing w:before="0" w:after="0"/>
        <w:rPr>
          <w:rFonts w:hint="eastAsia" w:ascii="宋体" w:hAnsi="宋体" w:cs="宋体"/>
          <w:sz w:val="21"/>
          <w:szCs w:val="21"/>
          <w:highlight w:val="none"/>
        </w:rPr>
      </w:pPr>
      <w:r>
        <w:rPr>
          <w:rFonts w:hint="eastAsia" w:ascii="宋体" w:hAnsi="宋体" w:cs="宋体"/>
          <w:sz w:val="21"/>
          <w:szCs w:val="21"/>
          <w:highlight w:val="none"/>
        </w:rPr>
      </w:r>
      <w:r/>
    </w:p>
    <w:p>
      <w:pPr>
        <w:pStyle w:val="919"/>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919"/>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919"/>
        <w:spacing w:line="360" w:lineRule="auto"/>
        <w:widowControl/>
        <w:rPr>
          <w:rFonts w:hint="eastAsia" w:ascii="宋体" w:hAnsi="宋体" w:cs="宋体"/>
          <w:b/>
          <w:bCs/>
          <w:sz w:val="28"/>
          <w:szCs w:val="28"/>
          <w:highlight w:val="none"/>
        </w:rPr>
      </w:pPr>
      <w:r>
        <w:rPr>
          <w:rFonts w:hint="eastAsia" w:ascii="宋体" w:hAnsi="宋体" w:cs="宋体"/>
          <w:b/>
          <w:bCs/>
          <w:sz w:val="28"/>
          <w:szCs w:val="28"/>
          <w:highlight w:val="none"/>
        </w:rPr>
        <w:t xml:space="preserve">8、拟参与本项目服务人员一览表</w:t>
      </w:r>
      <w:r>
        <w:rPr>
          <w:rFonts w:hint="eastAsia" w:ascii="宋体" w:hAnsi="宋体" w:cs="宋体"/>
          <w:b/>
          <w:bCs/>
          <w:sz w:val="28"/>
          <w:szCs w:val="28"/>
          <w:highlight w:val="none"/>
        </w:rPr>
      </w:r>
      <w:r/>
    </w:p>
    <w:p>
      <w:pPr>
        <w:pStyle w:val="919"/>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919"/>
        <w:jc w:val="center"/>
        <w:spacing w:line="360" w:lineRule="auto"/>
        <w:widowControl/>
        <w:rPr>
          <w:rFonts w:hint="eastAsia" w:ascii="宋体" w:hAnsi="宋体" w:cs="宋体"/>
          <w:b/>
          <w:bCs/>
          <w:sz w:val="32"/>
          <w:szCs w:val="32"/>
          <w:highlight w:val="none"/>
        </w:rPr>
      </w:pPr>
      <w:r>
        <w:rPr>
          <w:rFonts w:hint="eastAsia" w:ascii="宋体" w:hAnsi="宋体" w:cs="宋体"/>
          <w:b/>
          <w:bCs/>
          <w:sz w:val="32"/>
          <w:szCs w:val="32"/>
          <w:highlight w:val="none"/>
        </w:rPr>
        <w:t xml:space="preserve">拟参与本项目服务人员一览表</w:t>
      </w:r>
      <w:r>
        <w:rPr>
          <w:rFonts w:hint="eastAsia" w:ascii="宋体" w:hAnsi="宋体" w:cs="宋体"/>
          <w:b/>
          <w:bCs/>
          <w:sz w:val="32"/>
          <w:szCs w:val="32"/>
          <w:highlight w:val="none"/>
        </w:rPr>
      </w:r>
      <w:r/>
    </w:p>
    <w:p>
      <w:pPr>
        <w:pStyle w:val="919"/>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                            项目编号：</w:t>
      </w:r>
      <w:r>
        <w:rPr>
          <w:rFonts w:hint="eastAsia" w:ascii="宋体" w:hAnsi="宋体" w:cs="宋体"/>
          <w:sz w:val="24"/>
          <w:highlight w:val="none"/>
        </w:rPr>
      </w:r>
      <w:r/>
    </w:p>
    <w:tbl>
      <w:tblPr>
        <w:tblW w:w="5032" w:type="pct"/>
        <w:jc w:val="center"/>
        <w:tblInd w:w="-181" w:type="dxa"/>
        <w:tblLayout w:type="autofit"/>
        <w:tblCellMar>
          <w:left w:w="108" w:type="dxa"/>
          <w:top w:w="0" w:type="dxa"/>
          <w:right w:w="108" w:type="dxa"/>
          <w:bottom w:w="0" w:type="dxa"/>
        </w:tblCellMar>
        <w:tblLook w:val="04A0" w:firstRow="1" w:lastRow="0" w:firstColumn="1" w:lastColumn="0" w:noHBand="0" w:noVBand="1"/>
      </w:tblPr>
      <w:tblGrid>
        <w:gridCol w:w="634"/>
        <w:gridCol w:w="943"/>
        <w:gridCol w:w="696"/>
        <w:gridCol w:w="745"/>
        <w:gridCol w:w="1194"/>
        <w:gridCol w:w="978"/>
        <w:gridCol w:w="1072"/>
        <w:gridCol w:w="1046"/>
        <w:gridCol w:w="929"/>
        <w:gridCol w:w="893"/>
        <w:gridCol w:w="896"/>
      </w:tblGrid>
      <w:tr>
        <w:trPr/>
        <w:tc>
          <w:tcPr>
            <w:tcBorders>
              <w:top w:val="single" w:color="000000" w:sz="4" w:space="0"/>
              <w:left w:val="single" w:color="000000" w:sz="4" w:space="0"/>
              <w:bottom w:val="single" w:color="000000" w:sz="4" w:space="0"/>
              <w:right w:val="single" w:color="000000" w:sz="4" w:space="0"/>
            </w:tcBorders>
            <w:tcW w:w="316"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姓名</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347"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性别</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371"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年龄</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595"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专业</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487"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学历</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534"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执业</w:t>
            </w:r>
            <w:r>
              <w:rPr>
                <w:rFonts w:hint="eastAsia" w:ascii="宋体" w:hAnsi="宋体" w:cs="宋体"/>
                <w:sz w:val="24"/>
                <w:highlight w:val="none"/>
              </w:rPr>
            </w:r>
            <w:r/>
          </w:p>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资格</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521"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证书号</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463"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技术职称</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445"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相关工作年限</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446"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证明材料页码</w:t>
            </w: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1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70"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4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37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87"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34"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1"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63"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5"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446" w:type="dxa"/>
            <w:vAlign w:val="top"/>
            <w:textDirection w:val="lrTb"/>
            <w:noWrap w:val="false"/>
          </w:tcPr>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919"/>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投标人（盖公章/加盖CA电子公章）：</w:t>
      </w:r>
      <w:r>
        <w:rPr>
          <w:rFonts w:hint="eastAsia" w:ascii="宋体" w:hAnsi="宋体" w:cs="宋体"/>
          <w:sz w:val="24"/>
          <w:highlight w:val="none"/>
          <w:u w:val="single"/>
        </w:rPr>
        <w:t xml:space="preserve">            </w:t>
      </w:r>
      <w:r>
        <w:rPr>
          <w:rFonts w:hint="eastAsia" w:ascii="宋体" w:hAnsi="宋体" w:cs="宋体"/>
          <w:sz w:val="24"/>
          <w:highlight w:val="none"/>
        </w:rPr>
      </w:r>
      <w:r/>
    </w:p>
    <w:p>
      <w:pPr>
        <w:pStyle w:val="919"/>
        <w:spacing w:line="440" w:lineRule="exact"/>
        <w:rPr>
          <w:rFonts w:hint="eastAsia" w:ascii="宋体" w:hAnsi="宋体" w:cs="宋体"/>
          <w:sz w:val="32"/>
          <w:szCs w:val="32"/>
          <w:highlight w:val="none"/>
        </w:rPr>
      </w:pPr>
      <w:r>
        <w:rPr>
          <w:rFonts w:hint="eastAsia" w:ascii="宋体" w:hAnsi="宋体" w:cs="宋体"/>
          <w:sz w:val="24"/>
          <w:highlight w:val="none"/>
        </w:rPr>
        <w:t xml:space="preserve">日期：  年  月  日</w:t>
      </w:r>
      <w:r>
        <w:rPr>
          <w:rFonts w:hint="eastAsia" w:ascii="宋体" w:hAnsi="宋体" w:cs="宋体"/>
          <w:sz w:val="32"/>
          <w:szCs w:val="32"/>
          <w:highlight w:val="none"/>
        </w:rPr>
      </w:r>
      <w:r/>
    </w:p>
    <w:p>
      <w:pPr>
        <w:pStyle w:val="919"/>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9"/>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pStyle w:val="919"/>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8"/>
          <w:szCs w:val="28"/>
          <w:highlight w:val="none"/>
        </w:rPr>
        <w:t xml:space="preserve">9、投标人类似业绩情况表</w:t>
      </w:r>
      <w:r>
        <w:rPr>
          <w:rFonts w:hint="eastAsia" w:ascii="宋体" w:hAnsi="宋体" w:cs="宋体"/>
          <w:b/>
          <w:bCs/>
          <w:sz w:val="24"/>
          <w:highlight w:val="none"/>
        </w:rPr>
      </w:r>
      <w:r/>
    </w:p>
    <w:p>
      <w:pPr>
        <w:pStyle w:val="919"/>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pStyle w:val="919"/>
        <w:jc w:val="center"/>
        <w:spacing w:line="360" w:lineRule="auto"/>
        <w:widowControl/>
        <w:rPr>
          <w:rFonts w:hint="eastAsia" w:ascii="宋体" w:hAnsi="宋体" w:cs="宋体"/>
          <w:b/>
          <w:bCs/>
          <w:sz w:val="36"/>
          <w:szCs w:val="36"/>
          <w:highlight w:val="none"/>
        </w:rPr>
      </w:pPr>
      <w:r>
        <w:rPr>
          <w:rFonts w:hint="eastAsia" w:ascii="宋体" w:hAnsi="宋体" w:cs="宋体"/>
          <w:b/>
          <w:bCs/>
          <w:sz w:val="36"/>
          <w:szCs w:val="36"/>
          <w:highlight w:val="none"/>
        </w:rPr>
        <w:t xml:space="preserve">投标人类似业绩情况表</w:t>
      </w:r>
      <w:r>
        <w:rPr>
          <w:rFonts w:hint="eastAsia" w:ascii="宋体" w:hAnsi="宋体" w:cs="宋体"/>
          <w:b/>
          <w:bCs/>
          <w:sz w:val="36"/>
          <w:szCs w:val="36"/>
          <w:highlight w:val="none"/>
        </w:rPr>
      </w:r>
      <w:r/>
    </w:p>
    <w:p>
      <w:pPr>
        <w:pStyle w:val="919"/>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                            项目编号：</w:t>
      </w:r>
      <w:r>
        <w:rPr>
          <w:rFonts w:hint="eastAsia" w:ascii="宋体" w:hAnsi="宋体" w:cs="宋体"/>
          <w:sz w:val="24"/>
          <w:highlight w:val="none"/>
        </w:rPr>
      </w:r>
      <w:r/>
    </w:p>
    <w:tbl>
      <w:tblPr>
        <w:tblW w:w="4996"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17"/>
        <w:gridCol w:w="1640"/>
        <w:gridCol w:w="1490"/>
        <w:gridCol w:w="1042"/>
        <w:gridCol w:w="1086"/>
        <w:gridCol w:w="1596"/>
        <w:gridCol w:w="1191"/>
        <w:gridCol w:w="1192"/>
      </w:tblGrid>
      <w:tr>
        <w:trPr/>
        <w:tc>
          <w:tcPr>
            <w:tcBorders>
              <w:top w:val="single" w:color="000000" w:sz="4" w:space="0"/>
              <w:left w:val="single" w:color="000000" w:sz="4" w:space="0"/>
              <w:bottom w:val="single" w:color="000000" w:sz="4" w:space="0"/>
              <w:right w:val="single" w:color="000000" w:sz="4" w:space="0"/>
            </w:tcBorders>
            <w:tcW w:w="360"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序号</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823"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项目名称</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748"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业主单位</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523"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项目</w:t>
            </w:r>
            <w:r>
              <w:rPr>
                <w:rFonts w:hint="eastAsia" w:ascii="宋体" w:hAnsi="宋体" w:cs="宋体"/>
                <w:sz w:val="24"/>
                <w:highlight w:val="none"/>
              </w:rPr>
            </w:r>
            <w:r/>
          </w:p>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规模</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545"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获奖</w:t>
            </w:r>
            <w:r>
              <w:rPr>
                <w:rFonts w:hint="eastAsia" w:ascii="宋体" w:hAnsi="宋体" w:cs="宋体"/>
                <w:sz w:val="24"/>
                <w:highlight w:val="none"/>
              </w:rPr>
            </w:r>
            <w:r/>
          </w:p>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情况</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801"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签约及服务</w:t>
            </w:r>
            <w:r>
              <w:rPr>
                <w:rFonts w:hint="eastAsia" w:ascii="宋体" w:hAnsi="宋体" w:cs="宋体"/>
                <w:sz w:val="24"/>
                <w:highlight w:val="none"/>
              </w:rPr>
            </w:r>
            <w:r/>
          </w:p>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时间</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联系人及电话</w:t>
            </w:r>
            <w:r>
              <w:rPr>
                <w:rFonts w:hint="eastAsia" w:ascii="宋体" w:hAnsi="宋体" w:cs="宋体"/>
                <w:sz w:val="24"/>
                <w:highlight w:val="none"/>
              </w:rPr>
            </w:r>
            <w:r/>
          </w:p>
        </w:tc>
        <w:tc>
          <w:tcPr>
            <w:tcBorders>
              <w:top w:val="single" w:color="000000" w:sz="4" w:space="0"/>
              <w:left w:val="none" w:color="000000" w:sz="4" w:space="0"/>
              <w:bottom w:val="single" w:color="000000" w:sz="4" w:space="0"/>
              <w:right w:val="single" w:color="000000" w:sz="4" w:space="0"/>
            </w:tcBorders>
            <w:tcW w:w="598" w:type="dxa"/>
            <w:vAlign w:val="center"/>
            <w:textDirection w:val="lrTb"/>
            <w:noWrap w:val="false"/>
          </w:tcPr>
          <w:p>
            <w:pPr>
              <w:pStyle w:val="919"/>
              <w:jc w:val="center"/>
              <w:spacing w:line="360" w:lineRule="auto"/>
              <w:widowControl/>
              <w:rPr>
                <w:rFonts w:hint="eastAsia" w:ascii="宋体" w:hAnsi="宋体" w:cs="宋体"/>
                <w:sz w:val="24"/>
                <w:highlight w:val="none"/>
              </w:rPr>
            </w:pPr>
            <w:r>
              <w:rPr>
                <w:rFonts w:hint="eastAsia" w:ascii="宋体" w:hAnsi="宋体" w:cs="宋体"/>
                <w:sz w:val="24"/>
                <w:highlight w:val="none"/>
              </w:rPr>
              <w:t xml:space="preserve">证明材料页码</w:t>
            </w:r>
            <w:r>
              <w:rPr>
                <w:rFonts w:hint="eastAsia" w:ascii="宋体" w:hAnsi="宋体" w:cs="宋体"/>
                <w:sz w:val="24"/>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ind w:firstLine="120"/>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360"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74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23"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45"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801"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598" w:type="dxa"/>
            <w:vAlign w:val="top"/>
            <w:textDirection w:val="lrTb"/>
            <w:noWrap w:val="false"/>
          </w:tcPr>
          <w:p>
            <w:pPr>
              <w:pStyle w:val="919"/>
              <w:jc w:val="center"/>
              <w:spacing w:line="360" w:lineRule="auto"/>
              <w:widowControl/>
              <w:rPr>
                <w:rFonts w:hint="eastAsia" w:ascii="宋体" w:hAnsi="宋体" w:cs="宋体"/>
                <w:szCs w:val="21"/>
                <w:highlight w:val="none"/>
              </w:rPr>
            </w:pPr>
            <w:r>
              <w:rPr>
                <w:rFonts w:hint="eastAsia" w:ascii="宋体" w:hAnsi="宋体" w:cs="宋体"/>
                <w:szCs w:val="21"/>
                <w:highlight w:val="none"/>
              </w:rPr>
            </w:r>
            <w:r/>
          </w:p>
        </w:tc>
      </w:tr>
    </w:tbl>
    <w:p>
      <w:pPr>
        <w:pStyle w:val="919"/>
        <w:jc w:val="left"/>
        <w:spacing w:line="360" w:lineRule="auto"/>
        <w:widowControl/>
        <w:rPr>
          <w:rFonts w:hint="eastAsia" w:ascii="宋体" w:hAnsi="宋体" w:cs="宋体"/>
          <w:sz w:val="24"/>
          <w:highlight w:val="none"/>
        </w:rPr>
      </w:pPr>
      <w:r>
        <w:rPr>
          <w:rFonts w:hint="eastAsia" w:ascii="宋体" w:hAnsi="宋体" w:cs="宋体"/>
          <w:sz w:val="24"/>
          <w:highlight w:val="none"/>
        </w:rPr>
      </w:r>
      <w:r/>
    </w:p>
    <w:p>
      <w:pPr>
        <w:pStyle w:val="919"/>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投标人（盖公章/加盖CA电子公章）：</w:t>
      </w:r>
      <w:r>
        <w:rPr>
          <w:rFonts w:hint="eastAsia" w:ascii="宋体" w:hAnsi="宋体" w:cs="宋体"/>
          <w:sz w:val="24"/>
          <w:highlight w:val="none"/>
          <w:u w:val="single"/>
        </w:rPr>
        <w:t xml:space="preserve">                 </w:t>
      </w:r>
      <w:r>
        <w:rPr>
          <w:rFonts w:hint="eastAsia" w:ascii="宋体" w:hAnsi="宋体" w:cs="宋体"/>
          <w:sz w:val="24"/>
          <w:highlight w:val="none"/>
        </w:rPr>
      </w:r>
      <w:r/>
    </w:p>
    <w:p>
      <w:pPr>
        <w:pStyle w:val="919"/>
        <w:spacing w:line="440" w:lineRule="exact"/>
        <w:rPr>
          <w:rFonts w:hint="eastAsia" w:ascii="宋体" w:hAnsi="宋体" w:cs="宋体"/>
          <w:sz w:val="32"/>
          <w:szCs w:val="32"/>
          <w:highlight w:val="none"/>
        </w:rPr>
      </w:pPr>
      <w:r>
        <w:rPr>
          <w:rFonts w:hint="eastAsia" w:ascii="宋体" w:hAnsi="宋体" w:cs="宋体"/>
          <w:sz w:val="24"/>
          <w:highlight w:val="none"/>
        </w:rPr>
        <w:t xml:space="preserve">日期：  年  月  日</w:t>
      </w:r>
      <w:r>
        <w:rPr>
          <w:rFonts w:hint="eastAsia" w:ascii="宋体" w:hAnsi="宋体" w:cs="宋体"/>
          <w:sz w:val="32"/>
          <w:szCs w:val="32"/>
          <w:highlight w:val="none"/>
        </w:rPr>
      </w:r>
      <w:r/>
    </w:p>
    <w:p>
      <w:pPr>
        <w:pStyle w:val="919"/>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pStyle w:val="919"/>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pStyle w:val="919"/>
        <w:spacing w:line="360" w:lineRule="auto"/>
        <w:rPr>
          <w:rFonts w:hint="eastAsia" w:ascii="宋体" w:hAnsi="宋体" w:cs="宋体"/>
          <w:highlight w:val="none"/>
        </w:rPr>
      </w:pPr>
      <w:r>
        <w:rPr>
          <w:rFonts w:hint="eastAsia" w:ascii="宋体" w:hAnsi="宋体" w:cs="宋体"/>
          <w:highlight w:val="none"/>
        </w:rPr>
      </w:r>
      <w:r/>
    </w:p>
    <w:p>
      <w:pPr>
        <w:pStyle w:val="919"/>
        <w:jc w:val="center"/>
        <w:spacing w:line="360" w:lineRule="auto"/>
        <w:widowControl/>
        <w:rPr>
          <w:rFonts w:ascii="宋体" w:hAnsi="宋体" w:cs="宋体"/>
          <w:b/>
          <w:highlight w:val="none"/>
        </w:rPr>
      </w:pPr>
      <w:r>
        <w:rPr>
          <w:rFonts w:hint="eastAsia" w:ascii="宋体" w:hAnsi="宋体" w:cs="宋体"/>
          <w:b/>
          <w:highlight w:val="none"/>
        </w:rPr>
        <w:br w:type="page" w:clear="all"/>
      </w:r>
      <w:r>
        <w:rPr>
          <w:rFonts w:hint="eastAsia" w:ascii="宋体" w:hAnsi="宋体" w:cs="宋体"/>
          <w:b/>
          <w:bCs/>
          <w:sz w:val="28"/>
          <w:szCs w:val="28"/>
          <w:highlight w:val="none"/>
        </w:rPr>
        <w:t xml:space="preserve">10、附件</w:t>
      </w:r>
      <w:r>
        <w:rPr>
          <w:rFonts w:ascii="宋体" w:hAnsi="宋体" w:cs="宋体"/>
          <w:b/>
          <w:highlight w:val="none"/>
        </w:rPr>
      </w:r>
      <w:r/>
    </w:p>
    <w:p>
      <w:pPr>
        <w:pStyle w:val="919"/>
        <w:jc w:val="center"/>
        <w:spacing w:line="360" w:lineRule="auto"/>
        <w:widowControl/>
        <w:rPr>
          <w:rFonts w:hint="eastAsia" w:ascii="宋体" w:hAnsi="宋体" w:cs="宋体"/>
          <w:b/>
          <w:sz w:val="24"/>
          <w:highlight w:val="none"/>
        </w:rPr>
      </w:pPr>
      <w:r>
        <w:rPr>
          <w:rFonts w:hint="eastAsia" w:ascii="宋体" w:hAnsi="宋体" w:cs="宋体"/>
          <w:b/>
          <w:sz w:val="24"/>
          <w:highlight w:val="none"/>
        </w:rPr>
        <w:t xml:space="preserve">（1）中小企业声明函（货物类）</w:t>
      </w:r>
      <w:r>
        <w:rPr>
          <w:rFonts w:hint="eastAsia" w:ascii="宋体" w:hAnsi="宋体" w:cs="宋体"/>
          <w:b/>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本公司郑重声明，根据《政府采购促进中小企业发展管理办法》（财库﹝2020﹞46 号）的规定，本公司参加</w:t>
      </w:r>
      <w:r>
        <w:rPr>
          <w:rFonts w:hint="eastAsia" w:ascii="宋体" w:hAnsi="宋体" w:cs="宋体"/>
          <w:sz w:val="24"/>
          <w:highlight w:val="none"/>
          <w:u w:val="single"/>
        </w:rPr>
        <w:t xml:space="preserve">（单位名称）</w:t>
      </w:r>
      <w:r>
        <w:rPr>
          <w:rFonts w:hint="eastAsia" w:ascii="宋体" w:hAnsi="宋体" w:cs="宋体"/>
          <w:sz w:val="24"/>
          <w:highlight w:val="none"/>
        </w:rPr>
        <w:t xml:space="preserve">的</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采购活动，</w:t>
      </w:r>
      <w:r>
        <w:rPr>
          <w:rFonts w:hint="eastAsia" w:ascii="宋体" w:hAnsi="宋体" w:cs="宋体"/>
          <w:b/>
          <w:bCs/>
          <w:sz w:val="24"/>
          <w:highlight w:val="none"/>
        </w:rPr>
        <w:t xml:space="preserve">提供的货物全部由符合政策要求的中小企业制造</w:t>
      </w:r>
      <w:r>
        <w:rPr>
          <w:rFonts w:hint="eastAsia" w:ascii="宋体" w:hAnsi="宋体" w:cs="宋体"/>
          <w:sz w:val="24"/>
          <w:highlight w:val="none"/>
        </w:rPr>
        <w:t xml:space="preserve">。相关企业（含联合体中的中小企业、签订分包意向协议的中小企业）的具体情况如下： </w:t>
      </w:r>
      <w:r>
        <w:rPr>
          <w:rFonts w:hint="eastAsia" w:ascii="宋体" w:hAnsi="宋体" w:cs="宋体"/>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w:t>
      </w:r>
      <w:r>
        <w:rPr>
          <w:rFonts w:hint="eastAsia" w:ascii="宋体" w:hAnsi="宋体" w:cs="宋体"/>
          <w:sz w:val="24"/>
          <w:highlight w:val="none"/>
          <w:u w:val="single"/>
        </w:rPr>
        <w:t xml:space="preserve">（招标文件中明确的所属行业） </w:t>
      </w:r>
      <w:r>
        <w:rPr>
          <w:rFonts w:hint="eastAsia" w:ascii="宋体" w:hAnsi="宋体" w:cs="宋体"/>
          <w:sz w:val="24"/>
          <w:highlight w:val="none"/>
        </w:rPr>
        <w:t xml:space="preserve">行业；制造商为（企业名称），从业人</w:t>
      </w:r>
      <w:r>
        <w:rPr>
          <w:rFonts w:hint="eastAsia" w:ascii="宋体" w:hAnsi="宋体" w:cs="宋体"/>
          <w:sz w:val="24"/>
          <w:highlight w:val="none"/>
          <w:u w:val="single"/>
        </w:rPr>
        <w:t xml:space="preserve">员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，属于（招标文件中明确的所属行业） 行业；制造商为（企业名称），从业人</w:t>
      </w:r>
      <w:r>
        <w:rPr>
          <w:rFonts w:hint="eastAsia" w:ascii="宋体" w:hAnsi="宋体" w:cs="宋体"/>
          <w:sz w:val="24"/>
          <w:highlight w:val="none"/>
          <w:u w:val="single"/>
        </w:rPr>
        <w:t xml:space="preserve">员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w:t>
      </w:r>
      <w:r>
        <w:rPr>
          <w:rFonts w:hint="eastAsia" w:ascii="宋体" w:hAnsi="宋体" w:cs="宋体"/>
          <w:sz w:val="24"/>
          <w:highlight w:val="none"/>
          <w:u w:val="single"/>
        </w:rPr>
        <w:t xml:space="preserve">（标的名称）</w:t>
      </w:r>
      <w:r>
        <w:rPr>
          <w:rFonts w:hint="eastAsia" w:ascii="宋体" w:hAnsi="宋体" w:cs="宋体"/>
          <w:sz w:val="24"/>
          <w:highlight w:val="none"/>
        </w:rPr>
        <w:t xml:space="preserve">，属于（招标文件中明确的所属行业） 行业；制造商为（企业名称），从业人</w:t>
      </w:r>
      <w:r>
        <w:rPr>
          <w:rFonts w:hint="eastAsia" w:ascii="宋体" w:hAnsi="宋体" w:cs="宋体"/>
          <w:sz w:val="24"/>
          <w:highlight w:val="none"/>
          <w:u w:val="single"/>
        </w:rPr>
        <w:t xml:space="preserve">员     </w:t>
      </w:r>
      <w:r>
        <w:rPr>
          <w:rFonts w:hint="eastAsia" w:ascii="宋体" w:hAnsi="宋体" w:cs="宋体"/>
          <w:sz w:val="24"/>
          <w:highlight w:val="none"/>
        </w:rPr>
        <w:t xml:space="preserve">人，营业收入为</w:t>
      </w:r>
      <w:r>
        <w:rPr>
          <w:rFonts w:hint="eastAsia" w:ascii="宋体" w:hAnsi="宋体" w:cs="宋体"/>
          <w:sz w:val="24"/>
          <w:highlight w:val="none"/>
          <w:u w:val="single"/>
        </w:rPr>
        <w:t xml:space="preserve">     </w:t>
      </w:r>
      <w:r>
        <w:rPr>
          <w:rFonts w:hint="eastAsia" w:ascii="宋体" w:hAnsi="宋体" w:cs="宋体"/>
          <w:sz w:val="24"/>
          <w:highlight w:val="none"/>
        </w:rPr>
        <w:t xml:space="preserve">万元，资产总额为</w:t>
      </w:r>
      <w:r>
        <w:rPr>
          <w:rFonts w:hint="eastAsia" w:ascii="宋体" w:hAnsi="宋体" w:cs="宋体"/>
          <w:sz w:val="24"/>
          <w:highlight w:val="none"/>
          <w:u w:val="single"/>
        </w:rPr>
        <w:t xml:space="preserve">    </w:t>
      </w:r>
      <w:r>
        <w:rPr>
          <w:rFonts w:hint="eastAsia" w:ascii="宋体" w:hAnsi="宋体" w:cs="宋体"/>
          <w:sz w:val="24"/>
          <w:highlight w:val="none"/>
        </w:rPr>
        <w:t xml:space="preserve">万元，属于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以上企业，不属于大企业的分支机构，不存在控股股东为大企业的情形，也不存在与大企业的负责人为同一人的情形。 </w:t>
      </w:r>
      <w:r>
        <w:rPr>
          <w:rFonts w:hint="eastAsia" w:ascii="宋体" w:hAnsi="宋体" w:cs="宋体"/>
          <w:sz w:val="24"/>
          <w:highlight w:val="none"/>
        </w:rPr>
      </w:r>
      <w:r/>
    </w:p>
    <w:p>
      <w:pPr>
        <w:pStyle w:val="919"/>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本企业对上述声明内容的真实性负责。如有虚假，将依法承担相应责任。 </w:t>
      </w:r>
      <w:r>
        <w:rPr>
          <w:rFonts w:hint="eastAsia" w:ascii="宋体" w:hAnsi="宋体" w:cs="宋体"/>
          <w:b/>
          <w:bCs/>
          <w:sz w:val="24"/>
          <w:highlight w:val="none"/>
        </w:rPr>
      </w:r>
      <w:r/>
    </w:p>
    <w:p>
      <w:pPr>
        <w:pStyle w:val="919"/>
        <w:ind w:firstLine="420"/>
        <w:spacing w:line="440" w:lineRule="exact"/>
        <w:rPr>
          <w:rFonts w:hint="eastAsia" w:ascii="宋体" w:hAnsi="宋体" w:cs="宋体"/>
          <w:sz w:val="24"/>
          <w:highlight w:val="none"/>
        </w:rPr>
      </w:pPr>
      <w:r>
        <w:rPr>
          <w:rFonts w:hint="eastAsia" w:ascii="宋体" w:hAnsi="宋体" w:cs="宋体"/>
          <w:sz w:val="24"/>
          <w:highlight w:val="none"/>
        </w:rPr>
      </w:r>
      <w:r/>
    </w:p>
    <w:p>
      <w:pPr>
        <w:pStyle w:val="919"/>
        <w:ind w:firstLine="420"/>
        <w:spacing w:line="440" w:lineRule="exact"/>
        <w:rPr>
          <w:rFonts w:hint="eastAsia" w:ascii="宋体" w:hAnsi="宋体" w:cs="宋体"/>
          <w:sz w:val="24"/>
          <w:highlight w:val="none"/>
        </w:rPr>
      </w:pPr>
      <w:r>
        <w:rPr>
          <w:rFonts w:hint="eastAsia" w:ascii="宋体" w:hAnsi="宋体" w:cs="宋体"/>
          <w:sz w:val="24"/>
          <w:highlight w:val="none"/>
        </w:rPr>
        <w:t xml:space="preserve">投标人名称（盖公章/加盖CA电子公章）：</w:t>
      </w:r>
      <w:r>
        <w:rPr>
          <w:rFonts w:hint="eastAsia" w:ascii="宋体" w:hAnsi="宋体" w:cs="宋体"/>
          <w:sz w:val="24"/>
          <w:highlight w:val="none"/>
        </w:rPr>
      </w:r>
      <w:r/>
    </w:p>
    <w:p>
      <w:pPr>
        <w:pStyle w:val="919"/>
        <w:ind w:firstLine="420"/>
        <w:spacing w:line="440" w:lineRule="exact"/>
        <w:rPr>
          <w:rFonts w:hint="eastAsia" w:ascii="宋体" w:hAnsi="宋体" w:cs="宋体"/>
          <w:sz w:val="32"/>
          <w:szCs w:val="32"/>
          <w:highlight w:val="none"/>
        </w:rPr>
      </w:pPr>
      <w:r>
        <w:rPr>
          <w:rFonts w:hint="eastAsia" w:ascii="宋体" w:hAnsi="宋体" w:cs="宋体"/>
          <w:sz w:val="24"/>
          <w:highlight w:val="none"/>
        </w:rPr>
        <w:t xml:space="preserve">日期：  年  月  日</w:t>
      </w:r>
      <w:r>
        <w:rPr>
          <w:rFonts w:hint="eastAsia" w:ascii="宋体" w:hAnsi="宋体" w:cs="宋体"/>
          <w:sz w:val="32"/>
          <w:szCs w:val="32"/>
          <w:highlight w:val="none"/>
        </w:rPr>
      </w:r>
      <w:r/>
    </w:p>
    <w:p>
      <w:pPr>
        <w:pStyle w:val="919"/>
        <w:rPr>
          <w:rFonts w:hint="eastAsia" w:ascii="宋体" w:hAnsi="宋体" w:cs="宋体"/>
          <w:b/>
          <w:szCs w:val="21"/>
          <w:highlight w:val="none"/>
        </w:rPr>
      </w:pPr>
      <w:r>
        <w:rPr>
          <w:rFonts w:hint="eastAsia" w:ascii="宋体" w:hAnsi="宋体" w:cs="宋体"/>
          <w:b/>
          <w:szCs w:val="21"/>
          <w:highlight w:val="none"/>
        </w:rPr>
      </w:r>
      <w:r/>
    </w:p>
    <w:p>
      <w:pPr>
        <w:pStyle w:val="919"/>
        <w:rPr>
          <w:rFonts w:hint="eastAsia" w:ascii="宋体" w:hAnsi="宋体" w:cs="宋体"/>
          <w:b/>
          <w:sz w:val="22"/>
          <w:szCs w:val="22"/>
          <w:highlight w:val="none"/>
        </w:rPr>
      </w:pPr>
      <w:r>
        <w:rPr>
          <w:rFonts w:hint="eastAsia" w:ascii="宋体" w:hAnsi="宋体" w:cs="宋体"/>
          <w:b/>
          <w:sz w:val="22"/>
          <w:szCs w:val="22"/>
          <w:highlight w:val="none"/>
        </w:rPr>
        <w:t xml:space="preserve">注：1、从业人员、营业收入、资产总额填报上一年度数据，无上一年度数据的新成立企业可不填报。</w:t>
      </w:r>
      <w:r>
        <w:rPr>
          <w:rFonts w:hint="eastAsia" w:ascii="宋体" w:hAnsi="宋体" w:cs="宋体"/>
          <w:b/>
          <w:sz w:val="22"/>
          <w:szCs w:val="22"/>
          <w:highlight w:val="none"/>
        </w:rPr>
      </w:r>
      <w:r/>
    </w:p>
    <w:p>
      <w:pPr>
        <w:pStyle w:val="919"/>
        <w:rPr>
          <w:rFonts w:hint="eastAsia" w:ascii="宋体" w:hAnsi="宋体" w:cs="宋体"/>
          <w:b/>
          <w:sz w:val="22"/>
          <w:szCs w:val="22"/>
          <w:highlight w:val="none"/>
        </w:rPr>
      </w:pPr>
      <w:r>
        <w:rPr>
          <w:rFonts w:hint="eastAsia" w:ascii="宋体" w:hAnsi="宋体" w:cs="宋体"/>
          <w:b/>
          <w:sz w:val="22"/>
          <w:szCs w:val="22"/>
          <w:highlight w:val="none"/>
        </w:rPr>
        <w:t xml:space="preserve">2、上述“相关企业”含联合体中的中小企业、签订分包意向协议的中小企业；</w:t>
      </w:r>
      <w:r>
        <w:rPr>
          <w:rFonts w:hint="eastAsia" w:ascii="宋体" w:hAnsi="宋体" w:cs="宋体"/>
          <w:b/>
          <w:sz w:val="22"/>
          <w:szCs w:val="22"/>
          <w:highlight w:val="none"/>
        </w:rPr>
      </w:r>
      <w:r/>
    </w:p>
    <w:p>
      <w:pPr>
        <w:pStyle w:val="919"/>
        <w:rPr>
          <w:rFonts w:hint="eastAsia" w:ascii="宋体" w:hAnsi="宋体" w:cs="宋体"/>
          <w:b/>
          <w:sz w:val="22"/>
          <w:szCs w:val="22"/>
          <w:highlight w:val="none"/>
        </w:rPr>
      </w:pPr>
      <w:r>
        <w:rPr>
          <w:rFonts w:hint="eastAsia" w:ascii="宋体" w:hAnsi="宋体" w:cs="宋体"/>
          <w:b/>
          <w:sz w:val="22"/>
          <w:szCs w:val="22"/>
          <w:highlight w:val="none"/>
        </w:rPr>
        <w:t xml:space="preserve">3、供应商不得修改中小企业声明函格式，须列明全部货物制造商信息，未按上述要求提供声明函的，价格将不做相应扣除。</w:t>
      </w:r>
      <w:r>
        <w:rPr>
          <w:rFonts w:hint="eastAsia" w:ascii="宋体" w:hAnsi="宋体" w:cs="宋体"/>
          <w:b/>
          <w:sz w:val="22"/>
          <w:szCs w:val="22"/>
          <w:highlight w:val="none"/>
        </w:rPr>
      </w:r>
      <w:r/>
    </w:p>
    <w:p>
      <w:pPr>
        <w:pStyle w:val="919"/>
        <w:rPr>
          <w:rFonts w:hint="eastAsia" w:ascii="宋体" w:hAnsi="宋体" w:cs="宋体"/>
          <w:b/>
          <w:sz w:val="22"/>
          <w:szCs w:val="22"/>
          <w:highlight w:val="none"/>
        </w:rPr>
      </w:pPr>
      <w:r>
        <w:rPr>
          <w:rFonts w:hint="eastAsia" w:ascii="宋体" w:hAnsi="宋体" w:cs="宋体"/>
          <w:b/>
          <w:sz w:val="22"/>
          <w:szCs w:val="22"/>
          <w:highlight w:val="none"/>
        </w:rPr>
        <w:t xml:space="preserve">4、供应商对以上数据的真实性负责，中标供应商如享受本项目小微企业扶持政策的，其《中小企业声明函》将随本项目的中标结果同时公告，接受社会监督。</w:t>
      </w:r>
      <w:r>
        <w:rPr>
          <w:rFonts w:hint="eastAsia" w:ascii="宋体" w:hAnsi="宋体" w:cs="宋体"/>
          <w:b/>
          <w:sz w:val="22"/>
          <w:szCs w:val="22"/>
          <w:highlight w:val="none"/>
        </w:rPr>
      </w:r>
      <w:r/>
    </w:p>
    <w:p>
      <w:pPr>
        <w:pStyle w:val="919"/>
        <w:jc w:val="center"/>
        <w:widowControl/>
        <w:rPr>
          <w:rFonts w:hint="eastAsia" w:ascii="宋体" w:hAnsi="宋体" w:cs="宋体"/>
          <w:b/>
          <w:sz w:val="22"/>
          <w:szCs w:val="22"/>
          <w:highlight w:val="none"/>
        </w:rPr>
      </w:pPr>
      <w:r>
        <w:rPr>
          <w:rFonts w:hint="eastAsia" w:ascii="宋体" w:hAnsi="宋体" w:cs="宋体"/>
          <w:b/>
          <w:sz w:val="22"/>
          <w:szCs w:val="22"/>
          <w:highlight w:val="none"/>
        </w:rPr>
      </w:r>
      <w:r/>
    </w:p>
    <w:p>
      <w:pPr>
        <w:pStyle w:val="919"/>
        <w:jc w:val="center"/>
        <w:widowControl/>
        <w:rPr>
          <w:rFonts w:hint="eastAsia" w:ascii="宋体" w:hAnsi="宋体" w:cs="宋体"/>
          <w:b/>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b/>
          <w:sz w:val="24"/>
          <w:highlight w:val="none"/>
        </w:rPr>
      </w:r>
      <w:r/>
    </w:p>
    <w:p>
      <w:pPr>
        <w:pStyle w:val="919"/>
        <w:ind w:firstLine="482"/>
        <w:jc w:val="center"/>
        <w:spacing w:line="336" w:lineRule="auto"/>
        <w:shd w:val="clear" w:color="auto" w:fill="ffffff"/>
        <w:widowControl/>
        <w:rPr>
          <w:rFonts w:hint="eastAsia" w:ascii="仿宋" w:hAnsi="仿宋" w:eastAsia="仿宋" w:cs="仿宋"/>
          <w:highlight w:val="none"/>
        </w:rPr>
      </w:pPr>
      <w:r>
        <w:rPr>
          <w:rFonts w:hint="eastAsia" w:ascii="仿宋" w:hAnsi="仿宋" w:eastAsia="仿宋" w:cs="仿宋"/>
          <w:b/>
          <w:bCs/>
          <w:sz w:val="24"/>
          <w:szCs w:val="28"/>
          <w:highlight w:val="none"/>
        </w:rPr>
        <w:t xml:space="preserve">附：</w:t>
      </w:r>
      <w:r>
        <w:rPr>
          <w:rFonts w:hint="eastAsia" w:ascii="仿宋" w:hAnsi="仿宋" w:eastAsia="仿宋" w:cs="仿宋"/>
          <w:sz w:val="24"/>
          <w:szCs w:val="28"/>
          <w:highlight w:val="none"/>
        </w:rPr>
        <w:t xml:space="preserve">中小企业划型标准规定</w:t>
      </w:r>
      <w:r>
        <w:rPr>
          <w:rFonts w:hint="eastAsia" w:ascii="仿宋" w:hAnsi="仿宋" w:eastAsia="仿宋" w:cs="仿宋"/>
          <w:highlight w:val="none"/>
        </w:rPr>
      </w:r>
      <w:r/>
    </w:p>
    <w:p>
      <w:pPr>
        <w:pStyle w:val="919"/>
        <w:ind w:firstLine="420"/>
        <w:jc w:val="center"/>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工信部联企业〔2011〕300号</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一、根据《中华人民共和国中小企业促进法》和《国务院关于进一步促进中小企业发展的若干意见》（国发〔2009〕36号），制定本规定。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二、中小企业划分为中型、小型、微型三种类型，具体标准根据企业从业人员、营业收入、资产总额等指标，结合行业特点制定。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四、各行业划型标准为：</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highlight w:val="none"/>
        </w:rPr>
      </w:r>
      <w:r/>
    </w:p>
    <w:p>
      <w:pPr>
        <w:pStyle w:val="919"/>
        <w:ind w:firstLine="422"/>
        <w:spacing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highlight w:val="none"/>
        </w:rPr>
      </w:r>
      <w:r/>
    </w:p>
    <w:p>
      <w:pPr>
        <w:pStyle w:val="919"/>
        <w:ind w:firstLine="422"/>
        <w:spacing w:line="336" w:lineRule="auto"/>
        <w:shd w:val="clear" w:color="auto" w:fill="ffffff"/>
        <w:widowControl/>
        <w:rPr>
          <w:rFonts w:hint="eastAsia" w:ascii="仿宋" w:hAnsi="仿宋" w:eastAsia="仿宋" w:cs="仿宋"/>
          <w:b/>
          <w:bCs/>
          <w:highlight w:val="none"/>
        </w:rPr>
      </w:pPr>
      <w:r>
        <w:rPr>
          <w:rFonts w:hint="eastAsia" w:ascii="仿宋" w:hAnsi="仿宋" w:eastAsia="仿宋" w:cs="仿宋"/>
          <w:b/>
          <w:bCs/>
          <w:highlight w:val="non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五、企业类型的划分以统计部门的统计数据为依据。</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pPr>
      <w:r>
        <w:rPr>
          <w:rFonts w:hint="eastAsia" w:ascii="仿宋" w:hAnsi="仿宋" w:eastAsia="仿宋" w:cs="仿宋"/>
          <w:highlight w:val="none"/>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highlight w:val="none"/>
        </w:rPr>
      </w:r>
      <w:r/>
    </w:p>
    <w:p>
      <w:pPr>
        <w:pStyle w:val="919"/>
        <w:ind w:firstLine="420"/>
        <w:spacing w:line="336" w:lineRule="auto"/>
        <w:shd w:val="clear" w:color="auto" w:fill="ffffff"/>
        <w:widowControl/>
        <w:rPr>
          <w:rFonts w:hint="eastAsia" w:ascii="仿宋" w:hAnsi="仿宋" w:eastAsia="仿宋" w:cs="仿宋"/>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highlight w:val="none"/>
        </w:rPr>
        <w:t xml:space="preserve">八、本规定由工业和信息化部、国家统计局会同有关部门根据《国民经济行业分类》修订情况和企业发展变化情况适时修订。</w:t>
      </w:r>
      <w:r>
        <w:rPr>
          <w:rFonts w:hint="eastAsia" w:ascii="仿宋" w:hAnsi="仿宋" w:eastAsia="仿宋" w:cs="仿宋"/>
          <w:highlight w:val="none"/>
        </w:rPr>
      </w:r>
      <w:r/>
    </w:p>
    <w:p>
      <w:pPr>
        <w:pStyle w:val="919"/>
        <w:jc w:val="center"/>
        <w:widowControl/>
        <w:rPr>
          <w:rFonts w:hint="eastAsia" w:ascii="宋体" w:hAnsi="宋体" w:cs="宋体"/>
          <w:b/>
          <w:sz w:val="24"/>
          <w:highlight w:val="none"/>
        </w:rPr>
      </w:pPr>
      <w:r>
        <w:rPr>
          <w:rFonts w:hint="eastAsia" w:ascii="宋体" w:hAnsi="宋体" w:cs="宋体"/>
          <w:b/>
          <w:sz w:val="24"/>
          <w:highlight w:val="none"/>
        </w:rPr>
        <w:t xml:space="preserve">（2）残疾人福利性单位声明函（如需）</w:t>
      </w:r>
      <w:r>
        <w:rPr>
          <w:rFonts w:hint="eastAsia" w:ascii="宋体" w:hAnsi="宋体" w:cs="宋体"/>
          <w:b/>
          <w:sz w:val="24"/>
          <w:highlight w:val="none"/>
        </w:rPr>
      </w:r>
      <w:r/>
    </w:p>
    <w:p>
      <w:pPr>
        <w:pStyle w:val="919"/>
        <w:ind w:firstLine="420"/>
        <w:spacing w:line="440" w:lineRule="exact"/>
        <w:rPr>
          <w:rFonts w:hint="eastAsia" w:ascii="宋体" w:hAnsi="宋体" w:cs="宋体"/>
          <w:sz w:val="24"/>
          <w:highlight w:val="none"/>
        </w:rPr>
      </w:pPr>
      <w:r>
        <w:rPr>
          <w:rFonts w:hint="eastAsia" w:ascii="宋体" w:hAnsi="宋体" w:cs="宋体"/>
          <w:highlight w:val="none"/>
        </w:rPr>
        <w:t xml:space="preserve">本</w:t>
      </w:r>
      <w:r>
        <w:rPr>
          <w:rFonts w:hint="eastAsia" w:ascii="宋体" w:hAnsi="宋体" w:cs="宋体"/>
          <w:sz w:val="24"/>
          <w:highlight w:val="none"/>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cs="宋体"/>
          <w:sz w:val="24"/>
          <w:highlight w:val="none"/>
        </w:rPr>
      </w:r>
      <w:r/>
    </w:p>
    <w:p>
      <w:pPr>
        <w:pStyle w:val="919"/>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本单位对上述声明的真实性负责。如有虚假，将依法承担相应责任。</w:t>
      </w:r>
      <w:r>
        <w:rPr>
          <w:rFonts w:hint="eastAsia" w:ascii="宋体" w:hAnsi="宋体" w:cs="宋体"/>
          <w:b/>
          <w:bCs/>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投标人名称（盖公章/加盖CA电子公章）：</w:t>
      </w:r>
      <w:r>
        <w:rPr>
          <w:rFonts w:hint="eastAsia" w:ascii="宋体" w:hAnsi="宋体" w:cs="宋体"/>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63"/>
        <w:rPr>
          <w:rFonts w:hint="eastAsia" w:hAnsi="宋体" w:cs="宋体"/>
          <w:highlight w:val="none"/>
        </w:rPr>
      </w:pPr>
      <w:r>
        <w:rPr>
          <w:rFonts w:hint="eastAsia" w:hAnsi="宋体" w:cs="宋体"/>
          <w:highlight w:val="none"/>
        </w:rPr>
      </w:r>
      <w:r/>
    </w:p>
    <w:p>
      <w:pPr>
        <w:pStyle w:val="919"/>
        <w:jc w:val="center"/>
        <w:widowControl/>
        <w:rPr>
          <w:rFonts w:hint="eastAsia" w:ascii="宋体" w:hAnsi="宋体" w:cs="宋体"/>
          <w:b/>
          <w:sz w:val="24"/>
          <w:highlight w:val="none"/>
        </w:rPr>
      </w:pPr>
      <w:r>
        <w:rPr>
          <w:rFonts w:hint="eastAsia" w:ascii="宋体" w:hAnsi="宋体" w:cs="宋体"/>
          <w:b/>
          <w:sz w:val="24"/>
          <w:highlight w:val="none"/>
        </w:rPr>
        <w:t xml:space="preserve">（3）属于监狱企业的证明文件（如需）</w:t>
      </w:r>
      <w:r>
        <w:rPr>
          <w:rFonts w:hint="eastAsia" w:ascii="宋体" w:hAnsi="宋体" w:cs="宋体"/>
          <w:b/>
          <w:sz w:val="24"/>
          <w:highlight w:val="none"/>
        </w:rPr>
      </w:r>
      <w:r/>
    </w:p>
    <w:p>
      <w:pPr>
        <w:pStyle w:val="919"/>
        <w:ind w:firstLine="480"/>
        <w:spacing w:line="440" w:lineRule="exact"/>
        <w:rPr>
          <w:rFonts w:hint="eastAsia" w:ascii="宋体" w:hAnsi="宋体" w:cs="宋体"/>
          <w:sz w:val="24"/>
          <w:highlight w:val="none"/>
        </w:rPr>
      </w:pPr>
      <w:r>
        <w:rPr>
          <w:rFonts w:hint="eastAsia" w:ascii="宋体" w:hAnsi="宋体" w:cs="宋体"/>
          <w:sz w:val="24"/>
          <w:highlight w:val="none"/>
        </w:rPr>
        <w:t xml:space="preserve">（提供由省级以上监狱管理局、戒毒管理局（含新疆生产建设兵团）出具的属于监狱企业的证明文件）</w:t>
      </w:r>
      <w:r>
        <w:rPr>
          <w:rFonts w:hint="eastAsia" w:ascii="宋体" w:hAnsi="宋体" w:cs="宋体"/>
          <w:sz w:val="24"/>
          <w:highlight w:val="none"/>
        </w:rPr>
      </w:r>
      <w:r/>
    </w:p>
    <w:p>
      <w:pPr>
        <w:pStyle w:val="919"/>
        <w:jc w:val="center"/>
        <w:widowControl/>
        <w:rPr>
          <w:rFonts w:hint="eastAsia" w:ascii="宋体" w:hAnsi="宋体" w:cs="宋体"/>
          <w:b/>
          <w:sz w:val="24"/>
          <w:highlight w:val="none"/>
        </w:rPr>
      </w:pPr>
      <w:r>
        <w:rPr>
          <w:rFonts w:hint="eastAsia" w:ascii="宋体" w:hAnsi="宋体" w:cs="宋体"/>
          <w:b/>
          <w:sz w:val="24"/>
          <w:highlight w:val="none"/>
        </w:rPr>
      </w:r>
      <w:r/>
    </w:p>
    <w:p>
      <w:pPr>
        <w:pStyle w:val="955"/>
        <w:ind w:left="1260"/>
        <w:rPr>
          <w:rFonts w:hint="eastAsia" w:ascii="宋体" w:hAnsi="宋体" w:cs="宋体"/>
          <w:highlight w:val="none"/>
        </w:rPr>
      </w:pPr>
      <w:r>
        <w:rPr>
          <w:rFonts w:hint="eastAsia" w:ascii="宋体" w:hAnsi="宋体" w:cs="宋体"/>
          <w:highlight w:val="none"/>
        </w:rPr>
      </w:r>
      <w:r/>
    </w:p>
    <w:p>
      <w:pPr>
        <w:pStyle w:val="919"/>
        <w:jc w:val="center"/>
        <w:rPr>
          <w:rFonts w:hint="eastAsia" w:ascii="宋体" w:hAnsi="宋体" w:cs="宋体"/>
          <w:sz w:val="32"/>
          <w:szCs w:val="32"/>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z w:val="32"/>
          <w:szCs w:val="32"/>
          <w:highlight w:val="none"/>
        </w:rPr>
      </w:r>
      <w:r/>
    </w:p>
    <w:p>
      <w:pPr>
        <w:pStyle w:val="919"/>
        <w:jc w:val="center"/>
        <w:widowControl/>
        <w:rPr>
          <w:rFonts w:hint="eastAsia" w:ascii="宋体" w:hAnsi="宋体" w:cs="宋体"/>
          <w:b/>
          <w:sz w:val="24"/>
          <w:highlight w:val="none"/>
        </w:rPr>
      </w:pPr>
      <w:r>
        <w:rPr>
          <w:rFonts w:hint="eastAsia" w:ascii="宋体" w:hAnsi="宋体" w:cs="宋体"/>
          <w:b/>
          <w:sz w:val="24"/>
          <w:highlight w:val="none"/>
        </w:rPr>
        <w:t xml:space="preserve">（4）关于符合本国产品标准的声明函</w:t>
      </w:r>
      <w:r>
        <w:rPr>
          <w:rFonts w:hint="eastAsia" w:ascii="宋体" w:hAnsi="宋体" w:cs="宋体"/>
          <w:b/>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，生产厂为</w:t>
      </w:r>
      <w:r>
        <w:rPr>
          <w:rFonts w:hint="eastAsia" w:ascii="宋体" w:hAnsi="宋体" w:cs="宋体"/>
          <w:sz w:val="24"/>
          <w:highlight w:val="none"/>
          <w:u w:val="single"/>
        </w:rPr>
        <w:t xml:space="preserve">（厂名）</w:t>
      </w:r>
      <w:r>
        <w:rPr>
          <w:rFonts w:hint="eastAsia" w:ascii="宋体" w:hAnsi="宋体" w:cs="宋体"/>
          <w:sz w:val="24"/>
          <w:highlight w:val="none"/>
        </w:rPr>
        <w:t xml:space="preserve">，厂址为</w:t>
      </w:r>
      <w:r>
        <w:rPr>
          <w:rFonts w:hint="eastAsia" w:ascii="宋体" w:hAnsi="宋体" w:cs="宋体"/>
          <w:sz w:val="24"/>
          <w:highlight w:val="none"/>
          <w:u w:val="single"/>
        </w:rPr>
        <w:t xml:space="preserve">（生产厂址）</w:t>
      </w:r>
      <w:r>
        <w:rPr>
          <w:rFonts w:hint="eastAsia" w:ascii="宋体" w:hAnsi="宋体" w:cs="宋体"/>
          <w:sz w:val="24"/>
          <w:highlight w:val="none"/>
        </w:rPr>
        <w:t xml:space="preserve">。</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的中国境内生产的组件成本占比≥</w:t>
      </w:r>
      <w:r>
        <w:rPr>
          <w:rFonts w:hint="eastAsia" w:ascii="宋体" w:hAnsi="宋体" w:cs="宋体"/>
          <w:sz w:val="24"/>
          <w:highlight w:val="none"/>
          <w:u w:val="single"/>
        </w:rPr>
        <w:t xml:space="preserve">（规定比例）</w:t>
      </w:r>
      <w:r>
        <w:rPr>
          <w:rFonts w:hint="eastAsia" w:ascii="宋体" w:hAnsi="宋体" w:cs="宋体"/>
          <w:sz w:val="24"/>
          <w:highlight w:val="none"/>
        </w:rPr>
        <w:t xml:space="preserve">。</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的</w:t>
      </w:r>
      <w:r>
        <w:rPr>
          <w:rFonts w:hint="eastAsia" w:ascii="宋体" w:hAnsi="宋体" w:cs="宋体"/>
          <w:sz w:val="24"/>
          <w:highlight w:val="none"/>
          <w:u w:val="single"/>
        </w:rPr>
        <w:t xml:space="preserve">（关键组件）</w:t>
      </w:r>
      <w:r>
        <w:rPr>
          <w:rFonts w:hint="eastAsia" w:ascii="宋体" w:hAnsi="宋体" w:cs="宋体"/>
          <w:sz w:val="24"/>
          <w:highlight w:val="none"/>
        </w:rPr>
        <w:t xml:space="preserve">在中国境内生产。</w:t>
      </w:r>
      <w:r>
        <w:rPr>
          <w:rFonts w:hint="eastAsia" w:ascii="宋体" w:hAnsi="宋体" w:cs="宋体"/>
          <w:sz w:val="24"/>
          <w:highlight w:val="none"/>
          <w:u w:val="single"/>
        </w:rPr>
        <w:t xml:space="preserve">（产品名称1）</w:t>
      </w:r>
      <w:r>
        <w:rPr>
          <w:rFonts w:hint="eastAsia" w:ascii="宋体" w:hAnsi="宋体" w:cs="宋体"/>
          <w:sz w:val="24"/>
          <w:highlight w:val="none"/>
        </w:rPr>
        <w:t xml:space="preserve">的</w:t>
      </w:r>
      <w:r>
        <w:rPr>
          <w:rFonts w:hint="eastAsia" w:ascii="宋体" w:hAnsi="宋体" w:cs="宋体"/>
          <w:sz w:val="24"/>
          <w:highlight w:val="none"/>
          <w:u w:val="single"/>
        </w:rPr>
        <w:t xml:space="preserve">（关键工序）</w:t>
      </w:r>
      <w:r>
        <w:rPr>
          <w:rFonts w:hint="eastAsia" w:ascii="宋体" w:hAnsi="宋体" w:cs="宋体"/>
          <w:sz w:val="24"/>
          <w:highlight w:val="none"/>
        </w:rPr>
        <w:t xml:space="preserve">在中国境内完成。</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（产品名称2）</w:t>
      </w:r>
      <w:r>
        <w:rPr>
          <w:rFonts w:hint="eastAsia" w:ascii="宋体" w:hAnsi="宋体" w:cs="宋体"/>
          <w:sz w:val="24"/>
          <w:highlight w:val="none"/>
        </w:rPr>
        <w:t xml:space="preserve">，生产厂为</w:t>
      </w:r>
      <w:r>
        <w:rPr>
          <w:rFonts w:hint="eastAsia" w:ascii="宋体" w:hAnsi="宋体" w:cs="宋体"/>
          <w:sz w:val="24"/>
          <w:highlight w:val="none"/>
          <w:u w:val="single"/>
        </w:rPr>
        <w:t xml:space="preserve">（厂名）</w:t>
      </w:r>
      <w:r>
        <w:rPr>
          <w:rFonts w:hint="eastAsia" w:ascii="宋体" w:hAnsi="宋体" w:cs="宋体"/>
          <w:sz w:val="24"/>
          <w:highlight w:val="none"/>
        </w:rPr>
        <w:t xml:space="preserve">，厂址为</w:t>
      </w:r>
      <w:r>
        <w:rPr>
          <w:rFonts w:hint="eastAsia" w:ascii="宋体" w:hAnsi="宋体" w:cs="宋体"/>
          <w:sz w:val="24"/>
          <w:highlight w:val="none"/>
          <w:u w:val="single"/>
        </w:rPr>
        <w:t xml:space="preserve">（生产厂址）</w:t>
      </w:r>
      <w:r>
        <w:rPr>
          <w:rFonts w:hint="eastAsia" w:ascii="宋体" w:hAnsi="宋体" w:cs="宋体"/>
          <w:sz w:val="24"/>
          <w:highlight w:val="none"/>
        </w:rPr>
        <w:t xml:space="preserve">。</w:t>
      </w:r>
      <w:r>
        <w:rPr>
          <w:rFonts w:hint="eastAsia" w:ascii="宋体" w:hAnsi="宋体" w:cs="宋体"/>
          <w:sz w:val="24"/>
          <w:highlight w:val="none"/>
          <w:u w:val="single"/>
        </w:rPr>
        <w:t xml:space="preserve">（产品名称2）</w:t>
      </w:r>
      <w:r>
        <w:rPr>
          <w:rFonts w:hint="eastAsia" w:ascii="宋体" w:hAnsi="宋体" w:cs="宋体"/>
          <w:sz w:val="24"/>
          <w:highlight w:val="none"/>
        </w:rPr>
        <w:t xml:space="preserve">的中国境内生产的组件成本占比≥</w:t>
      </w:r>
      <w:r>
        <w:rPr>
          <w:rFonts w:hint="eastAsia" w:ascii="宋体" w:hAnsi="宋体" w:cs="宋体"/>
          <w:sz w:val="24"/>
          <w:highlight w:val="none"/>
          <w:u w:val="single"/>
        </w:rPr>
        <w:t xml:space="preserve">（规定比例）</w:t>
      </w:r>
      <w:r>
        <w:rPr>
          <w:rFonts w:hint="eastAsia" w:ascii="宋体" w:hAnsi="宋体" w:cs="宋体"/>
          <w:sz w:val="24"/>
          <w:highlight w:val="none"/>
        </w:rPr>
        <w:t xml:space="preserve">。</w:t>
      </w:r>
      <w:r>
        <w:rPr>
          <w:rFonts w:hint="eastAsia" w:ascii="宋体" w:hAnsi="宋体" w:cs="宋体"/>
          <w:sz w:val="24"/>
          <w:highlight w:val="none"/>
          <w:u w:val="single"/>
        </w:rPr>
        <w:t xml:space="preserve">（产品名称2）</w:t>
      </w:r>
      <w:r>
        <w:rPr>
          <w:rFonts w:hint="eastAsia" w:ascii="宋体" w:hAnsi="宋体" w:cs="宋体"/>
          <w:sz w:val="24"/>
          <w:highlight w:val="none"/>
        </w:rPr>
        <w:t xml:space="preserve">的</w:t>
      </w:r>
      <w:r>
        <w:rPr>
          <w:rFonts w:hint="eastAsia" w:ascii="宋体" w:hAnsi="宋体" w:cs="宋体"/>
          <w:sz w:val="24"/>
          <w:highlight w:val="none"/>
          <w:u w:val="single"/>
        </w:rPr>
        <w:t xml:space="preserve">（关键组件）</w:t>
      </w:r>
      <w:r>
        <w:rPr>
          <w:rFonts w:hint="eastAsia" w:ascii="宋体" w:hAnsi="宋体" w:cs="宋体"/>
          <w:sz w:val="24"/>
          <w:highlight w:val="none"/>
        </w:rPr>
        <w:t xml:space="preserve">在中国境内生产。</w:t>
      </w:r>
      <w:r>
        <w:rPr>
          <w:rFonts w:hint="eastAsia" w:ascii="宋体" w:hAnsi="宋体" w:cs="宋体"/>
          <w:sz w:val="24"/>
          <w:highlight w:val="none"/>
          <w:u w:val="single"/>
        </w:rPr>
        <w:t xml:space="preserve">（产品名称2）</w:t>
      </w:r>
      <w:r>
        <w:rPr>
          <w:rFonts w:hint="eastAsia" w:ascii="宋体" w:hAnsi="宋体" w:cs="宋体"/>
          <w:sz w:val="24"/>
          <w:highlight w:val="none"/>
        </w:rPr>
        <w:t xml:space="preserve">的</w:t>
      </w:r>
      <w:r>
        <w:rPr>
          <w:rFonts w:hint="eastAsia" w:ascii="宋体" w:hAnsi="宋体" w:cs="宋体"/>
          <w:sz w:val="24"/>
          <w:highlight w:val="none"/>
          <w:u w:val="single"/>
        </w:rPr>
        <w:t xml:space="preserve">（关键工序）</w:t>
      </w:r>
      <w:r>
        <w:rPr>
          <w:rFonts w:hint="eastAsia" w:ascii="宋体" w:hAnsi="宋体" w:cs="宋体"/>
          <w:sz w:val="24"/>
          <w:highlight w:val="none"/>
        </w:rPr>
        <w:t xml:space="preserve">在中国境内完成。</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本公司（单位）对上述声明内容的真实性负责。如有虚假，愿承担相应法律责任。</w:t>
      </w:r>
      <w:r>
        <w:rPr>
          <w:rFonts w:hint="eastAsia" w:ascii="宋体" w:hAnsi="宋体" w:cs="宋体"/>
          <w:sz w:val="24"/>
          <w:highlight w:val="none"/>
        </w:rPr>
      </w:r>
      <w:r/>
    </w:p>
    <w:p>
      <w:pPr>
        <w:pStyle w:val="919"/>
        <w:jc w:val="left"/>
        <w:rPr>
          <w:rFonts w:hint="eastAsia" w:ascii="宋体" w:hAnsi="宋体" w:cs="宋体"/>
          <w:sz w:val="24"/>
          <w:highlight w:val="none"/>
        </w:rPr>
      </w:pP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公司（单位）名称（盖公章/加盖CA电子公章）：   </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19"/>
        <w:jc w:val="left"/>
        <w:rPr>
          <w:rFonts w:ascii="宋体" w:hAnsi="宋体" w:cs="宋体"/>
          <w:sz w:val="24"/>
          <w:highlight w:val="none"/>
        </w:rPr>
      </w:pPr>
      <w:r>
        <w:rPr>
          <w:rFonts w:hint="eastAsia" w:ascii="宋体" w:hAnsi="宋体" w:cs="宋体"/>
          <w:sz w:val="24"/>
          <w:highlight w:val="none"/>
        </w:rPr>
        <w:t xml:space="preserve">说明：</w:t>
      </w:r>
      <w:r>
        <w:rPr>
          <w:rFonts w:ascii="宋体" w:hAnsi="宋体" w:cs="宋体"/>
          <w:sz w:val="24"/>
          <w:highlight w:val="none"/>
        </w:rPr>
      </w:r>
      <w:r/>
    </w:p>
    <w:p>
      <w:pPr>
        <w:pStyle w:val="919"/>
        <w:ind w:firstLine="480"/>
        <w:rPr>
          <w:rFonts w:hint="eastAsia" w:ascii="宋体" w:hAnsi="宋体" w:eastAsia="仿宋" w:cs="宋体"/>
          <w:sz w:val="24"/>
          <w:highlight w:val="none"/>
        </w:rPr>
      </w:pPr>
      <w:r>
        <w:rPr>
          <w:rStyle w:val="994"/>
          <w:rFonts w:hint="eastAsia" w:ascii="仿宋" w:hAnsi="仿宋" w:eastAsia="仿宋" w:cs="仿宋"/>
          <w:sz w:val="24"/>
          <w:highlight w:val="none"/>
          <w:shd w:val="clear" w:color="auto" w:fill="ffffff"/>
        </w:rPr>
        <w:t xml:space="preserve">“（产品名称）</w:t>
      </w:r>
      <w:r>
        <w:rPr>
          <w:rStyle w:val="994"/>
          <w:rFonts w:hint="eastAsia" w:ascii="仿宋" w:hAnsi="仿宋" w:eastAsia="仿宋" w:cs="仿宋"/>
          <w:sz w:val="24"/>
          <w:highlight w:val="none"/>
          <w:shd w:val="clear" w:color="auto" w:fill="ffffff"/>
          <w:vertAlign w:val="superscript"/>
        </w:rPr>
        <w:t xml:space="preserve">1</w:t>
      </w:r>
      <w:r>
        <w:rPr>
          <w:rFonts w:hint="eastAsia" w:ascii="仿宋" w:hAnsi="仿宋" w:eastAsia="仿宋" w:cs="仿宋"/>
          <w:sz w:val="24"/>
          <w:highlight w:val="none"/>
          <w:shd w:val="clear" w:color="auto" w:fill="ffffff"/>
        </w:rPr>
        <w:t xml:space="preserve">，生产厂为</w:t>
      </w:r>
      <w:r>
        <w:rPr>
          <w:rStyle w:val="994"/>
          <w:rFonts w:hint="eastAsia" w:ascii="仿宋" w:hAnsi="仿宋" w:eastAsia="仿宋" w:cs="仿宋"/>
          <w:sz w:val="24"/>
          <w:highlight w:val="none"/>
          <w:shd w:val="clear" w:color="auto" w:fill="ffffff"/>
        </w:rPr>
        <w:t xml:space="preserve">（厂名）</w:t>
      </w:r>
      <w:r>
        <w:rPr>
          <w:rStyle w:val="994"/>
          <w:rFonts w:hint="eastAsia" w:ascii="仿宋" w:hAnsi="仿宋" w:eastAsia="仿宋" w:cs="仿宋"/>
          <w:sz w:val="24"/>
          <w:highlight w:val="none"/>
          <w:shd w:val="clear" w:color="auto" w:fill="ffffff"/>
          <w:vertAlign w:val="superscript"/>
        </w:rPr>
        <w:t xml:space="preserve">2</w:t>
      </w:r>
      <w:r>
        <w:rPr>
          <w:rFonts w:hint="eastAsia" w:ascii="仿宋" w:hAnsi="仿宋" w:eastAsia="仿宋" w:cs="仿宋"/>
          <w:sz w:val="24"/>
          <w:highlight w:val="none"/>
          <w:shd w:val="clear" w:color="auto" w:fill="ffffff"/>
        </w:rPr>
        <w:t xml:space="preserve">，厂址为</w:t>
      </w:r>
      <w:r>
        <w:rPr>
          <w:rStyle w:val="994"/>
          <w:rFonts w:hint="eastAsia" w:ascii="仿宋" w:hAnsi="仿宋" w:eastAsia="仿宋" w:cs="仿宋"/>
          <w:sz w:val="24"/>
          <w:highlight w:val="none"/>
          <w:shd w:val="clear" w:color="auto" w:fill="ffffff"/>
        </w:rPr>
        <w:t xml:space="preserve">（生产厂址）</w:t>
      </w:r>
      <w:r>
        <w:rPr>
          <w:rFonts w:hint="eastAsia" w:ascii="仿宋" w:hAnsi="仿宋" w:eastAsia="仿宋" w:cs="仿宋"/>
          <w:sz w:val="24"/>
          <w:highlight w:val="none"/>
          <w:shd w:val="clear" w:color="auto" w:fill="ffffff"/>
        </w:rPr>
        <w:t xml:space="preserve">。</w:t>
      </w:r>
      <w:r>
        <w:rPr>
          <w:rStyle w:val="994"/>
          <w:rFonts w:hint="eastAsia" w:ascii="仿宋" w:hAnsi="仿宋" w:eastAsia="仿宋" w:cs="仿宋"/>
          <w:sz w:val="24"/>
          <w:highlight w:val="none"/>
          <w:shd w:val="clear" w:color="auto" w:fill="ffffff"/>
        </w:rPr>
        <w:t xml:space="preserve">（产品名称）</w:t>
      </w:r>
      <w:r>
        <w:rPr>
          <w:rFonts w:hint="eastAsia" w:ascii="仿宋" w:hAnsi="仿宋" w:eastAsia="仿宋" w:cs="仿宋"/>
          <w:sz w:val="24"/>
          <w:highlight w:val="none"/>
          <w:shd w:val="clear" w:color="auto" w:fill="ffffff"/>
        </w:rPr>
        <w:t xml:space="preserve">的中国境内生产的组件成本占比≥</w:t>
      </w:r>
      <w:r>
        <w:rPr>
          <w:rStyle w:val="994"/>
          <w:rFonts w:hint="eastAsia" w:ascii="仿宋" w:hAnsi="仿宋" w:eastAsia="仿宋" w:cs="仿宋"/>
          <w:sz w:val="24"/>
          <w:highlight w:val="none"/>
          <w:shd w:val="clear" w:color="auto" w:fill="ffffff"/>
        </w:rPr>
        <w:t xml:space="preserve">（规定比例）</w:t>
      </w:r>
      <w:r>
        <w:rPr>
          <w:rStyle w:val="994"/>
          <w:rFonts w:hint="eastAsia" w:ascii="仿宋" w:hAnsi="仿宋" w:eastAsia="仿宋" w:cs="仿宋"/>
          <w:sz w:val="24"/>
          <w:highlight w:val="none"/>
          <w:shd w:val="clear" w:color="auto" w:fill="ffffff"/>
          <w:vertAlign w:val="superscript"/>
        </w:rPr>
        <w:t xml:space="preserve">3</w:t>
      </w:r>
      <w:r>
        <w:rPr>
          <w:rFonts w:hint="eastAsia" w:ascii="仿宋" w:hAnsi="仿宋" w:eastAsia="仿宋" w:cs="仿宋"/>
          <w:sz w:val="24"/>
          <w:highlight w:val="none"/>
          <w:shd w:val="clear" w:color="auto" w:fill="ffffff"/>
        </w:rPr>
        <w:t xml:space="preserve">。</w:t>
      </w:r>
      <w:r>
        <w:rPr>
          <w:rStyle w:val="994"/>
          <w:rFonts w:hint="eastAsia" w:ascii="仿宋" w:hAnsi="仿宋" w:eastAsia="仿宋" w:cs="仿宋"/>
          <w:sz w:val="24"/>
          <w:highlight w:val="none"/>
          <w:shd w:val="clear" w:color="auto" w:fill="ffffff"/>
        </w:rPr>
        <w:t xml:space="preserve">（产品名称）</w:t>
      </w:r>
      <w:r>
        <w:rPr>
          <w:rFonts w:hint="eastAsia" w:ascii="仿宋" w:hAnsi="仿宋" w:eastAsia="仿宋" w:cs="仿宋"/>
          <w:sz w:val="24"/>
          <w:highlight w:val="none"/>
          <w:shd w:val="clear" w:color="auto" w:fill="ffffff"/>
        </w:rPr>
        <w:t xml:space="preserve">的</w:t>
      </w:r>
      <w:r>
        <w:rPr>
          <w:rStyle w:val="994"/>
          <w:rFonts w:hint="eastAsia" w:ascii="仿宋" w:hAnsi="仿宋" w:eastAsia="仿宋" w:cs="仿宋"/>
          <w:sz w:val="24"/>
          <w:highlight w:val="none"/>
          <w:shd w:val="clear" w:color="auto" w:fill="ffffff"/>
        </w:rPr>
        <w:t xml:space="preserve">（关键组件）</w:t>
      </w:r>
      <w:r>
        <w:rPr>
          <w:rStyle w:val="994"/>
          <w:rFonts w:hint="eastAsia" w:ascii="仿宋" w:hAnsi="仿宋" w:eastAsia="仿宋" w:cs="仿宋"/>
          <w:sz w:val="24"/>
          <w:highlight w:val="none"/>
          <w:shd w:val="clear" w:color="auto" w:fill="ffffff"/>
          <w:vertAlign w:val="superscript"/>
        </w:rPr>
        <w:t xml:space="preserve">4</w:t>
      </w:r>
      <w:r>
        <w:rPr>
          <w:rFonts w:hint="eastAsia" w:ascii="仿宋" w:hAnsi="仿宋" w:eastAsia="仿宋" w:cs="仿宋"/>
          <w:sz w:val="24"/>
          <w:highlight w:val="none"/>
          <w:shd w:val="clear" w:color="auto" w:fill="ffffff"/>
        </w:rPr>
        <w:t xml:space="preserve">在中国境内生产。</w:t>
      </w:r>
      <w:r>
        <w:rPr>
          <w:rStyle w:val="994"/>
          <w:rFonts w:hint="eastAsia" w:ascii="仿宋" w:hAnsi="仿宋" w:eastAsia="仿宋" w:cs="仿宋"/>
          <w:sz w:val="24"/>
          <w:highlight w:val="none"/>
          <w:shd w:val="clear" w:color="auto" w:fill="ffffff"/>
        </w:rPr>
        <w:t xml:space="preserve">（产品名称）</w:t>
      </w:r>
      <w:r>
        <w:rPr>
          <w:rFonts w:hint="eastAsia" w:ascii="仿宋" w:hAnsi="仿宋" w:eastAsia="仿宋" w:cs="仿宋"/>
          <w:sz w:val="24"/>
          <w:highlight w:val="none"/>
          <w:shd w:val="clear" w:color="auto" w:fill="ffffff"/>
        </w:rPr>
        <w:t xml:space="preserve">的</w:t>
      </w:r>
      <w:r>
        <w:rPr>
          <w:rStyle w:val="994"/>
          <w:rFonts w:hint="eastAsia" w:ascii="仿宋" w:hAnsi="仿宋" w:eastAsia="仿宋" w:cs="仿宋"/>
          <w:sz w:val="24"/>
          <w:highlight w:val="none"/>
          <w:shd w:val="clear" w:color="auto" w:fill="ffffff"/>
        </w:rPr>
        <w:t xml:space="preserve">（关键工序）</w:t>
      </w:r>
      <w:r>
        <w:rPr>
          <w:rStyle w:val="994"/>
          <w:rFonts w:hint="eastAsia" w:ascii="仿宋" w:hAnsi="仿宋" w:eastAsia="仿宋" w:cs="仿宋"/>
          <w:sz w:val="24"/>
          <w:highlight w:val="none"/>
          <w:shd w:val="clear" w:color="auto" w:fill="ffffff"/>
          <w:vertAlign w:val="superscript"/>
        </w:rPr>
        <w:t xml:space="preserve">5</w:t>
      </w:r>
      <w:r>
        <w:rPr>
          <w:rFonts w:hint="eastAsia" w:ascii="仿宋" w:hAnsi="仿宋" w:eastAsia="仿宋" w:cs="仿宋"/>
          <w:sz w:val="24"/>
          <w:highlight w:val="none"/>
          <w:shd w:val="clear" w:color="auto" w:fill="ffffff"/>
        </w:rPr>
        <w:t xml:space="preserve">在中国境内完成。”</w:t>
      </w:r>
      <w:r>
        <w:rPr>
          <w:rFonts w:hint="eastAsia" w:ascii="宋体" w:hAnsi="宋体" w:eastAsia="仿宋" w:cs="宋体"/>
          <w:sz w:val="24"/>
          <w:highlight w:val="none"/>
        </w:rPr>
      </w:r>
      <w:r/>
    </w:p>
    <w:p>
      <w:pPr>
        <w:pStyle w:val="919"/>
        <w:ind w:firstLine="420"/>
        <w:jc w:val="left"/>
        <w:rPr>
          <w:rFonts w:hint="eastAsia" w:ascii="宋体" w:hAnsi="宋体" w:cs="宋体"/>
          <w:sz w:val="24"/>
          <w:highlight w:val="none"/>
        </w:rPr>
      </w:pPr>
      <w:r>
        <w:rPr>
          <w:rFonts w:hint="eastAsia" w:ascii="宋体" w:hAnsi="宋体" w:cs="宋体"/>
          <w:sz w:val="24"/>
          <w:highlight w:val="none"/>
        </w:rPr>
      </w:r>
      <w:r/>
    </w:p>
    <w:p>
      <w:pPr>
        <w:pStyle w:val="919"/>
        <w:ind w:firstLine="420"/>
        <w:jc w:val="left"/>
        <w:rPr>
          <w:rFonts w:hint="eastAsia" w:ascii="宋体" w:hAnsi="宋体" w:cs="宋体"/>
          <w:sz w:val="24"/>
          <w:highlight w:val="none"/>
        </w:rPr>
      </w:pPr>
      <w:r>
        <w:rPr>
          <w:rFonts w:hint="eastAsia" w:ascii="宋体" w:hAnsi="宋体" w:cs="宋体"/>
          <w:sz w:val="24"/>
          <w:highlight w:val="none"/>
        </w:rPr>
        <w:t xml:space="preserve">1.产品如有型号，请在“产品名称”栏一并填写。</w:t>
      </w:r>
      <w:r>
        <w:rPr>
          <w:rFonts w:hint="eastAsia" w:ascii="宋体" w:hAnsi="宋体" w:cs="宋体"/>
          <w:sz w:val="24"/>
          <w:highlight w:val="none"/>
        </w:rPr>
      </w:r>
      <w:r/>
    </w:p>
    <w:p>
      <w:pPr>
        <w:pStyle w:val="919"/>
        <w:ind w:firstLine="420"/>
        <w:jc w:val="left"/>
        <w:rPr>
          <w:rFonts w:hint="eastAsia" w:ascii="宋体" w:hAnsi="宋体" w:cs="宋体"/>
          <w:sz w:val="24"/>
          <w:highlight w:val="none"/>
        </w:rPr>
      </w:pPr>
      <w:r>
        <w:rPr>
          <w:rFonts w:hint="eastAsia" w:ascii="宋体" w:hAnsi="宋体" w:cs="宋体"/>
          <w:sz w:val="24"/>
          <w:highlight w:val="none"/>
        </w:rPr>
        <w:t xml:space="preserve">2.生产厂名与厂址应与生产厂营业执照载明的相关信息保持一致。</w:t>
      </w:r>
      <w:r>
        <w:rPr>
          <w:rFonts w:hint="eastAsia" w:ascii="宋体" w:hAnsi="宋体" w:cs="宋体"/>
          <w:sz w:val="24"/>
          <w:highlight w:val="none"/>
        </w:rPr>
      </w:r>
      <w:r/>
    </w:p>
    <w:p>
      <w:pPr>
        <w:pStyle w:val="919"/>
        <w:ind w:firstLine="420"/>
        <w:jc w:val="left"/>
        <w:rPr>
          <w:rFonts w:hint="eastAsia" w:ascii="宋体" w:hAnsi="宋体" w:cs="宋体"/>
          <w:sz w:val="24"/>
          <w:highlight w:val="none"/>
        </w:rPr>
      </w:pPr>
      <w:r>
        <w:rPr>
          <w:rFonts w:hint="eastAsia" w:ascii="宋体" w:hAnsi="宋体" w:cs="宋体"/>
          <w:sz w:val="24"/>
          <w:highlight w:val="none"/>
        </w:rPr>
        <w:t xml:space="preserve">3.该产品的中国境内生产的组件成本占比相关要求实施前，“规定比例”栏可不填，下同。</w:t>
      </w:r>
      <w:r>
        <w:rPr>
          <w:rFonts w:hint="eastAsia" w:ascii="宋体" w:hAnsi="宋体" w:cs="宋体"/>
          <w:sz w:val="24"/>
          <w:highlight w:val="none"/>
        </w:rPr>
      </w:r>
      <w:r/>
    </w:p>
    <w:p>
      <w:pPr>
        <w:pStyle w:val="919"/>
        <w:ind w:firstLine="420"/>
        <w:jc w:val="left"/>
        <w:rPr>
          <w:rFonts w:hint="eastAsia" w:ascii="宋体" w:hAnsi="宋体" w:cs="宋体"/>
          <w:sz w:val="24"/>
          <w:highlight w:val="none"/>
        </w:rPr>
      </w:pPr>
      <w:r>
        <w:rPr>
          <w:rFonts w:hint="eastAsia" w:ascii="宋体" w:hAnsi="宋体" w:cs="宋体"/>
          <w:sz w:val="24"/>
          <w:highlight w:val="none"/>
        </w:rPr>
        <w:t xml:space="preserve">4.该产品的关键组件要求实施前，“关键组件”栏可不填，下同。</w:t>
      </w:r>
      <w:r>
        <w:rPr>
          <w:rFonts w:hint="eastAsia" w:ascii="宋体" w:hAnsi="宋体" w:cs="宋体"/>
          <w:sz w:val="24"/>
          <w:highlight w:val="none"/>
        </w:rPr>
      </w:r>
      <w:r/>
    </w:p>
    <w:p>
      <w:pPr>
        <w:pStyle w:val="919"/>
        <w:ind w:firstLine="420"/>
        <w:jc w:val="left"/>
        <w:rPr>
          <w:rFonts w:hint="eastAsia" w:ascii="宋体" w:hAnsi="宋体" w:cs="宋体"/>
          <w:sz w:val="24"/>
          <w:highlight w:val="none"/>
        </w:rPr>
      </w:pPr>
      <w:r>
        <w:rPr>
          <w:rFonts w:hint="eastAsia" w:ascii="宋体" w:hAnsi="宋体" w:cs="宋体"/>
          <w:sz w:val="24"/>
          <w:highlight w:val="none"/>
        </w:rPr>
        <w:t xml:space="preserve">5.该产品的关键工序要求实施前，“关键工序”栏可不填，下同。</w:t>
      </w:r>
      <w:r>
        <w:rPr>
          <w:rFonts w:hint="eastAsia" w:ascii="宋体" w:hAnsi="宋体" w:cs="宋体"/>
          <w:sz w:val="24"/>
          <w:highlight w:val="none"/>
        </w:rPr>
      </w:r>
      <w:r/>
    </w:p>
    <w:p>
      <w:pPr>
        <w:pStyle w:val="919"/>
        <w:ind w:firstLine="420"/>
        <w:jc w:val="left"/>
        <w:rPr>
          <w:rFonts w:hint="eastAsia" w:ascii="宋体" w:hAnsi="宋体" w:cs="宋体"/>
          <w:sz w:val="24"/>
          <w:highlight w:val="none"/>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z w:val="24"/>
          <w:highlight w:val="none"/>
        </w:rPr>
        <w:t xml:space="preserve">6.采购人或采购代理机构有权将以上内容进行公示。</w:t>
      </w:r>
      <w:r>
        <w:rPr>
          <w:rFonts w:hint="eastAsia" w:ascii="宋体" w:hAnsi="宋体" w:cs="宋体"/>
          <w:sz w:val="24"/>
          <w:highlight w:val="none"/>
        </w:rPr>
      </w:r>
      <w:r/>
    </w:p>
    <w:p>
      <w:pPr>
        <w:pStyle w:val="919"/>
        <w:jc w:val="center"/>
        <w:widowControl/>
        <w:rPr>
          <w:rFonts w:hint="eastAsia" w:ascii="宋体" w:hAnsi="宋体" w:cs="宋体"/>
          <w:b/>
          <w:sz w:val="28"/>
          <w:szCs w:val="28"/>
          <w:highlight w:val="none"/>
        </w:rPr>
      </w:pPr>
      <w:r>
        <w:rPr>
          <w:rFonts w:hint="eastAsia" w:ascii="宋体" w:hAnsi="宋体" w:cs="宋体"/>
          <w:b/>
          <w:sz w:val="28"/>
          <w:szCs w:val="28"/>
          <w:highlight w:val="none"/>
        </w:rPr>
        <w:t xml:space="preserve">《关于符合本国产品标准的声明函》附件</w:t>
      </w:r>
      <w:r>
        <w:rPr>
          <w:rFonts w:hint="eastAsia" w:ascii="宋体" w:hAnsi="宋体" w:cs="宋体"/>
          <w:b/>
          <w:sz w:val="28"/>
          <w:szCs w:val="28"/>
          <w:highlight w:val="none"/>
        </w:rPr>
      </w:r>
      <w:r/>
    </w:p>
    <w:p>
      <w:pPr>
        <w:pStyle w:val="919"/>
        <w:jc w:val="center"/>
        <w:widowControl/>
        <w:rPr>
          <w:rFonts w:hint="eastAsia" w:ascii="宋体" w:hAnsi="宋体" w:cs="宋体"/>
          <w:b/>
          <w:sz w:val="28"/>
          <w:szCs w:val="28"/>
          <w:highlight w:val="none"/>
        </w:rPr>
      </w:pPr>
      <w:r>
        <w:rPr>
          <w:rFonts w:hint="eastAsia" w:ascii="宋体" w:hAnsi="宋体" w:cs="宋体"/>
          <w:b/>
          <w:sz w:val="28"/>
          <w:szCs w:val="28"/>
          <w:highlight w:val="none"/>
        </w:rPr>
        <w:t xml:space="preserve">成本比例声明函</w:t>
      </w:r>
      <w:r>
        <w:rPr>
          <w:rFonts w:hint="eastAsia" w:ascii="宋体" w:hAnsi="宋体" w:cs="宋体"/>
          <w:b/>
          <w:sz w:val="28"/>
          <w:szCs w:val="28"/>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（适用于采购项目或者采购包中含有多种产品时，不提供或者提供声明的比例达不到要求时，不享受价格扣除）</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cs="宋体"/>
          <w:sz w:val="24"/>
          <w:highlight w:val="none"/>
          <w:u w:val="single"/>
        </w:rPr>
        <w:t xml:space="preserve">       </w:t>
      </w:r>
      <w:r>
        <w:rPr>
          <w:rFonts w:hint="eastAsia" w:ascii="宋体" w:hAnsi="宋体" w:cs="宋体"/>
          <w:sz w:val="24"/>
          <w:highlight w:val="none"/>
        </w:rPr>
        <w:t xml:space="preserve">%（填写具体百分比）。</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本公司（单位）对上述声明内容的真实性负责。如有虚假，愿承担相应法律责任。</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公司（单位）名称（盖公章/加盖CA电子公章）:       </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t xml:space="preserve">日期:  年  月  日</w:t>
      </w:r>
      <w:r>
        <w:rPr>
          <w:rFonts w:hint="eastAsia" w:ascii="宋体" w:hAnsi="宋体" w:cs="宋体"/>
          <w:sz w:val="24"/>
          <w:highlight w:val="none"/>
        </w:rPr>
      </w:r>
      <w:r/>
    </w:p>
    <w:p>
      <w:pPr>
        <w:pStyle w:val="919"/>
        <w:ind w:firstLine="480"/>
        <w:jc w:val="left"/>
        <w:rPr>
          <w:rFonts w:hint="eastAsia" w:ascii="宋体" w:hAnsi="宋体" w:cs="宋体"/>
          <w:sz w:val="24"/>
          <w:highlight w:val="none"/>
        </w:rPr>
      </w:pPr>
      <w:r>
        <w:rPr>
          <w:rFonts w:hint="eastAsia" w:ascii="宋体" w:hAnsi="宋体" w:cs="宋体"/>
          <w:sz w:val="24"/>
          <w:highlight w:val="none"/>
        </w:rPr>
      </w:r>
      <w:r/>
    </w:p>
    <w:p>
      <w:pPr>
        <w:pStyle w:val="919"/>
        <w:spacing w:line="360" w:lineRule="auto"/>
        <w:rPr>
          <w:rFonts w:hint="eastAsia" w:ascii="宋体" w:hAnsi="宋体" w:cs="宋体"/>
          <w:bCs/>
          <w:highlight w:val="none"/>
        </w:rPr>
      </w:pPr>
      <w:r>
        <w:rPr>
          <w:rFonts w:hint="eastAsia" w:ascii="宋体" w:hAnsi="宋体" w:cs="宋体"/>
          <w:sz w:val="24"/>
          <w:highlight w:val="none"/>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highlight w:val="none"/>
        </w:rPr>
      </w:r>
      <w:r/>
    </w:p>
    <w:p>
      <w:pPr>
        <w:pStyle w:val="919"/>
        <w:spacing w:line="360" w:lineRule="auto"/>
        <w:rPr>
          <w:rFonts w:hint="eastAsia" w:ascii="宋体" w:hAnsi="宋体" w:cs="宋体"/>
          <w:b/>
          <w:bCs/>
          <w:highlight w:val="none"/>
        </w:rPr>
      </w:pPr>
      <w:r>
        <w:rPr>
          <w:rFonts w:hint="eastAsia" w:ascii="宋体" w:hAnsi="宋体" w:cs="宋体"/>
          <w:b/>
          <w:bCs/>
          <w:highlight w:val="none"/>
        </w:rPr>
      </w:r>
      <w:r/>
    </w:p>
    <w:p>
      <w:pPr>
        <w:pStyle w:val="919"/>
        <w:spacing w:line="360" w:lineRule="auto"/>
        <w:rPr>
          <w:rFonts w:hint="eastAsia" w:ascii="宋体" w:hAnsi="宋体" w:cs="宋体"/>
          <w:b/>
          <w:sz w:val="24"/>
          <w:szCs w:val="32"/>
          <w:highlight w:val="none"/>
        </w:rPr>
      </w:pPr>
      <w:r>
        <w:rPr>
          <w:rFonts w:hint="eastAsia" w:ascii="宋体" w:hAnsi="宋体" w:cs="宋体"/>
          <w:b/>
          <w:szCs w:val="21"/>
          <w:highlight w:val="none"/>
          <w:lang w:val="zh-CN"/>
        </w:rPr>
        <w:br w:type="page" w:clear="all"/>
      </w:r>
      <w:r>
        <w:rPr>
          <w:rFonts w:hint="eastAsia" w:ascii="宋体" w:hAnsi="宋体" w:cs="宋体"/>
          <w:b/>
          <w:sz w:val="24"/>
          <w:szCs w:val="32"/>
          <w:highlight w:val="none"/>
        </w:rPr>
      </w:r>
      <w:r/>
    </w:p>
    <w:p>
      <w:pPr>
        <w:pStyle w:val="919"/>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11、资格资信证明文件</w:t>
      </w:r>
      <w:r>
        <w:rPr>
          <w:rFonts w:hint="eastAsia" w:ascii="宋体" w:hAnsi="宋体" w:cs="宋体"/>
          <w:b/>
          <w:sz w:val="28"/>
          <w:szCs w:val="28"/>
          <w:highlight w:val="none"/>
        </w:rPr>
      </w:r>
      <w:r/>
    </w:p>
    <w:p>
      <w:pPr>
        <w:pStyle w:val="919"/>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919"/>
        <w:spacing w:line="360" w:lineRule="auto"/>
        <w:rPr>
          <w:rFonts w:hint="eastAsia" w:ascii="宋体" w:hAnsi="宋体" w:cs="宋体"/>
          <w:b/>
          <w:sz w:val="28"/>
          <w:szCs w:val="28"/>
          <w:highlight w:val="none"/>
        </w:rPr>
      </w:pPr>
      <w:r>
        <w:rPr>
          <w:rFonts w:hint="eastAsia" w:ascii="宋体" w:hAnsi="宋体" w:cs="宋体"/>
          <w:b/>
          <w:sz w:val="28"/>
          <w:szCs w:val="28"/>
          <w:highlight w:val="none"/>
        </w:rPr>
      </w:r>
      <w:r/>
    </w:p>
    <w:p>
      <w:pPr>
        <w:pStyle w:val="919"/>
        <w:spacing w:line="360" w:lineRule="auto"/>
        <w:rPr>
          <w:rFonts w:hint="eastAsia" w:ascii="宋体" w:hAnsi="宋体" w:cs="宋体"/>
          <w:b/>
          <w:sz w:val="28"/>
          <w:szCs w:val="28"/>
          <w:highlight w:val="none"/>
        </w:rPr>
      </w:pPr>
      <w:r>
        <w:rPr>
          <w:rFonts w:hint="eastAsia" w:ascii="宋体" w:hAnsi="宋体" w:cs="宋体"/>
          <w:b/>
          <w:sz w:val="28"/>
          <w:szCs w:val="28"/>
          <w:highlight w:val="none"/>
        </w:rPr>
        <w:t xml:space="preserve">12、其他</w:t>
      </w:r>
      <w:r/>
    </w:p>
    <w:sectPr>
      <w:footnotePr/>
      <w:endnotePr/>
      <w:type w:val="nextPage"/>
      <w:pgSz w:w="11906" w:h="16838" w:orient="portrait"/>
      <w:pgMar w:top="1440" w:right="1800" w:bottom="1440" w:left="16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rial Unicode MS">
    <w:panose1 w:val="020B0604020202020204"/>
  </w:font>
  <w:font w:name="Symbol">
    <w:panose1 w:val="05050102010706020507"/>
  </w:font>
  <w:font w:name="Wingdings">
    <w:panose1 w:val="05000000000000000000"/>
  </w:font>
  <w:font w:name="Courier New">
    <w:panose1 w:val="02070309020205020404"/>
  </w:font>
  <w:font w:name="Tahoma">
    <w:panose1 w:val="020B0604030504040204"/>
  </w:font>
  <w:font w:name="KNLe">
    <w:panose1 w:val="020B0503020202020204"/>
  </w:font>
  <w:font w:name="华文细黑">
    <w:panose1 w:val="02010600040101010101"/>
  </w:font>
  <w:font w:name="宋体_GB2312">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rPr>
        <w:rFonts w:asci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- 0 -</w:t>
                          </w:r>
                          <w:r>
                            <w:fldChar w:fldCharType="end"/>
                          </w:r>
                          <w:r/>
                        </w:p>
                        <w:p>
                          <w:pPr>
                            <w:pStyle w:val="91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- 0 -</w:t>
                    </w:r>
                    <w:r>
                      <w:fldChar w:fldCharType="end"/>
                    </w:r>
                    <w:r/>
                  </w:p>
                  <w:p>
                    <w:pPr>
                      <w:pStyle w:val="919"/>
                    </w:pPr>
                    <w:r/>
                    <w:r/>
                  </w:p>
                </w:txbxContent>
              </v:textbox>
            </v:shape>
          </w:pict>
        </mc:Fallback>
      </mc:AlternateContent>
    </w:r>
    <w:r>
      <w:rPr>
        <w:rFonts w:ascii="宋体_GB2312" w:eastAsia="宋体_GB231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19"/>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pPr>
                      <w:pStyle w:val="919"/>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left="4817"/>
      <w:spacing w:line="228"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919"/>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7"/>
                      <w:tabs>
                        <w:tab w:val="clear" w:pos="4153" w:leader="none"/>
                        <w:tab w:val="clear" w:pos="8306" w:leader="none"/>
                      </w:tabs>
                    </w:pPr>
                    <w:r>
                      <w:fldChar w:fldCharType="begin"/>
                    </w:r>
                    <w:r>
                      <w:instrText xml:space="preserve"> PAGE  \* MERGEFORMAT </w:instrText>
                    </w:r>
                    <w:r>
                      <w:fldChar w:fldCharType="separate"/>
                    </w:r>
                    <w:r>
                      <w:t xml:space="preserve">- 2 -</w:t>
                    </w:r>
                    <w:r>
                      <w:fldChar w:fldCharType="end"/>
                    </w:r>
                    <w:r/>
                  </w:p>
                  <w:p>
                    <w:pPr>
                      <w:pStyle w:val="919"/>
                    </w:pPr>
                    <w:r/>
                    <w:r/>
                  </w:p>
                </w:txbxContent>
              </v:textbox>
            </v:shape>
          </w:pict>
        </mc:Fallback>
      </mc:AlternateContent>
    </w:r>
    <w:r>
      <w:rPr>
        <w:sz w:val="18"/>
        <w:szCs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一-- 65 -</w:t>
                          </w:r>
                          <w:r>
                            <w:rPr>
                              <w:rFonts w:hint="eastAsia"/>
                            </w:rPr>
                            <w:fldChar w:fldCharType="end"/>
                          </w:r>
                          <w:r/>
                        </w:p>
                        <w:p>
                          <w:pPr>
                            <w:pStyle w:val="919"/>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一-- 65 -</w:t>
                    </w:r>
                    <w:r>
                      <w:rPr>
                        <w:rFonts w:hint="eastAsia"/>
                      </w:rPr>
                      <w:fldChar w:fldCharType="end"/>
                    </w:r>
                    <w:r/>
                  </w:p>
                  <w:p>
                    <w:pPr>
                      <w:pStyle w:val="9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center" w:pos="4153" w:leader="none"/>
        <w:tab w:val="right" w:pos="8306" w:leader="none"/>
      </w:tabs>
    </w:pPr>
    <w:r>
      <w:rPr>
        <w:rFonts w:hint="eastAsia"/>
      </w:rPr>
      <w:t xml:space="preserve">江苏省特检院劳保服装采购-招标文件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tabs>
        <w:tab w:val="center" w:pos="4153" w:leader="none"/>
        <w:tab w:val="right" w:pos="8306" w:leader="none"/>
      </w:tabs>
    </w:pPr>
    <w:r>
      <mc:AlternateContent>
        <mc:Choice Requires="wpg">
          <w:drawing>
            <wp:inline xmlns:wp="http://schemas.openxmlformats.org/drawingml/2006/wordprocessingDrawing" distT="0" distB="0" distL="0" distR="0">
              <wp:extent cx="2099907" cy="2756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99907" cy="275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3pt;height:21.7pt;mso-wrap-distance-left:0.0pt;mso-wrap-distance-top:0.0pt;mso-wrap-distance-right:0.0pt;mso-wrap-distance-bottom:0.0pt;" stroked="f">
              <v:path textboxrect="0,0,0,0"/>
              <v:imagedata r:id="rId1" o:title=""/>
            </v:shape>
          </w:pict>
        </mc:Fallback>
      </mc:AlternateConten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left"/>
      <w:tabs>
        <w:tab w:val="center" w:pos="4153" w:leader="none"/>
        <w:tab w:val="right" w:pos="8306" w:leader="none"/>
      </w:tabs>
      <w:pBdr>
        <w:bottom w:val="none" w:color="000000" w:sz="0" w:space="1"/>
      </w:pBdr>
    </w:pPr>
    <w:r>
      <mc:AlternateContent>
        <mc:Choice Requires="wpg">
          <w:drawing>
            <wp:inline xmlns:wp="http://schemas.openxmlformats.org/drawingml/2006/wordprocessingDrawing" distT="0" distB="0" distL="0" distR="0">
              <wp:extent cx="2099907" cy="2756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99907" cy="275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65.3pt;height:21.7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22.2.%1"/>
      <w:lvlJc w:val="left"/>
      <w:pPr>
        <w:pStyle w:val="91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7"/>
      <w:numFmt w:val="decimal"/>
      <w:isLgl w:val="false"/>
      <w:suff w:val="nothing"/>
      <w:lvlText w:val="%1、"/>
      <w:lvlJc w:val="left"/>
      <w:pPr>
        <w:pStyle w:val="91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2.2.3.%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26.%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919"/>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5.%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21.%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8.%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1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1"/>
      <w:numFmt w:val="decimal"/>
      <w:isLgl w:val="false"/>
      <w:suff w:val="nothing"/>
      <w:lvlText w:val="%1、"/>
      <w:lvlJc w:val="left"/>
      <w:pPr>
        <w:pStyle w:val="91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space"/>
      <w:lvlText w:val="18.%1"/>
      <w:lvlJc w:val="left"/>
      <w:pPr>
        <w:pStyle w:val="91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4.%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Thousand"/>
      <w:pStyle w:val="920"/>
      <w:isLgl w:val="false"/>
      <w:suff w:val="nothing"/>
      <w:lvlText w:val="第%1章"/>
      <w:lvlJc w:val="left"/>
      <w:pPr>
        <w:pStyle w:val="919"/>
        <w:ind w:left="0" w:firstLine="0"/>
      </w:pPr>
    </w:lvl>
    <w:lvl w:ilvl="1">
      <w:start w:val="1"/>
      <w:numFmt w:val="decimal"/>
      <w:pStyle w:val="921"/>
      <w:isLgl w:val="false"/>
      <w:suff w:val="nothing"/>
      <w:lvlText w:val=""/>
      <w:lvlJc w:val="left"/>
      <w:pPr>
        <w:pStyle w:val="919"/>
        <w:ind w:left="0" w:firstLine="0"/>
      </w:pPr>
    </w:lvl>
    <w:lvl w:ilvl="2">
      <w:start w:val="1"/>
      <w:numFmt w:val="decimal"/>
      <w:pStyle w:val="922"/>
      <w:isLgl w:val="false"/>
      <w:suff w:val="nothing"/>
      <w:lvlText w:val=""/>
      <w:lvlJc w:val="left"/>
      <w:pPr>
        <w:pStyle w:val="919"/>
        <w:ind w:left="0" w:firstLine="0"/>
      </w:pPr>
    </w:lvl>
    <w:lvl w:ilvl="3">
      <w:start w:val="1"/>
      <w:numFmt w:val="decimal"/>
      <w:pStyle w:val="923"/>
      <w:isLgl w:val="false"/>
      <w:suff w:val="nothing"/>
      <w:lvlText w:val=""/>
      <w:lvlJc w:val="left"/>
      <w:pPr>
        <w:pStyle w:val="919"/>
        <w:ind w:left="0" w:firstLine="0"/>
      </w:pPr>
    </w:lvl>
    <w:lvl w:ilvl="4">
      <w:start w:val="1"/>
      <w:numFmt w:val="decimal"/>
      <w:pStyle w:val="924"/>
      <w:isLgl w:val="false"/>
      <w:suff w:val="nothing"/>
      <w:lvlText w:val=""/>
      <w:lvlJc w:val="left"/>
      <w:pPr>
        <w:pStyle w:val="919"/>
        <w:ind w:left="0" w:firstLine="0"/>
      </w:pPr>
    </w:lvl>
    <w:lvl w:ilvl="5">
      <w:start w:val="1"/>
      <w:numFmt w:val="decimal"/>
      <w:pStyle w:val="925"/>
      <w:isLgl w:val="false"/>
      <w:suff w:val="nothing"/>
      <w:lvlText w:val=""/>
      <w:lvlJc w:val="left"/>
      <w:pPr>
        <w:pStyle w:val="919"/>
        <w:ind w:left="0" w:firstLine="0"/>
      </w:pPr>
    </w:lvl>
    <w:lvl w:ilvl="6">
      <w:start w:val="1"/>
      <w:numFmt w:val="decimal"/>
      <w:pStyle w:val="926"/>
      <w:isLgl w:val="false"/>
      <w:suff w:val="nothing"/>
      <w:lvlText w:val=""/>
      <w:lvlJc w:val="left"/>
      <w:pPr>
        <w:pStyle w:val="919"/>
        <w:ind w:left="0" w:firstLine="0"/>
      </w:pPr>
    </w:lvl>
    <w:lvl w:ilvl="7">
      <w:start w:val="1"/>
      <w:numFmt w:val="decimal"/>
      <w:pStyle w:val="927"/>
      <w:isLgl w:val="false"/>
      <w:suff w:val="nothing"/>
      <w:lvlText w:val=""/>
      <w:lvlJc w:val="left"/>
      <w:pPr>
        <w:pStyle w:val="919"/>
        <w:ind w:left="0" w:firstLine="0"/>
      </w:pPr>
    </w:lvl>
    <w:lvl w:ilvl="8">
      <w:start w:val="1"/>
      <w:numFmt w:val="decimal"/>
      <w:pStyle w:val="928"/>
      <w:isLgl w:val="false"/>
      <w:suff w:val="nothing"/>
      <w:lvlText w:val=""/>
      <w:lvlJc w:val="left"/>
      <w:pPr>
        <w:pStyle w:val="919"/>
        <w:ind w:left="0" w:firstLine="0"/>
      </w:pPr>
    </w:lvl>
  </w:abstractNum>
  <w:abstractNum w:abstractNumId="17">
    <w:multiLevelType w:val="hybridMultilevel"/>
    <w:lvl w:ilvl="0">
      <w:start w:val="1"/>
      <w:numFmt w:val="chineseCounting"/>
      <w:isLgl w:val="false"/>
      <w:suff w:val="nothing"/>
      <w:lvlText w:val="（%1）"/>
      <w:lvlJc w:val="left"/>
      <w:pPr>
        <w:pStyle w:val="919"/>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24.%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22.%1"/>
      <w:lvlJc w:val="left"/>
      <w:pPr>
        <w:pStyle w:val="91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pStyle w:val="1067"/>
      <w:isLgl w:val="false"/>
      <w:suff w:val="tab"/>
      <w:lvlText w:val="%1"/>
      <w:lvlJc w:val="left"/>
      <w:pPr>
        <w:pStyle w:val="919"/>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19"/>
        <w:ind w:left="425" w:hanging="425"/>
      </w:pPr>
      <w:rPr>
        <w:rFonts w:hint="eastAsia" w:ascii="Arial Unicode MS" w:hAnsi="Arial Unicode MS" w:eastAsia="微软雅黑"/>
        <w:b/>
        <w:i w:val="0"/>
      </w:rPr>
    </w:lvl>
    <w:lvl w:ilvl="2">
      <w:start w:val="1"/>
      <w:numFmt w:val="decimal"/>
      <w:isLgl w:val="false"/>
      <w:suff w:val="tab"/>
      <w:lvlText w:val="%1.%2.%3"/>
      <w:lvlJc w:val="left"/>
      <w:pPr>
        <w:pStyle w:val="919"/>
        <w:ind w:left="425" w:hanging="425"/>
      </w:pPr>
      <w:rPr>
        <w:rFonts w:hint="eastAsia" w:ascii="Arial Unicode MS" w:hAnsi="Arial Unicode MS" w:eastAsia="微软雅黑"/>
        <w:b/>
        <w:i w:val="0"/>
      </w:rPr>
    </w:lvl>
    <w:lvl w:ilvl="3">
      <w:start w:val="1"/>
      <w:numFmt w:val="decimal"/>
      <w:isLgl w:val="false"/>
      <w:suff w:val="tab"/>
      <w:lvlText w:val="%1.%2.%3.%4"/>
      <w:lvlJc w:val="left"/>
      <w:pPr>
        <w:pStyle w:val="919"/>
        <w:ind w:left="425" w:hanging="425"/>
      </w:pPr>
      <w:rPr>
        <w:rFonts w:hint="eastAsia" w:ascii="Arial Unicode MS" w:hAnsi="Arial Unicode MS" w:eastAsia="微软雅黑"/>
        <w:b/>
        <w:i w:val="0"/>
      </w:rPr>
    </w:lvl>
    <w:lvl w:ilvl="4">
      <w:start w:val="1"/>
      <w:numFmt w:val="decimal"/>
      <w:isLgl w:val="false"/>
      <w:suff w:val="tab"/>
      <w:lvlText w:val="%1.%2.%3.%4.%5"/>
      <w:lvlJc w:val="left"/>
      <w:pPr>
        <w:pStyle w:val="919"/>
        <w:ind w:left="425" w:hanging="425"/>
      </w:pPr>
      <w:rPr>
        <w:rFonts w:hint="eastAsia" w:ascii="Arial Unicode MS" w:hAnsi="Arial Unicode MS" w:eastAsia="微软雅黑"/>
        <w:b/>
        <w:i w:val="0"/>
      </w:rPr>
    </w:lvl>
    <w:lvl w:ilvl="5">
      <w:start w:val="1"/>
      <w:numFmt w:val="decimal"/>
      <w:isLgl w:val="false"/>
      <w:suff w:val="tab"/>
      <w:lvlText w:val="%1.%2.%3.%4.%5.%6"/>
      <w:lvlJc w:val="left"/>
      <w:pPr>
        <w:pStyle w:val="919"/>
        <w:ind w:left="425" w:hanging="425"/>
      </w:pPr>
      <w:rPr>
        <w:rFonts w:hint="eastAsia"/>
      </w:rPr>
    </w:lvl>
    <w:lvl w:ilvl="6">
      <w:start w:val="1"/>
      <w:numFmt w:val="decimal"/>
      <w:isLgl w:val="false"/>
      <w:suff w:val="tab"/>
      <w:lvlText w:val="%1.%2.%3.%4.%5.%6.%7"/>
      <w:lvlJc w:val="left"/>
      <w:pPr>
        <w:pStyle w:val="919"/>
        <w:ind w:left="425" w:hanging="425"/>
      </w:pPr>
      <w:rPr>
        <w:rFonts w:hint="eastAsia"/>
      </w:rPr>
    </w:lvl>
    <w:lvl w:ilvl="7">
      <w:start w:val="1"/>
      <w:numFmt w:val="decimal"/>
      <w:isLgl w:val="false"/>
      <w:suff w:val="tab"/>
      <w:lvlText w:val="%1.%2.%3.%4.%5.%6.%7.%8"/>
      <w:lvlJc w:val="left"/>
      <w:pPr>
        <w:pStyle w:val="919"/>
        <w:ind w:left="425" w:hanging="425"/>
      </w:pPr>
      <w:rPr>
        <w:rFonts w:hint="eastAsia"/>
      </w:rPr>
    </w:lvl>
    <w:lvl w:ilvl="8">
      <w:start w:val="1"/>
      <w:numFmt w:val="decimal"/>
      <w:isLgl w:val="false"/>
      <w:suff w:val="tab"/>
      <w:lvlText w:val="%1.%2.%3.%4.%5.%6.%7.%8.%9"/>
      <w:lvlJc w:val="left"/>
      <w:pPr>
        <w:pStyle w:val="919"/>
        <w:ind w:left="425" w:hanging="425"/>
      </w:pPr>
      <w:rPr>
        <w:rFonts w:hint="eastAsia"/>
      </w:rPr>
    </w:lvl>
  </w:abstractNum>
  <w:abstractNum w:abstractNumId="21">
    <w:multiLevelType w:val="hybridMultilevel"/>
    <w:lvl w:ilvl="0">
      <w:start w:val="1"/>
      <w:numFmt w:val="decimal"/>
      <w:isLgl w:val="false"/>
      <w:suff w:val="space"/>
      <w:lvlText w:val="23.%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25.%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space"/>
      <w:lvlText w:val="22.%1"/>
      <w:lvlJc w:val="left"/>
      <w:pPr>
        <w:pStyle w:val="91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6"/>
      <w:numFmt w:val="decimal"/>
      <w:isLgl w:val="false"/>
      <w:suff w:val="nothing"/>
      <w:lvlText w:val="%1、"/>
      <w:lvlJc w:val="left"/>
      <w:pPr>
        <w:pStyle w:val="919"/>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19.2.%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2.2.2.%1"/>
      <w:lvlJc w:val="left"/>
      <w:pPr>
        <w:pStyle w:val="91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19.%1"/>
      <w:lvlJc w:val="left"/>
      <w:pPr>
        <w:pStyle w:val="919"/>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19.1.%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6.%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space"/>
      <w:lvlText w:val="11.%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space"/>
      <w:lvlText w:val="20.%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space"/>
      <w:lvlText w:val="2.%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3.%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pStyle w:val="919"/>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4.%1"/>
      <w:lvlJc w:val="left"/>
      <w:pPr>
        <w:pStyle w:val="919"/>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6"/>
  </w:num>
  <w:num w:numId="2">
    <w:abstractNumId w:val="20"/>
  </w:num>
  <w:num w:numId="3">
    <w:abstractNumId w:val="7"/>
  </w:num>
  <w:num w:numId="4">
    <w:abstractNumId w:val="12"/>
  </w:num>
  <w:num w:numId="5">
    <w:abstractNumId w:val="34"/>
  </w:num>
  <w:num w:numId="6">
    <w:abstractNumId w:val="35"/>
  </w:num>
  <w:num w:numId="7">
    <w:abstractNumId w:val="1"/>
  </w:num>
  <w:num w:numId="8">
    <w:abstractNumId w:val="3"/>
  </w:num>
  <w:num w:numId="9">
    <w:abstractNumId w:val="15"/>
  </w:num>
  <w:num w:numId="10">
    <w:abstractNumId w:val="8"/>
  </w:num>
  <w:num w:numId="11">
    <w:abstractNumId w:val="24"/>
  </w:num>
  <w:num w:numId="12">
    <w:abstractNumId w:val="31"/>
  </w:num>
  <w:num w:numId="13">
    <w:abstractNumId w:val="10"/>
  </w:num>
  <w:num w:numId="14">
    <w:abstractNumId w:val="25"/>
  </w:num>
  <w:num w:numId="15">
    <w:abstractNumId w:val="32"/>
  </w:num>
  <w:num w:numId="16">
    <w:abstractNumId w:val="37"/>
  </w:num>
  <w:num w:numId="17">
    <w:abstractNumId w:val="4"/>
  </w:num>
  <w:num w:numId="18">
    <w:abstractNumId w:val="14"/>
  </w:num>
  <w:num w:numId="19">
    <w:abstractNumId w:val="29"/>
  </w:num>
  <w:num w:numId="20">
    <w:abstractNumId w:val="30"/>
  </w:num>
  <w:num w:numId="21">
    <w:abstractNumId w:val="27"/>
  </w:num>
  <w:num w:numId="22">
    <w:abstractNumId w:val="33"/>
  </w:num>
  <w:num w:numId="23">
    <w:abstractNumId w:val="13"/>
  </w:num>
  <w:num w:numId="24">
    <w:abstractNumId w:val="9"/>
  </w:num>
  <w:num w:numId="25">
    <w:abstractNumId w:val="23"/>
  </w:num>
  <w:num w:numId="26">
    <w:abstractNumId w:val="19"/>
  </w:num>
  <w:num w:numId="27">
    <w:abstractNumId w:val="17"/>
  </w:num>
  <w:num w:numId="28">
    <w:abstractNumId w:val="2"/>
  </w:num>
  <w:num w:numId="29">
    <w:abstractNumId w:val="36"/>
  </w:num>
  <w:num w:numId="30">
    <w:abstractNumId w:val="28"/>
  </w:num>
  <w:num w:numId="31">
    <w:abstractNumId w:val="26"/>
  </w:num>
  <w:num w:numId="32">
    <w:abstractNumId w:val="5"/>
  </w:num>
  <w:num w:numId="33">
    <w:abstractNumId w:val="21"/>
  </w:num>
  <w:num w:numId="34">
    <w:abstractNumId w:val="11"/>
  </w:num>
  <w:num w:numId="35">
    <w:abstractNumId w:val="18"/>
  </w:num>
  <w:num w:numId="36">
    <w:abstractNumId w:val="22"/>
  </w:num>
  <w:num w:numId="37">
    <w:abstractNumId w:val="6"/>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9"/>
    <w:next w:val="91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9"/>
    <w:next w:val="91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9"/>
    <w:next w:val="91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9"/>
    <w:next w:val="91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9"/>
    <w:next w:val="91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9"/>
    <w:next w:val="91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9"/>
    <w:next w:val="91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9"/>
    <w:next w:val="91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9"/>
    <w:next w:val="91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9"/>
    <w:next w:val="91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9"/>
    <w:next w:val="91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9"/>
    <w:next w:val="919"/>
    <w:link w:val="38"/>
    <w:uiPriority w:val="29"/>
    <w:qFormat/>
    <w:pPr>
      <w:ind w:left="720" w:right="720"/>
    </w:pPr>
    <w:rPr>
      <w:i/>
    </w:rPr>
  </w:style>
  <w:style w:type="character" w:styleId="38">
    <w:name w:val="Quote Char"/>
    <w:link w:val="37"/>
    <w:uiPriority w:val="29"/>
    <w:rPr>
      <w:i/>
    </w:rPr>
  </w:style>
  <w:style w:type="paragraph" w:styleId="39">
    <w:name w:val="Intense Quote"/>
    <w:basedOn w:val="919"/>
    <w:next w:val="91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9"/>
    <w:next w:val="91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9"/>
    <w:next w:val="919"/>
    <w:uiPriority w:val="39"/>
    <w:unhideWhenUsed/>
    <w:pPr>
      <w:ind w:left="0" w:right="0" w:firstLine="0"/>
      <w:spacing w:after="57"/>
    </w:pPr>
  </w:style>
  <w:style w:type="paragraph" w:styleId="181">
    <w:name w:val="toc 2"/>
    <w:basedOn w:val="919"/>
    <w:next w:val="919"/>
    <w:uiPriority w:val="39"/>
    <w:unhideWhenUsed/>
    <w:pPr>
      <w:ind w:left="283" w:right="0" w:firstLine="0"/>
      <w:spacing w:after="57"/>
    </w:pPr>
  </w:style>
  <w:style w:type="paragraph" w:styleId="182">
    <w:name w:val="toc 3"/>
    <w:basedOn w:val="919"/>
    <w:next w:val="919"/>
    <w:uiPriority w:val="39"/>
    <w:unhideWhenUsed/>
    <w:pPr>
      <w:ind w:left="567" w:right="0" w:firstLine="0"/>
      <w:spacing w:after="57"/>
    </w:pPr>
  </w:style>
  <w:style w:type="paragraph" w:styleId="183">
    <w:name w:val="toc 4"/>
    <w:basedOn w:val="919"/>
    <w:next w:val="919"/>
    <w:uiPriority w:val="39"/>
    <w:unhideWhenUsed/>
    <w:pPr>
      <w:ind w:left="850" w:right="0" w:firstLine="0"/>
      <w:spacing w:after="57"/>
    </w:pPr>
  </w:style>
  <w:style w:type="paragraph" w:styleId="184">
    <w:name w:val="toc 5"/>
    <w:basedOn w:val="919"/>
    <w:next w:val="919"/>
    <w:uiPriority w:val="39"/>
    <w:unhideWhenUsed/>
    <w:pPr>
      <w:ind w:left="1134" w:right="0" w:firstLine="0"/>
      <w:spacing w:after="57"/>
    </w:pPr>
  </w:style>
  <w:style w:type="paragraph" w:styleId="185">
    <w:name w:val="toc 6"/>
    <w:basedOn w:val="919"/>
    <w:next w:val="919"/>
    <w:uiPriority w:val="39"/>
    <w:unhideWhenUsed/>
    <w:pPr>
      <w:ind w:left="1417" w:right="0" w:firstLine="0"/>
      <w:spacing w:after="57"/>
    </w:pPr>
  </w:style>
  <w:style w:type="paragraph" w:styleId="186">
    <w:name w:val="toc 7"/>
    <w:basedOn w:val="919"/>
    <w:next w:val="919"/>
    <w:uiPriority w:val="39"/>
    <w:unhideWhenUsed/>
    <w:pPr>
      <w:ind w:left="1701" w:right="0" w:firstLine="0"/>
      <w:spacing w:after="57"/>
    </w:pPr>
  </w:style>
  <w:style w:type="paragraph" w:styleId="187">
    <w:name w:val="toc 8"/>
    <w:basedOn w:val="919"/>
    <w:next w:val="919"/>
    <w:uiPriority w:val="39"/>
    <w:unhideWhenUsed/>
    <w:pPr>
      <w:ind w:left="1984" w:right="0" w:firstLine="0"/>
      <w:spacing w:after="57"/>
    </w:pPr>
  </w:style>
  <w:style w:type="paragraph" w:styleId="188">
    <w:name w:val="toc 9"/>
    <w:basedOn w:val="919"/>
    <w:next w:val="91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4"/>
      <w:lang w:val="en-US" w:eastAsia="zh-CN" w:bidi="ar-SA"/>
    </w:rPr>
  </w:style>
  <w:style w:type="paragraph" w:styleId="920">
    <w:name w:val="标题 1"/>
    <w:basedOn w:val="919"/>
    <w:next w:val="919"/>
    <w:link w:val="931"/>
    <w:qFormat/>
    <w:pPr>
      <w:numPr>
        <w:ilvl w:val="0"/>
        <w:numId w:val="1"/>
      </w:numPr>
      <w:jc w:val="center"/>
      <w:keepLines/>
      <w:keepNext/>
      <w:spacing w:before="340" w:after="330" w:line="578" w:lineRule="auto"/>
      <w:outlineLvl w:val="0"/>
    </w:pPr>
    <w:rPr>
      <w:b/>
      <w:bCs/>
      <w:sz w:val="32"/>
      <w:szCs w:val="44"/>
    </w:rPr>
  </w:style>
  <w:style w:type="paragraph" w:styleId="921">
    <w:name w:val="标题 2"/>
    <w:basedOn w:val="919"/>
    <w:next w:val="919"/>
    <w:link w:val="932"/>
    <w:qFormat/>
    <w:pPr>
      <w:numPr>
        <w:ilvl w:val="1"/>
        <w:numId w:val="1"/>
      </w:numPr>
      <w:keepLines/>
      <w:keepNext/>
      <w:spacing w:before="260" w:after="260" w:line="416" w:lineRule="auto"/>
      <w:outlineLvl w:val="1"/>
    </w:pPr>
    <w:rPr>
      <w:rFonts w:ascii="Cambria" w:hAnsi="Cambria"/>
      <w:b/>
      <w:bCs/>
      <w:sz w:val="32"/>
      <w:szCs w:val="32"/>
    </w:rPr>
  </w:style>
  <w:style w:type="paragraph" w:styleId="922">
    <w:name w:val="标题 3"/>
    <w:basedOn w:val="919"/>
    <w:next w:val="919"/>
    <w:link w:val="933"/>
    <w:qFormat/>
    <w:pPr>
      <w:numPr>
        <w:ilvl w:val="2"/>
        <w:numId w:val="1"/>
      </w:numPr>
      <w:keepLines/>
      <w:keepNext/>
      <w:spacing w:before="260" w:after="260" w:line="416" w:lineRule="auto"/>
      <w:outlineLvl w:val="2"/>
    </w:pPr>
    <w:rPr>
      <w:b/>
      <w:bCs/>
      <w:sz w:val="32"/>
      <w:szCs w:val="32"/>
    </w:rPr>
  </w:style>
  <w:style w:type="paragraph" w:styleId="923">
    <w:name w:val="标题 4"/>
    <w:basedOn w:val="919"/>
    <w:next w:val="919"/>
    <w:link w:val="934"/>
    <w:qFormat/>
    <w:pPr>
      <w:numPr>
        <w:ilvl w:val="3"/>
        <w:numId w:val="1"/>
      </w:numPr>
      <w:keepLines/>
      <w:keepNext/>
      <w:spacing w:before="280" w:after="290" w:line="376" w:lineRule="auto"/>
      <w:outlineLvl w:val="3"/>
    </w:pPr>
    <w:rPr>
      <w:rFonts w:ascii="Cambria" w:hAnsi="Cambria"/>
      <w:b/>
      <w:bCs/>
      <w:sz w:val="28"/>
      <w:szCs w:val="28"/>
    </w:rPr>
  </w:style>
  <w:style w:type="paragraph" w:styleId="924">
    <w:name w:val="标题 5"/>
    <w:basedOn w:val="919"/>
    <w:next w:val="919"/>
    <w:link w:val="935"/>
    <w:qFormat/>
    <w:pPr>
      <w:numPr>
        <w:ilvl w:val="4"/>
        <w:numId w:val="1"/>
      </w:numPr>
      <w:keepLines/>
      <w:keepNext/>
      <w:spacing w:before="280" w:after="290" w:line="376" w:lineRule="auto"/>
      <w:outlineLvl w:val="4"/>
    </w:pPr>
    <w:rPr>
      <w:b/>
      <w:bCs/>
      <w:sz w:val="28"/>
      <w:szCs w:val="28"/>
    </w:rPr>
  </w:style>
  <w:style w:type="paragraph" w:styleId="925">
    <w:name w:val="标题 6"/>
    <w:basedOn w:val="919"/>
    <w:next w:val="919"/>
    <w:link w:val="936"/>
    <w:qFormat/>
    <w:pPr>
      <w:numPr>
        <w:ilvl w:val="5"/>
        <w:numId w:val="1"/>
      </w:numPr>
      <w:keepLines/>
      <w:keepNext/>
      <w:spacing w:before="240" w:after="64" w:line="320" w:lineRule="auto"/>
      <w:outlineLvl w:val="5"/>
    </w:pPr>
    <w:rPr>
      <w:rFonts w:ascii="Cambria" w:hAnsi="Cambria"/>
      <w:b/>
      <w:bCs/>
      <w:sz w:val="24"/>
    </w:rPr>
  </w:style>
  <w:style w:type="paragraph" w:styleId="926">
    <w:name w:val="标题 7"/>
    <w:basedOn w:val="919"/>
    <w:next w:val="919"/>
    <w:link w:val="937"/>
    <w:qFormat/>
    <w:pPr>
      <w:numPr>
        <w:ilvl w:val="6"/>
        <w:numId w:val="1"/>
      </w:numPr>
      <w:keepLines/>
      <w:keepNext/>
      <w:spacing w:before="240" w:after="64" w:line="320" w:lineRule="auto"/>
      <w:outlineLvl w:val="6"/>
    </w:pPr>
    <w:rPr>
      <w:b/>
      <w:bCs/>
      <w:sz w:val="24"/>
    </w:rPr>
  </w:style>
  <w:style w:type="paragraph" w:styleId="927">
    <w:name w:val="标题 8"/>
    <w:basedOn w:val="919"/>
    <w:next w:val="919"/>
    <w:link w:val="938"/>
    <w:qFormat/>
    <w:pPr>
      <w:numPr>
        <w:ilvl w:val="7"/>
        <w:numId w:val="1"/>
      </w:numPr>
      <w:keepLines/>
      <w:keepNext/>
      <w:spacing w:before="240" w:after="64" w:line="320" w:lineRule="auto"/>
      <w:outlineLvl w:val="7"/>
    </w:pPr>
    <w:rPr>
      <w:rFonts w:ascii="Cambria" w:hAnsi="Cambria"/>
      <w:sz w:val="24"/>
    </w:rPr>
  </w:style>
  <w:style w:type="paragraph" w:styleId="928">
    <w:name w:val="标题 9"/>
    <w:basedOn w:val="919"/>
    <w:next w:val="919"/>
    <w:link w:val="939"/>
    <w:qFormat/>
    <w:pPr>
      <w:numPr>
        <w:ilvl w:val="8"/>
        <w:numId w:val="1"/>
      </w:numPr>
      <w:keepLines/>
      <w:keepNext/>
      <w:spacing w:before="240" w:after="64" w:line="320" w:lineRule="auto"/>
      <w:outlineLvl w:val="8"/>
    </w:pPr>
    <w:rPr>
      <w:rFonts w:ascii="Cambria" w:hAnsi="Cambria"/>
      <w:szCs w:val="21"/>
    </w:rPr>
  </w:style>
  <w:style w:type="character" w:styleId="929">
    <w:name w:val="默认段落字体"/>
    <w:next w:val="929"/>
    <w:link w:val="919"/>
    <w:uiPriority w:val="1"/>
    <w:unhideWhenUsed/>
    <w:qFormat/>
  </w:style>
  <w:style w:type="table" w:styleId="930">
    <w:name w:val="普通表格"/>
    <w:next w:val="930"/>
    <w:link w:val="919"/>
    <w:uiPriority w:val="99"/>
    <w:unhideWhenUsed/>
    <w:qFormat/>
    <w:tblPr/>
  </w:style>
  <w:style w:type="character" w:styleId="931">
    <w:name w:val="标题 1 字符1"/>
    <w:next w:val="931"/>
    <w:link w:val="920"/>
    <w:qFormat/>
    <w:rPr>
      <w:rFonts w:ascii="Times New Roman" w:hAnsi="Times New Roman" w:eastAsia="宋体" w:cs="Times New Roman"/>
      <w:b/>
      <w:bCs/>
      <w:sz w:val="32"/>
      <w:szCs w:val="44"/>
    </w:rPr>
  </w:style>
  <w:style w:type="character" w:styleId="932">
    <w:name w:val="标题 2 字符"/>
    <w:next w:val="932"/>
    <w:link w:val="921"/>
    <w:qFormat/>
    <w:rPr>
      <w:rFonts w:ascii="Cambria" w:hAnsi="Cambria"/>
      <w:b/>
      <w:bCs/>
      <w:sz w:val="32"/>
      <w:szCs w:val="32"/>
    </w:rPr>
  </w:style>
  <w:style w:type="character" w:styleId="933">
    <w:name w:val="标题 3 字符"/>
    <w:next w:val="933"/>
    <w:link w:val="922"/>
    <w:qFormat/>
    <w:rPr>
      <w:b/>
      <w:bCs/>
      <w:sz w:val="32"/>
      <w:szCs w:val="32"/>
    </w:rPr>
  </w:style>
  <w:style w:type="character" w:styleId="934">
    <w:name w:val="标题 4 字符"/>
    <w:next w:val="934"/>
    <w:link w:val="923"/>
    <w:qFormat/>
    <w:rPr>
      <w:rFonts w:ascii="Cambria" w:hAnsi="Cambria" w:eastAsia="宋体" w:cs="Times New Roman"/>
      <w:b/>
      <w:bCs/>
      <w:sz w:val="28"/>
      <w:szCs w:val="28"/>
    </w:rPr>
  </w:style>
  <w:style w:type="character" w:styleId="935">
    <w:name w:val="标题 5 字符"/>
    <w:next w:val="935"/>
    <w:link w:val="924"/>
    <w:qFormat/>
    <w:rPr>
      <w:b/>
      <w:bCs/>
      <w:sz w:val="28"/>
      <w:szCs w:val="28"/>
    </w:rPr>
  </w:style>
  <w:style w:type="character" w:styleId="936">
    <w:name w:val="标题 6 字符"/>
    <w:next w:val="936"/>
    <w:link w:val="925"/>
    <w:qFormat/>
    <w:rPr>
      <w:rFonts w:ascii="Cambria" w:hAnsi="Cambria" w:eastAsia="宋体" w:cs="Times New Roman"/>
      <w:b/>
      <w:bCs/>
      <w:sz w:val="24"/>
      <w:szCs w:val="24"/>
    </w:rPr>
  </w:style>
  <w:style w:type="character" w:styleId="937">
    <w:name w:val="标题 7 字符"/>
    <w:next w:val="937"/>
    <w:link w:val="926"/>
    <w:qFormat/>
    <w:rPr>
      <w:b/>
      <w:bCs/>
      <w:sz w:val="24"/>
      <w:szCs w:val="24"/>
    </w:rPr>
  </w:style>
  <w:style w:type="character" w:styleId="938">
    <w:name w:val="标题 8 字符"/>
    <w:next w:val="938"/>
    <w:link w:val="927"/>
    <w:qFormat/>
    <w:rPr>
      <w:rFonts w:ascii="Cambria" w:hAnsi="Cambria" w:eastAsia="宋体" w:cs="Times New Roman"/>
      <w:sz w:val="24"/>
      <w:szCs w:val="24"/>
    </w:rPr>
  </w:style>
  <w:style w:type="character" w:styleId="939">
    <w:name w:val="标题 9 字符"/>
    <w:next w:val="939"/>
    <w:link w:val="928"/>
    <w:qFormat/>
    <w:rPr>
      <w:rFonts w:ascii="Cambria" w:hAnsi="Cambria" w:eastAsia="宋体" w:cs="Times New Roman"/>
      <w:sz w:val="21"/>
      <w:szCs w:val="21"/>
    </w:rPr>
  </w:style>
  <w:style w:type="paragraph" w:styleId="940">
    <w:name w:val="列表 3"/>
    <w:basedOn w:val="919"/>
    <w:next w:val="940"/>
    <w:link w:val="919"/>
    <w:uiPriority w:val="99"/>
    <w:unhideWhenUsed/>
    <w:qFormat/>
    <w:pPr>
      <w:ind w:left="1260" w:hanging="420"/>
      <w:spacing w:before="100" w:beforeAutospacing="1" w:after="100" w:afterAutospacing="1"/>
    </w:pPr>
    <w:rPr>
      <w:szCs w:val="21"/>
    </w:rPr>
  </w:style>
  <w:style w:type="paragraph" w:styleId="941">
    <w:name w:val="目录 7"/>
    <w:basedOn w:val="919"/>
    <w:next w:val="919"/>
    <w:link w:val="919"/>
    <w:uiPriority w:val="39"/>
    <w:unhideWhenUsed/>
    <w:qFormat/>
    <w:pPr>
      <w:ind w:left="2520"/>
    </w:pPr>
    <w:rPr>
      <w:rFonts w:ascii="Calibri" w:hAnsi="Calibri"/>
      <w:szCs w:val="22"/>
    </w:rPr>
  </w:style>
  <w:style w:type="paragraph" w:styleId="942">
    <w:name w:val="引文目录"/>
    <w:basedOn w:val="919"/>
    <w:next w:val="919"/>
    <w:link w:val="919"/>
    <w:uiPriority w:val="99"/>
    <w:unhideWhenUsed/>
    <w:qFormat/>
    <w:pPr>
      <w:ind w:left="420"/>
    </w:pPr>
  </w:style>
  <w:style w:type="paragraph" w:styleId="943">
    <w:name w:val="正文缩进"/>
    <w:basedOn w:val="919"/>
    <w:next w:val="943"/>
    <w:link w:val="919"/>
    <w:qFormat/>
    <w:pPr>
      <w:ind w:firstLine="420"/>
    </w:pPr>
    <w:rPr>
      <w:b/>
      <w:sz w:val="24"/>
      <w:szCs w:val="20"/>
    </w:rPr>
  </w:style>
  <w:style w:type="paragraph" w:styleId="944">
    <w:name w:val="题注"/>
    <w:basedOn w:val="919"/>
    <w:next w:val="919"/>
    <w:link w:val="919"/>
    <w:qFormat/>
    <w:rPr>
      <w:rFonts w:ascii="Cambria" w:hAnsi="Cambria" w:eastAsia="黑体"/>
      <w:sz w:val="20"/>
      <w:szCs w:val="22"/>
    </w:rPr>
  </w:style>
  <w:style w:type="paragraph" w:styleId="945">
    <w:name w:val="文档结构图"/>
    <w:basedOn w:val="919"/>
    <w:next w:val="945"/>
    <w:link w:val="946"/>
    <w:qFormat/>
    <w:rPr>
      <w:rFonts w:ascii="宋体"/>
      <w:sz w:val="18"/>
      <w:szCs w:val="18"/>
    </w:rPr>
  </w:style>
  <w:style w:type="character" w:styleId="946">
    <w:name w:val="文档结构图 字符"/>
    <w:next w:val="946"/>
    <w:link w:val="945"/>
    <w:qFormat/>
    <w:rPr>
      <w:rFonts w:ascii="宋体"/>
      <w:sz w:val="18"/>
      <w:szCs w:val="18"/>
    </w:rPr>
  </w:style>
  <w:style w:type="paragraph" w:styleId="947">
    <w:name w:val="批注文字"/>
    <w:basedOn w:val="919"/>
    <w:next w:val="947"/>
    <w:link w:val="948"/>
    <w:uiPriority w:val="99"/>
    <w:qFormat/>
    <w:pPr>
      <w:jc w:val="left"/>
    </w:pPr>
  </w:style>
  <w:style w:type="character" w:styleId="948">
    <w:name w:val="批注文字 字符"/>
    <w:next w:val="948"/>
    <w:link w:val="947"/>
    <w:uiPriority w:val="99"/>
    <w:qFormat/>
    <w:rPr>
      <w:sz w:val="21"/>
      <w:szCs w:val="24"/>
    </w:rPr>
  </w:style>
  <w:style w:type="paragraph" w:styleId="949">
    <w:name w:val="正文文本 3"/>
    <w:basedOn w:val="919"/>
    <w:next w:val="949"/>
    <w:link w:val="950"/>
    <w:qFormat/>
    <w:rPr>
      <w:rFonts w:ascii="宋体"/>
      <w:sz w:val="24"/>
      <w:szCs w:val="20"/>
    </w:rPr>
  </w:style>
  <w:style w:type="character" w:styleId="950">
    <w:name w:val="正文文本 3 字符"/>
    <w:next w:val="950"/>
    <w:link w:val="949"/>
    <w:qFormat/>
    <w:rPr>
      <w:rFonts w:ascii="宋体"/>
      <w:sz w:val="24"/>
    </w:rPr>
  </w:style>
  <w:style w:type="paragraph" w:styleId="951">
    <w:name w:val="正文文本"/>
    <w:basedOn w:val="919"/>
    <w:next w:val="951"/>
    <w:link w:val="952"/>
    <w:qFormat/>
    <w:pPr>
      <w:jc w:val="center"/>
    </w:pPr>
    <w:rPr>
      <w:rFonts w:eastAsia="幼圆"/>
      <w:b/>
      <w:bCs/>
      <w:sz w:val="44"/>
    </w:rPr>
  </w:style>
  <w:style w:type="character" w:styleId="952">
    <w:name w:val="正文文本 字符"/>
    <w:next w:val="952"/>
    <w:link w:val="951"/>
    <w:qFormat/>
    <w:rPr>
      <w:rFonts w:eastAsia="幼圆"/>
      <w:b/>
      <w:bCs/>
      <w:sz w:val="44"/>
      <w:szCs w:val="24"/>
    </w:rPr>
  </w:style>
  <w:style w:type="paragraph" w:styleId="953">
    <w:name w:val="正文文本缩进"/>
    <w:basedOn w:val="919"/>
    <w:next w:val="953"/>
    <w:link w:val="954"/>
    <w:qFormat/>
    <w:pPr>
      <w:ind w:left="420"/>
      <w:spacing w:after="120"/>
    </w:pPr>
  </w:style>
  <w:style w:type="character" w:styleId="954">
    <w:name w:val="正文文本缩进 字符"/>
    <w:next w:val="954"/>
    <w:link w:val="953"/>
    <w:qFormat/>
    <w:rPr>
      <w:sz w:val="21"/>
      <w:szCs w:val="24"/>
    </w:rPr>
  </w:style>
  <w:style w:type="paragraph" w:styleId="955">
    <w:name w:val="索引 4"/>
    <w:basedOn w:val="919"/>
    <w:next w:val="919"/>
    <w:link w:val="919"/>
    <w:qFormat/>
    <w:pPr>
      <w:ind w:left="600"/>
    </w:pPr>
    <w:rPr>
      <w:rFonts w:ascii="Calibri" w:hAnsi="Calibri"/>
    </w:rPr>
  </w:style>
  <w:style w:type="paragraph" w:styleId="956">
    <w:name w:val="目录 5"/>
    <w:basedOn w:val="919"/>
    <w:next w:val="919"/>
    <w:link w:val="919"/>
    <w:uiPriority w:val="39"/>
    <w:unhideWhenUsed/>
    <w:qFormat/>
    <w:pPr>
      <w:ind w:left="1680"/>
    </w:pPr>
    <w:rPr>
      <w:rFonts w:ascii="Calibri" w:hAnsi="Calibri"/>
      <w:szCs w:val="22"/>
    </w:rPr>
  </w:style>
  <w:style w:type="paragraph" w:styleId="957">
    <w:name w:val="目录 3"/>
    <w:basedOn w:val="919"/>
    <w:next w:val="919"/>
    <w:link w:val="919"/>
    <w:uiPriority w:val="39"/>
    <w:qFormat/>
    <w:pPr>
      <w:ind w:left="840"/>
    </w:pPr>
    <w:rPr>
      <w:rFonts w:ascii="Calibri" w:hAnsi="Calibri"/>
      <w:szCs w:val="22"/>
    </w:rPr>
  </w:style>
  <w:style w:type="paragraph" w:styleId="958">
    <w:name w:val="纯文本"/>
    <w:basedOn w:val="919"/>
    <w:next w:val="958"/>
    <w:link w:val="959"/>
    <w:qFormat/>
    <w:rPr>
      <w:rFonts w:ascii="Ari"/>
    </w:rPr>
  </w:style>
  <w:style w:type="character" w:styleId="959">
    <w:name w:val="纯文本 字符"/>
    <w:next w:val="959"/>
    <w:link w:val="958"/>
    <w:qFormat/>
    <w:rPr>
      <w:rFonts w:ascii="Ari"/>
      <w:lang w:val="en-US" w:eastAsia="zh-CN" w:bidi="ar-SA"/>
    </w:rPr>
  </w:style>
  <w:style w:type="paragraph" w:styleId="960">
    <w:name w:val="目录 8"/>
    <w:basedOn w:val="919"/>
    <w:next w:val="919"/>
    <w:link w:val="919"/>
    <w:uiPriority w:val="39"/>
    <w:unhideWhenUsed/>
    <w:qFormat/>
    <w:pPr>
      <w:ind w:left="2940"/>
    </w:pPr>
    <w:rPr>
      <w:rFonts w:ascii="Calibri" w:hAnsi="Calibri"/>
      <w:szCs w:val="22"/>
    </w:rPr>
  </w:style>
  <w:style w:type="paragraph" w:styleId="961">
    <w:name w:val="日期"/>
    <w:basedOn w:val="919"/>
    <w:next w:val="919"/>
    <w:link w:val="962"/>
    <w:unhideWhenUsed/>
    <w:qFormat/>
  </w:style>
  <w:style w:type="character" w:styleId="962">
    <w:name w:val="日期 字符"/>
    <w:next w:val="962"/>
    <w:link w:val="961"/>
    <w:qFormat/>
    <w:rPr>
      <w:sz w:val="21"/>
      <w:szCs w:val="24"/>
    </w:rPr>
  </w:style>
  <w:style w:type="paragraph" w:styleId="963">
    <w:name w:val="正文文本缩进 2"/>
    <w:basedOn w:val="919"/>
    <w:next w:val="963"/>
    <w:link w:val="964"/>
    <w:uiPriority w:val="99"/>
    <w:unhideWhenUsed/>
    <w:qFormat/>
    <w:pPr>
      <w:ind w:firstLine="525"/>
      <w:spacing w:line="420" w:lineRule="exact"/>
    </w:pPr>
    <w:rPr>
      <w:rFonts w:ascii="宋体"/>
      <w:sz w:val="20"/>
      <w:szCs w:val="20"/>
    </w:rPr>
  </w:style>
  <w:style w:type="character" w:styleId="964">
    <w:name w:val="正文文本缩进 2 字符"/>
    <w:next w:val="964"/>
    <w:link w:val="963"/>
    <w:uiPriority w:val="99"/>
    <w:qFormat/>
    <w:rPr>
      <w:rFonts w:ascii="宋体"/>
    </w:rPr>
  </w:style>
  <w:style w:type="paragraph" w:styleId="965">
    <w:name w:val="批注框文本"/>
    <w:basedOn w:val="919"/>
    <w:next w:val="965"/>
    <w:link w:val="966"/>
    <w:qFormat/>
    <w:rPr>
      <w:sz w:val="18"/>
      <w:szCs w:val="18"/>
    </w:rPr>
  </w:style>
  <w:style w:type="character" w:styleId="966">
    <w:name w:val="批注框文本 字符"/>
    <w:next w:val="966"/>
    <w:link w:val="965"/>
    <w:qFormat/>
    <w:rPr>
      <w:sz w:val="18"/>
      <w:szCs w:val="18"/>
    </w:rPr>
  </w:style>
  <w:style w:type="paragraph" w:styleId="967">
    <w:name w:val="页脚"/>
    <w:basedOn w:val="919"/>
    <w:next w:val="967"/>
    <w:link w:val="968"/>
    <w:uiPriority w:val="99"/>
    <w:qFormat/>
    <w:pPr>
      <w:jc w:val="left"/>
      <w:tabs>
        <w:tab w:val="center" w:pos="4153" w:leader="none"/>
        <w:tab w:val="right" w:pos="8306" w:leader="none"/>
      </w:tabs>
    </w:pPr>
    <w:rPr>
      <w:sz w:val="18"/>
      <w:szCs w:val="18"/>
    </w:rPr>
  </w:style>
  <w:style w:type="character" w:styleId="968">
    <w:name w:val="页脚 字符"/>
    <w:next w:val="968"/>
    <w:link w:val="967"/>
    <w:uiPriority w:val="99"/>
    <w:qFormat/>
    <w:rPr>
      <w:sz w:val="18"/>
      <w:szCs w:val="18"/>
    </w:rPr>
  </w:style>
  <w:style w:type="paragraph" w:styleId="969">
    <w:name w:val="页眉"/>
    <w:basedOn w:val="919"/>
    <w:next w:val="969"/>
    <w:link w:val="970"/>
    <w:qFormat/>
    <w:pPr>
      <w:jc w:val="center"/>
      <w:tabs>
        <w:tab w:val="center" w:pos="4153" w:leader="none"/>
        <w:tab w:val="right" w:pos="8306" w:leader="none"/>
      </w:tabs>
      <w:pBdr>
        <w:bottom w:val="single" w:color="000000" w:sz="6" w:space="1"/>
      </w:pBdr>
    </w:pPr>
    <w:rPr>
      <w:sz w:val="18"/>
      <w:szCs w:val="18"/>
    </w:rPr>
  </w:style>
  <w:style w:type="character" w:styleId="970">
    <w:name w:val="页眉 字符"/>
    <w:next w:val="970"/>
    <w:link w:val="969"/>
    <w:qFormat/>
    <w:rPr>
      <w:sz w:val="18"/>
      <w:szCs w:val="18"/>
    </w:rPr>
  </w:style>
  <w:style w:type="paragraph" w:styleId="971">
    <w:name w:val="目录 1"/>
    <w:basedOn w:val="919"/>
    <w:next w:val="919"/>
    <w:link w:val="919"/>
    <w:uiPriority w:val="39"/>
    <w:qFormat/>
  </w:style>
  <w:style w:type="paragraph" w:styleId="972">
    <w:name w:val="目录 4"/>
    <w:basedOn w:val="919"/>
    <w:next w:val="919"/>
    <w:link w:val="919"/>
    <w:uiPriority w:val="39"/>
    <w:unhideWhenUsed/>
    <w:qFormat/>
    <w:pPr>
      <w:ind w:left="1260"/>
    </w:pPr>
    <w:rPr>
      <w:rFonts w:ascii="Calibri" w:hAnsi="Calibri"/>
      <w:szCs w:val="22"/>
    </w:rPr>
  </w:style>
  <w:style w:type="paragraph" w:styleId="973">
    <w:name w:val="副标题"/>
    <w:basedOn w:val="919"/>
    <w:next w:val="919"/>
    <w:link w:val="974"/>
    <w:qFormat/>
    <w:pPr>
      <w:jc w:val="center"/>
      <w:spacing w:before="240" w:after="60" w:line="312" w:lineRule="auto"/>
      <w:outlineLvl w:val="1"/>
    </w:pPr>
    <w:rPr>
      <w:rFonts w:ascii="Cambria" w:hAnsi="Cambria"/>
      <w:b/>
      <w:bCs/>
      <w:sz w:val="32"/>
      <w:szCs w:val="32"/>
    </w:rPr>
  </w:style>
  <w:style w:type="character" w:styleId="974">
    <w:name w:val="副标题 字符"/>
    <w:next w:val="974"/>
    <w:link w:val="973"/>
    <w:qFormat/>
    <w:rPr>
      <w:rFonts w:ascii="Cambria" w:hAnsi="Cambria"/>
      <w:b/>
      <w:bCs/>
      <w:sz w:val="32"/>
      <w:szCs w:val="32"/>
    </w:rPr>
  </w:style>
  <w:style w:type="paragraph" w:styleId="975">
    <w:name w:val="脚注文本"/>
    <w:basedOn w:val="919"/>
    <w:next w:val="975"/>
    <w:link w:val="976"/>
    <w:uiPriority w:val="99"/>
    <w:unhideWhenUsed/>
    <w:qFormat/>
    <w:pPr>
      <w:jc w:val="left"/>
    </w:pPr>
    <w:rPr>
      <w:sz w:val="18"/>
      <w:szCs w:val="18"/>
    </w:rPr>
  </w:style>
  <w:style w:type="character" w:styleId="976">
    <w:name w:val="脚注文本 字符"/>
    <w:next w:val="976"/>
    <w:link w:val="975"/>
    <w:uiPriority w:val="99"/>
    <w:semiHidden/>
    <w:qFormat/>
    <w:rPr>
      <w:sz w:val="18"/>
      <w:szCs w:val="18"/>
    </w:rPr>
  </w:style>
  <w:style w:type="paragraph" w:styleId="977">
    <w:name w:val="目录 6"/>
    <w:basedOn w:val="919"/>
    <w:next w:val="919"/>
    <w:link w:val="919"/>
    <w:uiPriority w:val="39"/>
    <w:unhideWhenUsed/>
    <w:qFormat/>
    <w:pPr>
      <w:ind w:left="2100"/>
    </w:pPr>
    <w:rPr>
      <w:rFonts w:ascii="Calibri" w:hAnsi="Calibri"/>
      <w:szCs w:val="22"/>
    </w:rPr>
  </w:style>
  <w:style w:type="paragraph" w:styleId="978">
    <w:name w:val="正文文本缩进 3"/>
    <w:basedOn w:val="919"/>
    <w:next w:val="978"/>
    <w:link w:val="979"/>
    <w:qFormat/>
    <w:pPr>
      <w:ind w:left="420"/>
      <w:spacing w:after="120"/>
    </w:pPr>
    <w:rPr>
      <w:sz w:val="16"/>
      <w:szCs w:val="20"/>
    </w:rPr>
  </w:style>
  <w:style w:type="character" w:styleId="979">
    <w:name w:val="正文文本缩进 3 字符"/>
    <w:next w:val="979"/>
    <w:link w:val="978"/>
    <w:qFormat/>
    <w:rPr>
      <w:sz w:val="16"/>
    </w:rPr>
  </w:style>
  <w:style w:type="paragraph" w:styleId="980">
    <w:name w:val="目录 2"/>
    <w:basedOn w:val="919"/>
    <w:next w:val="919"/>
    <w:link w:val="919"/>
    <w:uiPriority w:val="39"/>
    <w:qFormat/>
    <w:pPr>
      <w:ind w:left="420"/>
    </w:pPr>
    <w:rPr>
      <w:rFonts w:ascii="Calibri" w:hAnsi="Calibri"/>
      <w:szCs w:val="22"/>
    </w:rPr>
  </w:style>
  <w:style w:type="paragraph" w:styleId="981">
    <w:name w:val="目录 9"/>
    <w:basedOn w:val="919"/>
    <w:next w:val="919"/>
    <w:link w:val="919"/>
    <w:uiPriority w:val="39"/>
    <w:unhideWhenUsed/>
    <w:qFormat/>
    <w:pPr>
      <w:ind w:left="3360"/>
    </w:pPr>
    <w:rPr>
      <w:rFonts w:ascii="Calibri" w:hAnsi="Calibri"/>
      <w:szCs w:val="22"/>
    </w:rPr>
  </w:style>
  <w:style w:type="paragraph" w:styleId="982">
    <w:name w:val="正文文本 2"/>
    <w:basedOn w:val="919"/>
    <w:next w:val="982"/>
    <w:link w:val="919"/>
    <w:qFormat/>
    <w:rPr>
      <w:rFonts w:ascii="华文细黑" w:hAnsi="华文细黑" w:eastAsia="华文细黑"/>
      <w:b/>
      <w:bCs/>
      <w:sz w:val="24"/>
    </w:rPr>
  </w:style>
  <w:style w:type="paragraph" w:styleId="983">
    <w:name w:val="HTML 预设格式"/>
    <w:basedOn w:val="919"/>
    <w:next w:val="983"/>
    <w:link w:val="91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4">
    <w:name w:val="普通(网站)"/>
    <w:basedOn w:val="919"/>
    <w:next w:val="984"/>
    <w:link w:val="919"/>
    <w:uiPriority w:val="99"/>
    <w:qFormat/>
    <w:pPr>
      <w:jc w:val="left"/>
      <w:spacing w:before="100" w:beforeAutospacing="1" w:after="100" w:afterAutospacing="1"/>
      <w:widowControl/>
    </w:pPr>
    <w:rPr>
      <w:rFonts w:ascii="宋体" w:hAnsi="宋体" w:cs="宋体"/>
      <w:sz w:val="24"/>
    </w:rPr>
  </w:style>
  <w:style w:type="paragraph" w:styleId="985">
    <w:name w:val="索引 1"/>
    <w:basedOn w:val="919"/>
    <w:next w:val="919"/>
    <w:link w:val="919"/>
    <w:qFormat/>
    <w:pPr>
      <w:jc w:val="center"/>
      <w:spacing w:line="220" w:lineRule="exact"/>
    </w:pPr>
    <w:rPr>
      <w:rFonts w:ascii="仿宋_GB2312" w:hAnsi="Calibri" w:eastAsia="仿宋_GB2312"/>
      <w:szCs w:val="22"/>
    </w:rPr>
  </w:style>
  <w:style w:type="paragraph" w:styleId="986">
    <w:name w:val="标题"/>
    <w:basedOn w:val="919"/>
    <w:next w:val="986"/>
    <w:link w:val="987"/>
    <w:qFormat/>
    <w:pPr>
      <w:jc w:val="center"/>
      <w:spacing w:before="240" w:after="60" w:line="420" w:lineRule="atLeast"/>
      <w:outlineLvl w:val="0"/>
    </w:pPr>
    <w:rPr>
      <w:rFonts w:ascii="Arial" w:hAnsi="Arial"/>
      <w:b/>
      <w:sz w:val="32"/>
      <w:szCs w:val="20"/>
    </w:rPr>
  </w:style>
  <w:style w:type="character" w:styleId="987">
    <w:name w:val="标题 字符"/>
    <w:next w:val="987"/>
    <w:link w:val="986"/>
    <w:qFormat/>
    <w:rPr>
      <w:rFonts w:ascii="Arial" w:hAnsi="Arial"/>
      <w:b/>
      <w:sz w:val="32"/>
    </w:rPr>
  </w:style>
  <w:style w:type="paragraph" w:styleId="988">
    <w:name w:val="批注主题"/>
    <w:basedOn w:val="947"/>
    <w:next w:val="947"/>
    <w:link w:val="989"/>
    <w:qFormat/>
    <w:rPr>
      <w:b/>
      <w:bCs/>
    </w:rPr>
  </w:style>
  <w:style w:type="character" w:styleId="989">
    <w:name w:val="批注主题 字符"/>
    <w:next w:val="989"/>
    <w:link w:val="988"/>
    <w:qFormat/>
    <w:rPr>
      <w:b/>
      <w:bCs/>
      <w:sz w:val="21"/>
      <w:szCs w:val="24"/>
    </w:rPr>
  </w:style>
  <w:style w:type="table" w:styleId="990">
    <w:name w:val="网格型"/>
    <w:basedOn w:val="930"/>
    <w:next w:val="990"/>
    <w:link w:val="919"/>
    <w:uiPriority w:val="39"/>
    <w:qFormat/>
    <w:tblPr/>
  </w:style>
  <w:style w:type="character" w:styleId="991">
    <w:name w:val="要点"/>
    <w:next w:val="991"/>
    <w:link w:val="919"/>
    <w:qFormat/>
    <w:rPr>
      <w:rFonts w:cs="Times New Roman"/>
      <w:b/>
    </w:rPr>
  </w:style>
  <w:style w:type="character" w:styleId="992">
    <w:name w:val="页码"/>
    <w:next w:val="992"/>
    <w:link w:val="919"/>
    <w:qFormat/>
    <w:rPr>
      <w:rFonts w:eastAsia="宋体"/>
      <w:b/>
      <w:spacing w:val="0"/>
      <w:sz w:val="24"/>
      <w:szCs w:val="24"/>
      <w:vertAlign w:val="baseline"/>
      <w:lang w:val="en-US" w:eastAsia="zh-CN" w:bidi="ar-SA"/>
    </w:rPr>
  </w:style>
  <w:style w:type="character" w:styleId="993">
    <w:name w:val="已访问的超链接"/>
    <w:next w:val="993"/>
    <w:link w:val="919"/>
    <w:qFormat/>
    <w:rPr>
      <w:color w:val="800080"/>
      <w:u w:val="single"/>
    </w:rPr>
  </w:style>
  <w:style w:type="character" w:styleId="994">
    <w:name w:val="强调"/>
    <w:next w:val="994"/>
    <w:link w:val="919"/>
    <w:qFormat/>
    <w:rPr>
      <w:color w:val="cc0000"/>
    </w:rPr>
  </w:style>
  <w:style w:type="character" w:styleId="995">
    <w:name w:val="超链接"/>
    <w:next w:val="995"/>
    <w:link w:val="919"/>
    <w:uiPriority w:val="99"/>
    <w:qFormat/>
    <w:rPr>
      <w:color w:val="0000ff"/>
      <w:u w:val="single"/>
    </w:rPr>
  </w:style>
  <w:style w:type="character" w:styleId="996">
    <w:name w:val="批注引用"/>
    <w:next w:val="996"/>
    <w:link w:val="919"/>
    <w:uiPriority w:val="99"/>
    <w:qFormat/>
    <w:rPr>
      <w:sz w:val="21"/>
      <w:szCs w:val="21"/>
    </w:rPr>
  </w:style>
  <w:style w:type="character" w:styleId="997">
    <w:name w:val="HTML 引文"/>
    <w:next w:val="997"/>
    <w:link w:val="919"/>
    <w:qFormat/>
    <w:rPr>
      <w:color w:val="008000"/>
    </w:rPr>
  </w:style>
  <w:style w:type="character" w:styleId="998">
    <w:name w:val="脚注引用"/>
    <w:next w:val="998"/>
    <w:link w:val="919"/>
    <w:uiPriority w:val="99"/>
    <w:unhideWhenUsed/>
    <w:qFormat/>
    <w:rPr>
      <w:vertAlign w:val="superscript"/>
    </w:rPr>
  </w:style>
  <w:style w:type="character" w:styleId="999">
    <w:name w:val="标题 1 字符"/>
    <w:next w:val="999"/>
    <w:link w:val="920"/>
    <w:qFormat/>
    <w:rPr>
      <w:rFonts w:ascii="黑体" w:hAnsi="Times New Roman" w:eastAsia="微软雅黑" w:cs="Times New Roman"/>
      <w:b/>
      <w:sz w:val="32"/>
      <w:szCs w:val="28"/>
    </w:rPr>
  </w:style>
  <w:style w:type="paragraph" w:styleId="1000">
    <w:name w:val="段"/>
    <w:next w:val="919"/>
    <w:link w:val="919"/>
    <w:pPr>
      <w:ind w:firstLine="200"/>
      <w:jc w:val="both"/>
    </w:pPr>
    <w:rPr>
      <w:rFonts w:ascii="宋体"/>
      <w:sz w:val="21"/>
      <w:lang w:val="en-US" w:eastAsia="zh-CN" w:bidi="ar-SA"/>
    </w:rPr>
  </w:style>
  <w:style w:type="character" w:styleId="1001">
    <w:name w:val="明显强调1"/>
    <w:next w:val="1001"/>
    <w:link w:val="919"/>
    <w:qFormat/>
    <w:rPr>
      <w:b/>
      <w:bCs/>
      <w:i/>
      <w:iCs/>
      <w:color w:val="4f81bd"/>
    </w:rPr>
  </w:style>
  <w:style w:type="character" w:styleId="1002">
    <w:name w:val="批注文字 Char2"/>
    <w:next w:val="1002"/>
    <w:link w:val="919"/>
    <w:qFormat/>
    <w:rPr>
      <w:sz w:val="21"/>
    </w:rPr>
  </w:style>
  <w:style w:type="character" w:styleId="1003">
    <w:name w:val="标题 3 Char_0"/>
    <w:next w:val="1003"/>
    <w:link w:val="1004"/>
    <w:qFormat/>
    <w:rPr>
      <w:b/>
      <w:bCs/>
      <w:sz w:val="32"/>
      <w:szCs w:val="32"/>
    </w:rPr>
  </w:style>
  <w:style w:type="paragraph" w:styleId="1004">
    <w:name w:val="标题 3_0"/>
    <w:basedOn w:val="1005"/>
    <w:next w:val="1005"/>
    <w:link w:val="1003"/>
    <w:qFormat/>
    <w:pPr>
      <w:keepLines/>
      <w:keepNext/>
      <w:spacing w:before="260" w:after="260" w:line="416" w:lineRule="auto"/>
      <w:outlineLvl w:val="2"/>
    </w:pPr>
    <w:rPr>
      <w:b/>
      <w:bCs/>
      <w:sz w:val="32"/>
      <w:szCs w:val="32"/>
    </w:rPr>
  </w:style>
  <w:style w:type="paragraph" w:styleId="1005">
    <w:name w:val="正文_0"/>
    <w:next w:val="1005"/>
    <w:link w:val="919"/>
    <w:qFormat/>
    <w:pPr>
      <w:jc w:val="both"/>
      <w:widowControl w:val="off"/>
    </w:pPr>
    <w:rPr>
      <w:sz w:val="21"/>
      <w:szCs w:val="24"/>
      <w:lang w:val="en-US" w:eastAsia="zh-CN" w:bidi="ar-SA"/>
    </w:rPr>
  </w:style>
  <w:style w:type="character" w:styleId="1006">
    <w:name w:val="正文文本 Char2"/>
    <w:next w:val="1006"/>
    <w:link w:val="919"/>
    <w:uiPriority w:val="99"/>
    <w:semiHidden/>
    <w:qFormat/>
    <w:rPr>
      <w:rFonts w:ascii="Calibri" w:hAnsi="Calibri" w:eastAsia="宋体" w:cs="Times New Roman"/>
    </w:rPr>
  </w:style>
  <w:style w:type="character" w:styleId="1007">
    <w:name w:val="页脚 Char1"/>
    <w:next w:val="1007"/>
    <w:link w:val="919"/>
    <w:uiPriority w:val="99"/>
    <w:semiHidden/>
    <w:qFormat/>
    <w:rPr>
      <w:rFonts w:ascii="Calibri" w:hAnsi="Calibri" w:eastAsia="宋体" w:cs="Times New Roman"/>
      <w:sz w:val="18"/>
      <w:szCs w:val="18"/>
    </w:rPr>
  </w:style>
  <w:style w:type="character" w:styleId="1008">
    <w:name w:val="明显引用 Char2"/>
    <w:next w:val="1008"/>
    <w:link w:val="919"/>
    <w:uiPriority w:val="99"/>
    <w:qFormat/>
    <w:rPr>
      <w:b/>
      <w:bCs/>
      <w:i/>
      <w:iCs/>
      <w:color w:val="4f81bd"/>
      <w:sz w:val="21"/>
      <w:szCs w:val="24"/>
    </w:rPr>
  </w:style>
  <w:style w:type="character" w:styleId="1009">
    <w:name w:val="引用 Char"/>
    <w:next w:val="1009"/>
    <w:link w:val="1010"/>
    <w:qFormat/>
    <w:rPr>
      <w:i/>
      <w:iCs/>
      <w:color w:val="000000"/>
    </w:rPr>
  </w:style>
  <w:style w:type="paragraph" w:styleId="1010">
    <w:name w:val="引用1"/>
    <w:basedOn w:val="919"/>
    <w:next w:val="919"/>
    <w:link w:val="1009"/>
    <w:qFormat/>
    <w:rPr>
      <w:i/>
      <w:iCs/>
      <w:color w:val="000000"/>
      <w:sz w:val="20"/>
      <w:szCs w:val="20"/>
    </w:rPr>
  </w:style>
  <w:style w:type="character" w:styleId="1011">
    <w:name w:val="标题 1 Char_0"/>
    <w:next w:val="1011"/>
    <w:link w:val="1012"/>
    <w:qFormat/>
    <w:rPr>
      <w:b/>
      <w:bCs/>
      <w:sz w:val="44"/>
      <w:szCs w:val="44"/>
    </w:rPr>
  </w:style>
  <w:style w:type="paragraph" w:styleId="1012">
    <w:name w:val="标题 1_0"/>
    <w:basedOn w:val="1005"/>
    <w:next w:val="1005"/>
    <w:link w:val="1011"/>
    <w:qFormat/>
    <w:pPr>
      <w:keepLines/>
      <w:keepNext/>
      <w:spacing w:before="340" w:after="330" w:line="578" w:lineRule="auto"/>
      <w:outlineLvl w:val="0"/>
    </w:pPr>
    <w:rPr>
      <w:b/>
      <w:bCs/>
      <w:sz w:val="44"/>
      <w:szCs w:val="44"/>
    </w:rPr>
  </w:style>
  <w:style w:type="character" w:styleId="1013">
    <w:name w:val="正文文本缩进 3 Char1"/>
    <w:next w:val="1013"/>
    <w:link w:val="919"/>
    <w:uiPriority w:val="99"/>
    <w:semiHidden/>
    <w:qFormat/>
    <w:rPr>
      <w:sz w:val="16"/>
      <w:szCs w:val="16"/>
    </w:rPr>
  </w:style>
  <w:style w:type="character" w:styleId="1014">
    <w:name w:val="引用 Char1"/>
    <w:next w:val="1014"/>
    <w:link w:val="919"/>
    <w:uiPriority w:val="29"/>
    <w:qFormat/>
    <w:rPr>
      <w:i/>
      <w:iCs/>
      <w:color w:val="000000"/>
      <w:sz w:val="21"/>
    </w:rPr>
  </w:style>
  <w:style w:type="character" w:styleId="1015">
    <w:name w:val="font161"/>
    <w:next w:val="1015"/>
    <w:link w:val="919"/>
    <w:qFormat/>
    <w:rPr>
      <w:b/>
      <w:sz w:val="32"/>
    </w:rPr>
  </w:style>
  <w:style w:type="character" w:styleId="1016">
    <w:name w:val="标题 4 Char_0"/>
    <w:next w:val="1016"/>
    <w:link w:val="1017"/>
    <w:qFormat/>
    <w:rPr>
      <w:rFonts w:ascii="Arial" w:hAnsi="Arial" w:eastAsia="黑体"/>
      <w:b/>
      <w:bCs/>
      <w:sz w:val="28"/>
      <w:szCs w:val="28"/>
    </w:rPr>
  </w:style>
  <w:style w:type="paragraph" w:styleId="1017">
    <w:name w:val="标题 4_0"/>
    <w:basedOn w:val="1005"/>
    <w:next w:val="1005"/>
    <w:link w:val="1016"/>
    <w:qFormat/>
    <w:pPr>
      <w:keepLines/>
      <w:keepNext/>
      <w:spacing w:before="280" w:after="290" w:line="376" w:lineRule="auto"/>
      <w:outlineLvl w:val="3"/>
    </w:pPr>
    <w:rPr>
      <w:rFonts w:ascii="Arial" w:hAnsi="Arial" w:eastAsia="黑体"/>
      <w:b/>
      <w:bCs/>
      <w:sz w:val="28"/>
      <w:szCs w:val="28"/>
    </w:rPr>
  </w:style>
  <w:style w:type="character" w:styleId="1018">
    <w:name w:val="引用 Char2"/>
    <w:next w:val="1018"/>
    <w:link w:val="919"/>
    <w:uiPriority w:val="99"/>
    <w:qFormat/>
    <w:rPr>
      <w:i/>
      <w:iCs/>
      <w:color w:val="000000"/>
      <w:sz w:val="21"/>
      <w:szCs w:val="24"/>
    </w:rPr>
  </w:style>
  <w:style w:type="character" w:styleId="1019">
    <w:name w:val="rvts11"/>
    <w:next w:val="1019"/>
    <w:link w:val="919"/>
    <w:qFormat/>
    <w:rPr>
      <w:rFonts w:ascii="KNLe" w:hAnsi="KNLe"/>
      <w:sz w:val="24"/>
      <w:szCs w:val="24"/>
      <w:u w:val="single"/>
    </w:rPr>
  </w:style>
  <w:style w:type="character" w:styleId="1020">
    <w:name w:val="标题5 Char Char"/>
    <w:next w:val="1020"/>
    <w:link w:val="1021"/>
    <w:qFormat/>
    <w:rPr>
      <w:rFonts w:ascii="Arial" w:hAnsi="Arial"/>
      <w:b/>
      <w:bCs/>
      <w:sz w:val="24"/>
      <w:szCs w:val="32"/>
    </w:rPr>
  </w:style>
  <w:style w:type="paragraph" w:styleId="1021">
    <w:name w:val="标题5"/>
    <w:basedOn w:val="922"/>
    <w:next w:val="1021"/>
    <w:link w:val="1020"/>
    <w:qFormat/>
    <w:pPr>
      <w:numPr>
        <w:ilvl w:val="0"/>
        <w:numId w:val="0"/>
      </w:numPr>
      <w:spacing w:line="413" w:lineRule="auto"/>
    </w:pPr>
    <w:rPr>
      <w:rFonts w:ascii="Arial" w:hAnsi="Arial"/>
      <w:sz w:val="24"/>
    </w:rPr>
  </w:style>
  <w:style w:type="character" w:styleId="1022">
    <w:name w:val="副标题 Char2"/>
    <w:next w:val="1022"/>
    <w:link w:val="919"/>
    <w:uiPriority w:val="11"/>
    <w:qFormat/>
    <w:rPr>
      <w:rFonts w:ascii="Cambria" w:hAnsi="Cambria" w:cs="Times New Roman"/>
      <w:b/>
      <w:bCs/>
      <w:sz w:val="32"/>
      <w:szCs w:val="32"/>
    </w:rPr>
  </w:style>
  <w:style w:type="character" w:styleId="1023">
    <w:name w:val="批注主题 Char1"/>
    <w:next w:val="1023"/>
    <w:link w:val="919"/>
    <w:qFormat/>
    <w:rPr>
      <w:b/>
      <w:bCs/>
      <w:sz w:val="21"/>
      <w:szCs w:val="22"/>
    </w:rPr>
  </w:style>
  <w:style w:type="character" w:styleId="1024">
    <w:name w:val="font31"/>
    <w:next w:val="1024"/>
    <w:link w:val="919"/>
    <w:qFormat/>
    <w:rPr>
      <w:rFonts w:hint="eastAsia" w:ascii="宋体" w:hAnsi="宋体" w:eastAsia="宋体" w:cs="宋体"/>
      <w:color w:val="000000"/>
      <w:sz w:val="20"/>
      <w:szCs w:val="20"/>
      <w:u w:val="none"/>
    </w:rPr>
  </w:style>
  <w:style w:type="character" w:styleId="1025">
    <w:name w:val="明显引用 Char"/>
    <w:next w:val="1025"/>
    <w:link w:val="1026"/>
    <w:qFormat/>
    <w:rPr>
      <w:b/>
      <w:bCs/>
      <w:i/>
      <w:iCs/>
      <w:color w:val="4f81bd"/>
    </w:rPr>
  </w:style>
  <w:style w:type="paragraph" w:styleId="1026">
    <w:name w:val="明显引用1"/>
    <w:basedOn w:val="919"/>
    <w:next w:val="919"/>
    <w:link w:val="1025"/>
    <w:qFormat/>
    <w:pPr>
      <w:ind w:left="936" w:right="936"/>
      <w:spacing w:before="200" w:after="280"/>
      <w:pBdr>
        <w:bottom w:val="single" w:color="4F81BD" w:sz="4" w:space="4"/>
      </w:pBdr>
    </w:pPr>
    <w:rPr>
      <w:b/>
      <w:bCs/>
      <w:i/>
      <w:iCs/>
      <w:color w:val="4f81bd"/>
      <w:sz w:val="20"/>
      <w:szCs w:val="20"/>
    </w:rPr>
  </w:style>
  <w:style w:type="character" w:styleId="1027">
    <w:name w:val="日期 Char1"/>
    <w:next w:val="1027"/>
    <w:link w:val="919"/>
    <w:qFormat/>
    <w:rPr>
      <w:rFonts w:ascii="Calibri" w:hAnsi="Calibri" w:eastAsia="宋体" w:cs="Times New Roman"/>
    </w:rPr>
  </w:style>
  <w:style w:type="character" w:styleId="1028">
    <w:name w:val="批注框文本 Char1"/>
    <w:next w:val="1028"/>
    <w:link w:val="919"/>
    <w:qFormat/>
    <w:rPr>
      <w:sz w:val="18"/>
      <w:szCs w:val="18"/>
    </w:rPr>
  </w:style>
  <w:style w:type="character" w:styleId="1029">
    <w:name w:val="标题 Char1"/>
    <w:next w:val="1029"/>
    <w:link w:val="919"/>
    <w:uiPriority w:val="10"/>
    <w:qFormat/>
    <w:rPr>
      <w:rFonts w:ascii="Cambria" w:hAnsi="Cambria" w:eastAsia="宋体" w:cs="Times New Roman"/>
      <w:b/>
      <w:bCs/>
      <w:sz w:val="32"/>
      <w:szCs w:val="32"/>
    </w:rPr>
  </w:style>
  <w:style w:type="character" w:styleId="1030">
    <w:name w:val="不明显参考1"/>
    <w:next w:val="1030"/>
    <w:link w:val="919"/>
    <w:qFormat/>
    <w:rPr>
      <w:smallCaps/>
      <w:color w:val="c0504d"/>
      <w:u w:val="single"/>
    </w:rPr>
  </w:style>
  <w:style w:type="character" w:styleId="1031">
    <w:name w:val="批注文字 Char1"/>
    <w:next w:val="1031"/>
    <w:link w:val="919"/>
    <w:qFormat/>
    <w:rPr>
      <w:rFonts w:ascii="Calibri" w:hAnsi="Calibri" w:eastAsia="宋体" w:cs="Times New Roman"/>
    </w:rPr>
  </w:style>
  <w:style w:type="character" w:styleId="1032">
    <w:name w:val="标题 Char2"/>
    <w:next w:val="1032"/>
    <w:link w:val="919"/>
    <w:uiPriority w:val="10"/>
    <w:qFormat/>
    <w:rPr>
      <w:rFonts w:ascii="Cambria" w:hAnsi="Cambria" w:cs="Times New Roman"/>
      <w:b/>
      <w:bCs/>
      <w:sz w:val="32"/>
      <w:szCs w:val="32"/>
    </w:rPr>
  </w:style>
  <w:style w:type="character" w:styleId="1033">
    <w:name w:val="正文文本 3 Char1"/>
    <w:next w:val="1033"/>
    <w:link w:val="919"/>
    <w:uiPriority w:val="99"/>
    <w:semiHidden/>
    <w:qFormat/>
    <w:rPr>
      <w:sz w:val="16"/>
      <w:szCs w:val="16"/>
    </w:rPr>
  </w:style>
  <w:style w:type="character" w:styleId="1034">
    <w:name w:val="批注主题 Char2"/>
    <w:next w:val="1034"/>
    <w:link w:val="919"/>
    <w:qFormat/>
    <w:rPr>
      <w:b/>
      <w:bCs/>
      <w:sz w:val="21"/>
    </w:rPr>
  </w:style>
  <w:style w:type="character" w:styleId="1035">
    <w:name w:val="正文文本 Char_0"/>
    <w:next w:val="1035"/>
    <w:link w:val="1036"/>
    <w:qFormat/>
    <w:rPr>
      <w:szCs w:val="24"/>
    </w:rPr>
  </w:style>
  <w:style w:type="paragraph" w:styleId="1036">
    <w:name w:val="正文文本_0"/>
    <w:basedOn w:val="1005"/>
    <w:next w:val="1036"/>
    <w:link w:val="1035"/>
    <w:qFormat/>
    <w:pPr>
      <w:spacing w:after="120"/>
    </w:pPr>
    <w:rPr>
      <w:sz w:val="20"/>
    </w:rPr>
  </w:style>
  <w:style w:type="character" w:styleId="1037">
    <w:name w:val="bookmark"/>
    <w:next w:val="1037"/>
    <w:link w:val="919"/>
    <w:qFormat/>
  </w:style>
  <w:style w:type="character" w:styleId="1038">
    <w:name w:val="标题 5 Char_0"/>
    <w:next w:val="1038"/>
    <w:link w:val="1039"/>
    <w:qFormat/>
    <w:rPr>
      <w:rFonts w:ascii="Calibri" w:hAnsi="Calibri"/>
      <w:b/>
      <w:bCs/>
      <w:sz w:val="28"/>
      <w:szCs w:val="28"/>
    </w:rPr>
  </w:style>
  <w:style w:type="paragraph" w:styleId="1039">
    <w:name w:val="标题 5_0"/>
    <w:basedOn w:val="1005"/>
    <w:next w:val="1005"/>
    <w:link w:val="1038"/>
    <w:qFormat/>
    <w:pPr>
      <w:keepLines/>
      <w:keepNext/>
      <w:spacing w:before="280" w:after="290" w:line="372" w:lineRule="auto"/>
      <w:outlineLvl w:val="4"/>
    </w:pPr>
    <w:rPr>
      <w:rFonts w:ascii="Calibri" w:hAnsi="Calibri"/>
      <w:b/>
      <w:bCs/>
      <w:sz w:val="28"/>
      <w:szCs w:val="28"/>
    </w:rPr>
  </w:style>
  <w:style w:type="character" w:styleId="1040">
    <w:name w:val="font11"/>
    <w:next w:val="1040"/>
    <w:link w:val="919"/>
    <w:qFormat/>
    <w:rPr>
      <w:rFonts w:hint="eastAsia" w:ascii="宋体" w:hAnsi="宋体" w:eastAsia="宋体" w:cs="宋体"/>
      <w:color w:val="000000"/>
      <w:sz w:val="20"/>
      <w:szCs w:val="20"/>
      <w:u w:val="none"/>
    </w:rPr>
  </w:style>
  <w:style w:type="character" w:styleId="1041">
    <w:name w:val="明显参考1"/>
    <w:next w:val="1041"/>
    <w:link w:val="919"/>
    <w:qFormat/>
    <w:rPr>
      <w:b/>
      <w:bCs/>
      <w:smallCaps/>
      <w:color w:val="c0504d"/>
      <w:spacing w:val="5"/>
      <w:u w:val="single"/>
    </w:rPr>
  </w:style>
  <w:style w:type="character" w:styleId="1042">
    <w:name w:val="超链接_0"/>
    <w:next w:val="1042"/>
    <w:link w:val="919"/>
    <w:uiPriority w:val="99"/>
    <w:qFormat/>
    <w:rPr>
      <w:rFonts w:ascii="Calibri" w:hAnsi="Calibri"/>
      <w:color w:val="0000ff"/>
      <w:u w:val="single"/>
    </w:rPr>
  </w:style>
  <w:style w:type="character" w:styleId="1043">
    <w:name w:val="文档结构图 Char2"/>
    <w:next w:val="1043"/>
    <w:link w:val="919"/>
    <w:uiPriority w:val="99"/>
    <w:semiHidden/>
    <w:qFormat/>
    <w:rPr>
      <w:rFonts w:ascii="宋体" w:hAnsi="Calibri" w:eastAsia="宋体" w:cs="Times New Roman"/>
      <w:sz w:val="18"/>
      <w:szCs w:val="18"/>
    </w:rPr>
  </w:style>
  <w:style w:type="character" w:styleId="1044">
    <w:name w:val="textcontents"/>
    <w:next w:val="1044"/>
    <w:link w:val="919"/>
    <w:qFormat/>
    <w:rPr>
      <w:rFonts w:cs="Times New Roman"/>
    </w:rPr>
  </w:style>
  <w:style w:type="character" w:styleId="1045">
    <w:name w:val="标题 1 Char"/>
    <w:next w:val="1045"/>
    <w:link w:val="919"/>
    <w:qFormat/>
    <w:rPr>
      <w:b/>
      <w:bCs/>
      <w:sz w:val="32"/>
      <w:szCs w:val="44"/>
    </w:rPr>
  </w:style>
  <w:style w:type="character" w:styleId="1046">
    <w:name w:val="副标题 Char1"/>
    <w:next w:val="1046"/>
    <w:link w:val="919"/>
    <w:uiPriority w:val="11"/>
    <w:qFormat/>
    <w:rPr>
      <w:rFonts w:ascii="Cambria" w:hAnsi="Cambria" w:cs="Times New Roman"/>
      <w:b/>
      <w:bCs/>
      <w:sz w:val="32"/>
      <w:szCs w:val="32"/>
    </w:rPr>
  </w:style>
  <w:style w:type="character" w:styleId="1047">
    <w:name w:val="书籍标题1"/>
    <w:next w:val="1047"/>
    <w:link w:val="919"/>
    <w:qFormat/>
    <w:rPr>
      <w:b/>
      <w:bCs/>
      <w:smallCaps/>
      <w:spacing w:val="5"/>
    </w:rPr>
  </w:style>
  <w:style w:type="character" w:styleId="1048">
    <w:name w:val="标题4 Char Char"/>
    <w:next w:val="1048"/>
    <w:link w:val="1049"/>
    <w:qFormat/>
    <w:rPr>
      <w:rFonts w:ascii="Arial" w:hAnsi="Arial"/>
      <w:b/>
      <w:bCs/>
      <w:sz w:val="24"/>
      <w:szCs w:val="32"/>
    </w:rPr>
  </w:style>
  <w:style w:type="paragraph" w:styleId="1049">
    <w:name w:val="标题4"/>
    <w:basedOn w:val="921"/>
    <w:next w:val="955"/>
    <w:link w:val="1048"/>
    <w:qFormat/>
    <w:pPr>
      <w:numPr>
        <w:ilvl w:val="0"/>
        <w:numId w:val="0"/>
      </w:numPr>
      <w:spacing w:line="413" w:lineRule="auto"/>
    </w:pPr>
    <w:rPr>
      <w:rFonts w:ascii="Arial" w:hAnsi="Arial"/>
      <w:sz w:val="24"/>
    </w:rPr>
  </w:style>
  <w:style w:type="character" w:styleId="1050">
    <w:name w:val="正文文本 Char1"/>
    <w:next w:val="1050"/>
    <w:link w:val="919"/>
    <w:qFormat/>
    <w:rPr>
      <w:rFonts w:ascii="Calibri" w:hAnsi="Calibri" w:eastAsia="宋体" w:cs="Times New Roman"/>
    </w:rPr>
  </w:style>
  <w:style w:type="character" w:styleId="1051">
    <w:name w:val="明显引用 Char1"/>
    <w:next w:val="1051"/>
    <w:link w:val="919"/>
    <w:uiPriority w:val="30"/>
    <w:qFormat/>
    <w:rPr>
      <w:b/>
      <w:bCs/>
      <w:i/>
      <w:iCs/>
      <w:color w:val="4f81bd"/>
      <w:sz w:val="21"/>
    </w:rPr>
  </w:style>
  <w:style w:type="character" w:styleId="1052">
    <w:name w:val="页眉 Char1"/>
    <w:next w:val="1052"/>
    <w:link w:val="919"/>
    <w:uiPriority w:val="99"/>
    <w:semiHidden/>
    <w:qFormat/>
    <w:rPr>
      <w:rFonts w:ascii="Calibri" w:hAnsi="Calibri" w:eastAsia="宋体" w:cs="Times New Roman"/>
      <w:sz w:val="18"/>
      <w:szCs w:val="18"/>
    </w:rPr>
  </w:style>
  <w:style w:type="character" w:styleId="1053">
    <w:name w:val="不明显强调1"/>
    <w:next w:val="1053"/>
    <w:link w:val="919"/>
    <w:qFormat/>
    <w:rPr>
      <w:i/>
      <w:iCs/>
      <w:color w:val="808080"/>
    </w:rPr>
  </w:style>
  <w:style w:type="character" w:styleId="1054">
    <w:name w:val="font21"/>
    <w:next w:val="1054"/>
    <w:link w:val="919"/>
    <w:qFormat/>
    <w:rPr>
      <w:rFonts w:hint="eastAsia" w:ascii="宋体" w:hAnsi="宋体" w:eastAsia="宋体" w:cs="宋体"/>
      <w:color w:val="000000"/>
      <w:sz w:val="20"/>
      <w:szCs w:val="20"/>
      <w:u w:val="none"/>
    </w:rPr>
  </w:style>
  <w:style w:type="character" w:styleId="1055">
    <w:name w:val="文档结构图 Char1"/>
    <w:next w:val="1055"/>
    <w:link w:val="919"/>
    <w:qFormat/>
    <w:rPr>
      <w:rFonts w:ascii="宋体" w:hAnsi="Calibri" w:eastAsia="宋体" w:cs="Times New Roman"/>
      <w:sz w:val="18"/>
      <w:szCs w:val="18"/>
    </w:rPr>
  </w:style>
  <w:style w:type="character" w:styleId="1056">
    <w:name w:val="标题 2 Char_0"/>
    <w:next w:val="1056"/>
    <w:link w:val="1057"/>
    <w:qFormat/>
    <w:rPr>
      <w:rFonts w:ascii="Cambria" w:hAnsi="Cambria"/>
      <w:b/>
      <w:bCs/>
      <w:sz w:val="32"/>
      <w:szCs w:val="32"/>
    </w:rPr>
  </w:style>
  <w:style w:type="paragraph" w:styleId="1057">
    <w:name w:val="标题 2_0"/>
    <w:basedOn w:val="1005"/>
    <w:next w:val="1005"/>
    <w:link w:val="1056"/>
    <w:unhideWhenUsed/>
    <w:qFormat/>
    <w:pPr>
      <w:keepLines/>
      <w:keepNext/>
      <w:spacing w:before="260" w:after="260" w:line="416" w:lineRule="auto"/>
      <w:outlineLvl w:val="1"/>
    </w:pPr>
    <w:rPr>
      <w:rFonts w:ascii="Cambria" w:hAnsi="Cambria"/>
      <w:b/>
      <w:bCs/>
      <w:sz w:val="32"/>
      <w:szCs w:val="32"/>
    </w:rPr>
  </w:style>
  <w:style w:type="character" w:styleId="1058">
    <w:name w:val="日期 Char2"/>
    <w:next w:val="1058"/>
    <w:link w:val="919"/>
    <w:uiPriority w:val="99"/>
    <w:semiHidden/>
    <w:qFormat/>
    <w:rPr>
      <w:rFonts w:ascii="Calibri" w:hAnsi="Calibri" w:eastAsia="宋体" w:cs="Times New Roman"/>
    </w:rPr>
  </w:style>
  <w:style w:type="character" w:styleId="1059">
    <w:name w:val="批注框文本 Char2"/>
    <w:next w:val="1059"/>
    <w:link w:val="919"/>
    <w:uiPriority w:val="99"/>
    <w:semiHidden/>
    <w:qFormat/>
    <w:rPr>
      <w:rFonts w:ascii="Calibri" w:hAnsi="Calibri" w:eastAsia="宋体" w:cs="Times New Roman"/>
      <w:sz w:val="18"/>
      <w:szCs w:val="18"/>
    </w:rPr>
  </w:style>
  <w:style w:type="character" w:styleId="1060">
    <w:name w:val="列出段落 Char"/>
    <w:next w:val="1060"/>
    <w:link w:val="1061"/>
    <w:uiPriority w:val="99"/>
    <w:qFormat/>
    <w:rPr>
      <w:sz w:val="21"/>
      <w:szCs w:val="24"/>
    </w:rPr>
  </w:style>
  <w:style w:type="paragraph" w:styleId="1061">
    <w:name w:val="List Paragraph1"/>
    <w:basedOn w:val="919"/>
    <w:next w:val="1061"/>
    <w:link w:val="1060"/>
    <w:uiPriority w:val="99"/>
    <w:qFormat/>
    <w:pPr>
      <w:ind w:firstLine="420"/>
    </w:pPr>
  </w:style>
  <w:style w:type="paragraph" w:styleId="1062">
    <w:name w:val="样式 标题 3 + (中文) 黑体 小四 非加粗 段前: 7.8 磅 段后: 0 磅 行距: 固定值 20 磅"/>
    <w:basedOn w:val="922"/>
    <w:next w:val="919"/>
    <w:link w:val="919"/>
    <w:qFormat/>
    <w:pPr>
      <w:spacing w:before="0" w:after="0" w:line="400" w:lineRule="exact"/>
    </w:pPr>
    <w:rPr>
      <w:rFonts w:eastAsia="黑体" w:cs="宋体"/>
      <w:b w:val="0"/>
      <w:bCs w:val="0"/>
      <w:sz w:val="24"/>
      <w:szCs w:val="20"/>
    </w:rPr>
  </w:style>
  <w:style w:type="paragraph" w:styleId="1063">
    <w:name w:val="_Style 34"/>
    <w:next w:val="919"/>
    <w:link w:val="919"/>
    <w:qFormat/>
    <w:pPr>
      <w:jc w:val="both"/>
      <w:widowControl w:val="off"/>
    </w:pPr>
    <w:rPr>
      <w:sz w:val="21"/>
      <w:lang w:val="en-US" w:eastAsia="zh-CN" w:bidi="ar-SA"/>
    </w:rPr>
  </w:style>
  <w:style w:type="paragraph" w:styleId="1064">
    <w:name w:val="正文_3"/>
    <w:next w:val="1064"/>
    <w:link w:val="919"/>
    <w:qFormat/>
    <w:pPr>
      <w:jc w:val="both"/>
      <w:widowControl w:val="off"/>
    </w:pPr>
    <w:rPr>
      <w:sz w:val="21"/>
      <w:szCs w:val="22"/>
      <w:lang w:val="en-US" w:eastAsia="zh-CN" w:bidi="ar-SA"/>
    </w:rPr>
  </w:style>
  <w:style w:type="paragraph" w:styleId="1065">
    <w:name w:val="_Style 36"/>
    <w:next w:val="919"/>
    <w:link w:val="919"/>
    <w:qFormat/>
    <w:pPr>
      <w:jc w:val="both"/>
      <w:widowControl w:val="off"/>
    </w:pPr>
    <w:rPr>
      <w:sz w:val="21"/>
      <w:lang w:val="en-US" w:eastAsia="zh-CN" w:bidi="ar-SA"/>
    </w:rPr>
  </w:style>
  <w:style w:type="paragraph" w:styleId="1066">
    <w:name w:val="空半行"/>
    <w:basedOn w:val="919"/>
    <w:next w:val="1066"/>
    <w:link w:val="919"/>
    <w:qFormat/>
    <w:pPr>
      <w:spacing w:line="120" w:lineRule="exact"/>
    </w:pPr>
    <w:rPr>
      <w:rFonts w:ascii="Calibri" w:hAnsi="Calibri" w:eastAsia="仿宋_GB2312"/>
      <w:color w:val="ffffff"/>
      <w:sz w:val="30"/>
      <w:szCs w:val="22"/>
    </w:rPr>
  </w:style>
  <w:style w:type="paragraph" w:styleId="1067">
    <w:name w:val="1方案格式1"/>
    <w:basedOn w:val="920"/>
    <w:next w:val="1067"/>
    <w:link w:val="919"/>
    <w:qFormat/>
    <w:pPr>
      <w:numPr>
        <w:numId w:val="2"/>
      </w:numPr>
      <w:ind w:left="0" w:firstLine="0"/>
      <w:spacing w:line="360" w:lineRule="auto"/>
      <w:tabs>
        <w:tab w:val="left" w:pos="360" w:leader="none"/>
      </w:tabs>
    </w:pPr>
    <w:rPr>
      <w:rFonts w:eastAsia="微软雅黑"/>
      <w:bCs w:val="0"/>
      <w:sz w:val="48"/>
    </w:rPr>
  </w:style>
  <w:style w:type="paragraph" w:styleId="1068">
    <w:name w:val="格式３"/>
    <w:basedOn w:val="919"/>
    <w:next w:val="1068"/>
    <w:link w:val="919"/>
    <w:qFormat/>
    <w:pPr>
      <w:ind w:left="600" w:hanging="600"/>
      <w:spacing w:line="420" w:lineRule="exact"/>
    </w:pPr>
    <w:rPr>
      <w:rFonts w:ascii="宋体" w:hAnsi="宋体"/>
      <w:color w:val="000000"/>
      <w:sz w:val="24"/>
      <w:szCs w:val="20"/>
    </w:rPr>
  </w:style>
  <w:style w:type="paragraph" w:styleId="1069">
    <w:name w:val="正文1"/>
    <w:next w:val="1069"/>
    <w:link w:val="919"/>
    <w:qFormat/>
    <w:pPr>
      <w:jc w:val="both"/>
      <w:widowControl w:val="off"/>
    </w:pPr>
    <w:rPr>
      <w:rFonts w:ascii="Calibri" w:hAnsi="Calibri"/>
      <w:lang w:val="en-US" w:eastAsia="zh-CN" w:bidi="ar-SA"/>
    </w:rPr>
  </w:style>
  <w:style w:type="paragraph" w:styleId="1070">
    <w:name w:val="列出段落1"/>
    <w:basedOn w:val="919"/>
    <w:next w:val="1070"/>
    <w:link w:val="919"/>
    <w:uiPriority w:val="99"/>
    <w:qFormat/>
    <w:pPr>
      <w:contextualSpacing/>
      <w:ind w:left="720"/>
      <w:jc w:val="left"/>
      <w:widowControl/>
    </w:pPr>
    <w:rPr>
      <w:rFonts w:ascii="Arial" w:hAnsi="Arial" w:eastAsia="黑体"/>
      <w:sz w:val="24"/>
      <w:lang w:eastAsia="en-US"/>
    </w:rPr>
  </w:style>
  <w:style w:type="paragraph" w:styleId="1071">
    <w:name w:val="正文空2字"/>
    <w:basedOn w:val="919"/>
    <w:next w:val="1071"/>
    <w:link w:val="919"/>
    <w:qFormat/>
    <w:pPr>
      <w:ind w:firstLine="200"/>
      <w:spacing w:line="360" w:lineRule="auto"/>
    </w:pPr>
    <w:rPr>
      <w:sz w:val="24"/>
      <w:lang w:bidi="en-US"/>
    </w:rPr>
  </w:style>
  <w:style w:type="paragraph" w:styleId="1072">
    <w:name w:val="正文_0_0_0"/>
    <w:next w:val="1072"/>
    <w:link w:val="919"/>
    <w:qFormat/>
    <w:pPr>
      <w:jc w:val="both"/>
      <w:widowControl w:val="off"/>
    </w:pPr>
    <w:rPr>
      <w:lang w:val="en-US" w:eastAsia="zh-CN" w:bidi="ar-SA"/>
    </w:rPr>
  </w:style>
  <w:style w:type="paragraph" w:styleId="1073">
    <w:name w:val="目录 5_0"/>
    <w:basedOn w:val="1005"/>
    <w:next w:val="1005"/>
    <w:link w:val="919"/>
    <w:uiPriority w:val="39"/>
    <w:qFormat/>
    <w:pPr>
      <w:ind w:left="1680"/>
    </w:pPr>
    <w:rPr>
      <w:rFonts w:ascii="Calibri" w:hAnsi="Calibri"/>
    </w:rPr>
  </w:style>
  <w:style w:type="paragraph" w:styleId="1074">
    <w:name w:val="修订1"/>
    <w:next w:val="1074"/>
    <w:link w:val="919"/>
    <w:qFormat/>
    <w:rPr>
      <w:sz w:val="21"/>
      <w:szCs w:val="24"/>
      <w:lang w:val="en-US" w:eastAsia="zh-CN" w:bidi="ar-SA"/>
    </w:rPr>
  </w:style>
  <w:style w:type="paragraph" w:styleId="1075">
    <w:name w:val="标题 11"/>
    <w:basedOn w:val="1069"/>
    <w:next w:val="1069"/>
    <w:link w:val="919"/>
    <w:qFormat/>
    <w:pPr>
      <w:keepLines/>
      <w:keepNext/>
      <w:spacing w:before="340" w:after="330" w:line="576" w:lineRule="auto"/>
      <w:outlineLvl w:val="0"/>
    </w:pPr>
    <w:rPr>
      <w:rFonts w:ascii="Times New Roman" w:hAnsi="Times New Roman" w:eastAsia="Times New Roman"/>
      <w:b/>
      <w:sz w:val="44"/>
      <w:lang w:val="zh-CN"/>
    </w:rPr>
  </w:style>
  <w:style w:type="paragraph" w:styleId="1076">
    <w:name w:val="正文 + 行距: 固定值 20 磅"/>
    <w:basedOn w:val="919"/>
    <w:next w:val="1076"/>
    <w:link w:val="919"/>
    <w:qFormat/>
    <w:pPr>
      <w:ind w:firstLine="716"/>
      <w:spacing w:line="400" w:lineRule="exact"/>
    </w:pPr>
    <w:rPr>
      <w:rFonts w:ascii="Calibri" w:hAnsi="Calibri"/>
      <w:szCs w:val="22"/>
    </w:rPr>
  </w:style>
  <w:style w:type="paragraph" w:styleId="1077">
    <w:name w:val="TOC 标题1"/>
    <w:basedOn w:val="920"/>
    <w:next w:val="919"/>
    <w:link w:val="91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078">
    <w:name w:val="表格文字"/>
    <w:basedOn w:val="919"/>
    <w:next w:val="1078"/>
    <w:link w:val="1079"/>
    <w:qFormat/>
    <w:pPr>
      <w:jc w:val="left"/>
      <w:spacing w:line="420" w:lineRule="atLeast"/>
    </w:pPr>
    <w:rPr>
      <w:rFonts w:ascii="Calibri" w:hAnsi="Calibri"/>
      <w:szCs w:val="22"/>
    </w:rPr>
  </w:style>
  <w:style w:type="character" w:styleId="1079">
    <w:name w:val="表格文字 字符"/>
    <w:next w:val="1079"/>
    <w:link w:val="1078"/>
    <w:qFormat/>
    <w:rPr>
      <w:rFonts w:ascii="Calibri" w:hAnsi="Calibri" w:eastAsia="宋体" w:cs="Times New Roman"/>
      <w:sz w:val="21"/>
      <w:szCs w:val="22"/>
    </w:rPr>
  </w:style>
  <w:style w:type="paragraph" w:styleId="1080">
    <w:name w:val="flNote"/>
    <w:basedOn w:val="919"/>
    <w:next w:val="1080"/>
    <w:link w:val="919"/>
    <w:qFormat/>
    <w:pPr>
      <w:jc w:val="center"/>
      <w:spacing w:before="320" w:after="160" w:line="360" w:lineRule="atLeast"/>
    </w:pPr>
    <w:rPr>
      <w:rFonts w:ascii="Arial" w:hAnsi="Calibri" w:eastAsia="黑体"/>
      <w:sz w:val="30"/>
      <w:szCs w:val="22"/>
    </w:rPr>
  </w:style>
  <w:style w:type="paragraph" w:styleId="1081">
    <w:name w:val="文章正文"/>
    <w:basedOn w:val="919"/>
    <w:next w:val="1081"/>
    <w:link w:val="919"/>
    <w:uiPriority w:val="99"/>
    <w:qFormat/>
    <w:pPr>
      <w:ind w:firstLine="480"/>
      <w:spacing w:line="360" w:lineRule="auto"/>
    </w:pPr>
    <w:rPr>
      <w:rFonts w:ascii="仿宋_GB2312" w:hAnsi="宋体" w:eastAsia="仿宋_GB2312"/>
      <w:color w:val="ff0000"/>
      <w:sz w:val="24"/>
    </w:rPr>
  </w:style>
  <w:style w:type="paragraph" w:styleId="1082">
    <w:name w:val="表格"/>
    <w:basedOn w:val="919"/>
    <w:next w:val="1082"/>
    <w:link w:val="919"/>
    <w:qFormat/>
    <w:pPr>
      <w:jc w:val="center"/>
    </w:pPr>
    <w:rPr>
      <w:rFonts w:ascii="华文细黑" w:hAnsi="华文细黑"/>
      <w:szCs w:val="22"/>
    </w:rPr>
  </w:style>
  <w:style w:type="paragraph" w:styleId="1083">
    <w:name w:val="Char"/>
    <w:basedOn w:val="919"/>
    <w:next w:val="1083"/>
    <w:link w:val="919"/>
    <w:qFormat/>
    <w:pPr>
      <w:jc w:val="left"/>
      <w:spacing w:after="160" w:line="240" w:lineRule="exact"/>
      <w:widowControl/>
    </w:pPr>
    <w:rPr>
      <w:rFonts w:ascii="Verdana" w:hAnsi="Verdana"/>
      <w:sz w:val="20"/>
      <w:szCs w:val="20"/>
      <w:lang w:eastAsia="en-US"/>
    </w:rPr>
  </w:style>
  <w:style w:type="paragraph" w:styleId="1084">
    <w:name w:val="Default"/>
    <w:next w:val="1084"/>
    <w:link w:val="919"/>
    <w:qFormat/>
    <w:pPr>
      <w:widowControl w:val="off"/>
    </w:pPr>
    <w:rPr>
      <w:rFonts w:ascii="宋体" w:cs="宋体"/>
      <w:color w:val="000000"/>
      <w:sz w:val="24"/>
      <w:szCs w:val="24"/>
      <w:lang w:val="en-US" w:eastAsia="zh-CN" w:bidi="ar-SA"/>
    </w:rPr>
  </w:style>
  <w:style w:type="paragraph" w:styleId="1085">
    <w:name w:val="列出段落2"/>
    <w:basedOn w:val="919"/>
    <w:next w:val="1085"/>
    <w:link w:val="919"/>
    <w:uiPriority w:val="99"/>
    <w:qFormat/>
    <w:pPr>
      <w:ind w:firstLine="420"/>
    </w:pPr>
  </w:style>
  <w:style w:type="paragraph" w:styleId="1086">
    <w:name w:val="6'"/>
    <w:basedOn w:val="919"/>
    <w:next w:val="1086"/>
    <w:link w:val="919"/>
    <w:qFormat/>
    <w:pPr>
      <w:jc w:val="center"/>
      <w:spacing w:line="320" w:lineRule="exact"/>
    </w:pPr>
    <w:rPr>
      <w:rFonts w:ascii="Calibri" w:hAnsi="Calibri"/>
      <w:spacing w:val="20"/>
      <w:szCs w:val="22"/>
    </w:rPr>
  </w:style>
  <w:style w:type="paragraph" w:styleId="1087">
    <w:name w:val="Char Char Char Char Char Char Char"/>
    <w:basedOn w:val="919"/>
    <w:next w:val="1087"/>
    <w:link w:val="919"/>
    <w:qFormat/>
    <w:pPr>
      <w:spacing w:line="360" w:lineRule="auto"/>
    </w:pPr>
    <w:rPr>
      <w:sz w:val="24"/>
      <w:szCs w:val="20"/>
    </w:rPr>
  </w:style>
  <w:style w:type="paragraph" w:styleId="1088">
    <w:name w:val="2方案格式2"/>
    <w:basedOn w:val="1067"/>
    <w:next w:val="1088"/>
    <w:link w:val="919"/>
    <w:qFormat/>
    <w:pPr>
      <w:numPr>
        <w:ilvl w:val="1"/>
      </w:numPr>
      <w:spacing w:before="50" w:after="50" w:line="240" w:lineRule="auto"/>
      <w:tabs>
        <w:tab w:val="left" w:pos="360" w:leader="none"/>
      </w:tabs>
      <w:outlineLvl w:val="1"/>
    </w:pPr>
    <w:rPr>
      <w:sz w:val="44"/>
    </w:rPr>
  </w:style>
  <w:style w:type="paragraph" w:styleId="1089">
    <w:name w:val="无间隔1"/>
    <w:next w:val="1089"/>
    <w:link w:val="919"/>
    <w:qFormat/>
    <w:pPr>
      <w:jc w:val="both"/>
      <w:widowControl w:val="off"/>
    </w:pPr>
    <w:rPr>
      <w:rFonts w:ascii="Calibri" w:hAnsi="Calibri"/>
      <w:sz w:val="21"/>
      <w:szCs w:val="22"/>
      <w:lang w:val="en-US" w:eastAsia="zh-CN" w:bidi="ar-SA"/>
    </w:rPr>
  </w:style>
  <w:style w:type="paragraph" w:styleId="1090">
    <w:name w:val="文档正文"/>
    <w:basedOn w:val="919"/>
    <w:next w:val="1090"/>
    <w:link w:val="919"/>
    <w:qFormat/>
    <w:pPr>
      <w:ind w:firstLine="567"/>
      <w:spacing w:line="480" w:lineRule="atLeast"/>
    </w:pPr>
    <w:rPr>
      <w:rFonts w:ascii="Ari" w:eastAsia="Ari"/>
      <w:sz w:val="28"/>
      <w:szCs w:val="20"/>
    </w:rPr>
  </w:style>
  <w:style w:type="paragraph" w:styleId="1091">
    <w:name w:val="txt"/>
    <w:basedOn w:val="919"/>
    <w:next w:val="1091"/>
    <w:link w:val="919"/>
    <w:qFormat/>
    <w:pPr>
      <w:jc w:val="left"/>
      <w:spacing w:before="100" w:beforeAutospacing="1" w:after="100" w:afterAutospacing="1"/>
      <w:widowControl/>
    </w:pPr>
    <w:rPr>
      <w:rFonts w:ascii="宋体" w:hAnsi="宋体" w:cs="宋体"/>
      <w:sz w:val="24"/>
    </w:rPr>
  </w:style>
  <w:style w:type="paragraph" w:styleId="1092">
    <w:name w:val="目录 4_0"/>
    <w:basedOn w:val="1005"/>
    <w:next w:val="1005"/>
    <w:link w:val="919"/>
    <w:uiPriority w:val="39"/>
    <w:qFormat/>
    <w:pPr>
      <w:ind w:left="1260"/>
    </w:pPr>
    <w:rPr>
      <w:rFonts w:ascii="Calibri" w:hAnsi="Calibri"/>
    </w:rPr>
  </w:style>
  <w:style w:type="paragraph" w:styleId="1093">
    <w:name w:val="目录 3_0"/>
    <w:basedOn w:val="1005"/>
    <w:next w:val="1005"/>
    <w:link w:val="919"/>
    <w:uiPriority w:val="39"/>
    <w:qFormat/>
    <w:pPr>
      <w:ind w:left="840"/>
    </w:pPr>
    <w:rPr>
      <w:rFonts w:ascii="Calibri" w:hAnsi="Calibri"/>
    </w:rPr>
  </w:style>
  <w:style w:type="paragraph" w:styleId="1094">
    <w:name w:val="样式 标题 1 + 黑体 三号 非加粗 居中 段前: 6 磅 段后: 6 磅 行距: 固定值 20 磅"/>
    <w:basedOn w:val="920"/>
    <w:next w:val="1094"/>
    <w:link w:val="919"/>
    <w:qFormat/>
    <w:pPr>
      <w:numPr>
        <w:ilvl w:val="0"/>
        <w:numId w:val="0"/>
      </w:numPr>
      <w:spacing w:before="120" w:after="120" w:line="400" w:lineRule="exact"/>
    </w:pPr>
    <w:rPr>
      <w:rFonts w:ascii="黑体" w:hAnsi="黑体" w:eastAsia="黑体"/>
      <w:b w:val="0"/>
      <w:bCs w:val="0"/>
      <w:szCs w:val="20"/>
    </w:rPr>
  </w:style>
  <w:style w:type="paragraph" w:styleId="1095">
    <w:name w:val="1"/>
    <w:basedOn w:val="919"/>
    <w:next w:val="919"/>
    <w:link w:val="919"/>
    <w:qFormat/>
    <w:rPr>
      <w:rFonts w:ascii="Calibri" w:hAnsi="Calibri"/>
      <w:szCs w:val="22"/>
    </w:rPr>
  </w:style>
  <w:style w:type="paragraph" w:styleId="1096">
    <w:name w:val="Blockquote_0"/>
    <w:basedOn w:val="1005"/>
    <w:next w:val="1096"/>
    <w:link w:val="919"/>
    <w:qFormat/>
    <w:pPr>
      <w:ind w:left="360" w:right="360"/>
      <w:jc w:val="left"/>
      <w:spacing w:before="100" w:after="100"/>
    </w:pPr>
    <w:rPr>
      <w:rFonts w:ascii="Calibri" w:hAnsi="Calibri" w:eastAsia="Times New Roman"/>
      <w:sz w:val="24"/>
      <w:szCs w:val="20"/>
    </w:rPr>
  </w:style>
  <w:style w:type="paragraph" w:styleId="1097">
    <w:name w:val="列出段落11"/>
    <w:basedOn w:val="919"/>
    <w:next w:val="1097"/>
    <w:link w:val="919"/>
    <w:qFormat/>
    <w:pPr>
      <w:contextualSpacing/>
      <w:ind w:left="720"/>
      <w:jc w:val="left"/>
      <w:widowControl/>
    </w:pPr>
    <w:rPr>
      <w:rFonts w:ascii="Arial" w:hAnsi="Arial" w:eastAsia="黑体"/>
      <w:sz w:val="24"/>
      <w:lang w:eastAsia="en-US"/>
    </w:rPr>
  </w:style>
  <w:style w:type="paragraph" w:styleId="1098">
    <w:name w:val="样式 标题 2 + Times New Roman 四号 非加粗 段前: 5 磅 段后: 0 磅 行距: 固定值 20..._0"/>
    <w:basedOn w:val="919"/>
    <w:next w:val="1098"/>
    <w:link w:val="919"/>
    <w:qFormat/>
    <w:pPr>
      <w:keepLines/>
      <w:keepNext/>
      <w:spacing w:before="100" w:line="360" w:lineRule="auto"/>
      <w:outlineLvl w:val="1"/>
    </w:pPr>
    <w:rPr>
      <w:rFonts w:eastAsia="Times New Roman" w:cs="宋体"/>
      <w:sz w:val="28"/>
      <w:szCs w:val="20"/>
    </w:rPr>
  </w:style>
  <w:style w:type="paragraph" w:styleId="1099">
    <w:name w:val="op_mapdots_left"/>
    <w:basedOn w:val="919"/>
    <w:next w:val="1099"/>
    <w:link w:val="919"/>
    <w:qFormat/>
    <w:pPr>
      <w:jc w:val="left"/>
      <w:spacing w:before="100" w:beforeAutospacing="1" w:after="100" w:afterAutospacing="1"/>
      <w:widowControl/>
    </w:pPr>
    <w:rPr>
      <w:rFonts w:ascii="宋体" w:hAnsi="宋体" w:cs="宋体"/>
      <w:sz w:val="24"/>
    </w:rPr>
  </w:style>
  <w:style w:type="paragraph" w:styleId="1100">
    <w:name w:val="p0"/>
    <w:basedOn w:val="919"/>
    <w:next w:val="1100"/>
    <w:link w:val="919"/>
    <w:qFormat/>
    <w:pPr>
      <w:widowControl/>
    </w:pPr>
    <w:rPr>
      <w:b/>
      <w:bCs/>
      <w:sz w:val="24"/>
    </w:rPr>
  </w:style>
  <w:style w:type="paragraph" w:styleId="1101">
    <w:name w:val="Blockquote"/>
    <w:basedOn w:val="919"/>
    <w:next w:val="1101"/>
    <w:link w:val="919"/>
    <w:qFormat/>
    <w:pPr>
      <w:ind w:left="360" w:right="360"/>
      <w:jc w:val="left"/>
      <w:spacing w:before="100" w:after="100"/>
    </w:pPr>
    <w:rPr>
      <w:rFonts w:ascii="Calibri" w:hAnsi="Calibri"/>
      <w:sz w:val="24"/>
      <w:szCs w:val="22"/>
    </w:rPr>
  </w:style>
  <w:style w:type="paragraph" w:styleId="1102">
    <w:name w:val="3方案格式3"/>
    <w:basedOn w:val="1088"/>
    <w:next w:val="1102"/>
    <w:link w:val="919"/>
    <w:qFormat/>
    <w:pPr>
      <w:numPr>
        <w:ilvl w:val="2"/>
      </w:numPr>
      <w:tabs>
        <w:tab w:val="left" w:pos="360" w:leader="none"/>
      </w:tabs>
      <w:outlineLvl w:val="2"/>
    </w:pPr>
    <w:rPr>
      <w:sz w:val="32"/>
    </w:rPr>
  </w:style>
  <w:style w:type="paragraph" w:styleId="1103">
    <w:name w:val="样式 标题 2 + Times New Roman 四号 非加粗 段前: 5 磅 段后: 0 磅 行距: 固定值 20..."/>
    <w:basedOn w:val="921"/>
    <w:next w:val="1103"/>
    <w:link w:val="919"/>
    <w:qFormat/>
    <w:pPr>
      <w:numPr>
        <w:ilvl w:val="0"/>
        <w:numId w:val="0"/>
      </w:numPr>
      <w:spacing w:before="100" w:after="0" w:line="400" w:lineRule="exact"/>
    </w:pPr>
    <w:rPr>
      <w:rFonts w:ascii="Times New Roman" w:hAnsi="Times New Roman" w:eastAsia="黑体"/>
      <w:b w:val="0"/>
      <w:bCs w:val="0"/>
      <w:sz w:val="28"/>
      <w:szCs w:val="20"/>
    </w:rPr>
  </w:style>
  <w:style w:type="paragraph" w:styleId="1104">
    <w:name w:val="标题2"/>
    <w:basedOn w:val="921"/>
    <w:next w:val="951"/>
    <w:link w:val="919"/>
    <w:qFormat/>
    <w:pPr>
      <w:spacing w:before="156" w:after="156" w:line="360" w:lineRule="auto"/>
    </w:pPr>
    <w:rPr>
      <w:bCs w:val="0"/>
      <w:sz w:val="24"/>
    </w:rPr>
  </w:style>
  <w:style w:type="paragraph" w:styleId="1105">
    <w:name w:val="普通正文"/>
    <w:basedOn w:val="919"/>
    <w:next w:val="1105"/>
    <w:link w:val="919"/>
    <w:qFormat/>
    <w:pPr>
      <w:ind w:firstLine="480"/>
      <w:jc w:val="left"/>
      <w:spacing w:before="120" w:after="120" w:line="360" w:lineRule="auto"/>
    </w:pPr>
    <w:rPr>
      <w:rFonts w:ascii="Arial" w:hAnsi="Arial"/>
      <w:sz w:val="24"/>
    </w:rPr>
  </w:style>
  <w:style w:type="paragraph" w:styleId="1106">
    <w:name w:val="正文11"/>
    <w:next w:val="1106"/>
    <w:link w:val="919"/>
    <w:qFormat/>
    <w:rPr>
      <w:rFonts w:ascii="Calibri" w:hAnsi="Calibri" w:cs="Calibri"/>
      <w:sz w:val="24"/>
      <w:szCs w:val="24"/>
      <w:lang w:val="en-US" w:eastAsia="zh-CN" w:bidi="ar-SA"/>
    </w:rPr>
  </w:style>
  <w:style w:type="paragraph" w:styleId="1107">
    <w:name w:val="正文2"/>
    <w:next w:val="1107"/>
    <w:link w:val="919"/>
    <w:qFormat/>
    <w:rPr>
      <w:rFonts w:eastAsia="微软雅黑"/>
      <w:sz w:val="24"/>
      <w:szCs w:val="24"/>
      <w:lang w:val="en-US" w:eastAsia="zh-CN" w:bidi="ar-SA"/>
    </w:rPr>
  </w:style>
  <w:style w:type="paragraph" w:styleId="1108">
    <w:name w:val="列出段落3"/>
    <w:basedOn w:val="919"/>
    <w:next w:val="1108"/>
    <w:link w:val="919"/>
    <w:qFormat/>
    <w:pPr>
      <w:ind w:firstLine="420"/>
      <w:jc w:val="left"/>
      <w:spacing w:after="200"/>
      <w:widowControl/>
    </w:pPr>
    <w:rPr>
      <w:rFonts w:ascii="Tahoma" w:hAnsi="Tahoma" w:eastAsia="微软雅黑"/>
      <w:sz w:val="22"/>
      <w:szCs w:val="22"/>
    </w:rPr>
  </w:style>
  <w:style w:type="paragraph" w:styleId="1109">
    <w:name w:val="纯文本2"/>
    <w:basedOn w:val="919"/>
    <w:next w:val="1109"/>
    <w:link w:val="919"/>
    <w:qFormat/>
    <w:pPr>
      <w:jc w:val="left"/>
    </w:pPr>
    <w:rPr>
      <w:rFonts w:hint="eastAsia" w:ascii="宋体" w:hAnsi="宋体" w:cs="Courier New"/>
      <w:sz w:val="24"/>
      <w:szCs w:val="20"/>
      <w:lang w:bidi="hi-IN"/>
    </w:rPr>
  </w:style>
  <w:style w:type="paragraph" w:styleId="1110">
    <w:name w:val="列表段落"/>
    <w:basedOn w:val="919"/>
    <w:next w:val="1110"/>
    <w:link w:val="919"/>
    <w:uiPriority w:val="34"/>
    <w:qFormat/>
    <w:pPr>
      <w:ind w:firstLine="420"/>
    </w:pPr>
  </w:style>
  <w:style w:type="paragraph" w:styleId="1111">
    <w:name w:val="trs_editor"/>
    <w:basedOn w:val="919"/>
    <w:next w:val="1111"/>
    <w:link w:val="919"/>
    <w:qFormat/>
    <w:pPr>
      <w:jc w:val="left"/>
      <w:spacing w:before="100" w:beforeAutospacing="1" w:after="100" w:afterAutospacing="1"/>
      <w:widowControl/>
    </w:pPr>
    <w:rPr>
      <w:rFonts w:ascii="宋体" w:hAnsi="宋体" w:cs="宋体"/>
      <w:sz w:val="24"/>
    </w:rPr>
  </w:style>
  <w:style w:type="paragraph" w:styleId="1112">
    <w:name w:val="修订2"/>
    <w:next w:val="1112"/>
    <w:link w:val="919"/>
    <w:uiPriority w:val="99"/>
    <w:semiHidden/>
    <w:qFormat/>
    <w:rPr>
      <w:sz w:val="21"/>
      <w:szCs w:val="24"/>
      <w:lang w:val="en-US" w:eastAsia="zh-CN" w:bidi="ar-SA"/>
    </w:rPr>
  </w:style>
  <w:style w:type="character" w:styleId="1113">
    <w:name w:val="font71"/>
    <w:next w:val="1113"/>
    <w:link w:val="919"/>
    <w:qFormat/>
    <w:rPr>
      <w:rFonts w:hint="eastAsia" w:ascii="宋体" w:hAnsi="宋体" w:eastAsia="宋体" w:cs="宋体"/>
      <w:color w:val="000000"/>
      <w:sz w:val="24"/>
      <w:szCs w:val="24"/>
      <w:u w:val="none"/>
    </w:rPr>
  </w:style>
  <w:style w:type="character" w:styleId="1114">
    <w:name w:val="font61"/>
    <w:next w:val="1114"/>
    <w:link w:val="919"/>
    <w:qFormat/>
    <w:rPr>
      <w:rFonts w:ascii="Times New Roman" w:hAnsi="Times New Roman" w:cs="Times New Roman"/>
      <w:color w:val="000000"/>
      <w:sz w:val="24"/>
      <w:szCs w:val="24"/>
      <w:u w:val="none"/>
    </w:rPr>
  </w:style>
  <w:style w:type="paragraph" w:styleId="1115">
    <w:name w:val="无间隔"/>
    <w:next w:val="1115"/>
    <w:link w:val="919"/>
    <w:uiPriority w:val="99"/>
    <w:qFormat/>
    <w:pPr>
      <w:jc w:val="both"/>
      <w:widowControl w:val="off"/>
    </w:pPr>
    <w:rPr>
      <w:rFonts w:ascii="Calibri" w:hAnsi="Calibri"/>
      <w:sz w:val="21"/>
      <w:szCs w:val="22"/>
      <w:lang w:val="en-US" w:eastAsia="zh-CN" w:bidi="ar-SA"/>
    </w:rPr>
  </w:style>
  <w:style w:type="paragraph" w:styleId="1116">
    <w:name w:val="table_1stline"/>
    <w:basedOn w:val="919"/>
    <w:next w:val="1116"/>
    <w:link w:val="919"/>
    <w:qFormat/>
    <w:pPr>
      <w:jc w:val="left"/>
      <w:spacing w:before="120"/>
      <w:widowControl/>
    </w:pPr>
    <w:rPr>
      <w:bCs/>
      <w:sz w:val="20"/>
      <w:lang w:val="de-DE" w:eastAsia="de-DE"/>
    </w:rPr>
  </w:style>
  <w:style w:type="character" w:styleId="1117">
    <w:name w:val="fontstyle01"/>
    <w:next w:val="1117"/>
    <w:link w:val="919"/>
    <w:qFormat/>
    <w:rPr>
      <w:rFonts w:hint="eastAsia" w:ascii="宋体" w:hAnsi="宋体" w:eastAsia="宋体"/>
      <w:color w:val="000000"/>
      <w:sz w:val="18"/>
      <w:szCs w:val="18"/>
    </w:rPr>
  </w:style>
  <w:style w:type="character" w:styleId="1118">
    <w:name w:val="fontstyle21"/>
    <w:next w:val="1118"/>
    <w:link w:val="919"/>
    <w:qFormat/>
    <w:rPr>
      <w:rFonts w:ascii="Calibri" w:hAnsi="Calibri" w:cs="Calibri"/>
      <w:color w:val="000000"/>
      <w:sz w:val="18"/>
      <w:szCs w:val="18"/>
    </w:rPr>
  </w:style>
  <w:style w:type="character" w:styleId="1119">
    <w:name w:val="fontstyle31"/>
    <w:next w:val="1119"/>
    <w:link w:val="919"/>
    <w:qFormat/>
    <w:rPr>
      <w:rFonts w:ascii="Calibri" w:hAnsi="Calibri" w:cs="Calibri"/>
      <w:color w:val="000000"/>
      <w:sz w:val="18"/>
      <w:szCs w:val="18"/>
    </w:rPr>
  </w:style>
  <w:style w:type="paragraph" w:styleId="1120">
    <w:name w:val="修订3"/>
    <w:next w:val="1120"/>
    <w:link w:val="919"/>
    <w:uiPriority w:val="99"/>
    <w:unhideWhenUsed/>
    <w:qFormat/>
    <w:rPr>
      <w:sz w:val="21"/>
      <w:szCs w:val="24"/>
      <w:lang w:val="en-US" w:eastAsia="zh-CN" w:bidi="ar-SA"/>
    </w:rPr>
  </w:style>
  <w:style w:type="table" w:styleId="1121">
    <w:name w:val="网格型1"/>
    <w:basedOn w:val="930"/>
    <w:next w:val="1121"/>
    <w:link w:val="919"/>
    <w:uiPriority w:val="39"/>
    <w:qFormat/>
    <w:tblPr/>
  </w:style>
  <w:style w:type="paragraph" w:styleId="1122">
    <w:name w:val="Table Paragraph"/>
    <w:basedOn w:val="919"/>
    <w:next w:val="1122"/>
    <w:link w:val="919"/>
    <w:uiPriority w:val="1"/>
    <w:qFormat/>
    <w:pPr>
      <w:jc w:val="center"/>
    </w:pPr>
  </w:style>
  <w:style w:type="table" w:styleId="1123">
    <w:name w:val="网格型2"/>
    <w:basedOn w:val="930"/>
    <w:next w:val="1123"/>
    <w:link w:val="919"/>
    <w:uiPriority w:val="39"/>
    <w:qFormat/>
    <w:tblPr/>
  </w:style>
  <w:style w:type="paragraph" w:styleId="1124">
    <w:name w:val="Table Text"/>
    <w:basedOn w:val="919"/>
    <w:next w:val="1124"/>
    <w:link w:val="919"/>
    <w:semiHidden/>
    <w:qFormat/>
    <w:rPr>
      <w:rFonts w:ascii="宋体" w:hAnsi="宋体" w:eastAsia="宋体" w:cs="宋体"/>
      <w:sz w:val="18"/>
      <w:szCs w:val="18"/>
    </w:rPr>
  </w:style>
  <w:style w:type="table" w:styleId="1125">
    <w:name w:val="Table Normal"/>
    <w:next w:val="1125"/>
    <w:link w:val="919"/>
    <w:unhideWhenUsed/>
    <w:qFormat/>
    <w:rPr>
      <w:lang w:val="en-US" w:eastAsia="zh-CN" w:bidi="ar-SA"/>
    </w:rPr>
    <w:tblPr/>
  </w:style>
  <w:style w:type="paragraph" w:styleId="1126">
    <w:name w:val="彩色列表 - 强调文字颜色 11"/>
    <w:basedOn w:val="919"/>
    <w:next w:val="1126"/>
    <w:link w:val="919"/>
    <w:qFormat/>
    <w:pPr>
      <w:contextualSpacing/>
      <w:ind w:left="720"/>
      <w:jc w:val="left"/>
      <w:spacing w:before="100" w:after="100" w:line="276" w:lineRule="auto"/>
      <w:widowControl/>
    </w:pPr>
    <w:rPr>
      <w:rFonts w:ascii="Arial" w:hAnsi="Arial" w:cs="Arial"/>
      <w:color w:val="0f0f0f"/>
      <w:sz w:val="20"/>
      <w:lang w:eastAsia="en-US"/>
    </w:rPr>
  </w:style>
  <w:style w:type="character" w:styleId="1127">
    <w:name w:val="未处理的提及"/>
    <w:next w:val="1127"/>
    <w:link w:val="919"/>
    <w:uiPriority w:val="99"/>
    <w:unhideWhenUsed/>
    <w:rPr>
      <w:color w:val="605e5c"/>
      <w:shd w:val="clear" w:color="auto" w:fill="e1dfdd"/>
    </w:rPr>
  </w:style>
  <w:style w:type="character" w:styleId="1128">
    <w:name w:val="en-code"/>
    <w:next w:val="1128"/>
    <w:link w:val="919"/>
  </w:style>
  <w:style w:type="paragraph" w:styleId="1129">
    <w:name w:val="修订"/>
    <w:next w:val="1129"/>
    <w:link w:val="919"/>
    <w:uiPriority w:val="99"/>
    <w:unhideWhenUsed/>
    <w:rPr>
      <w:sz w:val="21"/>
      <w:szCs w:val="24"/>
      <w:lang w:val="en-US" w:eastAsia="zh-CN" w:bidi="ar-SA"/>
    </w:rPr>
  </w:style>
  <w:style w:type="character" w:styleId="18388" w:default="1">
    <w:name w:val="Default Paragraph Font"/>
    <w:uiPriority w:val="1"/>
    <w:semiHidden/>
    <w:unhideWhenUsed/>
  </w:style>
  <w:style w:type="numbering" w:styleId="18389" w:default="1">
    <w:name w:val="No List"/>
    <w:uiPriority w:val="99"/>
    <w:semiHidden/>
    <w:unhideWhenUsed/>
  </w:style>
  <w:style w:type="table" w:styleId="1839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image" Target="media/image5.jpg"/><Relationship Id="rId23" Type="http://schemas.openxmlformats.org/officeDocument/2006/relationships/image" Target="media/image6.jpg"/><Relationship Id="rId24" Type="http://schemas.openxmlformats.org/officeDocument/2006/relationships/image" Target="media/image7.jpg"/><Relationship Id="rId25" Type="http://schemas.openxmlformats.org/officeDocument/2006/relationships/image" Target="media/image8.jpg"/><Relationship Id="rId26" Type="http://schemas.openxmlformats.org/officeDocument/2006/relationships/image" Target="media/image9.jpg"/><Relationship Id="rId27" Type="http://schemas.openxmlformats.org/officeDocument/2006/relationships/image" Target="media/image10.jpg"/><Relationship Id="rId28" Type="http://schemas.openxmlformats.org/officeDocument/2006/relationships/image" Target="media/image11.jpg"/><Relationship Id="rId29" Type="http://schemas.openxmlformats.org/officeDocument/2006/relationships/image" Target="media/image12.jpg"/><Relationship Id="rId30" Type="http://schemas.openxmlformats.org/officeDocument/2006/relationships/image" Target="media/image13.jpg"/><Relationship Id="rId31" Type="http://schemas.openxmlformats.org/officeDocument/2006/relationships/image" Target="media/image14.jpg"/><Relationship Id="rId32" Type="http://schemas.openxmlformats.org/officeDocument/2006/relationships/image" Target="media/image15.jpg"/><Relationship Id="rId33" Type="http://schemas.openxmlformats.org/officeDocument/2006/relationships/image" Target="media/image16.jpg"/><Relationship Id="rId34" Type="http://schemas.openxmlformats.org/officeDocument/2006/relationships/image" Target="media/image17.jpg"/><Relationship Id="rId35" Type="http://schemas.openxmlformats.org/officeDocument/2006/relationships/image" Target="media/image18.jpg"/><Relationship Id="rId36" Type="http://schemas.openxmlformats.org/officeDocument/2006/relationships/image" Target="media/image19.jpg"/><Relationship Id="rId37" Type="http://schemas.openxmlformats.org/officeDocument/2006/relationships/image" Target="media/image20.jpg"/><Relationship Id="rId38" Type="http://schemas.openxmlformats.org/officeDocument/2006/relationships/image" Target="media/image21.jpg"/><Relationship Id="rId39" Type="http://schemas.openxmlformats.org/officeDocument/2006/relationships/image" Target="media/image22.jpg"/><Relationship Id="rId40" Type="http://schemas.openxmlformats.org/officeDocument/2006/relationships/image" Target="media/image23.jpg"/><Relationship Id="rId41" Type="http://schemas.openxmlformats.org/officeDocument/2006/relationships/image" Target="media/image2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方东</cp:lastModifiedBy>
  <cp:revision>3</cp:revision>
  <dcterms:created xsi:type="dcterms:W3CDTF">2024-03-27T07:28:00Z</dcterms:created>
  <dcterms:modified xsi:type="dcterms:W3CDTF">2026-09-30T04:41:05Z</dcterms:modified>
</cp:coreProperties>
</file>