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left="1285" w:hanging="1285"/>
        <w:spacing w:line="480" w:lineRule="auto"/>
        <w:rPr>
          <w:rFonts w:ascii="黑体" w:hAnsi="Arial" w:eastAsia="黑体" w:cs="Times New Roman"/>
          <w:b/>
          <w:color w:val="000000"/>
          <w:sz w:val="44"/>
          <w:szCs w:val="21"/>
        </w:rPr>
      </w:pPr>
      <w:r>
        <w:rPr>
          <w:rFonts w:hint="eastAsia" w:ascii="Arial" w:hAnsi="Arial" w:eastAsia="宋体" w:cs="Times New Roman"/>
          <w:b/>
          <w:bCs/>
          <w:color w:val="000000"/>
          <w:sz w:val="32"/>
          <w:szCs w:val="24"/>
        </w:rPr>
        <w:t xml:space="preserve">       项目名称：</w:t>
      </w:r>
      <w:r>
        <w:rPr>
          <w:rFonts w:hint="eastAsia" w:ascii="Arial" w:hAnsi="Arial" w:cs="Times New Roman"/>
          <w:b/>
          <w:bCs/>
          <w:color w:val="000000"/>
          <w:sz w:val="32"/>
          <w:szCs w:val="24"/>
          <w:highlight w:val="none"/>
          <w:lang w:eastAsia="zh-CN"/>
        </w:rPr>
        <w:t xml:space="preserve">东海法院新诉讼服务中心弱电机房采购</w:t>
      </w:r>
      <w:r>
        <w:rPr>
          <w:rFonts w:hint="eastAsia" w:ascii="Arial" w:hAnsi="Arial" w:eastAsia="宋体" w:cs="Times New Roman"/>
          <w:b/>
          <w:bCs/>
          <w:sz w:val="32"/>
          <w:szCs w:val="24"/>
        </w:rPr>
        <w:t xml:space="preserve">    </w:t>
      </w:r>
      <w:r>
        <w:rPr>
          <w:rFonts w:hint="eastAsia" w:ascii="Arial" w:hAnsi="Arial" w:cs="Times New Roman"/>
          <w:b/>
          <w:bCs/>
          <w:color w:val="000000"/>
          <w:sz w:val="32"/>
          <w:szCs w:val="24"/>
          <w:highlight w:val="none"/>
          <w:lang w:eastAsia="zh-CN"/>
        </w:rPr>
        <w:t xml:space="preserve">项目编号：</w:t>
      </w:r>
      <w:r>
        <w:rPr>
          <w:rFonts w:hint="eastAsia" w:ascii="Arial" w:hAnsi="Arial" w:cs="Times New Roman"/>
          <w:b/>
          <w:bCs/>
          <w:color w:val="000000"/>
          <w:sz w:val="32"/>
          <w:szCs w:val="24"/>
          <w:highlight w:val="none"/>
          <w:lang w:eastAsia="zh-CN"/>
        </w:rPr>
        <w:tab/>
      </w:r>
      <w:r>
        <w:rPr>
          <w:rFonts w:hint="eastAsia" w:ascii="Arial" w:hAnsi="Arial" w:cs="Times New Roman"/>
          <w:b/>
          <w:bCs/>
          <w:color w:val="000000"/>
          <w:sz w:val="32"/>
          <w:szCs w:val="24"/>
          <w:highlight w:val="none"/>
          <w:lang w:eastAsia="zh-CN"/>
        </w:rPr>
        <w:t xml:space="preserve">JSZC-320722-JZCG-G2026-0012</w:t>
      </w:r>
      <w:r/>
    </w:p>
    <w:p>
      <w:pPr>
        <w:jc w:val="left"/>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hint="eastAsia" w:ascii="Arial" w:hAnsi="Arial" w:eastAsia="宋体" w:cs="Times New Roman"/>
          <w:b/>
          <w:bCs/>
          <w:color w:val="000000"/>
          <w:sz w:val="32"/>
          <w:szCs w:val="24"/>
          <w:lang w:val="en-US" w:eastAsia="zh-CN"/>
        </w:rPr>
      </w:pPr>
      <w:r>
        <w:rPr>
          <w:rFonts w:hint="eastAsia" w:ascii="Arial" w:hAnsi="Arial" w:eastAsia="宋体" w:cs="Times New Roman"/>
          <w:b/>
          <w:bCs/>
          <w:color w:val="000000"/>
          <w:sz w:val="32"/>
          <w:szCs w:val="24"/>
          <w:lang w:val="en-US" w:eastAsia="zh-CN"/>
        </w:rPr>
        <w:t xml:space="preserve">采购人：东海县人民法院</w:t>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采购代理机构</w:t>
      </w:r>
      <w:r>
        <w:rPr>
          <w:rFonts w:hint="eastAsia" w:ascii="Arial" w:hAnsi="Arial" w:eastAsia="宋体" w:cs="Times New Roman"/>
          <w:b/>
          <w:bCs/>
          <w:color w:val="000000"/>
          <w:sz w:val="32"/>
          <w:szCs w:val="24"/>
          <w:lang w:eastAsia="zh-CN"/>
        </w:rPr>
        <w:t xml:space="preserve">：</w:t>
      </w:r>
      <w:r>
        <w:rPr>
          <w:rFonts w:hint="eastAsia" w:ascii="Arial" w:hAnsi="Arial" w:eastAsia="宋体" w:cs="Times New Roman"/>
          <w:b/>
          <w:bCs/>
          <w:color w:val="000000"/>
          <w:sz w:val="32"/>
          <w:szCs w:val="24"/>
        </w:rPr>
        <w:t xml:space="preserve">东海县政府采购中心</w:t>
      </w:r>
      <w:r/>
    </w:p>
    <w:p>
      <w:pPr>
        <w:jc w:val="center"/>
        <w:spacing w:before="120" w:after="120" w:line="360" w:lineRule="auto"/>
      </w:pPr>
      <w:r>
        <w:rPr>
          <w:rFonts w:hint="eastAsia" w:ascii="Arial" w:hAnsi="Arial" w:eastAsia="宋体" w:cs="Times New Roman"/>
          <w:b/>
          <w:bCs/>
          <w:color w:val="000000"/>
          <w:sz w:val="32"/>
          <w:szCs w:val="24"/>
          <w:highlight w:val="none"/>
        </w:rPr>
        <w:t xml:space="preserve">202</w:t>
      </w:r>
      <w:r>
        <w:rPr>
          <w:rFonts w:hint="eastAsia" w:ascii="Arial" w:hAnsi="Arial" w:cs="Times New Roman"/>
          <w:b/>
          <w:bCs/>
          <w:color w:val="000000"/>
          <w:sz w:val="32"/>
          <w:szCs w:val="24"/>
          <w:highlight w:val="none"/>
          <w:lang w:val="en-US" w:eastAsia="zh-CN"/>
        </w:rPr>
        <w:t xml:space="preserve">6</w:t>
      </w:r>
      <w:r>
        <w:rPr>
          <w:rFonts w:hint="eastAsia" w:ascii="Arial" w:hAnsi="Arial" w:eastAsia="宋体" w:cs="Times New Roman"/>
          <w:b/>
          <w:bCs/>
          <w:color w:val="000000"/>
          <w:sz w:val="32"/>
          <w:szCs w:val="24"/>
          <w:highlight w:val="none"/>
        </w:rPr>
        <w:t xml:space="preserve">年</w:t>
      </w:r>
      <w:r>
        <w:rPr>
          <w:rFonts w:hint="eastAsia" w:ascii="Arial" w:hAnsi="Arial" w:cs="Times New Roman"/>
          <w:b/>
          <w:bCs/>
          <w:color w:val="000000"/>
          <w:sz w:val="32"/>
          <w:szCs w:val="24"/>
          <w:highlight w:val="none"/>
          <w:lang w:val="en-US" w:eastAsia="zh-CN"/>
        </w:rPr>
        <w:t xml:space="preserve">9</w:t>
      </w:r>
      <w:r>
        <w:rPr>
          <w:rFonts w:hint="eastAsia" w:ascii="Arial" w:hAnsi="Arial" w:eastAsia="宋体" w:cs="Times New Roman"/>
          <w:b/>
          <w:bCs/>
          <w:color w:val="000000"/>
          <w:sz w:val="32"/>
          <w:szCs w:val="24"/>
          <w:highlight w:val="none"/>
        </w:rPr>
        <w:t xml:space="preserve">月</w:t>
      </w:r>
      <w:r>
        <w:br w:type="page" w:clear="all"/>
      </w:r>
      <w:r>
        <w:fldChar w:fldCharType="begin"/>
      </w:r>
      <w:r>
        <w:instrText xml:space="preserve"> TOC \o "1-1" \u </w:instrText>
      </w:r>
      <w:r>
        <w:fldChar w:fldCharType="separate"/>
      </w:r>
      <w:r/>
    </w:p>
    <w:p>
      <w:pPr>
        <w:pStyle w:val="885"/>
      </w:pPr>
      <w:r>
        <w:rPr>
          <w:rFonts w:hint="eastAsia"/>
        </w:rPr>
        <w:t xml:space="preserve">目  录</w:t>
      </w:r>
      <w:r/>
    </w:p>
    <w:p>
      <w:pPr>
        <w:pStyle w:val="885"/>
        <w:rPr>
          <w:sz w:val="36"/>
          <w:szCs w:val="36"/>
        </w:rPr>
      </w:pPr>
      <w:r>
        <w:rPr>
          <w:rFonts w:hint="eastAsia"/>
          <w:sz w:val="36"/>
          <w:szCs w:val="36"/>
        </w:rPr>
        <w:t xml:space="preserve">第一章投标邀请</w:t>
      </w:r>
      <w:r>
        <w:rPr>
          <w:sz w:val="36"/>
          <w:szCs w:val="36"/>
        </w:rPr>
        <w:tab/>
      </w:r>
      <w:r>
        <w:rPr>
          <w:sz w:val="36"/>
          <w:szCs w:val="36"/>
        </w:rPr>
        <w:fldChar w:fldCharType="begin"/>
      </w:r>
      <w:r>
        <w:rPr>
          <w:sz w:val="36"/>
          <w:szCs w:val="36"/>
        </w:rPr>
        <w:instrText xml:space="preserve"> PAGEREF _Toc165205794 \h </w:instrText>
      </w:r>
      <w:r>
        <w:rPr>
          <w:sz w:val="36"/>
          <w:szCs w:val="36"/>
        </w:rPr>
        <w:fldChar w:fldCharType="separate"/>
      </w:r>
      <w:r>
        <w:rPr>
          <w:sz w:val="36"/>
          <w:szCs w:val="36"/>
        </w:rPr>
        <w:t xml:space="preserve">1</w:t>
      </w:r>
      <w:r>
        <w:rPr>
          <w:sz w:val="36"/>
          <w:szCs w:val="36"/>
        </w:rPr>
        <w:fldChar w:fldCharType="end"/>
      </w:r>
      <w:r/>
    </w:p>
    <w:p>
      <w:pPr>
        <w:pStyle w:val="885"/>
        <w:rPr>
          <w:sz w:val="36"/>
          <w:szCs w:val="36"/>
        </w:rPr>
      </w:pPr>
      <w:r>
        <w:rPr>
          <w:rFonts w:hint="eastAsia"/>
          <w:sz w:val="36"/>
          <w:szCs w:val="36"/>
        </w:rPr>
        <w:t xml:space="preserve">第二章投标人须知</w:t>
      </w:r>
      <w:r>
        <w:rPr>
          <w:sz w:val="36"/>
          <w:szCs w:val="36"/>
        </w:rPr>
        <w:tab/>
      </w:r>
      <w:r>
        <w:rPr>
          <w:sz w:val="36"/>
          <w:szCs w:val="36"/>
        </w:rPr>
        <w:fldChar w:fldCharType="begin"/>
      </w:r>
      <w:r>
        <w:rPr>
          <w:sz w:val="36"/>
          <w:szCs w:val="36"/>
        </w:rPr>
        <w:instrText xml:space="preserve"> PAGEREF _Toc165205795 \h </w:instrText>
      </w:r>
      <w:r>
        <w:rPr>
          <w:sz w:val="36"/>
          <w:szCs w:val="36"/>
        </w:rPr>
        <w:fldChar w:fldCharType="separate"/>
      </w:r>
      <w:r>
        <w:rPr>
          <w:sz w:val="36"/>
          <w:szCs w:val="36"/>
        </w:rPr>
        <w:t xml:space="preserve">5</w:t>
      </w:r>
      <w:r>
        <w:rPr>
          <w:sz w:val="36"/>
          <w:szCs w:val="36"/>
        </w:rPr>
        <w:fldChar w:fldCharType="end"/>
      </w:r>
      <w:r/>
    </w:p>
    <w:p>
      <w:pPr>
        <w:pStyle w:val="885"/>
        <w:rPr>
          <w:sz w:val="36"/>
          <w:szCs w:val="36"/>
        </w:rPr>
      </w:pPr>
      <w:r>
        <w:rPr>
          <w:rFonts w:hint="eastAsia"/>
          <w:sz w:val="36"/>
          <w:szCs w:val="36"/>
        </w:rPr>
        <w:t xml:space="preserve">第三章合同文本</w:t>
      </w:r>
      <w:r>
        <w:rPr>
          <w:sz w:val="36"/>
          <w:szCs w:val="36"/>
        </w:rPr>
        <w:tab/>
      </w:r>
      <w:r>
        <w:rPr>
          <w:sz w:val="36"/>
          <w:szCs w:val="36"/>
        </w:rPr>
        <w:fldChar w:fldCharType="begin"/>
      </w:r>
      <w:r>
        <w:rPr>
          <w:sz w:val="36"/>
          <w:szCs w:val="36"/>
        </w:rPr>
        <w:instrText xml:space="preserve"> PAGEREF _Toc165205796 \h </w:instrText>
      </w:r>
      <w:r>
        <w:rPr>
          <w:sz w:val="36"/>
          <w:szCs w:val="36"/>
        </w:rPr>
        <w:fldChar w:fldCharType="separate"/>
      </w:r>
      <w:r>
        <w:rPr>
          <w:sz w:val="36"/>
          <w:szCs w:val="36"/>
        </w:rPr>
        <w:t xml:space="preserve">23</w:t>
      </w:r>
      <w:r>
        <w:rPr>
          <w:sz w:val="36"/>
          <w:szCs w:val="36"/>
        </w:rPr>
        <w:fldChar w:fldCharType="end"/>
      </w:r>
      <w:r/>
    </w:p>
    <w:p>
      <w:pPr>
        <w:pStyle w:val="885"/>
        <w:rPr>
          <w:sz w:val="36"/>
          <w:szCs w:val="36"/>
        </w:rPr>
      </w:pPr>
      <w:r>
        <w:rPr>
          <w:rFonts w:hint="eastAsia"/>
          <w:sz w:val="36"/>
          <w:szCs w:val="36"/>
        </w:rPr>
        <w:t xml:space="preserve">第四章采购需求</w:t>
      </w:r>
      <w:r>
        <w:rPr>
          <w:sz w:val="36"/>
          <w:szCs w:val="36"/>
        </w:rPr>
        <w:tab/>
      </w:r>
      <w:r>
        <w:rPr>
          <w:sz w:val="36"/>
          <w:szCs w:val="36"/>
        </w:rPr>
        <w:fldChar w:fldCharType="begin"/>
      </w:r>
      <w:r>
        <w:rPr>
          <w:sz w:val="36"/>
          <w:szCs w:val="36"/>
        </w:rPr>
        <w:instrText xml:space="preserve"> PAGEREF _Toc165205797 \h </w:instrText>
      </w:r>
      <w:r>
        <w:rPr>
          <w:sz w:val="36"/>
          <w:szCs w:val="36"/>
        </w:rPr>
        <w:fldChar w:fldCharType="separate"/>
      </w:r>
      <w:r>
        <w:rPr>
          <w:sz w:val="36"/>
          <w:szCs w:val="36"/>
        </w:rPr>
        <w:t xml:space="preserve">39</w:t>
      </w:r>
      <w:r>
        <w:rPr>
          <w:sz w:val="36"/>
          <w:szCs w:val="36"/>
        </w:rPr>
        <w:fldChar w:fldCharType="end"/>
      </w:r>
      <w:r/>
    </w:p>
    <w:p>
      <w:pPr>
        <w:pStyle w:val="885"/>
        <w:rPr>
          <w:sz w:val="36"/>
          <w:szCs w:val="36"/>
        </w:rPr>
      </w:pPr>
      <w:r>
        <w:rPr>
          <w:rFonts w:hint="eastAsia"/>
          <w:sz w:val="36"/>
          <w:szCs w:val="36"/>
        </w:rPr>
        <w:t xml:space="preserve">第五章评标方法与评标标准</w:t>
      </w:r>
      <w:r>
        <w:rPr>
          <w:sz w:val="36"/>
          <w:szCs w:val="36"/>
        </w:rPr>
        <w:tab/>
      </w:r>
      <w:r>
        <w:rPr>
          <w:sz w:val="36"/>
          <w:szCs w:val="36"/>
        </w:rPr>
        <w:fldChar w:fldCharType="begin"/>
      </w:r>
      <w:r>
        <w:rPr>
          <w:sz w:val="36"/>
          <w:szCs w:val="36"/>
        </w:rPr>
        <w:instrText xml:space="preserve"> PAGEREF _Toc165205798 \h </w:instrText>
      </w:r>
      <w:r>
        <w:rPr>
          <w:sz w:val="36"/>
          <w:szCs w:val="36"/>
        </w:rPr>
        <w:fldChar w:fldCharType="separate"/>
      </w:r>
      <w:r>
        <w:rPr>
          <w:sz w:val="36"/>
          <w:szCs w:val="36"/>
        </w:rPr>
        <w:t xml:space="preserve">46</w:t>
      </w:r>
      <w:r>
        <w:rPr>
          <w:sz w:val="36"/>
          <w:szCs w:val="36"/>
        </w:rPr>
        <w:fldChar w:fldCharType="end"/>
      </w:r>
      <w:r/>
    </w:p>
    <w:p>
      <w:pPr>
        <w:pStyle w:val="885"/>
        <w:rPr>
          <w:sz w:val="36"/>
          <w:szCs w:val="36"/>
        </w:rPr>
      </w:pPr>
      <w:r>
        <w:rPr>
          <w:rFonts w:hint="eastAsia"/>
          <w:sz w:val="36"/>
          <w:szCs w:val="36"/>
        </w:rPr>
        <w:t xml:space="preserve">第六章投标文件格式</w:t>
      </w:r>
      <w:r>
        <w:rPr>
          <w:sz w:val="36"/>
          <w:szCs w:val="36"/>
        </w:rPr>
        <w:tab/>
      </w:r>
      <w:r>
        <w:rPr>
          <w:sz w:val="36"/>
          <w:szCs w:val="36"/>
        </w:rPr>
        <w:fldChar w:fldCharType="begin"/>
      </w:r>
      <w:r>
        <w:rPr>
          <w:sz w:val="36"/>
          <w:szCs w:val="36"/>
        </w:rPr>
        <w:instrText xml:space="preserve"> PAGEREF _Toc165205799 \h </w:instrText>
      </w:r>
      <w:r>
        <w:rPr>
          <w:sz w:val="36"/>
          <w:szCs w:val="36"/>
        </w:rPr>
        <w:fldChar w:fldCharType="separate"/>
      </w:r>
      <w:r>
        <w:rPr>
          <w:sz w:val="36"/>
          <w:szCs w:val="36"/>
        </w:rPr>
        <w:t xml:space="preserve">48</w:t>
      </w:r>
      <w:r>
        <w:rPr>
          <w:sz w:val="36"/>
          <w:szCs w:val="36"/>
        </w:rPr>
        <w:fldChar w:fldCharType="end"/>
      </w:r>
      <w:r/>
    </w:p>
    <w:p>
      <w:pPr>
        <w:jc w:val="left"/>
        <w:widowControl/>
      </w:pPr>
      <w:r>
        <w:fldChar w:fldCharType="end"/>
      </w:r>
      <w:r>
        <w:br w:type="page" w:clear="all"/>
      </w:r>
      <w:r/>
    </w:p>
    <w:p>
      <w:pPr>
        <w:pStyle w:val="860"/>
        <w:jc w:val="center"/>
        <w:spacing w:line="360" w:lineRule="auto"/>
        <w:rPr>
          <w:rFonts w:hint="eastAsia" w:ascii="Calibri" w:hAnsi="Calibri" w:eastAsia="宋体" w:cs="Times New Roman"/>
          <w:b w:val="0"/>
          <w:bCs w:val="0"/>
          <w:sz w:val="24"/>
          <w:szCs w:val="24"/>
          <w:lang w:val="en-US" w:eastAsia="zh-CN" w:bidi="ar-SA"/>
        </w:rPr>
      </w:pPr>
      <w:r/>
      <w:bookmarkStart w:id="0" w:name="_Toc165205794"/>
      <w:r>
        <w:rPr>
          <w:rFonts w:hint="eastAsia" w:ascii="黑体" w:hAnsi="黑体" w:eastAsia="黑体"/>
          <w:b w:val="0"/>
        </w:rPr>
        <w:t xml:space="preserve">第一章  投标邀请</w:t>
      </w:r>
      <w:bookmarkEnd w:id="0"/>
      <w:r/>
      <w:r/>
    </w:p>
    <w:p>
      <w:pPr>
        <w:ind w:firstLine="480"/>
        <w:jc w:val="left"/>
        <w:spacing w:line="500" w:lineRule="exact"/>
        <w:rPr>
          <w:sz w:val="24"/>
          <w:szCs w:val="24"/>
          <w:highlight w:val="none"/>
        </w:rPr>
      </w:pPr>
      <w:r>
        <w:rPr>
          <w:rFonts w:hint="eastAsia" w:ascii="Calibri" w:hAnsi="Calibri" w:eastAsia="宋体" w:cs="Times New Roman"/>
          <w:b w:val="0"/>
          <w:bCs w:val="0"/>
          <w:sz w:val="24"/>
          <w:szCs w:val="24"/>
          <w:lang w:val="en-US" w:eastAsia="zh-CN" w:bidi="ar-SA"/>
        </w:rPr>
        <w:t xml:space="preserve">受江苏省东海县人民法院的委托，</w:t>
      </w:r>
      <w:r>
        <w:rPr>
          <w:rFonts w:hint="eastAsia" w:cs="Times New Roman"/>
          <w:b w:val="0"/>
          <w:bCs w:val="0"/>
          <w:sz w:val="24"/>
          <w:szCs w:val="24"/>
          <w:highlight w:val="none"/>
          <w:lang w:val="en-US" w:eastAsia="zh-CN" w:bidi="ar-SA"/>
        </w:rPr>
        <w:t xml:space="preserve">东海县政府采购中心</w:t>
      </w:r>
      <w:r>
        <w:rPr>
          <w:rFonts w:hint="eastAsia" w:ascii="Calibri" w:hAnsi="Calibri" w:eastAsia="宋体" w:cs="Times New Roman"/>
          <w:b w:val="0"/>
          <w:bCs w:val="0"/>
          <w:sz w:val="24"/>
          <w:szCs w:val="24"/>
          <w:lang w:val="en-US" w:eastAsia="zh-CN" w:bidi="ar-SA"/>
        </w:rPr>
        <w:t xml:space="preserve">就东海法院新诉讼服务中心弱电机房采购项目（JSZC-320722-JZCG-G2026-0012</w:t>
      </w:r>
      <w:r>
        <w:rPr>
          <w:rFonts w:hint="eastAsia"/>
          <w:sz w:val="24"/>
          <w:szCs w:val="24"/>
          <w:highlight w:val="none"/>
        </w:rPr>
        <w:t xml:space="preserve">）进行公开招标采购，欢迎符合条件的供应商投标。</w:t>
      </w:r>
      <w:r/>
    </w:p>
    <w:tbl>
      <w:tblPr>
        <w:tblStyle w:val="888"/>
        <w:tblW w:w="8522"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jc w:val="left"/>
              <w:spacing w:line="500" w:lineRule="exact"/>
              <w:rPr>
                <w:sz w:val="24"/>
                <w:szCs w:val="24"/>
                <w:highlight w:val="none"/>
              </w:rPr>
            </w:pPr>
            <w:r>
              <w:rPr>
                <w:rFonts w:hint="eastAsia"/>
                <w:sz w:val="24"/>
                <w:szCs w:val="24"/>
                <w:highlight w:val="none"/>
              </w:rPr>
              <w:t xml:space="preserve">项目概况</w:t>
            </w:r>
            <w:r/>
          </w:p>
          <w:p>
            <w:pPr>
              <w:jc w:val="left"/>
              <w:spacing w:line="500" w:lineRule="exact"/>
              <w:rPr>
                <w:sz w:val="24"/>
                <w:szCs w:val="24"/>
                <w:highlight w:val="none"/>
              </w:rPr>
            </w:pPr>
            <w:r>
              <w:rPr>
                <w:rFonts w:hint="eastAsia" w:ascii="Calibri" w:hAnsi="Calibri" w:eastAsia="宋体" w:cs="Times New Roman"/>
                <w:b w:val="0"/>
                <w:bCs w:val="0"/>
                <w:sz w:val="24"/>
                <w:szCs w:val="24"/>
                <w:lang w:val="en-US" w:eastAsia="zh-CN" w:bidi="ar-SA"/>
              </w:rPr>
              <w:t xml:space="preserve">东海法院新诉讼服务中心弱电机房采购项目</w:t>
            </w:r>
            <w:r>
              <w:rPr>
                <w:rFonts w:hint="eastAsia"/>
                <w:sz w:val="24"/>
                <w:szCs w:val="24"/>
                <w:highlight w:val="none"/>
              </w:rPr>
              <w:t xml:space="preserve">的潜在投标人应在江苏政府采购网自行免费下载招标文件，并于202</w:t>
            </w:r>
            <w:r>
              <w:rPr>
                <w:rFonts w:hint="eastAsia"/>
                <w:sz w:val="24"/>
                <w:szCs w:val="24"/>
                <w:highlight w:val="none"/>
                <w:lang w:val="en-US" w:eastAsia="zh-CN"/>
              </w:rPr>
              <w:t xml:space="preserve">6</w:t>
            </w:r>
            <w:r>
              <w:rPr>
                <w:rFonts w:hint="eastAsia"/>
                <w:sz w:val="24"/>
                <w:szCs w:val="24"/>
                <w:highlight w:val="none"/>
              </w:rPr>
              <w:t xml:space="preserve">年</w:t>
            </w:r>
            <w:r>
              <w:rPr>
                <w:rFonts w:hint="eastAsia"/>
                <w:sz w:val="24"/>
                <w:szCs w:val="24"/>
                <w:highlight w:val="none"/>
                <w:lang w:val="en-US" w:eastAsia="zh-CN"/>
              </w:rPr>
              <w:t xml:space="preserve">9</w:t>
            </w:r>
            <w:r>
              <w:rPr>
                <w:rFonts w:hint="eastAsia"/>
                <w:sz w:val="24"/>
                <w:szCs w:val="24"/>
                <w:highlight w:val="none"/>
              </w:rPr>
              <w:t xml:space="preserve">月</w:t>
            </w:r>
            <w:r>
              <w:rPr>
                <w:rFonts w:hint="eastAsia"/>
                <w:sz w:val="24"/>
                <w:szCs w:val="24"/>
                <w:highlight w:val="none"/>
                <w:lang w:val="en-US" w:eastAsia="zh-CN"/>
              </w:rPr>
              <w:t xml:space="preserve">22</w:t>
            </w:r>
            <w:r>
              <w:rPr>
                <w:rFonts w:hint="eastAsia"/>
                <w:sz w:val="24"/>
                <w:szCs w:val="24"/>
                <w:highlight w:val="none"/>
              </w:rPr>
              <w:t xml:space="preserve">日</w:t>
            </w:r>
            <w:r>
              <w:rPr>
                <w:rFonts w:hint="eastAsia"/>
                <w:sz w:val="24"/>
                <w:szCs w:val="24"/>
                <w:highlight w:val="none"/>
                <w:lang w:val="en-US" w:eastAsia="zh-CN"/>
              </w:rPr>
              <w:t xml:space="preserve">09</w:t>
            </w:r>
            <w:r>
              <w:rPr>
                <w:rFonts w:hint="eastAsia"/>
                <w:sz w:val="24"/>
                <w:szCs w:val="24"/>
                <w:highlight w:val="none"/>
              </w:rPr>
              <w:t xml:space="preserve">:</w:t>
            </w:r>
            <w:r>
              <w:rPr>
                <w:rFonts w:hint="eastAsia"/>
                <w:sz w:val="24"/>
                <w:szCs w:val="24"/>
                <w:highlight w:val="none"/>
                <w:lang w:val="en-US" w:eastAsia="zh-CN"/>
              </w:rPr>
              <w:t xml:space="preserve">00</w:t>
            </w:r>
            <w:r>
              <w:rPr>
                <w:rFonts w:hint="eastAsia"/>
                <w:sz w:val="24"/>
                <w:szCs w:val="24"/>
                <w:highlight w:val="none"/>
              </w:rPr>
              <w:t xml:space="preserve">:00（北京时间）前递交（上传）投标文件。</w:t>
            </w:r>
            <w:r/>
          </w:p>
        </w:tc>
      </w:tr>
    </w:tbl>
    <w:p>
      <w:pPr>
        <w:pStyle w:val="862"/>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rFonts w:hint="eastAsia"/>
          <w:sz w:val="24"/>
          <w:szCs w:val="24"/>
          <w:lang w:val="en-US" w:eastAsia="zh-CN"/>
        </w:rPr>
      </w:pPr>
      <w:r>
        <w:rPr>
          <w:rFonts w:hint="eastAsia"/>
          <w:sz w:val="24"/>
          <w:szCs w:val="24"/>
        </w:rPr>
        <w:t xml:space="preserve">项目编号：</w:t>
      </w:r>
      <w:r>
        <w:rPr>
          <w:rFonts w:hint="eastAsia"/>
          <w:sz w:val="24"/>
          <w:szCs w:val="24"/>
          <w:lang w:val="en-US" w:eastAsia="zh-CN"/>
        </w:rPr>
        <w:t xml:space="preserve">JSZC-320722-JZCG-G2026-0012</w:t>
      </w:r>
      <w:r/>
    </w:p>
    <w:p>
      <w:pPr>
        <w:ind w:firstLine="480"/>
        <w:jc w:val="left"/>
        <w:spacing w:line="500" w:lineRule="exact"/>
        <w:rPr>
          <w:rFonts w:hint="eastAsia" w:eastAsia="宋体"/>
          <w:sz w:val="24"/>
          <w:szCs w:val="24"/>
          <w:lang w:eastAsia="zh-CN"/>
        </w:rPr>
      </w:pPr>
      <w:r>
        <w:rPr>
          <w:rFonts w:hint="eastAsia"/>
          <w:sz w:val="24"/>
          <w:szCs w:val="24"/>
        </w:rPr>
        <w:t xml:space="preserve">项目名称：</w:t>
      </w:r>
      <w:r>
        <w:rPr>
          <w:rFonts w:hint="eastAsia" w:ascii="Calibri" w:hAnsi="Calibri" w:eastAsia="宋体" w:cs="Times New Roman"/>
          <w:b w:val="0"/>
          <w:bCs w:val="0"/>
          <w:sz w:val="24"/>
          <w:szCs w:val="24"/>
          <w:lang w:val="en-US" w:eastAsia="zh-CN" w:bidi="ar-SA"/>
        </w:rPr>
        <w:t xml:space="preserve">东海法院新诉讼服务中心弱电机房采购项目</w:t>
      </w:r>
      <w:r/>
    </w:p>
    <w:p>
      <w:pPr>
        <w:ind w:firstLine="480"/>
        <w:jc w:val="left"/>
        <w:spacing w:line="500" w:lineRule="exact"/>
        <w:rPr>
          <w:rFonts w:hint="eastAsia"/>
          <w:sz w:val="24"/>
          <w:szCs w:val="24"/>
          <w:lang w:val="en-US" w:eastAsia="zh-CN"/>
        </w:rPr>
      </w:pPr>
      <w:r>
        <w:rPr>
          <w:rFonts w:hint="eastAsia"/>
          <w:sz w:val="24"/>
          <w:szCs w:val="24"/>
        </w:rPr>
        <w:t xml:space="preserve">预算金额：</w:t>
      </w:r>
      <w:r>
        <w:rPr>
          <w:rFonts w:hint="eastAsia"/>
          <w:sz w:val="24"/>
          <w:szCs w:val="24"/>
          <w:lang w:val="en-US" w:eastAsia="zh-CN"/>
        </w:rPr>
        <w:t xml:space="preserve">90万元</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最高限价：90万元，高于此限价的投标文件将作为无效标处理</w:t>
      </w:r>
      <w:r/>
    </w:p>
    <w:p>
      <w:pPr>
        <w:ind w:firstLine="480"/>
        <w:jc w:val="left"/>
        <w:spacing w:line="500" w:lineRule="exact"/>
        <w:rPr>
          <w:rFonts w:hint="eastAsia" w:eastAsia="宋体" w:cs="Times New Roman"/>
          <w:sz w:val="24"/>
          <w:szCs w:val="24"/>
        </w:rPr>
      </w:pPr>
      <w:r>
        <w:rPr>
          <w:rFonts w:hint="eastAsia" w:eastAsia="宋体" w:cs="Times New Roman"/>
          <w:sz w:val="24"/>
          <w:szCs w:val="24"/>
        </w:rPr>
        <w:t xml:space="preserve">采购方式：公开招标</w:t>
      </w:r>
      <w:r/>
    </w:p>
    <w:p>
      <w:pPr>
        <w:ind w:firstLine="480"/>
        <w:jc w:val="left"/>
        <w:spacing w:line="500" w:lineRule="exact"/>
        <w:rPr>
          <w:rFonts w:hint="eastAsia" w:eastAsia="宋体" w:cs="Times New Roman"/>
          <w:sz w:val="24"/>
          <w:szCs w:val="24"/>
          <w:lang w:val="en-US" w:eastAsia="zh-CN"/>
        </w:rPr>
      </w:pPr>
      <w:r>
        <w:rPr>
          <w:rFonts w:hint="eastAsia" w:eastAsia="宋体" w:cs="Times New Roman"/>
          <w:sz w:val="24"/>
          <w:szCs w:val="24"/>
          <w:lang w:val="en-US" w:eastAsia="zh-CN"/>
        </w:rPr>
        <w:t xml:space="preserve">采购需求：法院新建诉讼服务中心大楼，需要新建一体化机房，包含精密空调、ups电池、机柜、气体消防、动环监控系统等设备</w:t>
      </w:r>
      <w:r>
        <w:rPr>
          <w:rFonts w:hint="eastAsia" w:cs="Times New Roman"/>
          <w:sz w:val="24"/>
          <w:szCs w:val="24"/>
          <w:lang w:val="en-US" w:eastAsia="zh-CN"/>
        </w:rPr>
        <w:t xml:space="preserve">及其附属安装工程，</w:t>
      </w:r>
      <w:r>
        <w:rPr>
          <w:rFonts w:hint="eastAsia" w:eastAsia="宋体" w:cs="Times New Roman"/>
          <w:sz w:val="24"/>
          <w:szCs w:val="24"/>
          <w:lang w:val="en-US" w:eastAsia="zh-CN"/>
        </w:rPr>
        <w:t xml:space="preserve">具体内容详见第四章项目需求。</w:t>
      </w:r>
      <w:r/>
    </w:p>
    <w:p>
      <w:pPr>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500" w:lineRule="exact"/>
        <w:rPr>
          <w:sz w:val="24"/>
          <w:szCs w:val="24"/>
        </w:rPr>
      </w:pPr>
      <w:r>
        <w:rPr>
          <w:rFonts w:hint="eastAsia"/>
          <w:sz w:val="24"/>
          <w:szCs w:val="24"/>
        </w:rPr>
        <w:t xml:space="preserve">合同履行期限：</w:t>
      </w:r>
      <w:r>
        <w:rPr>
          <w:rFonts w:hint="eastAsia" w:ascii="宋体" w:hAnsi="宋体"/>
          <w:sz w:val="24"/>
          <w:szCs w:val="24"/>
        </w:rPr>
        <w:t xml:space="preserve">合同签订后6</w:t>
      </w:r>
      <w:r>
        <w:rPr>
          <w:rFonts w:ascii="宋体" w:hAnsi="宋体"/>
          <w:sz w:val="24"/>
          <w:szCs w:val="24"/>
        </w:rPr>
        <w:t xml:space="preserve">0</w:t>
      </w:r>
      <w:r>
        <w:rPr>
          <w:rFonts w:hint="eastAsia" w:ascii="宋体" w:hAnsi="宋体"/>
          <w:sz w:val="24"/>
          <w:szCs w:val="24"/>
        </w:rPr>
        <w:t xml:space="preserve">天内完成安装调试，达到交付条件。</w:t>
      </w:r>
      <w:r/>
    </w:p>
    <w:p>
      <w:pPr>
        <w:ind w:firstLine="480"/>
        <w:jc w:val="left"/>
        <w:spacing w:line="500" w:lineRule="exact"/>
        <w:rPr>
          <w:rFonts w:hint="eastAsia"/>
          <w:sz w:val="24"/>
          <w:szCs w:val="24"/>
        </w:rPr>
      </w:pPr>
      <w:r>
        <w:rPr>
          <w:rFonts w:hint="eastAsia"/>
          <w:sz w:val="24"/>
          <w:szCs w:val="24"/>
        </w:rPr>
        <w:t xml:space="preserve">本项目（是/否）接受联合体投标：不接受联合体。</w:t>
      </w:r>
      <w:r/>
    </w:p>
    <w:p>
      <w:pPr>
        <w:pStyle w:val="862"/>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sz w:val="24"/>
          <w:szCs w:val="24"/>
        </w:rPr>
      </w:pPr>
      <w:r>
        <w:rPr>
          <w:rFonts w:hint="eastAsia"/>
          <w:sz w:val="24"/>
          <w:szCs w:val="24"/>
        </w:rPr>
        <w:t xml:space="preserve">1.法人或者其他组织的营业执照等证明文件，自然人的身份证明；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2024或2025年</w:t>
      </w:r>
      <w:r>
        <w:rPr>
          <w:rFonts w:hint="eastAsia"/>
          <w:sz w:val="24"/>
          <w:szCs w:val="24"/>
        </w:rPr>
        <w:t xml:space="preserve">度的财务状况报告；（成立不满一年无需提供）</w:t>
      </w:r>
      <w:r/>
    </w:p>
    <w:p>
      <w:pPr>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p>
    <w:p>
      <w:pPr>
        <w:ind w:firstLine="480"/>
        <w:jc w:val="left"/>
        <w:spacing w:line="500" w:lineRule="exact"/>
        <w:rPr>
          <w:sz w:val="24"/>
          <w:szCs w:val="24"/>
        </w:rPr>
      </w:pPr>
      <w:r>
        <w:rPr>
          <w:rFonts w:hint="eastAsia"/>
          <w:sz w:val="24"/>
          <w:szCs w:val="24"/>
        </w:rPr>
        <w:t xml:space="preserve">4.具备履行合同所必需的设备和专业技术能力的声明及证明材料；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p>
    <w:p>
      <w:pPr>
        <w:ind w:firstLine="480"/>
        <w:jc w:val="left"/>
        <w:spacing w:line="500" w:lineRule="exact"/>
        <w:rPr>
          <w:rFonts w:hint="eastAsia"/>
          <w:sz w:val="24"/>
          <w:szCs w:val="24"/>
        </w:rPr>
      </w:pPr>
      <w:r>
        <w:rPr>
          <w:rFonts w:hint="eastAsia"/>
          <w:sz w:val="24"/>
          <w:szCs w:val="24"/>
        </w:rPr>
        <w:t xml:space="preserve">6.法律、行政法规规定的其他条件；（如有，请按要求提供）</w:t>
      </w:r>
      <w:r/>
    </w:p>
    <w:p>
      <w:pPr>
        <w:pStyle w:val="678"/>
        <w:ind w:firstLine="480"/>
        <w:keepLines w:val="0"/>
        <w:keepNext w:val="0"/>
        <w:pageBreakBefore w:val="0"/>
        <w:spacing w:line="500" w:lineRule="exact"/>
        <w:widowControl w:val="off"/>
        <w:rPr>
          <w:rFonts w:eastAsia="宋体"/>
          <w:lang w:val="en-US" w:eastAsia="zh-CN"/>
        </w:rPr>
      </w:pPr>
      <w:r>
        <w:rPr>
          <w:rFonts w:hint="eastAsia" w:ascii="Calibri" w:hAnsi="Calibri" w:eastAsia="宋体" w:cs="Times New Roman"/>
          <w:sz w:val="24"/>
          <w:szCs w:val="24"/>
        </w:rPr>
        <w:t xml:space="preserve">7.</w:t>
      </w:r>
      <w:r>
        <w:rPr>
          <w:rFonts w:hint="eastAsia" w:ascii="Calibri" w:eastAsia="宋体" w:cs="Times New Roman"/>
          <w:sz w:val="24"/>
          <w:szCs w:val="24"/>
          <w:lang w:val="en-US" w:eastAsia="zh-CN"/>
        </w:rPr>
        <w:t xml:space="preserve">本项目不接受进口产品投标；</w:t>
      </w:r>
      <w:r/>
    </w:p>
    <w:p>
      <w:pPr>
        <w:ind w:firstLine="480"/>
        <w:jc w:val="left"/>
        <w:keepLines w:val="0"/>
        <w:keepNext w:val="0"/>
        <w:pageBreakBefore w:val="0"/>
        <w:spacing w:line="500" w:lineRule="exact"/>
        <w:widowControl w:val="off"/>
      </w:pPr>
      <w:r>
        <w:rPr>
          <w:rFonts w:hint="eastAsia" w:cs="Times New Roman"/>
          <w:sz w:val="24"/>
          <w:szCs w:val="24"/>
          <w:lang w:val="en-US" w:eastAsia="zh-CN"/>
        </w:rPr>
        <w:t xml:space="preserve">8</w:t>
      </w:r>
      <w:r>
        <w:rPr>
          <w:rFonts w:hint="eastAsia" w:ascii="Calibri" w:hAnsi="Calibri" w:eastAsia="宋体" w:cs="Times New Roman"/>
          <w:sz w:val="24"/>
          <w:szCs w:val="24"/>
        </w:rPr>
        <w:t xml:space="preserve">.</w:t>
      </w:r>
      <w:r>
        <w:rPr>
          <w:rFonts w:hint="eastAsia"/>
          <w:sz w:val="24"/>
          <w:szCs w:val="24"/>
        </w:rPr>
        <w:t xml:space="preserve">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left"/>
        <w:spacing w:line="500" w:lineRule="exact"/>
        <w:rPr>
          <w:sz w:val="24"/>
          <w:szCs w:val="24"/>
        </w:rPr>
      </w:pPr>
      <w:r>
        <w:rPr>
          <w:rFonts w:hint="eastAsia"/>
          <w:sz w:val="24"/>
          <w:szCs w:val="24"/>
        </w:rPr>
        <w:t xml:space="preserve">（二）落实政府采购政策需满足的资格要求：无。</w:t>
      </w:r>
      <w:r/>
    </w:p>
    <w:p>
      <w:pPr>
        <w:ind w:firstLine="480"/>
        <w:jc w:val="left"/>
        <w:spacing w:line="500" w:lineRule="exact"/>
        <w:rPr>
          <w:sz w:val="24"/>
          <w:szCs w:val="24"/>
          <w:highlight w:val="yellow"/>
        </w:rPr>
      </w:pPr>
      <w:r>
        <w:rPr>
          <w:rFonts w:hint="eastAsia"/>
          <w:sz w:val="24"/>
          <w:szCs w:val="24"/>
        </w:rPr>
        <w:t xml:space="preserve">（三）本项目的特定资格要求：无。</w:t>
      </w:r>
      <w:r/>
    </w:p>
    <w:p>
      <w:pPr>
        <w:pStyle w:val="862"/>
        <w:spacing w:before="0" w:after="0" w:line="360" w:lineRule="auto"/>
        <w:rPr>
          <w:rFonts w:ascii="黑体" w:hAnsi="黑体" w:eastAsia="黑体"/>
          <w:b w:val="0"/>
        </w:rPr>
      </w:pPr>
      <w:r>
        <w:rPr>
          <w:rFonts w:hint="eastAsia" w:ascii="黑体" w:hAnsi="黑体" w:eastAsia="黑体"/>
          <w:b w:val="0"/>
        </w:rPr>
        <w:t xml:space="preserve">三、获取招标文件</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时间：自招标公告发布之日起至</w:t>
      </w:r>
      <w:r>
        <w:rPr>
          <w:rFonts w:hint="eastAsia" w:ascii="宋体" w:hAnsi="宋体"/>
          <w:sz w:val="24"/>
          <w:szCs w:val="24"/>
          <w:highlight w:val="none"/>
          <w:lang w:val="en-US" w:eastAsia="zh-CN"/>
        </w:rPr>
        <w:t xml:space="preserve">2026</w:t>
      </w:r>
      <w:r>
        <w:rPr>
          <w:rFonts w:hint="eastAsia" w:ascii="宋体" w:hAnsi="宋体"/>
          <w:sz w:val="24"/>
          <w:szCs w:val="24"/>
          <w:highlight w:val="none"/>
        </w:rPr>
        <w:t xml:space="preserve">年</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日</w:t>
      </w:r>
      <w:r>
        <w:rPr>
          <w:rFonts w:hint="eastAsia"/>
          <w:sz w:val="24"/>
          <w:szCs w:val="24"/>
          <w:highlight w:val="none"/>
        </w:rPr>
        <w:t xml:space="preserve">（北京时间）</w:t>
      </w:r>
      <w:r/>
    </w:p>
    <w:p>
      <w:pPr>
        <w:ind w:firstLine="480"/>
        <w:jc w:val="left"/>
        <w:spacing w:line="500" w:lineRule="exact"/>
        <w:rPr>
          <w:sz w:val="24"/>
          <w:szCs w:val="24"/>
          <w:highlight w:val="none"/>
        </w:rPr>
      </w:pPr>
      <w:r>
        <w:rPr>
          <w:rFonts w:hint="eastAsia"/>
          <w:sz w:val="24"/>
          <w:szCs w:val="24"/>
          <w:highlight w:val="none"/>
        </w:rPr>
        <w:t xml:space="preserve">地点：江苏政府采购网</w:t>
      </w:r>
      <w:r/>
    </w:p>
    <w:p>
      <w:pPr>
        <w:ind w:firstLine="480"/>
        <w:jc w:val="left"/>
        <w:spacing w:line="500" w:lineRule="exact"/>
        <w:rPr>
          <w:sz w:val="24"/>
          <w:szCs w:val="24"/>
          <w:highlight w:val="none"/>
        </w:rPr>
      </w:pPr>
      <w:r>
        <w:rPr>
          <w:rFonts w:hint="eastAsia"/>
          <w:sz w:val="24"/>
          <w:szCs w:val="24"/>
          <w:highlight w:val="none"/>
        </w:rPr>
        <w:t xml:space="preserve">方式：投标人办理江苏省政府采购交易系统CA数字证书，登录“苏采云”政府采购交易系统，自行下载。</w:t>
      </w:r>
      <w:r/>
    </w:p>
    <w:p>
      <w:pPr>
        <w:ind w:firstLine="480"/>
        <w:jc w:val="left"/>
        <w:spacing w:line="500" w:lineRule="exact"/>
        <w:rPr>
          <w:sz w:val="24"/>
          <w:szCs w:val="24"/>
          <w:highlight w:val="none"/>
        </w:rPr>
      </w:pPr>
      <w:r>
        <w:rPr>
          <w:rFonts w:hint="eastAsia"/>
          <w:sz w:val="24"/>
          <w:szCs w:val="24"/>
          <w:highlight w:val="none"/>
        </w:rPr>
        <w:t xml:space="preserve">售价：0.00元</w:t>
      </w:r>
      <w:r/>
    </w:p>
    <w:p>
      <w:pPr>
        <w:pStyle w:val="862"/>
        <w:spacing w:before="0" w:after="0" w:line="360" w:lineRule="auto"/>
        <w:rPr>
          <w:rFonts w:ascii="黑体" w:hAnsi="黑体" w:eastAsia="黑体"/>
          <w:b w:val="0"/>
          <w:highlight w:val="none"/>
        </w:rPr>
      </w:pPr>
      <w:r>
        <w:rPr>
          <w:rFonts w:hint="eastAsia" w:ascii="黑体" w:hAnsi="黑体" w:eastAsia="黑体"/>
          <w:b w:val="0"/>
          <w:highlight w:val="none"/>
        </w:rPr>
        <w:t xml:space="preserve">四、提交投标文件截止时间、开标时间和地点</w:t>
      </w:r>
      <w:r/>
    </w:p>
    <w:p>
      <w:pPr>
        <w:ind w:firstLine="480"/>
        <w:jc w:val="left"/>
        <w:spacing w:line="500" w:lineRule="exact"/>
        <w:rPr>
          <w:rFonts w:hint="eastAsia"/>
          <w:sz w:val="24"/>
          <w:szCs w:val="24"/>
        </w:rPr>
      </w:pPr>
      <w:r>
        <w:rPr>
          <w:rFonts w:hint="eastAsia"/>
          <w:sz w:val="24"/>
          <w:szCs w:val="24"/>
        </w:rPr>
        <w:t xml:space="preserve">提交投标文件截止时间：202</w:t>
      </w:r>
      <w:r>
        <w:rPr>
          <w:rFonts w:hint="eastAsia"/>
          <w:sz w:val="24"/>
          <w:szCs w:val="24"/>
          <w:lang w:val="en-US" w:eastAsia="zh-CN"/>
        </w:rPr>
        <w:t xml:space="preserve">6</w:t>
      </w:r>
      <w:r>
        <w:rPr>
          <w:rFonts w:hint="eastAsia"/>
          <w:sz w:val="24"/>
          <w:szCs w:val="24"/>
        </w:rPr>
        <w:t xml:space="preserve">年</w:t>
      </w:r>
      <w:r>
        <w:rPr>
          <w:rFonts w:hint="eastAsia"/>
          <w:sz w:val="24"/>
          <w:szCs w:val="24"/>
          <w:lang w:val="en-US" w:eastAsia="zh-CN"/>
        </w:rPr>
        <w:t xml:space="preserve">9</w:t>
      </w:r>
      <w:r>
        <w:rPr>
          <w:rFonts w:hint="eastAsia"/>
          <w:sz w:val="24"/>
          <w:szCs w:val="24"/>
        </w:rPr>
        <w:t xml:space="preserve">月</w:t>
      </w:r>
      <w:r>
        <w:rPr>
          <w:rFonts w:hint="eastAsia"/>
          <w:sz w:val="24"/>
          <w:szCs w:val="24"/>
          <w:lang w:val="en-US" w:eastAsia="zh-CN"/>
        </w:rPr>
        <w:t xml:space="preserve">22</w:t>
      </w:r>
      <w:bookmarkStart w:id="20" w:name="_GoBack"/>
      <w:r/>
      <w:bookmarkEnd w:id="20"/>
      <w:r>
        <w:rPr>
          <w:rFonts w:hint="eastAsia"/>
          <w:sz w:val="24"/>
          <w:szCs w:val="24"/>
        </w:rPr>
        <w:t xml:space="preserve">日</w:t>
      </w:r>
      <w:r>
        <w:rPr>
          <w:rFonts w:hint="eastAsia"/>
          <w:sz w:val="24"/>
          <w:szCs w:val="24"/>
          <w:lang w:val="en-US" w:eastAsia="zh-CN"/>
        </w:rPr>
        <w:t xml:space="preserve">09</w:t>
      </w:r>
      <w:r>
        <w:rPr>
          <w:rFonts w:hint="eastAsia"/>
          <w:sz w:val="24"/>
          <w:szCs w:val="24"/>
        </w:rPr>
        <w:t xml:space="preserve">:</w:t>
      </w:r>
      <w:r>
        <w:rPr>
          <w:rFonts w:hint="eastAsia"/>
          <w:sz w:val="24"/>
          <w:szCs w:val="24"/>
          <w:lang w:val="en-US" w:eastAsia="zh-CN"/>
        </w:rPr>
        <w:t xml:space="preserve">00</w:t>
      </w:r>
      <w:r>
        <w:rPr>
          <w:rFonts w:hint="eastAsia"/>
          <w:sz w:val="24"/>
          <w:szCs w:val="24"/>
        </w:rPr>
        <w:t xml:space="preserve">:00（北京时间）</w:t>
      </w:r>
      <w:r/>
    </w:p>
    <w:p>
      <w:pPr>
        <w:ind w:firstLine="480"/>
        <w:jc w:val="left"/>
        <w:spacing w:line="500" w:lineRule="exact"/>
        <w:rPr>
          <w:sz w:val="24"/>
          <w:szCs w:val="24"/>
        </w:rPr>
      </w:pPr>
      <w:r>
        <w:rPr>
          <w:rFonts w:hint="eastAsia"/>
          <w:sz w:val="24"/>
          <w:szCs w:val="24"/>
        </w:rPr>
        <w:t xml:space="preserve">开标时间：提交投标文件截止时间</w:t>
      </w:r>
      <w:r/>
    </w:p>
    <w:p>
      <w:pPr>
        <w:ind w:firstLine="480"/>
        <w:jc w:val="left"/>
        <w:spacing w:line="500" w:lineRule="exact"/>
      </w:pPr>
      <w:r>
        <w:rPr>
          <w:rFonts w:hint="eastAsia"/>
          <w:sz w:val="24"/>
          <w:szCs w:val="24"/>
        </w:rPr>
        <w:t xml:space="preserve">开标地点：“苏采云”政府采购交易系统网上开标大厅</w:t>
      </w:r>
      <w:r/>
    </w:p>
    <w:p>
      <w:pPr>
        <w:pStyle w:val="862"/>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自本公告发布之日起5个工作日。</w:t>
      </w:r>
      <w:r/>
    </w:p>
    <w:p>
      <w:pPr>
        <w:pStyle w:val="862"/>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1.本次招标不收取投标保证金。</w:t>
      </w:r>
      <w:r/>
    </w:p>
    <w:p>
      <w:pPr>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p>
    <w:p>
      <w:pPr>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sz w:val="24"/>
          <w:szCs w:val="24"/>
        </w:rPr>
        <w:t xml:space="preserve">自行承担一切损失。</w:t>
      </w:r>
      <w:r/>
    </w:p>
    <w:p>
      <w:pPr>
        <w:pStyle w:val="862"/>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500" w:lineRule="exact"/>
        <w:rPr>
          <w:sz w:val="24"/>
          <w:szCs w:val="24"/>
        </w:rPr>
      </w:pPr>
      <w:r>
        <w:rPr>
          <w:rFonts w:hint="eastAsia"/>
          <w:sz w:val="24"/>
          <w:szCs w:val="24"/>
        </w:rPr>
        <w:t xml:space="preserve">1.采购人信息</w:t>
      </w:r>
      <w:r/>
    </w:p>
    <w:p>
      <w:pPr>
        <w:ind w:firstLine="480"/>
        <w:spacing w:line="500" w:lineRule="exact"/>
        <w:rPr>
          <w:rFonts w:hint="eastAsia" w:ascii="宋体" w:hAnsi="宋体"/>
          <w:sz w:val="24"/>
          <w:szCs w:val="24"/>
          <w:highlight w:val="none"/>
          <w:lang w:val="en-US" w:eastAsia="zh-CN"/>
        </w:rPr>
      </w:pPr>
      <w:r>
        <w:rPr>
          <w:rFonts w:hint="eastAsia" w:ascii="宋体" w:hAnsi="宋体"/>
          <w:sz w:val="24"/>
          <w:szCs w:val="24"/>
          <w:highlight w:val="none"/>
        </w:rPr>
        <w:t xml:space="preserve">名    称：</w:t>
      </w:r>
      <w:r>
        <w:rPr>
          <w:rFonts w:hint="eastAsia" w:ascii="宋体" w:hAnsi="宋体"/>
          <w:sz w:val="24"/>
          <w:szCs w:val="24"/>
          <w:highlight w:val="none"/>
          <w:lang w:val="en-US" w:eastAsia="zh-CN"/>
        </w:rPr>
        <w:t xml:space="preserve">江苏省东海县人民法院</w:t>
      </w:r>
      <w:r/>
    </w:p>
    <w:p>
      <w:pPr>
        <w:ind w:firstLine="480"/>
        <w:spacing w:line="50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地    址：连云港市</w:t>
      </w:r>
      <w:r>
        <w:rPr>
          <w:rFonts w:hint="eastAsia" w:ascii="宋体" w:hAnsi="宋体"/>
          <w:sz w:val="24"/>
          <w:szCs w:val="24"/>
          <w:highlight w:val="none"/>
          <w:lang w:eastAsia="zh-CN"/>
        </w:rPr>
        <w:t xml:space="preserve">东海县晶都大道</w:t>
      </w:r>
      <w:r/>
    </w:p>
    <w:p>
      <w:pPr>
        <w:ind w:firstLine="480"/>
        <w:spacing w:line="500" w:lineRule="exact"/>
        <w:rPr>
          <w:sz w:val="24"/>
          <w:szCs w:val="24"/>
        </w:rPr>
      </w:pPr>
      <w:r>
        <w:rPr>
          <w:rFonts w:hint="eastAsia"/>
          <w:sz w:val="24"/>
          <w:szCs w:val="24"/>
        </w:rPr>
        <w:t xml:space="preserve">联 系 人：</w:t>
      </w:r>
      <w:r>
        <w:rPr>
          <w:rFonts w:hint="eastAsia" w:ascii="宋体" w:hAnsi="宋体"/>
          <w:sz w:val="24"/>
          <w:szCs w:val="24"/>
          <w:highlight w:val="none"/>
          <w:lang w:val="en-US" w:eastAsia="zh-CN"/>
        </w:rPr>
        <w:t xml:space="preserve">刘康乐</w:t>
      </w:r>
      <w:r/>
    </w:p>
    <w:p>
      <w:pPr>
        <w:ind w:firstLine="480"/>
        <w:jc w:val="left"/>
        <w:spacing w:line="500" w:lineRule="exact"/>
        <w:rPr>
          <w:rFonts w:hint="eastAsia" w:ascii="宋体" w:hAnsi="宋体"/>
          <w:sz w:val="24"/>
          <w:szCs w:val="24"/>
          <w:highlight w:val="none"/>
          <w:lang w:val="en-US" w:eastAsia="zh-CN"/>
        </w:rPr>
      </w:pPr>
      <w:r>
        <w:rPr>
          <w:rFonts w:hint="eastAsia"/>
          <w:sz w:val="24"/>
          <w:szCs w:val="24"/>
        </w:rPr>
        <w:t xml:space="preserve">联系电话：</w:t>
      </w:r>
      <w:r>
        <w:rPr>
          <w:rFonts w:hint="eastAsia" w:ascii="宋体" w:hAnsi="宋体"/>
          <w:sz w:val="24"/>
          <w:szCs w:val="24"/>
          <w:highlight w:val="none"/>
          <w:lang w:val="en-US" w:eastAsia="zh-CN"/>
        </w:rPr>
        <w:t xml:space="preserve">18936589152</w:t>
      </w:r>
      <w:r/>
    </w:p>
    <w:p>
      <w:pPr>
        <w:ind w:firstLine="480"/>
        <w:jc w:val="left"/>
        <w:keepLines w:val="0"/>
        <w:keepNext w:val="0"/>
        <w:pageBreakBefore w:val="0"/>
        <w:spacing w:line="400" w:lineRule="exact"/>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2.采购</w:t>
      </w:r>
      <w:r>
        <w:rPr>
          <w:rFonts w:hint="eastAsia" w:ascii="新宋体" w:hAnsi="新宋体" w:eastAsia="新宋体" w:cs="新宋体"/>
          <w:sz w:val="24"/>
          <w:szCs w:val="24"/>
          <w:highlight w:val="none"/>
          <w:lang w:val="en-US" w:eastAsia="zh-CN"/>
        </w:rPr>
        <w:t xml:space="preserve">代理单位</w:t>
      </w:r>
      <w:r>
        <w:rPr>
          <w:rFonts w:hint="eastAsia" w:ascii="新宋体" w:hAnsi="新宋体" w:eastAsia="新宋体" w:cs="新宋体"/>
          <w:sz w:val="24"/>
          <w:szCs w:val="24"/>
          <w:highlight w:val="none"/>
        </w:rPr>
        <w:t xml:space="preserve">信息</w:t>
      </w:r>
      <w:r/>
    </w:p>
    <w:p>
      <w:pPr>
        <w:ind w:firstLine="480"/>
        <w:jc w:val="left"/>
        <w:keepLines w:val="0"/>
        <w:keepNext w:val="0"/>
        <w:pageBreakBefore w:val="0"/>
        <w:spacing w:line="400" w:lineRule="exact"/>
        <w:widowControl w:val="off"/>
        <w:rPr>
          <w:rFonts w:hint="eastAsia" w:ascii="新宋体" w:hAnsi="新宋体" w:eastAsia="新宋体" w:cs="新宋体"/>
          <w:sz w:val="24"/>
          <w:szCs w:val="24"/>
          <w:highlight w:val="none"/>
          <w:lang w:eastAsia="zh-CN"/>
        </w:rPr>
      </w:pPr>
      <w:r>
        <w:rPr>
          <w:rFonts w:hint="eastAsia" w:ascii="新宋体" w:hAnsi="新宋体" w:eastAsia="新宋体" w:cs="新宋体"/>
          <w:sz w:val="24"/>
          <w:szCs w:val="24"/>
          <w:highlight w:val="none"/>
        </w:rPr>
        <w:t xml:space="preserve">名    称：</w:t>
      </w:r>
      <w:r>
        <w:rPr>
          <w:rFonts w:hint="eastAsia" w:ascii="新宋体" w:hAnsi="新宋体" w:eastAsia="新宋体" w:cs="新宋体"/>
          <w:sz w:val="24"/>
          <w:szCs w:val="24"/>
          <w:highlight w:val="none"/>
          <w:lang w:eastAsia="zh-CN"/>
        </w:rPr>
        <w:t xml:space="preserve">东海县政府采购中心</w:t>
      </w:r>
      <w:r/>
    </w:p>
    <w:p>
      <w:pPr>
        <w:ind w:firstLine="480"/>
        <w:jc w:val="left"/>
        <w:keepLines w:val="0"/>
        <w:keepNext w:val="0"/>
        <w:pageBreakBefore w:val="0"/>
        <w:spacing w:line="400" w:lineRule="exact"/>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地    址：东海县晶都大道28号政务服务中心5楼</w:t>
      </w:r>
      <w:r/>
    </w:p>
    <w:p>
      <w:pPr>
        <w:ind w:firstLine="480"/>
        <w:jc w:val="left"/>
        <w:keepLines w:val="0"/>
        <w:keepNext w:val="0"/>
        <w:pageBreakBefore w:val="0"/>
        <w:spacing w:line="400" w:lineRule="exact"/>
        <w:widowControl w:val="off"/>
        <w:rPr>
          <w:rFonts w:hint="default"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rPr>
        <w:t xml:space="preserve">联 系 人：</w:t>
      </w:r>
      <w:r>
        <w:rPr>
          <w:rFonts w:hint="eastAsia" w:ascii="新宋体" w:hAnsi="新宋体" w:eastAsia="新宋体" w:cs="新宋体"/>
          <w:sz w:val="24"/>
          <w:szCs w:val="24"/>
          <w:highlight w:val="none"/>
          <w:lang w:val="en-US" w:eastAsia="zh-CN"/>
        </w:rPr>
        <w:t xml:space="preserve">曹工</w:t>
      </w:r>
      <w:r/>
    </w:p>
    <w:p>
      <w:pPr>
        <w:ind w:firstLine="480"/>
        <w:jc w:val="left"/>
        <w:spacing w:line="500" w:lineRule="exact"/>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联系电话：0518-87292719</w:t>
      </w:r>
      <w:r/>
    </w:p>
    <w:p>
      <w:pPr>
        <w:ind w:firstLine="480"/>
        <w:jc w:val="left"/>
        <w:spacing w:line="500" w:lineRule="exact"/>
        <w:rPr>
          <w:sz w:val="24"/>
          <w:szCs w:val="24"/>
          <w:highlight w:val="none"/>
        </w:rPr>
      </w:pPr>
      <w:r>
        <w:rPr>
          <w:rFonts w:hint="eastAsia"/>
          <w:sz w:val="24"/>
          <w:szCs w:val="24"/>
          <w:highlight w:val="none"/>
        </w:rPr>
        <w:t xml:space="preserve">3.项目联系方式</w:t>
      </w:r>
      <w:r/>
    </w:p>
    <w:p>
      <w:pPr>
        <w:ind w:firstLine="480"/>
        <w:jc w:val="left"/>
        <w:spacing w:line="500" w:lineRule="exact"/>
        <w:rPr>
          <w:sz w:val="24"/>
          <w:szCs w:val="24"/>
          <w:highlight w:val="none"/>
        </w:rPr>
      </w:pPr>
      <w:r>
        <w:rPr>
          <w:rFonts w:hint="eastAsia"/>
          <w:sz w:val="24"/>
          <w:szCs w:val="24"/>
          <w:highlight w:val="none"/>
        </w:rPr>
        <w:t xml:space="preserve">项目联系人：</w:t>
      </w:r>
      <w:r>
        <w:rPr>
          <w:rFonts w:hint="eastAsia" w:ascii="宋体" w:hAnsi="宋体"/>
          <w:sz w:val="24"/>
          <w:szCs w:val="24"/>
          <w:highlight w:val="none"/>
          <w:lang w:val="en-US" w:eastAsia="zh-CN"/>
        </w:rPr>
        <w:t xml:space="preserve">刘康乐</w:t>
      </w:r>
      <w:r/>
    </w:p>
    <w:p>
      <w:pPr>
        <w:ind w:firstLine="480"/>
        <w:jc w:val="left"/>
        <w:spacing w:line="500" w:lineRule="exact"/>
        <w:rPr>
          <w:sz w:val="24"/>
          <w:szCs w:val="24"/>
          <w:highlight w:val="none"/>
        </w:rPr>
      </w:pPr>
      <w:r>
        <w:rPr>
          <w:rFonts w:hint="eastAsia"/>
          <w:sz w:val="24"/>
          <w:szCs w:val="24"/>
          <w:highlight w:val="none"/>
        </w:rPr>
        <w:t xml:space="preserve">电      话：</w:t>
      </w:r>
      <w:r>
        <w:rPr>
          <w:rFonts w:hint="eastAsia" w:ascii="宋体" w:hAnsi="宋体"/>
          <w:sz w:val="24"/>
          <w:szCs w:val="24"/>
          <w:highlight w:val="none"/>
          <w:lang w:val="en-US" w:eastAsia="zh-CN"/>
        </w:rPr>
        <w:t xml:space="preserve">18936589152</w:t>
      </w:r>
      <w:r/>
    </w:p>
    <w:p>
      <w:pPr>
        <w:jc w:val="left"/>
        <w:widowControl/>
        <w:rPr>
          <w:rFonts w:ascii="黑体" w:hAnsi="黑体" w:eastAsia="黑体"/>
          <w:bCs/>
          <w:sz w:val="44"/>
          <w:szCs w:val="44"/>
        </w:rPr>
      </w:pPr>
      <w:r>
        <w:rPr>
          <w:rFonts w:ascii="黑体" w:hAnsi="黑体" w:eastAsia="黑体"/>
          <w:b/>
        </w:rPr>
        <w:br w:type="page" w:clear="all"/>
      </w:r>
      <w:r/>
    </w:p>
    <w:p>
      <w:pPr>
        <w:pStyle w:val="860"/>
        <w:jc w:val="center"/>
        <w:spacing w:line="360" w:lineRule="auto"/>
        <w:rPr>
          <w:rFonts w:ascii="黑体" w:hAnsi="黑体" w:eastAsia="黑体"/>
          <w:b w:val="0"/>
        </w:rPr>
      </w:pPr>
      <w:r/>
      <w:bookmarkStart w:id="1" w:name="_Toc165205795"/>
      <w:r>
        <w:rPr>
          <w:rFonts w:hint="eastAsia" w:ascii="黑体" w:hAnsi="黑体" w:eastAsia="黑体"/>
          <w:b w:val="0"/>
        </w:rPr>
        <w:t xml:space="preserve">第二章  投标人须知</w:t>
      </w:r>
      <w:bookmarkEnd w:id="1"/>
      <w:r/>
      <w:r/>
    </w:p>
    <w:p>
      <w:pPr>
        <w:pStyle w:val="862"/>
        <w:spacing w:before="0" w:after="0" w:line="360" w:lineRule="auto"/>
        <w:rPr>
          <w:rFonts w:ascii="黑体" w:hAnsi="黑体" w:eastAsia="黑体"/>
          <w:b w:val="0"/>
        </w:rPr>
      </w:pPr>
      <w:r>
        <w:rPr>
          <w:rFonts w:hint="eastAsia" w:ascii="黑体" w:hAnsi="黑体" w:eastAsia="黑体"/>
          <w:b w:val="0"/>
        </w:rPr>
        <w:t xml:space="preserve">一、总则</w:t>
      </w:r>
      <w:r/>
    </w:p>
    <w:p>
      <w:pPr>
        <w:pStyle w:val="864"/>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864"/>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满足本招标文件全部实质性要求和条件的规定。</w:t>
      </w:r>
      <w:r/>
    </w:p>
    <w:p>
      <w:pPr>
        <w:ind w:firstLine="480"/>
        <w:jc w:val="left"/>
        <w:spacing w:line="500" w:lineRule="exact"/>
        <w:rPr>
          <w:rFonts w:hint="eastAsia"/>
          <w:sz w:val="24"/>
          <w:szCs w:val="24"/>
        </w:rPr>
      </w:pPr>
      <w:r>
        <w:rPr>
          <w:rFonts w:hint="eastAsia"/>
          <w:sz w:val="24"/>
          <w:szCs w:val="24"/>
        </w:rPr>
        <w:t xml:space="preserve">2.4 符合上述条件的投标人应承担投标及履约过程应承担的全部责任与义务。</w:t>
      </w:r>
      <w:r/>
    </w:p>
    <w:p>
      <w:pPr>
        <w:ind w:firstLine="480"/>
        <w:jc w:val="left"/>
        <w:spacing w:line="500" w:lineRule="exact"/>
      </w:pPr>
      <w:r>
        <w:rPr>
          <w:rFonts w:hint="eastAsia"/>
          <w:sz w:val="24"/>
          <w:szCs w:val="24"/>
        </w:rPr>
        <w:t xml:space="preserve">2.5单位负责人为同一人或者存在直接控股、管理关系的不同供应商，不得参加同一合同项下的政府采购活动。</w:t>
      </w:r>
      <w:r/>
    </w:p>
    <w:p>
      <w:pPr>
        <w:pStyle w:val="864"/>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p>
    <w:p>
      <w:pPr>
        <w:pStyle w:val="864"/>
        <w:ind w:firstLine="562"/>
        <w:jc w:val="left"/>
        <w:spacing w:before="0" w:after="0" w:line="360" w:lineRule="auto"/>
        <w:rPr>
          <w:sz w:val="28"/>
          <w:szCs w:val="28"/>
        </w:rPr>
      </w:pPr>
      <w:r>
        <w:rPr>
          <w:rFonts w:hint="eastAsia"/>
          <w:sz w:val="28"/>
          <w:szCs w:val="28"/>
        </w:rPr>
        <w:t xml:space="preserve">4、投标费用</w:t>
      </w:r>
      <w:r/>
    </w:p>
    <w:p>
      <w:pPr>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w:t>
      </w:r>
      <w:r>
        <w:rPr>
          <w:rFonts w:hint="eastAsia"/>
          <w:sz w:val="24"/>
          <w:szCs w:val="24"/>
          <w:lang w:eastAsia="zh-CN"/>
        </w:rPr>
        <w:t xml:space="preserve">东海县政府采购中心</w:t>
      </w:r>
      <w:r>
        <w:rPr>
          <w:rFonts w:hint="eastAsia"/>
          <w:sz w:val="24"/>
          <w:szCs w:val="24"/>
        </w:rPr>
        <w:t xml:space="preserve">（以下简称</w:t>
      </w:r>
      <w:r>
        <w:rPr>
          <w:rFonts w:hint="eastAsia"/>
          <w:sz w:val="24"/>
          <w:szCs w:val="24"/>
          <w:lang w:eastAsia="zh-CN"/>
        </w:rPr>
        <w:t xml:space="preserve">采购中心</w:t>
      </w:r>
      <w:r>
        <w:rPr>
          <w:rFonts w:hint="eastAsia"/>
          <w:sz w:val="24"/>
          <w:szCs w:val="24"/>
        </w:rPr>
        <w:t xml:space="preserve">）在任何情况下均无义务和责任承担这些费用。</w:t>
      </w:r>
      <w:r/>
    </w:p>
    <w:p>
      <w:pPr>
        <w:ind w:firstLine="480"/>
        <w:jc w:val="left"/>
        <w:spacing w:line="500" w:lineRule="exact"/>
        <w:rPr>
          <w:sz w:val="24"/>
          <w:szCs w:val="24"/>
        </w:rPr>
      </w:pPr>
      <w:r>
        <w:rPr>
          <w:rFonts w:hint="eastAsia"/>
          <w:sz w:val="24"/>
          <w:szCs w:val="24"/>
        </w:rPr>
        <w:t xml:space="preserve">4.2 本次招标采购人和</w:t>
      </w:r>
      <w:r>
        <w:rPr>
          <w:rFonts w:hint="eastAsia"/>
          <w:sz w:val="24"/>
          <w:szCs w:val="24"/>
          <w:lang w:eastAsia="zh-CN"/>
        </w:rPr>
        <w:t xml:space="preserve">采购中心</w:t>
      </w:r>
      <w:r>
        <w:rPr>
          <w:rFonts w:hint="eastAsia"/>
          <w:sz w:val="24"/>
          <w:szCs w:val="24"/>
        </w:rPr>
        <w:t xml:space="preserve">不收取标书工本费与中标服务费。</w:t>
      </w:r>
      <w:r/>
    </w:p>
    <w:p>
      <w:pPr>
        <w:pStyle w:val="864"/>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p>
    <w:p>
      <w:pPr>
        <w:pStyle w:val="862"/>
        <w:spacing w:before="0" w:after="0" w:line="360" w:lineRule="auto"/>
        <w:rPr>
          <w:rFonts w:ascii="黑体" w:hAnsi="黑体" w:eastAsia="黑体"/>
          <w:b w:val="0"/>
        </w:rPr>
      </w:pPr>
      <w:r>
        <w:rPr>
          <w:rFonts w:hint="eastAsia" w:ascii="黑体" w:hAnsi="黑体" w:eastAsia="黑体"/>
          <w:b w:val="0"/>
        </w:rPr>
        <w:t xml:space="preserve">二、招标文件</w:t>
      </w:r>
      <w:r/>
    </w:p>
    <w:p>
      <w:pPr>
        <w:pStyle w:val="864"/>
        <w:ind w:firstLine="562"/>
        <w:jc w:val="left"/>
        <w:spacing w:before="0" w:after="0" w:line="360" w:lineRule="auto"/>
        <w:rPr>
          <w:sz w:val="28"/>
          <w:szCs w:val="28"/>
        </w:rPr>
      </w:pPr>
      <w:r>
        <w:rPr>
          <w:rFonts w:hint="eastAsia"/>
          <w:sz w:val="28"/>
          <w:szCs w:val="28"/>
        </w:rPr>
        <w:t xml:space="preserve">6、招标文件的构成</w:t>
      </w:r>
      <w:r/>
    </w:p>
    <w:p>
      <w:pPr>
        <w:ind w:firstLine="480"/>
        <w:jc w:val="left"/>
        <w:spacing w:line="500" w:lineRule="exact"/>
        <w:rPr>
          <w:sz w:val="24"/>
          <w:szCs w:val="24"/>
        </w:rPr>
      </w:pPr>
      <w:r>
        <w:rPr>
          <w:rFonts w:hint="eastAsia"/>
          <w:sz w:val="24"/>
          <w:szCs w:val="24"/>
        </w:rPr>
        <w:t xml:space="preserve">6.1 招标文件由以下部分构成：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w:t>
      </w:r>
      <w:r>
        <w:rPr>
          <w:rFonts w:hint="eastAsia"/>
          <w:sz w:val="24"/>
          <w:szCs w:val="24"/>
          <w:lang w:eastAsia="zh-CN"/>
        </w:rPr>
        <w:t xml:space="preserve">采购中心</w:t>
      </w:r>
      <w:r>
        <w:rPr>
          <w:rFonts w:hint="eastAsia"/>
          <w:sz w:val="24"/>
          <w:szCs w:val="24"/>
        </w:rPr>
        <w:t xml:space="preserve">联系解决。</w:t>
      </w:r>
      <w:r/>
    </w:p>
    <w:p>
      <w:pPr>
        <w:pStyle w:val="864"/>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w:t>
      </w:r>
      <w:r>
        <w:rPr>
          <w:rFonts w:hint="eastAsia"/>
          <w:sz w:val="24"/>
          <w:szCs w:val="24"/>
          <w:lang w:eastAsia="zh-CN"/>
        </w:rPr>
        <w:t xml:space="preserve">采购中心</w:t>
      </w:r>
      <w:r>
        <w:rPr>
          <w:rFonts w:hint="eastAsia"/>
          <w:sz w:val="24"/>
          <w:szCs w:val="24"/>
        </w:rPr>
        <w:t xml:space="preserve">。</w:t>
      </w:r>
      <w:r/>
    </w:p>
    <w:p>
      <w:pPr>
        <w:pStyle w:val="864"/>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在投标截止时间前，采购人和</w:t>
      </w:r>
      <w:r>
        <w:rPr>
          <w:rFonts w:hint="eastAsia"/>
          <w:sz w:val="24"/>
          <w:szCs w:val="24"/>
          <w:lang w:eastAsia="zh-CN"/>
        </w:rPr>
        <w:t xml:space="preserve">采购中心</w:t>
      </w:r>
      <w:r>
        <w:rPr>
          <w:rFonts w:hint="eastAsia"/>
          <w:sz w:val="24"/>
          <w:szCs w:val="24"/>
        </w:rPr>
        <w:t xml:space="preserve">可以对招标文件进行修改。</w:t>
      </w:r>
      <w:r/>
    </w:p>
    <w:p>
      <w:pPr>
        <w:ind w:firstLine="480"/>
        <w:jc w:val="left"/>
        <w:spacing w:line="500" w:lineRule="exact"/>
        <w:rPr>
          <w:sz w:val="24"/>
          <w:szCs w:val="24"/>
        </w:rPr>
      </w:pPr>
      <w:r>
        <w:rPr>
          <w:rFonts w:hint="eastAsia"/>
          <w:sz w:val="24"/>
          <w:szCs w:val="24"/>
        </w:rPr>
        <w:t xml:space="preserve">8.2 采购人和</w:t>
      </w:r>
      <w:r>
        <w:rPr>
          <w:rFonts w:hint="eastAsia"/>
          <w:sz w:val="24"/>
          <w:szCs w:val="24"/>
          <w:lang w:eastAsia="zh-CN"/>
        </w:rPr>
        <w:t xml:space="preserve">采购中心</w:t>
      </w:r>
      <w:r>
        <w:rPr>
          <w:rFonts w:hint="eastAsia"/>
          <w:sz w:val="24"/>
          <w:szCs w:val="24"/>
        </w:rPr>
        <w:t xml:space="preserve">有权按照法定的要求推迟投标截止时间和开标时间。</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862"/>
        <w:spacing w:before="0" w:after="0" w:line="360" w:lineRule="auto"/>
        <w:rPr>
          <w:rFonts w:ascii="黑体" w:hAnsi="黑体" w:eastAsia="黑体"/>
          <w:b w:val="0"/>
        </w:rPr>
      </w:pPr>
      <w:r>
        <w:rPr>
          <w:rFonts w:hint="eastAsia" w:ascii="黑体" w:hAnsi="黑体" w:eastAsia="黑体"/>
          <w:b w:val="0"/>
        </w:rPr>
        <w:t xml:space="preserve">三、投标文件编制</w:t>
      </w:r>
      <w:r/>
    </w:p>
    <w:p>
      <w:pPr>
        <w:pStyle w:val="864"/>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864"/>
        <w:ind w:firstLine="562"/>
        <w:jc w:val="left"/>
        <w:spacing w:before="0" w:after="0" w:line="360" w:lineRule="auto"/>
        <w:rPr>
          <w:sz w:val="28"/>
          <w:szCs w:val="28"/>
        </w:rPr>
      </w:pPr>
      <w:r>
        <w:rPr>
          <w:rFonts w:hint="eastAsia"/>
          <w:sz w:val="28"/>
          <w:szCs w:val="28"/>
        </w:rPr>
        <w:t xml:space="preserve">10、投标文件的语言及度量衡单位</w:t>
      </w:r>
      <w:r/>
    </w:p>
    <w:p>
      <w:pPr>
        <w:ind w:firstLine="480"/>
        <w:jc w:val="left"/>
        <w:spacing w:line="500" w:lineRule="exact"/>
        <w:rPr>
          <w:sz w:val="24"/>
          <w:szCs w:val="24"/>
        </w:rPr>
      </w:pPr>
      <w:r>
        <w:rPr>
          <w:rFonts w:hint="eastAsia"/>
          <w:sz w:val="24"/>
          <w:szCs w:val="24"/>
        </w:rPr>
        <w:t xml:space="preserve">10.1 除专用术语外，投标人提交的投标文件以及投标人与采购人和</w:t>
      </w:r>
      <w:r>
        <w:rPr>
          <w:rFonts w:hint="eastAsia"/>
          <w:sz w:val="24"/>
          <w:szCs w:val="24"/>
          <w:lang w:eastAsia="zh-CN"/>
        </w:rPr>
        <w:t xml:space="preserve">采购中心</w:t>
      </w:r>
      <w:r>
        <w:rPr>
          <w:rFonts w:hint="eastAsia"/>
          <w:sz w:val="24"/>
          <w:szCs w:val="24"/>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p>
    <w:p>
      <w:pPr>
        <w:pStyle w:val="864"/>
        <w:ind w:firstLine="562"/>
        <w:jc w:val="left"/>
        <w:spacing w:before="0" w:after="0" w:line="360" w:lineRule="auto"/>
        <w:rPr>
          <w:sz w:val="28"/>
          <w:szCs w:val="28"/>
        </w:rPr>
      </w:pPr>
      <w:r>
        <w:rPr>
          <w:rFonts w:hint="eastAsia"/>
          <w:sz w:val="28"/>
          <w:szCs w:val="28"/>
        </w:rPr>
        <w:t xml:space="preserve">11、投标文件的构成</w:t>
      </w:r>
      <w:r/>
    </w:p>
    <w:p>
      <w:pPr>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p>
    <w:p>
      <w:pPr>
        <w:pStyle w:val="864"/>
        <w:ind w:firstLine="562"/>
        <w:jc w:val="left"/>
        <w:spacing w:before="0" w:after="0" w:line="360" w:lineRule="auto"/>
        <w:rPr>
          <w:sz w:val="28"/>
          <w:szCs w:val="28"/>
        </w:rPr>
      </w:pPr>
      <w:r>
        <w:rPr>
          <w:rFonts w:hint="eastAsia"/>
          <w:sz w:val="28"/>
          <w:szCs w:val="28"/>
        </w:rPr>
        <w:t xml:space="preserve">12、证明投标人及投标标的符合招标文件规定的文件</w:t>
      </w:r>
      <w:r/>
    </w:p>
    <w:p>
      <w:pPr>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p>
    <w:p>
      <w:pPr>
        <w:pStyle w:val="864"/>
        <w:ind w:firstLine="562"/>
        <w:jc w:val="left"/>
        <w:spacing w:before="0" w:after="0" w:line="360" w:lineRule="auto"/>
      </w:pPr>
      <w:r>
        <w:rPr>
          <w:rFonts w:hint="eastAsia"/>
          <w:sz w:val="28"/>
          <w:szCs w:val="28"/>
        </w:rPr>
        <w:t xml:space="preserve">13、投标分项报价表</w:t>
      </w:r>
      <w:r/>
    </w:p>
    <w:p>
      <w:pPr>
        <w:ind w:firstLine="480"/>
        <w:jc w:val="left"/>
        <w:spacing w:line="500" w:lineRule="exact"/>
        <w:rPr>
          <w:sz w:val="24"/>
          <w:szCs w:val="24"/>
        </w:rPr>
      </w:pPr>
      <w:r>
        <w:rPr>
          <w:rFonts w:hint="eastAsia"/>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sz w:val="24"/>
          <w:szCs w:val="24"/>
        </w:rPr>
      </w:pPr>
      <w:r>
        <w:rPr>
          <w:rFonts w:hint="eastAsia"/>
          <w:sz w:val="24"/>
          <w:szCs w:val="24"/>
        </w:rPr>
        <w:t xml:space="preserve">（1）投标的货物总价；</w:t>
      </w:r>
      <w:r/>
    </w:p>
    <w:p>
      <w:pPr>
        <w:ind w:firstLine="480"/>
        <w:jc w:val="left"/>
        <w:spacing w:line="500" w:lineRule="exact"/>
        <w:rPr>
          <w:sz w:val="24"/>
          <w:szCs w:val="24"/>
        </w:rPr>
      </w:pPr>
      <w:r>
        <w:rPr>
          <w:rFonts w:hint="eastAsia"/>
          <w:sz w:val="24"/>
          <w:szCs w:val="24"/>
        </w:rPr>
        <w:t xml:space="preserve">（2）货物的标准附件、备品备件、专用工具、运输、装卸等各种费用；</w:t>
      </w:r>
      <w:r/>
    </w:p>
    <w:p>
      <w:pPr>
        <w:ind w:firstLine="480"/>
        <w:jc w:val="left"/>
        <w:spacing w:line="500" w:lineRule="exact"/>
        <w:rPr>
          <w:sz w:val="24"/>
          <w:szCs w:val="24"/>
        </w:rPr>
      </w:pPr>
      <w:r>
        <w:rPr>
          <w:rFonts w:hint="eastAsia"/>
          <w:sz w:val="24"/>
          <w:szCs w:val="24"/>
        </w:rPr>
        <w:t xml:space="preserve">（3）必要的保险费用和各项税金；</w:t>
      </w:r>
      <w:r/>
    </w:p>
    <w:p>
      <w:pPr>
        <w:ind w:firstLine="480"/>
        <w:jc w:val="left"/>
        <w:spacing w:line="500" w:lineRule="exact"/>
        <w:rPr>
          <w:sz w:val="24"/>
          <w:szCs w:val="24"/>
        </w:rPr>
      </w:pPr>
      <w:r>
        <w:rPr>
          <w:rFonts w:hint="eastAsia"/>
          <w:sz w:val="24"/>
          <w:szCs w:val="24"/>
        </w:rPr>
        <w:t xml:space="preserve">（4）投标总价要求包含安装维保费用。</w:t>
      </w:r>
      <w:r/>
    </w:p>
    <w:p>
      <w:pPr>
        <w:ind w:firstLine="480"/>
        <w:jc w:val="left"/>
        <w:spacing w:line="500" w:lineRule="exact"/>
        <w:rPr>
          <w:sz w:val="24"/>
          <w:szCs w:val="24"/>
        </w:rPr>
      </w:pPr>
      <w:r>
        <w:rPr>
          <w:rFonts w:hint="eastAsia"/>
          <w:sz w:val="24"/>
          <w:szCs w:val="24"/>
        </w:rPr>
        <w:t xml:space="preserve">13.2 投标人应根据投标报价要求在投标分项报价表中列明各项投标单价、总价等，未全部列示的作无效响应处理。</w:t>
      </w:r>
      <w:r/>
    </w:p>
    <w:p>
      <w:pPr>
        <w:ind w:firstLine="480"/>
        <w:jc w:val="left"/>
        <w:spacing w:line="500" w:lineRule="exact"/>
        <w:rPr>
          <w:sz w:val="24"/>
          <w:szCs w:val="24"/>
        </w:rPr>
      </w:pPr>
      <w:r>
        <w:rPr>
          <w:rFonts w:hint="eastAsia"/>
          <w:sz w:val="24"/>
          <w:szCs w:val="24"/>
        </w:rPr>
        <w:t xml:space="preserve">13.3 投标文件中的单价和总价无特殊规定的采用人民币报价，以元为单位标注。招标文件中另有规定的按规定执行。</w:t>
      </w:r>
      <w:r/>
    </w:p>
    <w:p>
      <w:pPr>
        <w:pStyle w:val="864"/>
        <w:ind w:firstLine="562"/>
        <w:jc w:val="left"/>
        <w:spacing w:before="0" w:after="0" w:line="360" w:lineRule="auto"/>
        <w:rPr>
          <w:sz w:val="28"/>
          <w:szCs w:val="28"/>
        </w:rPr>
      </w:pPr>
      <w:r>
        <w:rPr>
          <w:rFonts w:hint="eastAsia"/>
          <w:sz w:val="28"/>
          <w:szCs w:val="28"/>
        </w:rPr>
        <w:t xml:space="preserve">14、技术要求响应及偏离表、商务要求响应及偏离表</w:t>
      </w:r>
      <w:r/>
    </w:p>
    <w:p>
      <w:pPr>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sz w:val="24"/>
          <w:szCs w:val="24"/>
        </w:rPr>
      </w:pPr>
      <w:r>
        <w:rPr>
          <w:rFonts w:hint="eastAsia"/>
          <w:sz w:val="24"/>
          <w:szCs w:val="24"/>
        </w:rPr>
        <w:t xml:space="preserve">14.2 投标人可在投标文件中提供认为需要的其他技术文件或说明。</w:t>
      </w:r>
      <w:r/>
    </w:p>
    <w:p>
      <w:pPr>
        <w:pStyle w:val="864"/>
        <w:ind w:firstLine="562"/>
        <w:jc w:val="left"/>
        <w:spacing w:before="0" w:after="0" w:line="360" w:lineRule="auto"/>
        <w:rPr>
          <w:sz w:val="28"/>
          <w:szCs w:val="28"/>
        </w:rPr>
      </w:pPr>
      <w:r>
        <w:rPr>
          <w:rFonts w:hint="eastAsia"/>
          <w:sz w:val="28"/>
          <w:szCs w:val="28"/>
        </w:rPr>
        <w:t xml:space="preserve">15、服务承诺、培训计划、人员安排及其他</w:t>
      </w:r>
      <w:r/>
    </w:p>
    <w:p>
      <w:pPr>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投标人应根据招标文件要求提供培训计划、人员安排等。</w:t>
      </w:r>
      <w:r/>
    </w:p>
    <w:p>
      <w:pPr>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p>
    <w:p>
      <w:pPr>
        <w:pStyle w:val="864"/>
        <w:ind w:firstLine="562"/>
        <w:jc w:val="left"/>
        <w:spacing w:before="0" w:after="0" w:line="360" w:lineRule="auto"/>
        <w:rPr>
          <w:sz w:val="28"/>
          <w:szCs w:val="28"/>
        </w:rPr>
      </w:pPr>
      <w:r>
        <w:rPr>
          <w:rFonts w:hint="eastAsia"/>
          <w:sz w:val="28"/>
          <w:szCs w:val="28"/>
        </w:rPr>
        <w:t xml:space="preserve">16、投标函和开标一览表</w:t>
      </w:r>
      <w:r/>
    </w:p>
    <w:p>
      <w:pPr>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864"/>
        <w:ind w:firstLine="562"/>
        <w:jc w:val="left"/>
        <w:spacing w:before="0" w:after="0" w:line="360" w:lineRule="auto"/>
        <w:rPr>
          <w:sz w:val="28"/>
          <w:szCs w:val="28"/>
        </w:rPr>
      </w:pPr>
      <w:r>
        <w:rPr>
          <w:rFonts w:hint="eastAsia"/>
          <w:sz w:val="28"/>
          <w:szCs w:val="28"/>
        </w:rPr>
        <w:t xml:space="preserve">17、投标有效期</w:t>
      </w:r>
      <w:r/>
    </w:p>
    <w:p>
      <w:pPr>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p>
    <w:p>
      <w:pPr>
        <w:ind w:firstLine="480"/>
        <w:jc w:val="left"/>
        <w:spacing w:line="500" w:lineRule="exact"/>
        <w:rPr>
          <w:color w:val="ff0000"/>
          <w:sz w:val="24"/>
          <w:szCs w:val="24"/>
        </w:rPr>
      </w:pPr>
      <w:r>
        <w:rPr>
          <w:rFonts w:hint="eastAsia"/>
          <w:sz w:val="24"/>
          <w:szCs w:val="24"/>
        </w:rPr>
        <w:t xml:space="preserve">17.2 在特殊情况下（法律法规另有规定的除外），经监管部门批准后，</w:t>
      </w:r>
      <w:r>
        <w:rPr>
          <w:rFonts w:hint="eastAsia"/>
          <w:sz w:val="24"/>
          <w:szCs w:val="24"/>
          <w:lang w:eastAsia="zh-CN"/>
        </w:rPr>
        <w:t xml:space="preserve">采购中心</w:t>
      </w:r>
      <w:r>
        <w:rPr>
          <w:rFonts w:hint="eastAsia"/>
          <w:sz w:val="24"/>
          <w:szCs w:val="24"/>
        </w:rPr>
        <w:t xml:space="preserve">于原投标有效期满之前可向投标人提出延长投标有效期的要求。这种要求与答复均应采用书面形式。投标人可以拒绝</w:t>
      </w:r>
      <w:r>
        <w:rPr>
          <w:rFonts w:hint="eastAsia"/>
          <w:sz w:val="24"/>
          <w:szCs w:val="24"/>
          <w:lang w:eastAsia="zh-CN"/>
        </w:rPr>
        <w:t xml:space="preserve">采购中心</w:t>
      </w:r>
      <w:r>
        <w:rPr>
          <w:rFonts w:hint="eastAsia"/>
          <w:sz w:val="24"/>
          <w:szCs w:val="24"/>
        </w:rPr>
        <w:t xml:space="preserve">的这一要求而放弃投标，同意延长投标有效期的投标人既不能要求也不允许修改其投标文件。受投标有效期约束的所有权利与义务均延长至新的有效期。</w:t>
      </w:r>
      <w:r/>
    </w:p>
    <w:p>
      <w:pPr>
        <w:pStyle w:val="862"/>
        <w:spacing w:before="0" w:after="0" w:line="360" w:lineRule="auto"/>
        <w:rPr>
          <w:rFonts w:ascii="黑体" w:hAnsi="黑体" w:eastAsia="黑体"/>
          <w:b w:val="0"/>
        </w:rPr>
      </w:pPr>
      <w:r>
        <w:rPr>
          <w:rFonts w:hint="eastAsia" w:ascii="黑体" w:hAnsi="黑体" w:eastAsia="黑体"/>
          <w:b w:val="0"/>
        </w:rPr>
        <w:t xml:space="preserve">四、投标文件递交</w:t>
      </w:r>
      <w:r/>
    </w:p>
    <w:p>
      <w:pPr>
        <w:pStyle w:val="864"/>
        <w:ind w:firstLine="562"/>
        <w:jc w:val="left"/>
        <w:spacing w:before="0" w:after="0" w:line="360" w:lineRule="auto"/>
        <w:rPr>
          <w:sz w:val="28"/>
          <w:szCs w:val="28"/>
        </w:rPr>
      </w:pPr>
      <w:r>
        <w:rPr>
          <w:rFonts w:hint="eastAsia"/>
          <w:sz w:val="28"/>
          <w:szCs w:val="28"/>
        </w:rPr>
        <w:t xml:space="preserve">18、电子投标文件的递交</w:t>
      </w:r>
      <w:r/>
    </w:p>
    <w:p>
      <w:pPr>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p>
    <w:p>
      <w:pPr>
        <w:pStyle w:val="864"/>
        <w:ind w:firstLine="562"/>
        <w:jc w:val="left"/>
        <w:spacing w:before="0" w:after="0" w:line="360" w:lineRule="auto"/>
        <w:rPr>
          <w:sz w:val="28"/>
          <w:szCs w:val="28"/>
        </w:rPr>
      </w:pPr>
      <w:r>
        <w:rPr>
          <w:rFonts w:hint="eastAsia"/>
          <w:sz w:val="28"/>
          <w:szCs w:val="28"/>
        </w:rPr>
        <w:t xml:space="preserve">19、投标截止时间</w:t>
      </w:r>
      <w:r/>
    </w:p>
    <w:p>
      <w:pPr>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sz w:val="24"/>
          <w:szCs w:val="24"/>
        </w:rPr>
      </w:pPr>
      <w:r>
        <w:rPr>
          <w:rFonts w:hint="eastAsia"/>
          <w:sz w:val="24"/>
          <w:szCs w:val="24"/>
        </w:rPr>
        <w:t xml:space="preserve">19.2 采购人和</w:t>
      </w:r>
      <w:r>
        <w:rPr>
          <w:rFonts w:hint="eastAsia"/>
          <w:sz w:val="24"/>
          <w:szCs w:val="24"/>
          <w:lang w:eastAsia="zh-CN"/>
        </w:rPr>
        <w:t xml:space="preserve">采购中心</w:t>
      </w:r>
      <w:r>
        <w:rPr>
          <w:rFonts w:hint="eastAsia"/>
          <w:sz w:val="24"/>
          <w:szCs w:val="24"/>
        </w:rPr>
        <w:t xml:space="preserve">可以按照规定，通过修改招标文件酌情延长投标截止时间，在此情况下，投标人的所有权利和义务以及投标人受制的截止时间均应以延长后新的截止时间为准。</w:t>
      </w:r>
      <w:r/>
    </w:p>
    <w:p>
      <w:pPr>
        <w:pStyle w:val="864"/>
        <w:ind w:firstLine="562"/>
        <w:jc w:val="left"/>
        <w:spacing w:before="0" w:after="0" w:line="360" w:lineRule="auto"/>
        <w:rPr>
          <w:sz w:val="28"/>
          <w:szCs w:val="28"/>
        </w:rPr>
      </w:pPr>
      <w:r>
        <w:rPr>
          <w:rFonts w:hint="eastAsia"/>
          <w:sz w:val="28"/>
          <w:szCs w:val="28"/>
        </w:rPr>
        <w:t xml:space="preserve">20、投标文件的拒收</w:t>
      </w:r>
      <w:r/>
    </w:p>
    <w:p>
      <w:pPr>
        <w:ind w:firstLine="480"/>
        <w:jc w:val="left"/>
        <w:spacing w:line="500" w:lineRule="exact"/>
        <w:rPr>
          <w:sz w:val="24"/>
          <w:szCs w:val="24"/>
        </w:rPr>
      </w:pPr>
      <w:r>
        <w:rPr>
          <w:rFonts w:hint="eastAsia"/>
          <w:sz w:val="24"/>
          <w:szCs w:val="24"/>
        </w:rPr>
        <w:t xml:space="preserve">20.1 </w:t>
      </w:r>
      <w:r>
        <w:rPr>
          <w:rFonts w:hint="eastAsia"/>
          <w:sz w:val="24"/>
          <w:szCs w:val="24"/>
          <w:lang w:eastAsia="zh-CN"/>
        </w:rPr>
        <w:t xml:space="preserve">采购中心</w:t>
      </w:r>
      <w:r>
        <w:rPr>
          <w:rFonts w:hint="eastAsia"/>
          <w:sz w:val="24"/>
          <w:szCs w:val="24"/>
        </w:rPr>
        <w:t xml:space="preserve">拒绝接收在招标文件规定的投标截止时间后递交（上传）的任何投标文件。</w:t>
      </w:r>
      <w:r/>
    </w:p>
    <w:p>
      <w:pPr>
        <w:pStyle w:val="864"/>
        <w:ind w:firstLine="562"/>
        <w:jc w:val="left"/>
        <w:spacing w:before="0" w:after="0" w:line="360" w:lineRule="auto"/>
        <w:rPr>
          <w:sz w:val="28"/>
          <w:szCs w:val="28"/>
        </w:rPr>
      </w:pPr>
      <w:r>
        <w:rPr>
          <w:rFonts w:hint="eastAsia"/>
          <w:sz w:val="28"/>
          <w:szCs w:val="28"/>
        </w:rPr>
        <w:t xml:space="preserve">21、投标文件的撤回和修改</w:t>
      </w:r>
      <w:r/>
    </w:p>
    <w:p>
      <w:pPr>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w:t>
      </w:r>
      <w:r/>
    </w:p>
    <w:p>
      <w:pPr>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p>
    <w:p>
      <w:pPr>
        <w:pStyle w:val="862"/>
        <w:spacing w:before="0" w:after="0" w:line="360" w:lineRule="auto"/>
        <w:rPr>
          <w:rFonts w:ascii="黑体" w:hAnsi="黑体" w:eastAsia="黑体"/>
          <w:b w:val="0"/>
        </w:rPr>
      </w:pPr>
      <w:r>
        <w:rPr>
          <w:rFonts w:hint="eastAsia" w:ascii="黑体" w:hAnsi="黑体" w:eastAsia="黑体"/>
          <w:b w:val="0"/>
        </w:rPr>
        <w:t xml:space="preserve">五、开标与评标</w:t>
      </w:r>
      <w:r/>
    </w:p>
    <w:p>
      <w:pPr>
        <w:pStyle w:val="864"/>
        <w:ind w:firstLine="562"/>
        <w:jc w:val="left"/>
        <w:spacing w:before="0" w:after="0" w:line="360" w:lineRule="auto"/>
        <w:rPr>
          <w:sz w:val="28"/>
          <w:szCs w:val="28"/>
        </w:rPr>
      </w:pPr>
      <w:r>
        <w:rPr>
          <w:rFonts w:hint="eastAsia"/>
          <w:sz w:val="28"/>
          <w:szCs w:val="28"/>
        </w:rPr>
        <w:t xml:space="preserve">22、开标</w:t>
      </w:r>
      <w:r/>
    </w:p>
    <w:p>
      <w:pPr>
        <w:ind w:firstLine="480"/>
        <w:jc w:val="left"/>
        <w:spacing w:line="500" w:lineRule="exact"/>
        <w:rPr>
          <w:sz w:val="24"/>
          <w:szCs w:val="24"/>
        </w:rPr>
      </w:pPr>
      <w:r>
        <w:rPr>
          <w:rFonts w:hint="eastAsia"/>
          <w:sz w:val="24"/>
          <w:szCs w:val="24"/>
        </w:rPr>
        <w:t xml:space="preserve">22.1 </w:t>
      </w:r>
      <w:r>
        <w:rPr>
          <w:rFonts w:hint="eastAsia"/>
          <w:sz w:val="24"/>
          <w:szCs w:val="24"/>
          <w:lang w:eastAsia="zh-CN"/>
        </w:rPr>
        <w:t xml:space="preserve">采购中心</w:t>
      </w:r>
      <w:r>
        <w:rPr>
          <w:rFonts w:hint="eastAsia"/>
          <w:sz w:val="24"/>
          <w:szCs w:val="24"/>
        </w:rPr>
        <w:t xml:space="preserve">将在招标公告中规定的时间和地点组织公开开标。投标人应当按时参加开标活动，并在“苏采云”系统规定的时间内对其投标文件进行解密。</w:t>
      </w:r>
      <w:r/>
    </w:p>
    <w:p>
      <w:pPr>
        <w:ind w:firstLine="480"/>
        <w:jc w:val="left"/>
        <w:spacing w:line="500" w:lineRule="exact"/>
        <w:rPr>
          <w:sz w:val="24"/>
          <w:szCs w:val="24"/>
        </w:rPr>
      </w:pPr>
      <w:r>
        <w:rPr>
          <w:rFonts w:hint="eastAsia"/>
          <w:sz w:val="24"/>
          <w:szCs w:val="24"/>
        </w:rPr>
        <w:t xml:space="preserve">22.2 开标仪式由</w:t>
      </w:r>
      <w:r>
        <w:rPr>
          <w:rFonts w:hint="eastAsia"/>
          <w:sz w:val="24"/>
          <w:szCs w:val="24"/>
          <w:lang w:eastAsia="zh-CN"/>
        </w:rPr>
        <w:t xml:space="preserve">采购中心</w:t>
      </w:r>
      <w:r>
        <w:rPr>
          <w:rFonts w:hint="eastAsia"/>
          <w:sz w:val="24"/>
          <w:szCs w:val="24"/>
        </w:rPr>
        <w:t xml:space="preserve">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rPr>
      </w:pPr>
      <w:r>
        <w:rPr>
          <w:rFonts w:hint="eastAsia"/>
          <w:sz w:val="24"/>
          <w:szCs w:val="24"/>
        </w:rPr>
        <w:t xml:space="preserve">22.5 投标人未参加开标的，视同认可开标结果。</w:t>
      </w:r>
      <w:r/>
    </w:p>
    <w:p>
      <w:pPr>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w:t>
      </w:r>
      <w:r>
        <w:rPr>
          <w:rFonts w:hint="eastAsia"/>
          <w:sz w:val="24"/>
          <w:szCs w:val="24"/>
          <w:lang w:eastAsia="zh-CN"/>
        </w:rPr>
        <w:t xml:space="preserve">采购中心</w:t>
      </w:r>
      <w:r>
        <w:rPr>
          <w:rFonts w:hint="eastAsia"/>
          <w:sz w:val="24"/>
          <w:szCs w:val="24"/>
        </w:rPr>
        <w:t xml:space="preserve">及评委会联系。</w:t>
      </w:r>
      <w:r/>
    </w:p>
    <w:p>
      <w:pPr>
        <w:pStyle w:val="864"/>
        <w:ind w:firstLine="562"/>
        <w:jc w:val="left"/>
        <w:spacing w:before="0" w:after="0" w:line="360" w:lineRule="auto"/>
        <w:rPr>
          <w:sz w:val="28"/>
          <w:szCs w:val="28"/>
        </w:rPr>
      </w:pPr>
      <w:r>
        <w:rPr>
          <w:rFonts w:hint="eastAsia"/>
          <w:sz w:val="28"/>
          <w:szCs w:val="28"/>
        </w:rPr>
        <w:t xml:space="preserve">23、评标委员会</w:t>
      </w:r>
      <w:r/>
    </w:p>
    <w:p>
      <w:pPr>
        <w:ind w:firstLine="480"/>
        <w:jc w:val="left"/>
        <w:spacing w:line="500" w:lineRule="exact"/>
        <w:rPr>
          <w:sz w:val="24"/>
          <w:szCs w:val="24"/>
        </w:rPr>
      </w:pPr>
      <w:r>
        <w:rPr>
          <w:rFonts w:hint="eastAsia"/>
          <w:sz w:val="24"/>
          <w:szCs w:val="24"/>
        </w:rPr>
        <w:t xml:space="preserve">23.1 开标后，</w:t>
      </w:r>
      <w:r>
        <w:rPr>
          <w:rFonts w:hint="eastAsia"/>
          <w:sz w:val="24"/>
          <w:szCs w:val="24"/>
          <w:lang w:eastAsia="zh-CN"/>
        </w:rPr>
        <w:t xml:space="preserve">采购中心</w:t>
      </w:r>
      <w:r>
        <w:rPr>
          <w:rFonts w:hint="eastAsia"/>
          <w:sz w:val="24"/>
          <w:szCs w:val="24"/>
        </w:rPr>
        <w:t xml:space="preserve">将组织评委会进行评标。</w:t>
      </w:r>
      <w:r/>
    </w:p>
    <w:p>
      <w:pPr>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p>
    <w:p>
      <w:pPr>
        <w:pStyle w:val="864"/>
        <w:ind w:firstLine="562"/>
        <w:jc w:val="left"/>
        <w:spacing w:before="0" w:after="0" w:line="360" w:lineRule="auto"/>
        <w:rPr>
          <w:sz w:val="28"/>
          <w:szCs w:val="28"/>
        </w:rPr>
      </w:pPr>
      <w:r>
        <w:rPr>
          <w:rFonts w:hint="eastAsia"/>
          <w:sz w:val="28"/>
          <w:szCs w:val="28"/>
        </w:rPr>
        <w:t xml:space="preserve">24、评标过程的保密与公正</w:t>
      </w:r>
      <w:r/>
    </w:p>
    <w:p>
      <w:pPr>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w:t>
      </w:r>
      <w:r>
        <w:rPr>
          <w:rFonts w:hint="eastAsia"/>
          <w:sz w:val="24"/>
          <w:szCs w:val="24"/>
          <w:lang w:eastAsia="zh-CN"/>
        </w:rPr>
        <w:t xml:space="preserve">采购中心</w:t>
      </w:r>
      <w:r>
        <w:rPr>
          <w:rFonts w:hint="eastAsia"/>
          <w:sz w:val="24"/>
          <w:szCs w:val="24"/>
        </w:rPr>
        <w:t xml:space="preserve">均不得向投标人或与评标无关的其他人员透露。</w:t>
      </w:r>
      <w:r/>
    </w:p>
    <w:p>
      <w:pPr>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 </w:t>
      </w:r>
      <w:r>
        <w:rPr>
          <w:rFonts w:hint="eastAsia"/>
          <w:sz w:val="24"/>
          <w:szCs w:val="24"/>
          <w:lang w:eastAsia="zh-CN"/>
        </w:rPr>
        <w:t xml:space="preserve">采购中心</w:t>
      </w:r>
      <w:r>
        <w:rPr>
          <w:rFonts w:hint="eastAsia"/>
          <w:sz w:val="24"/>
          <w:szCs w:val="24"/>
        </w:rPr>
        <w:t xml:space="preserve">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864"/>
        <w:ind w:firstLine="562"/>
        <w:jc w:val="left"/>
        <w:spacing w:before="0" w:after="0" w:line="360" w:lineRule="auto"/>
        <w:rPr>
          <w:sz w:val="28"/>
          <w:szCs w:val="28"/>
        </w:rPr>
      </w:pPr>
      <w:r>
        <w:rPr>
          <w:rFonts w:hint="eastAsia"/>
          <w:sz w:val="28"/>
          <w:szCs w:val="28"/>
        </w:rPr>
        <w:t xml:space="preserve">25、投标文件的澄清</w:t>
      </w:r>
      <w:r/>
    </w:p>
    <w:p>
      <w:pPr>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评委会并非对每个投标人都提出澄清、说明或者补正要求。</w:t>
      </w:r>
      <w:r/>
    </w:p>
    <w:p>
      <w:pPr>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p>
    <w:p>
      <w:pPr>
        <w:pStyle w:val="864"/>
        <w:ind w:firstLine="562"/>
        <w:jc w:val="left"/>
        <w:spacing w:before="0" w:after="0" w:line="360" w:lineRule="auto"/>
        <w:rPr>
          <w:sz w:val="28"/>
          <w:szCs w:val="28"/>
        </w:rPr>
      </w:pPr>
      <w:r>
        <w:rPr>
          <w:rFonts w:hint="eastAsia"/>
          <w:sz w:val="28"/>
          <w:szCs w:val="28"/>
        </w:rPr>
        <w:t xml:space="preserve">26、对投标文件的审查</w:t>
      </w:r>
      <w:r/>
    </w:p>
    <w:p>
      <w:pPr>
        <w:ind w:firstLine="480"/>
        <w:jc w:val="left"/>
        <w:spacing w:line="500" w:lineRule="exact"/>
        <w:rPr>
          <w:sz w:val="24"/>
          <w:szCs w:val="24"/>
        </w:rPr>
      </w:pPr>
      <w:r>
        <w:rPr>
          <w:rFonts w:hint="eastAsia"/>
          <w:sz w:val="24"/>
          <w:szCs w:val="24"/>
        </w:rPr>
        <w:t xml:space="preserve">26.1 投标文件审查分为资格审查和符合性审查。</w:t>
      </w:r>
      <w:r/>
    </w:p>
    <w:p>
      <w:pPr>
        <w:ind w:firstLine="480"/>
        <w:jc w:val="left"/>
        <w:spacing w:line="500" w:lineRule="exact"/>
        <w:rPr>
          <w:sz w:val="24"/>
          <w:szCs w:val="24"/>
        </w:rPr>
      </w:pPr>
      <w:r>
        <w:rPr>
          <w:rFonts w:hint="eastAsia"/>
          <w:sz w:val="24"/>
          <w:szCs w:val="24"/>
          <w:lang w:val="en-US" w:eastAsia="zh-CN"/>
        </w:rPr>
        <w:t xml:space="preserve">26.1.1</w:t>
      </w:r>
      <w:r>
        <w:rPr>
          <w:rFonts w:hint="eastAsia"/>
          <w:sz w:val="24"/>
          <w:szCs w:val="24"/>
        </w:rPr>
        <w:t xml:space="preserve">资格审查：采购人依据法律法规和招标文件的规定，对投标文件中的资格证明文件进行审查。资格审查的结论，采购人以书面形式向评委会进行反馈。</w:t>
      </w:r>
      <w:r/>
    </w:p>
    <w:p>
      <w:pPr>
        <w:ind w:firstLine="480"/>
        <w:jc w:val="left"/>
        <w:spacing w:line="500" w:lineRule="exact"/>
        <w:rPr>
          <w:sz w:val="24"/>
          <w:szCs w:val="24"/>
        </w:rPr>
      </w:pPr>
      <w:r>
        <w:rPr>
          <w:rFonts w:hint="eastAsia"/>
          <w:sz w:val="24"/>
          <w:szCs w:val="24"/>
        </w:rPr>
        <w:t xml:space="preserve">采购人在进行资格审查的同时，将在信用中国网站（www.creditchina.gov.cn）查询投标人的信用记录，以确定投标人是否具备投标资格，查询结果留存并归档。</w:t>
      </w:r>
      <w:r/>
    </w:p>
    <w:p>
      <w:pPr>
        <w:ind w:firstLine="480"/>
        <w:jc w:val="left"/>
        <w:spacing w:line="500" w:lineRule="exact"/>
        <w:rPr>
          <w:b w:val="0"/>
          <w:bCs w:val="0"/>
          <w:color w:val="000000"/>
          <w:sz w:val="24"/>
          <w:szCs w:val="24"/>
          <w:highlight w:val="none"/>
        </w:rPr>
      </w:pPr>
      <w:r>
        <w:rPr>
          <w:rFonts w:hint="eastAsia"/>
          <w:color w:val="000000"/>
          <w:sz w:val="24"/>
          <w:szCs w:val="24"/>
          <w:highlight w:val="none"/>
          <w:lang w:val="en-US" w:eastAsia="zh-CN"/>
        </w:rPr>
        <w:t xml:space="preserve">26.1.2</w:t>
      </w:r>
      <w:r>
        <w:rPr>
          <w:rFonts w:hint="eastAsia"/>
          <w:color w:val="000000"/>
          <w:sz w:val="24"/>
          <w:szCs w:val="24"/>
          <w:highlight w:val="none"/>
        </w:rPr>
        <w:t xml:space="preserve">符合性审查：评委会依据招标文件的规定，从投标文件的有效性、完整性和对招标文件的响应程度进行审查，以确定其是否实质性响应了招标文件</w:t>
      </w:r>
      <w:r>
        <w:rPr>
          <w:rFonts w:hint="eastAsia" w:ascii="Calibri" w:hAnsi="Calibri" w:eastAsia="宋体" w:cs="Times New Roman"/>
          <w:color w:val="000000"/>
          <w:sz w:val="24"/>
          <w:szCs w:val="24"/>
          <w:highlight w:val="none"/>
        </w:rPr>
        <w:t xml:space="preserve">要求</w:t>
      </w:r>
      <w:r>
        <w:rPr>
          <w:rFonts w:hint="eastAsia"/>
          <w:b w:val="0"/>
          <w:bCs w:val="0"/>
          <w:color w:val="000000"/>
          <w:sz w:val="24"/>
          <w:szCs w:val="24"/>
          <w:highlight w:val="none"/>
        </w:rPr>
        <w:t xml:space="preserve">。</w:t>
      </w:r>
      <w:r>
        <w:rPr>
          <w:rFonts w:hint="eastAsia" w:ascii="Calibri" w:hAnsi="Calibri" w:eastAsia="宋体" w:cs="Times New Roman"/>
          <w:b w:val="0"/>
          <w:bCs w:val="0"/>
          <w:color w:val="000000"/>
          <w:sz w:val="24"/>
          <w:szCs w:val="24"/>
          <w:highlight w:val="none"/>
        </w:rPr>
        <w:t xml:space="preserve">实质性响应是与招标文件要求的全部实质性</w:t>
      </w:r>
      <w:r>
        <w:rPr>
          <w:rFonts w:hint="eastAsia"/>
          <w:b w:val="0"/>
          <w:bCs w:val="0"/>
          <w:color w:val="000000"/>
          <w:sz w:val="24"/>
          <w:szCs w:val="24"/>
          <w:highlight w:val="none"/>
        </w:rPr>
        <w:t xml:space="preserve">要求和条件</w:t>
      </w:r>
      <w:r>
        <w:rPr>
          <w:rFonts w:hint="eastAsia" w:ascii="Calibri" w:hAnsi="Calibri" w:eastAsia="宋体" w:cs="Times New Roman"/>
          <w:b w:val="0"/>
          <w:bCs w:val="0"/>
          <w:color w:val="000000"/>
          <w:sz w:val="24"/>
          <w:szCs w:val="24"/>
          <w:highlight w:val="none"/>
        </w:rPr>
        <w:t xml:space="preserve">相符</w:t>
      </w:r>
      <w:r>
        <w:rPr>
          <w:rFonts w:hint="eastAsia"/>
          <w:b w:val="0"/>
          <w:bCs w:val="0"/>
          <w:color w:val="000000"/>
          <w:sz w:val="24"/>
          <w:szCs w:val="24"/>
          <w:highlight w:val="none"/>
        </w:rPr>
        <w:t xml:space="preserve">，</w:t>
      </w:r>
      <w:r>
        <w:rPr>
          <w:rFonts w:ascii="Calibri" w:hAnsi="Calibri" w:eastAsia="宋体" w:cs="Times New Roman"/>
          <w:b w:val="0"/>
          <w:bCs w:val="0"/>
          <w:color w:val="000000"/>
          <w:sz w:val="24"/>
          <w:szCs w:val="24"/>
          <w:highlight w:val="none"/>
        </w:rPr>
        <w:t xml:space="preserve">且</w:t>
      </w:r>
      <w:r>
        <w:rPr>
          <w:rFonts w:hint="eastAsia"/>
          <w:b w:val="0"/>
          <w:bCs w:val="0"/>
          <w:color w:val="000000"/>
          <w:sz w:val="24"/>
          <w:szCs w:val="24"/>
          <w:highlight w:val="none"/>
        </w:rPr>
        <w:t xml:space="preserve">与招标文件</w:t>
      </w:r>
      <w:r>
        <w:rPr>
          <w:rFonts w:hint="eastAsia" w:ascii="Calibri" w:hAnsi="Calibri" w:eastAsia="宋体" w:cs="Times New Roman"/>
          <w:b w:val="0"/>
          <w:bCs w:val="0"/>
          <w:color w:val="000000"/>
          <w:sz w:val="24"/>
          <w:szCs w:val="24"/>
          <w:highlight w:val="none"/>
        </w:rPr>
        <w:t xml:space="preserve">的</w:t>
      </w:r>
      <w:r>
        <w:rPr>
          <w:rFonts w:ascii="Calibri" w:hAnsi="Calibri" w:eastAsia="宋体" w:cs="Times New Roman"/>
          <w:b w:val="0"/>
          <w:bCs w:val="0"/>
          <w:color w:val="000000"/>
          <w:sz w:val="24"/>
          <w:szCs w:val="24"/>
          <w:highlight w:val="none"/>
        </w:rPr>
        <w:t xml:space="preserve">其余非实质性</w:t>
      </w:r>
      <w:r>
        <w:rPr>
          <w:b w:val="0"/>
          <w:bCs w:val="0"/>
          <w:color w:val="000000"/>
          <w:sz w:val="24"/>
          <w:szCs w:val="24"/>
          <w:highlight w:val="none"/>
        </w:rPr>
        <w:t xml:space="preserve">要求和条件</w:t>
      </w:r>
      <w:r>
        <w:rPr>
          <w:rFonts w:hint="eastAsia" w:ascii="Calibri" w:hAnsi="Calibri" w:eastAsia="宋体" w:cs="Times New Roman"/>
          <w:b w:val="0"/>
          <w:bCs w:val="0"/>
          <w:color w:val="000000"/>
          <w:sz w:val="24"/>
          <w:szCs w:val="24"/>
          <w:highlight w:val="none"/>
        </w:rPr>
        <w:t xml:space="preserve">没有重大偏离。</w:t>
      </w:r>
      <w:r/>
    </w:p>
    <w:p>
      <w:pPr>
        <w:ind w:firstLine="480"/>
        <w:jc w:val="left"/>
        <w:spacing w:line="500" w:lineRule="exact"/>
        <w:rPr>
          <w:b w:val="0"/>
          <w:bCs w:val="0"/>
          <w:color w:val="000000"/>
          <w:sz w:val="24"/>
          <w:szCs w:val="24"/>
          <w:highlight w:val="none"/>
        </w:rPr>
      </w:pPr>
      <w:r>
        <w:rPr>
          <w:rFonts w:hint="eastAsia"/>
          <w:b w:val="0"/>
          <w:bCs w:val="0"/>
          <w:color w:val="000000"/>
          <w:sz w:val="24"/>
          <w:szCs w:val="24"/>
          <w:highlight w:val="none"/>
        </w:rPr>
        <w:t xml:space="preserve">未通过资格审查或符合性审查的投标人，将通过“苏采云”系统中告知其未通过的原因，评审结束后，将不再告知。</w:t>
      </w:r>
      <w:r/>
    </w:p>
    <w:p>
      <w:pPr>
        <w:ind w:firstLine="480"/>
        <w:spacing w:line="500" w:lineRule="exact"/>
        <w:rPr>
          <w:rFonts w:hint="eastAsia" w:ascii="宋体" w:hAnsi="宋体"/>
          <w:b w:val="0"/>
          <w:bCs/>
          <w:sz w:val="24"/>
          <w:szCs w:val="24"/>
        </w:rPr>
      </w:pPr>
      <w:r>
        <w:rPr>
          <w:rFonts w:hint="eastAsia" w:ascii="宋体" w:hAnsi="宋体"/>
          <w:b w:val="0"/>
          <w:bCs/>
          <w:sz w:val="24"/>
          <w:szCs w:val="24"/>
        </w:rPr>
        <w:t xml:space="preserve">26.1.3政府采购异常低价审查：</w:t>
      </w:r>
      <w:r/>
    </w:p>
    <w:p>
      <w:pPr>
        <w:ind w:firstLine="480"/>
        <w:spacing w:line="500" w:lineRule="exact"/>
        <w:rPr>
          <w:rFonts w:ascii="宋体" w:hAnsi="宋体"/>
          <w:b w:val="0"/>
          <w:bCs/>
          <w:sz w:val="24"/>
          <w:szCs w:val="24"/>
        </w:rPr>
      </w:pPr>
      <w:r>
        <w:rPr>
          <w:rFonts w:hint="eastAsia" w:ascii="宋体" w:hAnsi="宋体"/>
          <w:b w:val="0"/>
          <w:bCs/>
          <w:sz w:val="24"/>
          <w:szCs w:val="24"/>
        </w:rPr>
        <w:t xml:space="preserve">（一）评审过程中出现下列情形之一的，评审委员会应当启动异常低价投标（响应）审查程序：</w:t>
      </w:r>
      <w:r/>
    </w:p>
    <w:p>
      <w:pPr>
        <w:ind w:firstLine="480"/>
        <w:spacing w:line="500" w:lineRule="exact"/>
        <w:rPr>
          <w:rFonts w:hint="eastAsia" w:ascii="宋体" w:hAnsi="宋体"/>
          <w:b w:val="0"/>
          <w:bCs/>
          <w:sz w:val="24"/>
          <w:szCs w:val="24"/>
        </w:rPr>
      </w:pPr>
      <w:r>
        <w:rPr>
          <w:rFonts w:hint="eastAsia" w:ascii="宋体" w:hAnsi="宋体"/>
          <w:b w:val="0"/>
          <w:bCs/>
          <w:sz w:val="24"/>
          <w:szCs w:val="24"/>
        </w:rPr>
        <w:t xml:space="preserve">1.投标（响应）报价低于采购项目预算50%的，即投标（响应）报价&lt;采购项目预算×50%；</w:t>
      </w:r>
      <w:r/>
    </w:p>
    <w:p>
      <w:pPr>
        <w:ind w:firstLine="480"/>
        <w:spacing w:line="500" w:lineRule="exact"/>
        <w:rPr>
          <w:rFonts w:ascii="宋体" w:hAnsi="宋体"/>
          <w:b w:val="0"/>
          <w:bCs/>
          <w:sz w:val="24"/>
          <w:szCs w:val="24"/>
        </w:rPr>
      </w:pPr>
      <w:r>
        <w:rPr>
          <w:rFonts w:hint="eastAsia" w:ascii="宋体" w:hAnsi="宋体"/>
          <w:b w:val="0"/>
          <w:bCs/>
          <w:sz w:val="24"/>
          <w:szCs w:val="24"/>
        </w:rPr>
        <w:t xml:space="preserve">2.投标（响应）报价低于采购项目最高限价45%的，即投标（响应）报价&lt;采购项目最高限价×45%；</w:t>
      </w:r>
      <w:r/>
    </w:p>
    <w:p>
      <w:pPr>
        <w:ind w:firstLine="480"/>
        <w:spacing w:line="500" w:lineRule="exact"/>
        <w:rPr>
          <w:rFonts w:hint="eastAsia" w:ascii="宋体" w:hAnsi="宋体"/>
          <w:b w:val="0"/>
          <w:bCs/>
          <w:sz w:val="24"/>
          <w:szCs w:val="24"/>
        </w:rPr>
      </w:pPr>
      <w:r>
        <w:rPr>
          <w:rFonts w:hint="eastAsia" w:ascii="宋体" w:hAnsi="宋体"/>
          <w:b w:val="0"/>
          <w:bCs/>
          <w:sz w:val="24"/>
          <w:szCs w:val="24"/>
        </w:rPr>
        <w:t xml:space="preserve">3.评审委员会认定的供应商报价过低、有可能影响产品质量或者不能诚信履约的其他情形。</w:t>
      </w:r>
      <w:r/>
    </w:p>
    <w:p>
      <w:pPr>
        <w:ind w:firstLine="480"/>
        <w:spacing w:line="500" w:lineRule="exact"/>
        <w:rPr>
          <w:rFonts w:hint="eastAsia" w:ascii="宋体" w:hAnsi="宋体"/>
          <w:b w:val="0"/>
          <w:bCs/>
          <w:sz w:val="24"/>
          <w:szCs w:val="24"/>
        </w:rPr>
      </w:pPr>
      <w:r>
        <w:rPr>
          <w:rFonts w:hint="eastAsia" w:ascii="宋体" w:hAnsi="宋体"/>
          <w:b w:val="0"/>
          <w:bCs/>
          <w:sz w:val="24"/>
          <w:szCs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500" w:lineRule="exact"/>
        <w:rPr>
          <w:rFonts w:hint="eastAsia"/>
          <w:b w:val="0"/>
          <w:bCs/>
          <w:color w:val="000000"/>
          <w:sz w:val="24"/>
          <w:szCs w:val="24"/>
          <w:highlight w:val="none"/>
        </w:rPr>
      </w:pPr>
      <w:r>
        <w:rPr>
          <w:rFonts w:hint="eastAsia" w:ascii="宋体" w:hAnsi="宋体"/>
          <w:b w:val="0"/>
          <w:bCs/>
          <w:sz w:val="24"/>
          <w:szCs w:val="24"/>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ind w:firstLine="480"/>
        <w:jc w:val="left"/>
        <w:spacing w:line="500" w:lineRule="exact"/>
        <w:rPr>
          <w:color w:val="000000"/>
          <w:sz w:val="24"/>
          <w:szCs w:val="24"/>
          <w:highlight w:val="none"/>
        </w:rPr>
      </w:pPr>
      <w:r>
        <w:rPr>
          <w:rFonts w:hint="eastAsia"/>
          <w:b w:val="0"/>
          <w:bCs/>
          <w:color w:val="000000"/>
          <w:sz w:val="24"/>
          <w:szCs w:val="24"/>
          <w:highlight w:val="none"/>
        </w:rPr>
        <w:t xml:space="preserve">26.2 </w:t>
      </w:r>
      <w:r>
        <w:rPr>
          <w:rFonts w:hint="eastAsia" w:ascii="Calibri" w:hAnsi="Calibri" w:eastAsia="宋体" w:cs="宋体"/>
          <w:b w:val="0"/>
          <w:bCs/>
          <w:color w:val="000000"/>
          <w:sz w:val="24"/>
          <w:szCs w:val="24"/>
          <w:highlight w:val="none"/>
        </w:rPr>
        <w:t xml:space="preserve">所谓重大偏离</w:t>
      </w:r>
      <w:r>
        <w:rPr>
          <w:rFonts w:ascii="宋体" w:hAnsi="宋体" w:eastAsia="宋体" w:cs="Times New Roman"/>
          <w:b w:val="0"/>
          <w:bCs/>
          <w:color w:val="000000"/>
          <w:sz w:val="24"/>
          <w:highlight w:val="none"/>
        </w:rPr>
        <w:t xml:space="preserve">是指</w:t>
      </w:r>
      <w:r>
        <w:rPr>
          <w:rFonts w:hint="eastAsia" w:ascii="Calibri" w:hAnsi="Calibri" w:eastAsia="宋体" w:cs="宋体"/>
          <w:b w:val="0"/>
          <w:bCs/>
          <w:color w:val="000000"/>
          <w:sz w:val="24"/>
          <w:szCs w:val="24"/>
          <w:highlight w:val="none"/>
        </w:rPr>
        <w:t xml:space="preserve">实质上与招标文件要求不一致，而且限制了合同中买方的权利或投标人的义务，纠正这些偏离将会对其他实质性响应要求的投标人的竞争地位产生不公正的影响，或者投标人的商务技术部分得分畸低</w:t>
      </w:r>
      <w:r>
        <w:rPr>
          <w:rFonts w:hint="eastAsia" w:ascii="Calibri" w:hAnsi="Calibri" w:eastAsia="宋体" w:cs="宋体"/>
          <w:b w:val="0"/>
          <w:bCs w:val="0"/>
          <w:color w:val="000000"/>
          <w:sz w:val="24"/>
          <w:szCs w:val="24"/>
          <w:highlight w:val="none"/>
        </w:rPr>
        <w:t xml:space="preserve">，有可能影响产品质量或者不能诚信履约。重大偏离的认定须经过评委会以少数服从多数的原则作出结论。评委会决定投标文件的响</w:t>
      </w:r>
      <w:r>
        <w:rPr>
          <w:rFonts w:hint="eastAsia" w:ascii="Calibri" w:hAnsi="Calibri" w:eastAsia="宋体" w:cs="宋体"/>
          <w:color w:val="000000"/>
          <w:sz w:val="24"/>
          <w:szCs w:val="24"/>
          <w:highlight w:val="none"/>
        </w:rPr>
        <w:t xml:space="preserve">应性只根据投标文件本身的内容，而不寻求外部的证据。</w:t>
      </w:r>
      <w:r/>
    </w:p>
    <w:p>
      <w:pPr>
        <w:ind w:firstLine="480"/>
        <w:jc w:val="left"/>
        <w:spacing w:line="500" w:lineRule="exact"/>
        <w:rPr>
          <w:sz w:val="24"/>
          <w:szCs w:val="24"/>
        </w:rPr>
      </w:pPr>
      <w:r>
        <w:rPr>
          <w:rFonts w:hint="eastAsia"/>
          <w:color w:val="000000"/>
          <w:sz w:val="24"/>
          <w:szCs w:val="24"/>
          <w:highlight w:val="none"/>
        </w:rPr>
        <w:t xml:space="preserve">26.3如果投标文件实质上</w:t>
      </w:r>
      <w:r>
        <w:rPr>
          <w:rFonts w:hint="eastAsia"/>
          <w:sz w:val="24"/>
          <w:szCs w:val="24"/>
        </w:rPr>
        <w:t xml:space="preserve">没有响应招标文件的要求，评委会将予以拒绝，投标人不得通过修改或撤销不符合要求的偏离而使其投标成为实质性响应的投标。</w:t>
      </w:r>
      <w:r/>
    </w:p>
    <w:p>
      <w:pPr>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（4）总价金额与按单价汇总金额不一致的，以单价金额计算结果为准。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sz w:val="24"/>
          <w:szCs w:val="24"/>
        </w:rPr>
      </w:pPr>
      <w:r>
        <w:rPr>
          <w:rFonts w:hint="eastAsia"/>
          <w:sz w:val="24"/>
          <w:szCs w:val="24"/>
        </w:rPr>
        <w:t xml:space="preserve">26.6 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p>
    <w:p>
      <w:pPr>
        <w:pStyle w:val="864"/>
        <w:ind w:firstLine="562"/>
        <w:jc w:val="left"/>
        <w:spacing w:before="0" w:after="0" w:line="360" w:lineRule="auto"/>
        <w:rPr>
          <w:sz w:val="28"/>
          <w:szCs w:val="28"/>
        </w:rPr>
      </w:pPr>
      <w:r>
        <w:rPr>
          <w:rFonts w:hint="eastAsia"/>
          <w:sz w:val="28"/>
          <w:szCs w:val="28"/>
        </w:rPr>
        <w:t xml:space="preserve">27、无效投标条款和废标条款</w:t>
      </w:r>
      <w:r/>
    </w:p>
    <w:p>
      <w:pPr>
        <w:ind w:firstLine="480"/>
        <w:jc w:val="left"/>
        <w:spacing w:line="500" w:lineRule="exact"/>
        <w:rPr>
          <w:sz w:val="24"/>
          <w:szCs w:val="24"/>
        </w:rPr>
      </w:pPr>
      <w:r>
        <w:rPr>
          <w:rFonts w:hint="eastAsia"/>
          <w:sz w:val="24"/>
          <w:szCs w:val="24"/>
        </w:rPr>
        <w:t xml:space="preserve">27.1 无效投标条款：</w:t>
      </w:r>
      <w:r/>
    </w:p>
    <w:p>
      <w:pPr>
        <w:ind w:firstLine="480"/>
        <w:jc w:val="left"/>
        <w:spacing w:line="500" w:lineRule="exact"/>
        <w:rPr>
          <w:sz w:val="24"/>
          <w:szCs w:val="24"/>
        </w:rPr>
      </w:pPr>
      <w:r>
        <w:rPr>
          <w:rFonts w:hint="eastAsia"/>
          <w:sz w:val="24"/>
          <w:szCs w:val="24"/>
        </w:rPr>
        <w:t xml:space="preserve">（1）投标人未按照招标文件要求递交（上传）电子投标文件的。</w:t>
      </w:r>
      <w:r/>
    </w:p>
    <w:p>
      <w:pPr>
        <w:ind w:firstLine="480"/>
        <w:jc w:val="left"/>
        <w:spacing w:line="500" w:lineRule="exact"/>
        <w:rPr>
          <w:sz w:val="24"/>
          <w:szCs w:val="24"/>
        </w:rPr>
      </w:pPr>
      <w:r>
        <w:rPr>
          <w:rFonts w:hint="eastAsia"/>
          <w:sz w:val="24"/>
          <w:szCs w:val="24"/>
        </w:rPr>
        <w:t xml:space="preserve">（2）投标人在“苏采云”系统规定的时间内未成功解密电子投标文件的。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（3）投标人不具备招标文件中规定的资格要求的。</w:t>
      </w:r>
      <w:r/>
    </w:p>
    <w:p>
      <w:pPr>
        <w:ind w:firstLine="480"/>
        <w:jc w:val="left"/>
        <w:spacing w:line="500" w:lineRule="exact"/>
        <w:rPr>
          <w:sz w:val="24"/>
          <w:szCs w:val="24"/>
        </w:rPr>
      </w:pPr>
      <w:r>
        <w:rPr>
          <w:rFonts w:hint="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（5）投标人提交两个（含两个）以上不同的投标报价的。</w:t>
      </w:r>
      <w:r/>
    </w:p>
    <w:p>
      <w:pPr>
        <w:ind w:firstLine="480"/>
        <w:jc w:val="left"/>
        <w:spacing w:line="500" w:lineRule="exact"/>
        <w:rPr>
          <w:sz w:val="24"/>
          <w:szCs w:val="24"/>
        </w:rPr>
      </w:pPr>
      <w:r>
        <w:rPr>
          <w:rFonts w:hint="eastAsia"/>
          <w:sz w:val="24"/>
          <w:szCs w:val="24"/>
        </w:rPr>
        <w:t xml:space="preserve">（6）投标人的报价超过了采购预算或者最高限价的。</w:t>
      </w:r>
      <w:r/>
    </w:p>
    <w:p>
      <w:pPr>
        <w:ind w:firstLine="480"/>
        <w:jc w:val="left"/>
        <w:spacing w:line="500" w:lineRule="exact"/>
        <w:rPr>
          <w:sz w:val="24"/>
          <w:szCs w:val="24"/>
        </w:rPr>
      </w:pPr>
      <w:r>
        <w:rPr>
          <w:rFonts w:hint="eastAsia"/>
          <w:sz w:val="24"/>
          <w:szCs w:val="24"/>
        </w:rPr>
        <w:t xml:space="preserve">（7）</w:t>
      </w:r>
      <w:r>
        <w:rPr>
          <w:rFonts w:hint="eastAsia" w:ascii="宋体" w:hAnsi="宋体"/>
          <w:b/>
          <w:sz w:val="24"/>
          <w:szCs w:val="24"/>
        </w:rPr>
        <w:t xml:space="preserve">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p>
    <w:p>
      <w:pPr>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p>
    <w:p>
      <w:pPr>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（10）投标人未通过符合性审查的。</w:t>
      </w:r>
      <w:r/>
    </w:p>
    <w:p>
      <w:pPr>
        <w:ind w:firstLine="480"/>
        <w:jc w:val="left"/>
        <w:spacing w:line="500" w:lineRule="exact"/>
        <w:rPr>
          <w:sz w:val="24"/>
          <w:szCs w:val="24"/>
        </w:rPr>
      </w:pPr>
      <w:r>
        <w:rPr>
          <w:rFonts w:hint="eastAsia"/>
          <w:sz w:val="24"/>
          <w:szCs w:val="24"/>
        </w:rPr>
        <w:t xml:space="preserve">（11）投标文件含有采购人不能接受的附加条件的。</w:t>
      </w:r>
      <w:r/>
    </w:p>
    <w:p>
      <w:pPr>
        <w:ind w:firstLine="480"/>
        <w:jc w:val="left"/>
        <w:spacing w:line="500" w:lineRule="exact"/>
        <w:rPr>
          <w:sz w:val="24"/>
          <w:szCs w:val="24"/>
        </w:rPr>
      </w:pPr>
      <w:r>
        <w:rPr>
          <w:rFonts w:hint="eastAsia"/>
          <w:sz w:val="24"/>
          <w:szCs w:val="24"/>
        </w:rPr>
        <w:t xml:space="preserve">（12）投标文件未按照招标文件要求加盖公章（CA电子公章）的。</w:t>
      </w:r>
      <w:r/>
    </w:p>
    <w:p>
      <w:pPr>
        <w:ind w:firstLine="480"/>
        <w:jc w:val="left"/>
        <w:spacing w:line="500" w:lineRule="exact"/>
        <w:rPr>
          <w:sz w:val="24"/>
          <w:szCs w:val="24"/>
        </w:rPr>
      </w:pPr>
      <w:r>
        <w:rPr>
          <w:rFonts w:hint="eastAsia"/>
          <w:sz w:val="24"/>
          <w:szCs w:val="24"/>
        </w:rPr>
        <w:t xml:space="preserve">（13）其他法律、法规及本招标文件规定的属于无效投标的情形。</w:t>
      </w:r>
      <w:r/>
    </w:p>
    <w:p>
      <w:pPr>
        <w:ind w:firstLine="480"/>
        <w:jc w:val="left"/>
        <w:spacing w:line="500" w:lineRule="exact"/>
        <w:rPr>
          <w:sz w:val="24"/>
          <w:szCs w:val="24"/>
        </w:rPr>
      </w:pPr>
      <w:r>
        <w:rPr>
          <w:rFonts w:hint="eastAsia"/>
          <w:sz w:val="24"/>
          <w:szCs w:val="24"/>
        </w:rPr>
        <w:t xml:space="preserve">27.2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（5）不同投标人的投标文件相互混装。</w:t>
      </w:r>
      <w:r/>
    </w:p>
    <w:p>
      <w:pPr>
        <w:ind w:firstLine="480"/>
        <w:jc w:val="left"/>
        <w:spacing w:line="500" w:lineRule="exact"/>
        <w:rPr>
          <w:sz w:val="24"/>
          <w:szCs w:val="24"/>
        </w:rPr>
      </w:pPr>
      <w:r>
        <w:rPr>
          <w:rFonts w:hint="eastAsia"/>
          <w:sz w:val="24"/>
          <w:szCs w:val="24"/>
        </w:rPr>
        <w:t xml:space="preserve">27.3 废标条款：</w:t>
      </w:r>
      <w:r/>
    </w:p>
    <w:p>
      <w:pPr>
        <w:ind w:firstLine="480"/>
        <w:jc w:val="left"/>
        <w:spacing w:line="500" w:lineRule="exact"/>
        <w:rPr>
          <w:sz w:val="24"/>
          <w:szCs w:val="24"/>
        </w:rPr>
      </w:pPr>
      <w:r>
        <w:rPr>
          <w:rFonts w:hint="eastAsia"/>
          <w:sz w:val="24"/>
          <w:szCs w:val="24"/>
        </w:rPr>
        <w:t xml:space="preserve">（1）因“苏采云”系统故障原因造成开标不成功的。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p>
    <w:p>
      <w:pPr>
        <w:pStyle w:val="862"/>
        <w:spacing w:before="0" w:after="0" w:line="360" w:lineRule="auto"/>
        <w:rPr>
          <w:rFonts w:ascii="黑体" w:hAnsi="黑体" w:eastAsia="黑体"/>
          <w:b w:val="0"/>
        </w:rPr>
      </w:pPr>
      <w:r>
        <w:rPr>
          <w:rFonts w:hint="eastAsia" w:ascii="黑体" w:hAnsi="黑体" w:eastAsia="黑体"/>
          <w:b w:val="0"/>
        </w:rPr>
        <w:t xml:space="preserve">六、定标</w:t>
      </w:r>
      <w:r/>
    </w:p>
    <w:p>
      <w:pPr>
        <w:pStyle w:val="864"/>
        <w:ind w:firstLine="562"/>
        <w:jc w:val="left"/>
        <w:spacing w:before="0" w:after="0" w:line="360" w:lineRule="auto"/>
        <w:rPr>
          <w:sz w:val="28"/>
          <w:szCs w:val="28"/>
        </w:rPr>
      </w:pPr>
      <w:r>
        <w:rPr>
          <w:rFonts w:hint="eastAsia"/>
          <w:sz w:val="28"/>
          <w:szCs w:val="28"/>
        </w:rPr>
        <w:t xml:space="preserve">28、确定中标单位</w:t>
      </w:r>
      <w:r/>
    </w:p>
    <w:p>
      <w:pPr>
        <w:ind w:firstLine="480"/>
        <w:jc w:val="left"/>
        <w:spacing w:line="500" w:lineRule="exact"/>
        <w:rPr>
          <w:sz w:val="24"/>
          <w:szCs w:val="24"/>
        </w:rPr>
      </w:pPr>
      <w:r>
        <w:rPr>
          <w:rFonts w:hint="eastAsia"/>
          <w:sz w:val="24"/>
          <w:szCs w:val="24"/>
        </w:rPr>
        <w:t xml:space="preserve">28.1 中标候选人的选取原则和数量详见招标文件第五章规定。 </w:t>
      </w:r>
      <w:r/>
    </w:p>
    <w:p>
      <w:pPr>
        <w:ind w:firstLine="480"/>
        <w:jc w:val="left"/>
        <w:spacing w:line="500" w:lineRule="exact"/>
        <w:rPr>
          <w:sz w:val="24"/>
          <w:szCs w:val="24"/>
        </w:rPr>
      </w:pPr>
      <w:r>
        <w:rPr>
          <w:rFonts w:hint="eastAsia"/>
          <w:sz w:val="24"/>
          <w:szCs w:val="24"/>
        </w:rPr>
        <w:t xml:space="preserve">28.2 采购人应根据评委会推荐的中标候选人确定中标人。</w:t>
      </w:r>
      <w:r/>
    </w:p>
    <w:p>
      <w:pPr>
        <w:ind w:firstLine="480"/>
        <w:jc w:val="left"/>
        <w:spacing w:line="500" w:lineRule="exact"/>
        <w:rPr>
          <w:sz w:val="24"/>
          <w:szCs w:val="24"/>
        </w:rPr>
      </w:pPr>
      <w:r>
        <w:rPr>
          <w:rFonts w:hint="eastAsia"/>
          <w:sz w:val="24"/>
          <w:szCs w:val="24"/>
        </w:rPr>
        <w:t xml:space="preserve">28.3 </w:t>
      </w:r>
      <w:r>
        <w:rPr>
          <w:rFonts w:hint="eastAsia"/>
          <w:sz w:val="24"/>
          <w:szCs w:val="24"/>
          <w:lang w:eastAsia="zh-CN"/>
        </w:rPr>
        <w:t xml:space="preserve">采购中心</w:t>
      </w:r>
      <w:r>
        <w:rPr>
          <w:rFonts w:hint="eastAsia"/>
          <w:sz w:val="24"/>
          <w:szCs w:val="24"/>
        </w:rPr>
        <w:t xml:space="preserve">将在江苏政府采购网发布中标公告，公告期限为1个工作日。</w:t>
      </w:r>
      <w:r/>
    </w:p>
    <w:p>
      <w:pPr>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w:t>
      </w:r>
      <w:r>
        <w:rPr>
          <w:rFonts w:hint="eastAsia"/>
          <w:sz w:val="24"/>
          <w:szCs w:val="24"/>
          <w:lang w:eastAsia="zh-CN"/>
        </w:rPr>
        <w:t xml:space="preserve">采购中心</w:t>
      </w:r>
      <w:r>
        <w:rPr>
          <w:rFonts w:hint="eastAsia"/>
          <w:sz w:val="24"/>
          <w:szCs w:val="24"/>
        </w:rPr>
        <w:t xml:space="preserve">恶意串通的。</w:t>
      </w:r>
      <w:r/>
    </w:p>
    <w:p>
      <w:pPr>
        <w:ind w:firstLine="480"/>
        <w:jc w:val="left"/>
        <w:spacing w:line="500" w:lineRule="exact"/>
        <w:rPr>
          <w:sz w:val="24"/>
          <w:szCs w:val="24"/>
        </w:rPr>
      </w:pPr>
      <w:r>
        <w:rPr>
          <w:rFonts w:hint="eastAsia"/>
          <w:sz w:val="24"/>
          <w:szCs w:val="24"/>
        </w:rPr>
        <w:t xml:space="preserve">（4）向采购人、</w:t>
      </w:r>
      <w:r>
        <w:rPr>
          <w:rFonts w:hint="eastAsia"/>
          <w:sz w:val="24"/>
          <w:szCs w:val="24"/>
          <w:lang w:eastAsia="zh-CN"/>
        </w:rPr>
        <w:t xml:space="preserve">采购中心</w:t>
      </w:r>
      <w:r>
        <w:rPr>
          <w:rFonts w:hint="eastAsia"/>
          <w:sz w:val="24"/>
          <w:szCs w:val="24"/>
        </w:rPr>
        <w:t xml:space="preserve">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p>
    <w:p>
      <w:pPr>
        <w:pStyle w:val="864"/>
        <w:ind w:firstLine="562"/>
        <w:jc w:val="left"/>
        <w:spacing w:before="0" w:after="0" w:line="360" w:lineRule="auto"/>
        <w:rPr>
          <w:sz w:val="28"/>
          <w:szCs w:val="28"/>
        </w:rPr>
      </w:pPr>
      <w:r>
        <w:rPr>
          <w:rFonts w:hint="eastAsia"/>
          <w:sz w:val="28"/>
          <w:szCs w:val="28"/>
        </w:rPr>
        <w:t xml:space="preserve">29、中标通知书</w:t>
      </w:r>
      <w:r/>
    </w:p>
    <w:p>
      <w:pPr>
        <w:ind w:firstLine="480"/>
        <w:jc w:val="left"/>
        <w:spacing w:line="500" w:lineRule="exact"/>
        <w:rPr>
          <w:sz w:val="24"/>
          <w:szCs w:val="24"/>
        </w:rPr>
      </w:pPr>
      <w:r>
        <w:rPr>
          <w:rFonts w:hint="eastAsia"/>
          <w:sz w:val="24"/>
          <w:szCs w:val="24"/>
        </w:rPr>
        <w:t xml:space="preserve">29.1 中标结果确定后，</w:t>
      </w:r>
      <w:r>
        <w:rPr>
          <w:rFonts w:hint="eastAsia"/>
          <w:sz w:val="24"/>
          <w:szCs w:val="24"/>
          <w:lang w:eastAsia="zh-CN"/>
        </w:rPr>
        <w:t xml:space="preserve">采购中心</w:t>
      </w:r>
      <w:r>
        <w:rPr>
          <w:rFonts w:hint="eastAsia"/>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pStyle w:val="862"/>
        <w:spacing w:before="0" w:after="0" w:line="360" w:lineRule="auto"/>
        <w:rPr>
          <w:rFonts w:ascii="黑体" w:hAnsi="黑体" w:eastAsia="黑体"/>
          <w:b w:val="0"/>
        </w:rPr>
      </w:pPr>
      <w:r>
        <w:rPr>
          <w:rFonts w:hint="eastAsia" w:ascii="黑体" w:hAnsi="黑体" w:eastAsia="黑体"/>
          <w:b w:val="0"/>
        </w:rPr>
        <w:t xml:space="preserve">七、授予合同</w:t>
      </w:r>
      <w:r/>
    </w:p>
    <w:p>
      <w:pPr>
        <w:pStyle w:val="864"/>
        <w:ind w:firstLine="562"/>
        <w:jc w:val="left"/>
        <w:spacing w:before="0" w:after="0" w:line="360" w:lineRule="auto"/>
        <w:rPr>
          <w:sz w:val="28"/>
          <w:szCs w:val="28"/>
        </w:rPr>
      </w:pPr>
      <w:r>
        <w:rPr>
          <w:rFonts w:hint="eastAsia"/>
          <w:sz w:val="28"/>
          <w:szCs w:val="28"/>
        </w:rPr>
        <w:t xml:space="preserve">30、履约保证金</w:t>
      </w:r>
      <w:r/>
    </w:p>
    <w:p>
      <w:pPr>
        <w:ind w:firstLine="480"/>
        <w:jc w:val="left"/>
        <w:spacing w:line="500" w:lineRule="exact"/>
        <w:rPr>
          <w:sz w:val="24"/>
          <w:szCs w:val="24"/>
        </w:rPr>
      </w:pPr>
      <w:r>
        <w:rPr>
          <w:rFonts w:hint="eastAsia"/>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500" w:lineRule="exact"/>
        <w:rPr>
          <w:sz w:val="24"/>
          <w:szCs w:val="24"/>
        </w:rPr>
      </w:pPr>
      <w:r>
        <w:rPr>
          <w:rFonts w:hint="eastAsia"/>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sz w:val="24"/>
          <w:szCs w:val="24"/>
        </w:rPr>
      </w:pPr>
      <w:r>
        <w:rPr>
          <w:rFonts w:hint="eastAsia"/>
          <w:sz w:val="24"/>
          <w:szCs w:val="24"/>
        </w:rPr>
        <w:t xml:space="preserve">30.3 履约保证金自合同生效之日起至合同约定的中标人主要义务履行完毕止，采购人应当按合同约定及时退还履约保证金。</w:t>
      </w:r>
      <w:r/>
    </w:p>
    <w:p>
      <w:pPr>
        <w:ind w:firstLine="480"/>
        <w:jc w:val="left"/>
        <w:spacing w:line="500" w:lineRule="exact"/>
        <w:rPr>
          <w:sz w:val="24"/>
          <w:szCs w:val="24"/>
        </w:rPr>
      </w:pPr>
      <w:r>
        <w:rPr>
          <w:rFonts w:hint="eastAsia"/>
          <w:sz w:val="24"/>
          <w:szCs w:val="24"/>
        </w:rPr>
        <w:t xml:space="preserve">30.4 逾期退还履约保证金的采购人承担违约责任，按照中国人民银行同期贷款基准利率向中标人支付超期资金占用费。</w:t>
      </w:r>
      <w:r/>
    </w:p>
    <w:p>
      <w:pPr>
        <w:ind w:firstLine="480"/>
        <w:jc w:val="left"/>
        <w:spacing w:line="500" w:lineRule="exact"/>
        <w:rPr>
          <w:sz w:val="24"/>
          <w:szCs w:val="24"/>
        </w:rPr>
      </w:pPr>
      <w:r>
        <w:rPr>
          <w:rFonts w:hint="eastAsia"/>
          <w:sz w:val="24"/>
          <w:szCs w:val="24"/>
        </w:rPr>
        <w:t xml:space="preserve">30.5 本项目履约保证金要求详见招标文件第四章 采购需求。</w:t>
      </w:r>
      <w:r/>
    </w:p>
    <w:p>
      <w:pPr>
        <w:pStyle w:val="864"/>
        <w:ind w:firstLine="562"/>
        <w:jc w:val="left"/>
        <w:spacing w:before="0" w:after="0" w:line="360" w:lineRule="auto"/>
        <w:rPr>
          <w:sz w:val="28"/>
          <w:szCs w:val="28"/>
        </w:rPr>
      </w:pPr>
      <w:r>
        <w:rPr>
          <w:rFonts w:hint="eastAsia"/>
          <w:sz w:val="28"/>
          <w:szCs w:val="28"/>
        </w:rPr>
        <w:t xml:space="preserve">31、签订合同</w:t>
      </w:r>
      <w:r/>
    </w:p>
    <w:p>
      <w:pPr>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864"/>
        <w:ind w:firstLine="562"/>
        <w:jc w:val="left"/>
        <w:spacing w:before="0" w:after="0" w:line="360" w:lineRule="auto"/>
        <w:rPr>
          <w:sz w:val="28"/>
          <w:szCs w:val="28"/>
        </w:rPr>
      </w:pPr>
      <w:r>
        <w:rPr>
          <w:rFonts w:hint="eastAsia"/>
          <w:sz w:val="28"/>
          <w:szCs w:val="28"/>
        </w:rPr>
        <w:t xml:space="preserve">32、合同标的的追加</w:t>
      </w:r>
      <w:r/>
    </w:p>
    <w:p>
      <w:pPr>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64"/>
        <w:ind w:firstLine="562"/>
        <w:jc w:val="left"/>
        <w:spacing w:before="0" w:after="0" w:line="360" w:lineRule="auto"/>
        <w:rPr>
          <w:sz w:val="28"/>
          <w:szCs w:val="28"/>
        </w:rPr>
      </w:pPr>
      <w:r>
        <w:rPr>
          <w:rFonts w:hint="eastAsia"/>
          <w:sz w:val="28"/>
          <w:szCs w:val="28"/>
        </w:rPr>
        <w:t xml:space="preserve">33、政府采购履约资金扶持政策</w:t>
      </w:r>
      <w:r/>
    </w:p>
    <w:p>
      <w:pPr>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p>
    <w:p>
      <w:pPr>
        <w:pStyle w:val="862"/>
        <w:spacing w:before="0" w:after="0" w:line="360" w:lineRule="auto"/>
        <w:rPr>
          <w:rFonts w:ascii="黑体" w:hAnsi="黑体" w:eastAsia="黑体"/>
          <w:b w:val="0"/>
        </w:rPr>
      </w:pPr>
      <w:r>
        <w:rPr>
          <w:rFonts w:hint="eastAsia" w:ascii="黑体" w:hAnsi="黑体" w:eastAsia="黑体"/>
          <w:b w:val="0"/>
        </w:rPr>
        <w:t xml:space="preserve">八、询问与质疑</w:t>
      </w:r>
      <w:r/>
    </w:p>
    <w:p>
      <w:pPr>
        <w:pStyle w:val="864"/>
        <w:ind w:firstLine="562"/>
        <w:jc w:val="left"/>
        <w:spacing w:before="0" w:after="0" w:line="360" w:lineRule="auto"/>
        <w:rPr>
          <w:sz w:val="28"/>
          <w:szCs w:val="28"/>
        </w:rPr>
      </w:pPr>
      <w:r>
        <w:rPr>
          <w:rFonts w:hint="eastAsia"/>
          <w:sz w:val="28"/>
          <w:szCs w:val="28"/>
        </w:rPr>
        <w:t xml:space="preserve">34、询问</w:t>
      </w:r>
      <w:r/>
    </w:p>
    <w:p>
      <w:pPr>
        <w:ind w:firstLine="480"/>
        <w:jc w:val="left"/>
        <w:spacing w:line="500" w:lineRule="exact"/>
        <w:rPr>
          <w:sz w:val="24"/>
          <w:szCs w:val="24"/>
        </w:rPr>
      </w:pPr>
      <w:r>
        <w:rPr>
          <w:rFonts w:hint="eastAsia"/>
          <w:sz w:val="24"/>
          <w:szCs w:val="24"/>
        </w:rPr>
        <w:t xml:space="preserve">34.1 供应商对政府采购活动事项有疑问的，可以提出询问，采购人或者</w:t>
      </w:r>
      <w:r>
        <w:rPr>
          <w:rFonts w:hint="eastAsia"/>
          <w:sz w:val="24"/>
          <w:szCs w:val="24"/>
          <w:lang w:eastAsia="zh-CN"/>
        </w:rPr>
        <w:t xml:space="preserve">采购中心</w:t>
      </w:r>
      <w:r>
        <w:rPr>
          <w:rFonts w:hint="eastAsia"/>
          <w:sz w:val="24"/>
          <w:szCs w:val="24"/>
        </w:rPr>
        <w:t xml:space="preserve">应当在3个工作日内对投标人依法提出的询问作出答复，但答复的内容不得涉及商业秘密。供应商提出的询问超出采购人对</w:t>
      </w:r>
      <w:r>
        <w:rPr>
          <w:rFonts w:hint="eastAsia"/>
          <w:sz w:val="24"/>
          <w:szCs w:val="24"/>
          <w:lang w:eastAsia="zh-CN"/>
        </w:rPr>
        <w:t xml:space="preserve">采购中心</w:t>
      </w:r>
      <w:r>
        <w:rPr>
          <w:rFonts w:hint="eastAsia"/>
          <w:sz w:val="24"/>
          <w:szCs w:val="24"/>
        </w:rPr>
        <w:t xml:space="preserve">委托授权范围的，</w:t>
      </w:r>
      <w:r>
        <w:rPr>
          <w:rFonts w:hint="eastAsia"/>
          <w:sz w:val="24"/>
          <w:szCs w:val="24"/>
          <w:lang w:eastAsia="zh-CN"/>
        </w:rPr>
        <w:t xml:space="preserve">采购中心</w:t>
      </w:r>
      <w:r>
        <w:rPr>
          <w:rFonts w:hint="eastAsia"/>
          <w:sz w:val="24"/>
          <w:szCs w:val="24"/>
        </w:rPr>
        <w:t xml:space="preserve">应当告知其向采购人提出。</w:t>
      </w:r>
      <w:r/>
    </w:p>
    <w:p>
      <w:pPr>
        <w:pStyle w:val="864"/>
        <w:ind w:firstLine="562"/>
        <w:jc w:val="left"/>
        <w:spacing w:before="0" w:after="0" w:line="360" w:lineRule="auto"/>
        <w:rPr>
          <w:sz w:val="28"/>
          <w:szCs w:val="28"/>
        </w:rPr>
      </w:pPr>
      <w:r>
        <w:rPr>
          <w:rFonts w:hint="eastAsia"/>
          <w:sz w:val="28"/>
          <w:szCs w:val="28"/>
        </w:rPr>
        <w:t xml:space="preserve">35、质疑提出</w:t>
      </w:r>
      <w:r/>
    </w:p>
    <w:p>
      <w:pPr>
        <w:ind w:firstLine="480"/>
        <w:jc w:val="left"/>
        <w:spacing w:line="500" w:lineRule="exact"/>
        <w:rPr>
          <w:sz w:val="24"/>
          <w:szCs w:val="24"/>
        </w:rPr>
      </w:pPr>
      <w:r>
        <w:rPr>
          <w:rFonts w:hint="eastAsia"/>
          <w:sz w:val="24"/>
          <w:szCs w:val="24"/>
        </w:rPr>
        <w:t xml:space="preserve">35.1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w:t>
      </w:r>
      <w:r>
        <w:rPr>
          <w:rFonts w:hint="eastAsia"/>
          <w:sz w:val="24"/>
          <w:szCs w:val="24"/>
          <w:lang w:eastAsia="zh-CN"/>
        </w:rPr>
        <w:t xml:space="preserve">采购中心</w:t>
      </w:r>
      <w:r>
        <w:rPr>
          <w:rFonts w:hint="eastAsia"/>
          <w:sz w:val="24"/>
          <w:szCs w:val="24"/>
        </w:rPr>
        <w:t xml:space="preserve">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w:t>
      </w:r>
      <w:r>
        <w:rPr>
          <w:rFonts w:hint="eastAsia"/>
          <w:sz w:val="24"/>
          <w:szCs w:val="24"/>
          <w:lang w:eastAsia="zh-CN"/>
        </w:rPr>
        <w:t xml:space="preserve">采购中心</w:t>
      </w:r>
      <w:r>
        <w:rPr>
          <w:rFonts w:hint="eastAsia"/>
          <w:sz w:val="24"/>
          <w:szCs w:val="24"/>
        </w:rPr>
        <w:t xml:space="preserve">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sz w:val="24"/>
          <w:szCs w:val="24"/>
          <w:lang w:eastAsia="zh-CN"/>
        </w:rPr>
        <w:t xml:space="preserve">采购中心</w:t>
      </w:r>
      <w:r>
        <w:rPr>
          <w:rFonts w:hint="eastAsia"/>
          <w:sz w:val="24"/>
          <w:szCs w:val="24"/>
        </w:rPr>
        <w:t xml:space="preserve">。采购人、</w:t>
      </w:r>
      <w:r>
        <w:rPr>
          <w:rFonts w:hint="eastAsia"/>
          <w:sz w:val="24"/>
          <w:szCs w:val="24"/>
          <w:lang w:eastAsia="zh-CN"/>
        </w:rPr>
        <w:t xml:space="preserve">采购中心</w:t>
      </w:r>
      <w:r>
        <w:rPr>
          <w:rFonts w:hint="eastAsia"/>
          <w:sz w:val="24"/>
          <w:szCs w:val="24"/>
        </w:rPr>
        <w:t xml:space="preserve">不具有法定调查、认定权限。</w:t>
      </w:r>
      <w:r/>
    </w:p>
    <w:p>
      <w:pPr>
        <w:ind w:firstLine="480"/>
        <w:jc w:val="left"/>
        <w:spacing w:line="500" w:lineRule="exact"/>
        <w:rPr>
          <w:sz w:val="24"/>
          <w:szCs w:val="24"/>
        </w:rPr>
      </w:pPr>
      <w:r>
        <w:rPr>
          <w:rFonts w:hint="eastAsia"/>
          <w:sz w:val="24"/>
          <w:szCs w:val="24"/>
        </w:rPr>
        <w:t xml:space="preserve">35.4 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35.5 质疑函应当使用范本，详见招标文件第六章。供应商提出质疑应当提交质疑函和必要的证明材料，应当包括下列内容：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864"/>
        <w:ind w:firstLine="562"/>
        <w:jc w:val="left"/>
        <w:spacing w:before="0" w:after="0" w:line="360" w:lineRule="auto"/>
        <w:rPr>
          <w:sz w:val="24"/>
          <w:szCs w:val="24"/>
        </w:rPr>
      </w:pPr>
      <w:r>
        <w:rPr>
          <w:rFonts w:hint="eastAsia"/>
          <w:sz w:val="28"/>
          <w:szCs w:val="28"/>
        </w:rPr>
        <w:t xml:space="preserve">36、质疑函的受理和答复</w:t>
      </w:r>
      <w:r/>
    </w:p>
    <w:p>
      <w:pPr>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lang w:eastAsia="zh-CN"/>
        </w:rPr>
        <w:t xml:space="preserve">采购中心</w:t>
      </w:r>
      <w:r>
        <w:rPr>
          <w:rFonts w:hint="eastAsia"/>
          <w:sz w:val="24"/>
          <w:szCs w:val="24"/>
        </w:rPr>
        <w:t xml:space="preserve">不负责搜集必要的证明材料等工作。</w:t>
      </w:r>
      <w:r/>
    </w:p>
    <w:p>
      <w:pPr>
        <w:ind w:firstLine="480"/>
        <w:jc w:val="left"/>
        <w:spacing w:line="500" w:lineRule="exact"/>
        <w:rPr>
          <w:sz w:val="24"/>
          <w:szCs w:val="24"/>
          <w:highlight w:val="none"/>
        </w:rPr>
      </w:pPr>
      <w:r>
        <w:rPr>
          <w:rFonts w:hint="eastAsia"/>
          <w:sz w:val="24"/>
          <w:szCs w:val="24"/>
        </w:rPr>
        <w:t xml:space="preserve">36.2 对符合法定要求的质疑，采购人、</w:t>
      </w:r>
      <w:r>
        <w:rPr>
          <w:rFonts w:hint="eastAsia"/>
          <w:sz w:val="24"/>
          <w:szCs w:val="24"/>
          <w:lang w:eastAsia="zh-CN"/>
        </w:rPr>
        <w:t xml:space="preserve">采购中心</w:t>
      </w:r>
      <w:r>
        <w:rPr>
          <w:rFonts w:hint="eastAsia"/>
          <w:sz w:val="24"/>
          <w:szCs w:val="24"/>
        </w:rPr>
        <w:t xml:space="preserve">接收并登记《质疑函登记表》。在处理过程中，发现需要质疑供应商进一步补充必要的证明材料的，质疑供应商应在法定的时间内</w:t>
      </w:r>
      <w:r>
        <w:rPr>
          <w:rFonts w:hint="eastAsia"/>
          <w:sz w:val="24"/>
          <w:szCs w:val="24"/>
          <w:highlight w:val="none"/>
        </w:rPr>
        <w:t xml:space="preserve">提供，质疑答复时间相应顺延。质疑供应商不能按时提供必要的证明材料的，不利后果由质疑供应商自行承担。</w:t>
      </w:r>
      <w:r/>
    </w:p>
    <w:p>
      <w:pPr>
        <w:ind w:firstLine="480"/>
        <w:jc w:val="left"/>
        <w:spacing w:line="500" w:lineRule="exact"/>
        <w:rPr>
          <w:sz w:val="24"/>
          <w:szCs w:val="24"/>
          <w:highlight w:val="none"/>
        </w:rPr>
      </w:pPr>
      <w:r>
        <w:rPr>
          <w:rFonts w:hint="eastAsia"/>
          <w:sz w:val="24"/>
          <w:szCs w:val="24"/>
          <w:highlight w:val="none"/>
        </w:rPr>
        <w:t xml:space="preserve">36.3 对不符合质疑要求的，采购人、</w:t>
      </w:r>
      <w:r>
        <w:rPr>
          <w:rFonts w:hint="eastAsia"/>
          <w:sz w:val="24"/>
          <w:szCs w:val="24"/>
          <w:highlight w:val="none"/>
          <w:lang w:eastAsia="zh-CN"/>
        </w:rPr>
        <w:t xml:space="preserve">采购中心</w:t>
      </w:r>
      <w:r>
        <w:rPr>
          <w:rFonts w:hint="eastAsia"/>
          <w:sz w:val="24"/>
          <w:szCs w:val="24"/>
          <w:highlight w:val="none"/>
        </w:rPr>
        <w:t xml:space="preserve">有权要求其补充必要的证明材料，质疑供应商未在法定时间内补充必要的证明材料的，不利后果由质疑供应商自行承担。</w:t>
      </w:r>
      <w:r/>
    </w:p>
    <w:p>
      <w:pPr>
        <w:ind w:firstLine="480"/>
        <w:jc w:val="left"/>
        <w:spacing w:line="500" w:lineRule="exact"/>
        <w:rPr>
          <w:sz w:val="24"/>
          <w:szCs w:val="24"/>
        </w:rPr>
      </w:pPr>
      <w:r>
        <w:rPr>
          <w:rFonts w:hint="eastAsia"/>
          <w:sz w:val="24"/>
          <w:szCs w:val="24"/>
          <w:highlight w:val="none"/>
        </w:rPr>
        <w:t xml:space="preserve">36.4 以下情形的质疑</w:t>
      </w:r>
      <w:r>
        <w:rPr>
          <w:rFonts w:hint="eastAsia"/>
          <w:sz w:val="24"/>
          <w:szCs w:val="24"/>
        </w:rPr>
        <w:t xml:space="preserve">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（3）以传真、电子邮件等方式递交的非原件形式的质疑。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36.5 采购人、</w:t>
      </w:r>
      <w:r>
        <w:rPr>
          <w:rFonts w:hint="eastAsia"/>
          <w:sz w:val="24"/>
          <w:szCs w:val="24"/>
          <w:lang w:eastAsia="zh-CN"/>
        </w:rPr>
        <w:t xml:space="preserve">采购中心</w:t>
      </w:r>
      <w:r>
        <w:rPr>
          <w:rFonts w:hint="eastAsia"/>
          <w:sz w:val="24"/>
          <w:szCs w:val="24"/>
        </w:rPr>
        <w:t xml:space="preserve">依法受理的质疑，将按照政府采购有关规定，在法定期限内作出答复。</w:t>
      </w:r>
      <w:r/>
    </w:p>
    <w:p>
      <w:pPr>
        <w:ind w:firstLine="480"/>
        <w:jc w:val="left"/>
        <w:spacing w:line="500" w:lineRule="exact"/>
        <w:rPr>
          <w:sz w:val="24"/>
          <w:szCs w:val="24"/>
        </w:rPr>
      </w:pPr>
      <w:r>
        <w:rPr>
          <w:rFonts w:hint="eastAsia"/>
          <w:sz w:val="24"/>
          <w:szCs w:val="24"/>
        </w:rPr>
        <w:t xml:space="preserve">36.6 因质疑供应商所留联系方式无效，或者无故不接收，导致质疑答复结果无法送达的，视为质疑供应商主动放弃知晓质疑答复结果的权利。</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6</w:t>
      </w:r>
      <w:r>
        <w:rPr>
          <w:rFonts w:hint="eastAsia"/>
          <w:sz w:val="24"/>
          <w:szCs w:val="24"/>
        </w:rPr>
        <w:t xml:space="preserve">.7 未尽事宜，依照有关法律、法规执行。</w:t>
      </w:r>
      <w:r/>
    </w:p>
    <w:p>
      <w:pPr>
        <w:pStyle w:val="862"/>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864"/>
        <w:ind w:firstLine="562"/>
        <w:jc w:val="left"/>
        <w:spacing w:before="0" w:after="0" w:line="360" w:lineRule="auto"/>
        <w:rPr>
          <w:sz w:val="28"/>
          <w:szCs w:val="28"/>
        </w:rPr>
      </w:pPr>
      <w:r>
        <w:rPr>
          <w:rFonts w:hint="eastAsia"/>
          <w:sz w:val="28"/>
          <w:szCs w:val="28"/>
        </w:rPr>
        <w:t xml:space="preserve">38、促进中小企业发展</w:t>
      </w:r>
      <w:r/>
    </w:p>
    <w:p>
      <w:pPr>
        <w:ind w:firstLine="480"/>
        <w:jc w:val="left"/>
        <w:spacing w:line="500" w:lineRule="exact"/>
        <w:rPr>
          <w:sz w:val="24"/>
          <w:szCs w:val="24"/>
        </w:rPr>
      </w:pPr>
      <w:r>
        <w:rPr>
          <w:rFonts w:hint="eastAsia"/>
          <w:sz w:val="24"/>
          <w:szCs w:val="24"/>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sz w:val="24"/>
          <w:szCs w:val="24"/>
        </w:rPr>
      </w:pPr>
      <w:r>
        <w:rPr>
          <w:rFonts w:hint="eastAsia"/>
          <w:sz w:val="24"/>
          <w:szCs w:val="24"/>
        </w:rPr>
        <w:t xml:space="preserve">38.2 投标人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left"/>
        <w:spacing w:line="500" w:lineRule="exact"/>
        <w:rPr>
          <w:sz w:val="24"/>
          <w:szCs w:val="24"/>
        </w:rPr>
      </w:pPr>
      <w:r>
        <w:rPr>
          <w:rFonts w:hint="eastAsia"/>
          <w:sz w:val="24"/>
          <w:szCs w:val="24"/>
        </w:rPr>
        <w:t xml:space="preserve">38.3 参加本项目政府采购活动的供应商享受价格评审优惠的应当提供的材料： </w:t>
      </w:r>
      <w:r/>
    </w:p>
    <w:p>
      <w:pPr>
        <w:ind w:firstLine="480"/>
        <w:jc w:val="left"/>
        <w:spacing w:line="500" w:lineRule="exact"/>
        <w:rPr>
          <w:sz w:val="24"/>
          <w:szCs w:val="24"/>
        </w:rPr>
      </w:pPr>
      <w:r>
        <w:rPr>
          <w:rFonts w:hint="eastAsia"/>
          <w:sz w:val="24"/>
          <w:szCs w:val="24"/>
        </w:rPr>
        <w:t xml:space="preserve">（1）投标人提供的货物全部由小型企业、微型企业制造的，提供《中小企业声明函》（第六章 投标文件格式）。</w:t>
      </w:r>
      <w:r/>
    </w:p>
    <w:p>
      <w:pPr>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rPr>
      </w:pPr>
      <w:r>
        <w:rPr>
          <w:rFonts w:hint="eastAsia"/>
          <w:sz w:val="24"/>
          <w:szCs w:val="24"/>
        </w:rPr>
        <w:t xml:space="preserve">38.4 残疾人福利单位、监狱企业属于小型、微型企业的，不重复享受政策。</w:t>
      </w:r>
      <w:r/>
    </w:p>
    <w:p>
      <w:pPr>
        <w:ind w:firstLine="480"/>
        <w:jc w:val="left"/>
        <w:spacing w:line="500" w:lineRule="exact"/>
        <w:rPr>
          <w:sz w:val="24"/>
          <w:szCs w:val="24"/>
        </w:rPr>
      </w:pPr>
      <w:r>
        <w:rPr>
          <w:rFonts w:hint="eastAsia"/>
          <w:sz w:val="24"/>
          <w:szCs w:val="24"/>
        </w:rPr>
        <w:t xml:space="preserve">38.5 享受扶持政策获得政府采购合同的，小微型企业不得将合同分包给大中型企业，中型企业不得将合同分包给大型企业。</w:t>
      </w:r>
      <w:r/>
    </w:p>
    <w:p>
      <w:pPr>
        <w:pStyle w:val="864"/>
        <w:ind w:firstLine="562"/>
        <w:jc w:val="left"/>
        <w:spacing w:before="0" w:after="0" w:line="360" w:lineRule="auto"/>
        <w:rPr>
          <w:sz w:val="28"/>
          <w:szCs w:val="28"/>
        </w:rPr>
      </w:pPr>
      <w:r>
        <w:rPr>
          <w:rFonts w:hint="eastAsia"/>
          <w:sz w:val="28"/>
          <w:szCs w:val="28"/>
        </w:rPr>
        <w:t xml:space="preserve">39、支持绿色发展</w:t>
      </w:r>
      <w:r/>
    </w:p>
    <w:p>
      <w:pPr>
        <w:ind w:firstLine="480"/>
        <w:jc w:val="left"/>
        <w:spacing w:line="500" w:lineRule="exact"/>
        <w:rPr>
          <w:sz w:val="24"/>
          <w:szCs w:val="24"/>
        </w:rPr>
      </w:pPr>
      <w:r>
        <w:rPr>
          <w:rFonts w:hint="eastAsia"/>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sz w:val="24"/>
          <w:szCs w:val="24"/>
        </w:rPr>
      </w:pPr>
      <w:r>
        <w:rPr>
          <w:rFonts w:hint="eastAsia"/>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sz w:val="24"/>
          <w:szCs w:val="24"/>
        </w:rPr>
      </w:pPr>
      <w:r>
        <w:rPr>
          <w:rFonts w:hint="eastAsia"/>
          <w:sz w:val="24"/>
          <w:szCs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864"/>
        <w:ind w:firstLine="562"/>
        <w:jc w:val="left"/>
        <w:spacing w:before="0" w:after="0" w:line="360" w:lineRule="auto"/>
        <w:rPr>
          <w:sz w:val="28"/>
          <w:szCs w:val="28"/>
        </w:rPr>
      </w:pPr>
      <w:r>
        <w:rPr>
          <w:rFonts w:hint="eastAsia"/>
          <w:sz w:val="28"/>
          <w:szCs w:val="28"/>
        </w:rPr>
        <w:t xml:space="preserve">40、政府采购需求标准</w:t>
      </w:r>
      <w:r/>
    </w:p>
    <w:p>
      <w:pPr>
        <w:ind w:firstLine="480"/>
        <w:jc w:val="left"/>
        <w:spacing w:line="500" w:lineRule="exact"/>
        <w:rPr>
          <w:rFonts w:hint="eastAsia"/>
          <w:sz w:val="24"/>
          <w:szCs w:val="24"/>
        </w:rPr>
      </w:pPr>
      <w:r>
        <w:rPr>
          <w:rFonts w:hint="eastAsia"/>
          <w:sz w:val="24"/>
          <w:szCs w:val="24"/>
        </w:rPr>
        <w:t xml:space="preserve">40.1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numPr>
          <w:ilvl w:val="1"/>
          <w:numId w:val="0"/>
        </w:numPr>
        <w:ind w:firstLine="562"/>
        <w:jc w:val="both"/>
        <w:keepLines/>
        <w:keepNext/>
        <w:pageBreakBefore w:val="0"/>
        <w:spacing w:before="0" w:after="0" w:line="240" w:lineRule="auto"/>
        <w:widowControl w:val="off"/>
        <w:rPr>
          <w:rFonts w:hint="eastAsia" w:ascii="Cambria" w:hAnsi="Cambria" w:eastAsia="宋体" w:cs="Times New Roman"/>
          <w:b/>
          <w:bCs/>
          <w:sz w:val="28"/>
          <w:szCs w:val="28"/>
          <w:highlight w:val="none"/>
          <w:lang w:val="en-US" w:eastAsia="zh-CN" w:bidi="ar-SA"/>
        </w:rPr>
        <w:outlineLvl w:val="1"/>
      </w:pPr>
      <w:r>
        <w:rPr>
          <w:rFonts w:hint="eastAsia" w:ascii="Cambria" w:hAnsi="Cambria" w:eastAsia="宋体" w:cs="Times New Roman"/>
          <w:b/>
          <w:bCs/>
          <w:sz w:val="28"/>
          <w:szCs w:val="28"/>
          <w:highlight w:val="none"/>
          <w:lang w:val="en-US" w:eastAsia="zh-CN" w:bidi="ar-SA"/>
        </w:rPr>
        <w:t xml:space="preserve">41、中标（成交）供应商采用电子履约保函（保险）形式具体操作：</w:t>
      </w:r>
      <w:r>
        <w:rPr>
          <w:rFonts w:hint="eastAsia" w:ascii="Calibri" w:hAnsi="Calibri" w:eastAsia="宋体" w:cs="Times New Roman"/>
          <w:b w:val="0"/>
          <w:bCs w:val="0"/>
          <w:sz w:val="24"/>
          <w:szCs w:val="24"/>
          <w:highlight w:val="none"/>
          <w:lang w:val="en-US" w:eastAsia="zh-CN" w:bidi="ar-SA"/>
        </w:rPr>
        <w:t xml:space="preserve">登录江苏政府采购网的保险保函模块进行办理。</w:t>
      </w:r>
      <w:r/>
    </w:p>
    <w:p>
      <w:pPr>
        <w:ind w:firstLine="480"/>
        <w:jc w:val="left"/>
        <w:spacing w:line="500" w:lineRule="exact"/>
        <w:rPr>
          <w:rFonts w:hint="eastAsia"/>
          <w:sz w:val="24"/>
          <w:szCs w:val="24"/>
        </w:rPr>
      </w:pPr>
      <w:r>
        <w:rPr>
          <w:rFonts w:hint="eastAsia"/>
          <w:sz w:val="24"/>
          <w:szCs w:val="24"/>
        </w:rPr>
      </w:r>
      <w:r/>
    </w:p>
    <w:p>
      <w:pPr>
        <w:jc w:val="left"/>
        <w:widowControl/>
        <w:rPr>
          <w:sz w:val="24"/>
          <w:szCs w:val="24"/>
        </w:rPr>
      </w:pPr>
      <w:r>
        <w:rPr>
          <w:sz w:val="24"/>
          <w:szCs w:val="24"/>
        </w:rPr>
        <w:br w:type="page" w:clear="all"/>
      </w:r>
      <w:r/>
    </w:p>
    <w:p>
      <w:pPr>
        <w:pStyle w:val="860"/>
        <w:jc w:val="center"/>
        <w:spacing w:line="360" w:lineRule="auto"/>
        <w:rPr>
          <w:rFonts w:ascii="黑体" w:hAnsi="黑体" w:eastAsia="黑体"/>
          <w:b w:val="0"/>
        </w:rPr>
      </w:pPr>
      <w:r/>
      <w:bookmarkStart w:id="2" w:name="_Toc165205796"/>
      <w:r>
        <w:rPr>
          <w:rFonts w:hint="eastAsia" w:ascii="黑体" w:hAnsi="黑体" w:eastAsia="黑体"/>
          <w:b w:val="0"/>
        </w:rPr>
        <w:t xml:space="preserve">第三章  合同文本</w:t>
      </w:r>
      <w:bookmarkEnd w:id="2"/>
      <w:r/>
      <w:r/>
    </w:p>
    <w:p>
      <w:pPr>
        <w:pStyle w:val="871"/>
        <w:jc w:val="center"/>
        <w:spacing w:after="0"/>
        <w:rPr>
          <w:rFonts w:ascii="宋体" w:hAnsi="宋体" w:cs="宋体"/>
          <w:b/>
          <w:bCs/>
          <w:spacing w:val="-20"/>
          <w:sz w:val="48"/>
          <w:szCs w:val="48"/>
        </w:rPr>
      </w:pPr>
      <w:r/>
      <w:bookmarkStart w:id="3" w:name="_Toc3995"/>
      <w:r/>
      <w:r/>
    </w:p>
    <w:p>
      <w:pPr>
        <w:pStyle w:val="871"/>
        <w:jc w:val="center"/>
        <w:spacing w:after="0"/>
        <w:rPr>
          <w:rFonts w:ascii="宋体" w:hAnsi="宋体" w:cs="宋体"/>
          <w:b/>
          <w:bCs/>
          <w:spacing w:val="-20"/>
          <w:sz w:val="48"/>
          <w:szCs w:val="48"/>
        </w:rPr>
      </w:pPr>
      <w:r>
        <w:rPr>
          <w:rFonts w:ascii="宋体" w:hAnsi="宋体" w:cs="宋体"/>
          <w:b/>
          <w:bCs/>
          <w:spacing w:val="-20"/>
          <w:sz w:val="48"/>
          <w:szCs w:val="48"/>
        </w:rPr>
      </w:r>
      <w:r/>
    </w:p>
    <w:p>
      <w:pPr>
        <w:pStyle w:val="871"/>
        <w:jc w:val="center"/>
        <w:spacing w:after="0"/>
        <w:rPr>
          <w:rFonts w:ascii="宋体" w:hAnsi="宋体" w:cs="宋体"/>
          <w:b/>
          <w:bCs/>
          <w:spacing w:val="-20"/>
          <w:sz w:val="48"/>
          <w:szCs w:val="48"/>
        </w:rPr>
      </w:pPr>
      <w:r>
        <w:rPr>
          <w:rFonts w:ascii="宋体" w:hAnsi="宋体" w:cs="宋体"/>
          <w:b/>
          <w:bCs/>
          <w:spacing w:val="-20"/>
          <w:sz w:val="48"/>
          <w:szCs w:val="48"/>
        </w:rPr>
      </w:r>
      <w:r/>
    </w:p>
    <w:p>
      <w:pPr>
        <w:pStyle w:val="871"/>
        <w:jc w:val="center"/>
        <w:spacing w:after="0"/>
        <w:rPr>
          <w:rFonts w:ascii="宋体" w:hAnsi="宋体" w:cs="宋体"/>
          <w:b/>
          <w:bCs/>
          <w:spacing w:val="-20"/>
          <w:sz w:val="48"/>
          <w:szCs w:val="48"/>
        </w:rPr>
      </w:pPr>
      <w:r>
        <w:rPr>
          <w:rFonts w:ascii="宋体" w:hAnsi="宋体" w:cs="宋体"/>
          <w:b/>
          <w:bCs/>
          <w:spacing w:val="-20"/>
          <w:sz w:val="48"/>
          <w:szCs w:val="48"/>
        </w:rPr>
      </w:r>
      <w:r/>
    </w:p>
    <w:p>
      <w:pPr>
        <w:pStyle w:val="871"/>
        <w:jc w:val="center"/>
        <w:spacing w:after="0"/>
        <w:rPr>
          <w:rFonts w:ascii="宋体" w:hAnsi="宋体" w:cs="宋体"/>
          <w:b/>
          <w:bCs/>
          <w:spacing w:val="-20"/>
          <w:sz w:val="48"/>
          <w:szCs w:val="48"/>
        </w:rPr>
      </w:pPr>
      <w:r>
        <w:rPr>
          <w:rFonts w:hint="eastAsia" w:ascii="宋体" w:hAnsi="宋体" w:cs="宋体"/>
          <w:b/>
          <w:bCs/>
          <w:spacing w:val="-20"/>
          <w:sz w:val="48"/>
          <w:szCs w:val="48"/>
          <w:lang w:eastAsia="zh-CN"/>
        </w:rPr>
        <w:t xml:space="preserve">东海县</w:t>
      </w:r>
      <w:r>
        <w:rPr>
          <w:rFonts w:hint="eastAsia" w:ascii="宋体" w:hAnsi="宋体" w:cs="宋体"/>
          <w:b/>
          <w:bCs/>
          <w:spacing w:val="-20"/>
          <w:sz w:val="48"/>
          <w:szCs w:val="48"/>
        </w:rPr>
        <w:t xml:space="preserve">政府采购货物买卖合同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p>
    <w:p>
      <w:pPr>
        <w:ind w:left="420"/>
        <w:spacing w:line="360" w:lineRule="auto"/>
        <w:rPr>
          <w:sz w:val="32"/>
          <w:szCs w:val="32"/>
          <w:u w:val="single"/>
        </w:rPr>
      </w:pPr>
      <w:r>
        <w:rPr>
          <w:rFonts w:hint="eastAsia"/>
          <w:sz w:val="32"/>
          <w:szCs w:val="32"/>
        </w:rPr>
        <w:t xml:space="preserve">合同编号：</w:t>
      </w:r>
      <w:r/>
    </w:p>
    <w:p>
      <w:pPr>
        <w:ind w:left="420"/>
        <w:spacing w:line="360" w:lineRule="auto"/>
        <w:rPr>
          <w:sz w:val="32"/>
          <w:szCs w:val="32"/>
        </w:rPr>
      </w:pPr>
      <w:r>
        <w:rPr>
          <w:rFonts w:hint="eastAsia"/>
          <w:sz w:val="32"/>
          <w:szCs w:val="32"/>
        </w:rPr>
        <w:t xml:space="preserve">甲    方：</w:t>
      </w:r>
      <w:r/>
    </w:p>
    <w:p>
      <w:pPr>
        <w:ind w:left="420"/>
        <w:spacing w:line="360" w:lineRule="auto"/>
        <w:rPr>
          <w:sz w:val="32"/>
          <w:szCs w:val="32"/>
          <w:u w:val="single"/>
        </w:rPr>
      </w:pPr>
      <w:r>
        <w:rPr>
          <w:rFonts w:hint="eastAsia"/>
          <w:sz w:val="32"/>
          <w:szCs w:val="32"/>
        </w:rPr>
        <w:t xml:space="preserve">乙    方：</w:t>
      </w:r>
      <w:r/>
    </w:p>
    <w:p>
      <w:pPr>
        <w:ind w:left="420"/>
        <w:spacing w:line="360" w:lineRule="auto"/>
        <w:rPr>
          <w:sz w:val="32"/>
          <w:szCs w:val="32"/>
        </w:rPr>
      </w:pPr>
      <w:r>
        <w:rPr>
          <w:rFonts w:hint="eastAsia"/>
          <w:sz w:val="32"/>
          <w:szCs w:val="32"/>
        </w:rPr>
        <w:t xml:space="preserve">签订时间：</w:t>
      </w:r>
      <w:r/>
    </w:p>
    <w:p>
      <w:pPr>
        <w:jc w:val="left"/>
        <w:widowControl/>
        <w:rPr>
          <w:rFonts w:eastAsia="黑体"/>
          <w:sz w:val="44"/>
          <w:szCs w:val="44"/>
        </w:rPr>
      </w:pPr>
      <w:r>
        <w:rPr>
          <w:rFonts w:eastAsia="黑体"/>
          <w:sz w:val="44"/>
          <w:szCs w:val="44"/>
        </w:rPr>
        <w:br w:type="page" w:clear="all"/>
      </w:r>
      <w:r/>
    </w:p>
    <w:p>
      <w:pPr>
        <w:jc w:val="center"/>
        <w:rPr>
          <w:rFonts w:ascii="黑体" w:hAnsi="黑体" w:eastAsia="黑体"/>
          <w:sz w:val="44"/>
          <w:szCs w:val="44"/>
        </w:rPr>
      </w:pPr>
      <w:r>
        <w:rPr>
          <w:rFonts w:hint="eastAsia" w:ascii="黑体" w:hAnsi="黑体" w:eastAsia="黑体"/>
          <w:sz w:val="44"/>
          <w:szCs w:val="44"/>
        </w:rPr>
        <w:t xml:space="preserve">使用说明</w:t>
      </w:r>
      <w:r/>
    </w:p>
    <w:p>
      <w:pPr>
        <w:ind w:firstLine="640"/>
        <w:rPr>
          <w:rFonts w:ascii="仿宋" w:hAnsi="仿宋" w:eastAsia="仿宋" w:cs="方正仿宋_GB2312"/>
          <w:sz w:val="32"/>
          <w:szCs w:val="32"/>
        </w:rPr>
      </w:pPr>
      <w:r>
        <w:rPr>
          <w:rFonts w:hint="eastAsia" w:ascii="仿宋" w:hAnsi="仿宋" w:eastAsia="仿宋" w:cs="方正仿宋_GB2312"/>
          <w:sz w:val="32"/>
          <w:szCs w:val="32"/>
        </w:rPr>
        <w:t xml:space="preserve">1.本合同标准文本适用于购买现成货物的采购项目，不包括需要供应商定制开发、创新研发的货物采购项目。</w:t>
      </w:r>
      <w:r/>
    </w:p>
    <w:p>
      <w:pPr>
        <w:ind w:firstLine="640"/>
        <w:rPr>
          <w:rFonts w:ascii="仿宋" w:hAnsi="仿宋" w:eastAsia="仿宋" w:cs="方正仿宋_GB2312"/>
          <w:sz w:val="32"/>
          <w:szCs w:val="32"/>
        </w:rPr>
      </w:pPr>
      <w:r>
        <w:rPr>
          <w:rFonts w:hint="eastAsia" w:ascii="仿宋" w:hAnsi="仿宋" w:eastAsia="仿宋" w:cs="方正仿宋_GB2312"/>
          <w:sz w:val="32"/>
          <w:szCs w:val="32"/>
        </w:rPr>
        <w:t xml:space="preserve">2.本合同标准文本为政府采购货物买卖合同编制提供参考，可以结合采购项目具体情况，对文本作必要的调整修订后使用。</w:t>
      </w:r>
      <w:r/>
    </w:p>
    <w:p>
      <w:pPr>
        <w:ind w:firstLine="640"/>
        <w:rPr>
          <w:rFonts w:ascii="仿宋" w:hAnsi="仿宋" w:eastAsia="仿宋" w:cs="方正仿宋_GB2312"/>
          <w:sz w:val="32"/>
          <w:szCs w:val="32"/>
        </w:rPr>
      </w:pPr>
      <w:r>
        <w:rPr>
          <w:rFonts w:hint="eastAsia" w:ascii="仿宋" w:hAnsi="仿宋" w:eastAsia="仿宋" w:cs="方正仿宋_GB2312"/>
          <w:sz w:val="32"/>
          <w:szCs w:val="32"/>
        </w:rPr>
        <w:t xml:space="preserve">3.本合同标准文本各条款中，如涉及填写多家供应商、制造商，多种采购标的、分包主要内容等信息的，可根据采购项目具体情况添加信息项。</w:t>
      </w:r>
      <w:bookmarkEnd w:id="3"/>
      <w:r/>
    </w:p>
    <w:p>
      <w:pPr>
        <w:jc w:val="left"/>
        <w:widowControl/>
        <w:rPr>
          <w:rFonts w:ascii="黑体" w:hAnsi="黑体" w:eastAsia="黑体" w:cs="Times New Roman"/>
          <w:sz w:val="28"/>
          <w:szCs w:val="28"/>
        </w:rPr>
      </w:pPr>
      <w:r/>
      <w:bookmarkStart w:id="4" w:name="_Toc22209"/>
      <w:r>
        <w:rPr>
          <w:rFonts w:ascii="黑体" w:hAnsi="黑体" w:eastAsia="黑体"/>
          <w:b/>
          <w:bCs/>
          <w:sz w:val="28"/>
          <w:szCs w:val="28"/>
        </w:rPr>
        <w:br w:type="page" w:clear="all"/>
      </w:r>
      <w:r/>
    </w:p>
    <w:p>
      <w:pPr>
        <w:pStyle w:val="862"/>
        <w:jc w:val="center"/>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4"/>
      <w:r/>
      <w:r/>
    </w:p>
    <w:p>
      <w:pPr>
        <w:spacing w:line="400" w:lineRule="exact"/>
        <w:rPr>
          <w:rFonts w:ascii="宋体" w:hAnsi="宋体" w:eastAsia="宋体"/>
          <w:szCs w:val="21"/>
        </w:rPr>
      </w:pPr>
      <w:r>
        <w:rPr>
          <w:rFonts w:hint="eastAsia" w:ascii="宋体" w:hAnsi="宋体" w:eastAsia="宋体"/>
          <w:szCs w:val="21"/>
        </w:rPr>
        <w:t xml:space="preserve">甲方（全称）：（采购人、受采购人委托签订合同的单位或采购文件约定的合同甲方）</w:t>
      </w:r>
      <w:r/>
    </w:p>
    <w:p>
      <w:pPr>
        <w:spacing w:line="400" w:lineRule="exact"/>
        <w:rPr>
          <w:rFonts w:ascii="宋体" w:hAnsi="宋体" w:eastAsia="宋体"/>
          <w:szCs w:val="21"/>
        </w:rPr>
      </w:pPr>
      <w:r>
        <w:rPr>
          <w:rFonts w:hint="eastAsia" w:ascii="宋体" w:hAnsi="宋体" w:eastAsia="宋体"/>
          <w:szCs w:val="21"/>
        </w:rPr>
        <w:t xml:space="preserve">乙方1（全称）：（供应商）</w:t>
      </w:r>
      <w:r/>
    </w:p>
    <w:p>
      <w:pPr>
        <w:spacing w:line="400" w:lineRule="exact"/>
        <w:rPr>
          <w:rFonts w:ascii="宋体" w:hAnsi="宋体" w:eastAsia="宋体"/>
          <w:szCs w:val="21"/>
        </w:rPr>
      </w:pPr>
      <w:r>
        <w:rPr>
          <w:rFonts w:hint="eastAsia" w:ascii="宋体" w:hAnsi="宋体" w:eastAsia="宋体"/>
          <w:szCs w:val="21"/>
        </w:rPr>
        <w:t xml:space="preserve">乙方2（全称）：（联合体成员供应商或其他合同主体）（如有）</w:t>
      </w:r>
      <w:r/>
    </w:p>
    <w:p>
      <w:pPr>
        <w:spacing w:line="400" w:lineRule="exact"/>
        <w:rPr>
          <w:rFonts w:ascii="宋体" w:hAnsi="宋体" w:eastAsia="宋体"/>
          <w:szCs w:val="21"/>
        </w:rPr>
      </w:pPr>
      <w:r>
        <w:rPr>
          <w:rFonts w:hint="eastAsia" w:ascii="宋体" w:hAnsi="宋体" w:eastAsia="宋体"/>
        </w:rPr>
        <w:t xml:space="preserve">乙方</w:t>
      </w:r>
      <w:r>
        <w:rPr>
          <w:rFonts w:hint="eastAsia" w:ascii="宋体" w:hAnsi="宋体" w:eastAsia="宋体"/>
          <w:szCs w:val="21"/>
        </w:rPr>
        <w:t xml:space="preserve">3</w:t>
      </w:r>
      <w:r>
        <w:rPr>
          <w:rFonts w:hint="eastAsia" w:ascii="宋体" w:hAnsi="宋体" w:eastAsia="宋体"/>
        </w:rPr>
        <w:t xml:space="preserve">（全称）：</w:t>
      </w:r>
      <w:r>
        <w:rPr>
          <w:rFonts w:hint="eastAsia" w:ascii="宋体" w:hAnsi="宋体" w:eastAsia="宋体"/>
          <w:szCs w:val="21"/>
        </w:rPr>
        <w:t xml:space="preserve">（联合体成员供应商或其他合同主体）（如有）</w:t>
      </w:r>
      <w:r/>
    </w:p>
    <w:p>
      <w:pPr>
        <w:spacing w:line="400" w:lineRule="exact"/>
        <w:rPr>
          <w:rFonts w:ascii="宋体" w:hAnsi="宋体" w:eastAsia="宋体"/>
        </w:rPr>
      </w:pPr>
      <w:r>
        <w:rPr>
          <w:rFonts w:ascii="宋体" w:hAnsi="宋体" w:eastAsia="宋体"/>
        </w:rPr>
      </w:r>
      <w:r/>
    </w:p>
    <w:p>
      <w:pPr>
        <w:pStyle w:val="873"/>
        <w:ind w:left="0" w:firstLine="420"/>
        <w:jc w:val="left"/>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项目信息</w:t>
      </w:r>
      <w:r/>
    </w:p>
    <w:p>
      <w:pPr>
        <w:pStyle w:val="873"/>
        <w:jc w:val="left"/>
        <w:spacing w:after="0" w:line="400" w:lineRule="exact"/>
        <w:rPr>
          <w:rFonts w:ascii="宋体" w:hAnsi="宋体"/>
          <w:szCs w:val="21"/>
          <w:u w:val="single"/>
        </w:rPr>
      </w:pPr>
      <w:r>
        <w:rPr>
          <w:rFonts w:hint="eastAsia" w:ascii="宋体" w:hAnsi="宋体"/>
          <w:szCs w:val="21"/>
        </w:rPr>
        <w:t xml:space="preserve">（1）采购项目名称：</w:t>
      </w:r>
      <w:r/>
    </w:p>
    <w:p>
      <w:pPr>
        <w:pStyle w:val="873"/>
        <w:numPr>
          <w:ilvl w:val="0"/>
          <w:numId w:val="0"/>
        </w:numPr>
        <w:ind w:firstLine="945"/>
        <w:jc w:val="left"/>
        <w:spacing w:after="0" w:line="400" w:lineRule="exact"/>
        <w:tabs>
          <w:tab w:val="left" w:pos="999" w:leader="none"/>
        </w:tabs>
        <w:rPr>
          <w:rFonts w:ascii="宋体" w:hAnsi="宋体"/>
          <w:szCs w:val="21"/>
        </w:rPr>
      </w:pPr>
      <w:r>
        <w:rPr>
          <w:rFonts w:hint="eastAsia" w:ascii="宋体" w:hAnsi="宋体"/>
          <w:szCs w:val="21"/>
        </w:rPr>
        <w:t xml:space="preserve">采购项目编号：</w:t>
      </w:r>
      <w:r/>
    </w:p>
    <w:p>
      <w:pPr>
        <w:pStyle w:val="873"/>
        <w:ind w:left="0" w:firstLine="420"/>
        <w:jc w:val="left"/>
        <w:spacing w:after="0" w:line="400" w:lineRule="exact"/>
        <w:rPr>
          <w:rFonts w:ascii="宋体" w:hAnsi="宋体"/>
          <w:szCs w:val="21"/>
        </w:rPr>
      </w:pPr>
      <w:r>
        <w:rPr>
          <w:rFonts w:hint="eastAsia" w:ascii="宋体" w:hAnsi="宋体"/>
          <w:szCs w:val="21"/>
        </w:rPr>
        <w:t xml:space="preserve">（2）采购计划编号：</w:t>
      </w:r>
      <w:r/>
    </w:p>
    <w:p>
      <w:pPr>
        <w:ind w:firstLine="420"/>
        <w:jc w:val="left"/>
        <w:spacing w:line="400" w:lineRule="exact"/>
        <w:rPr>
          <w:rFonts w:ascii="宋体" w:hAnsi="宋体" w:eastAsia="宋体"/>
          <w:szCs w:val="21"/>
        </w:rPr>
      </w:pPr>
      <w:r>
        <w:rPr>
          <w:rFonts w:hint="eastAsia" w:ascii="宋体" w:hAnsi="宋体" w:eastAsia="宋体"/>
          <w:szCs w:val="21"/>
        </w:rPr>
        <w:t xml:space="preserve">（3）项目内容：</w:t>
      </w:r>
      <w:r/>
    </w:p>
    <w:p>
      <w:pPr>
        <w:ind w:firstLine="945"/>
        <w:jc w:val="left"/>
        <w:spacing w:line="400" w:lineRule="exact"/>
        <w:rPr>
          <w:rFonts w:ascii="宋体" w:hAnsi="宋体" w:eastAsia="宋体"/>
          <w:szCs w:val="21"/>
        </w:rPr>
      </w:pPr>
      <w:r>
        <w:rPr>
          <w:rFonts w:hint="eastAsia" w:ascii="宋体" w:hAnsi="宋体" w:eastAsia="宋体"/>
          <w:szCs w:val="21"/>
        </w:rPr>
        <w:t xml:space="preserve">采购标的及数量（台/套</w:t>
      </w:r>
      <w:r>
        <w:rPr>
          <w:rFonts w:ascii="宋体" w:hAnsi="宋体" w:eastAsia="宋体"/>
          <w:szCs w:val="21"/>
        </w:rPr>
        <w:t xml:space="preserve">/</w:t>
      </w:r>
      <w:r>
        <w:rPr>
          <w:rFonts w:hint="eastAsia" w:ascii="宋体" w:hAnsi="宋体" w:eastAsia="宋体"/>
          <w:szCs w:val="21"/>
        </w:rPr>
        <w:t xml:space="preserve">个</w:t>
      </w:r>
      <w:r>
        <w:rPr>
          <w:rFonts w:ascii="宋体" w:hAnsi="宋体" w:eastAsia="宋体"/>
          <w:szCs w:val="21"/>
        </w:rPr>
        <w:t xml:space="preserve">/</w:t>
      </w:r>
      <w:r>
        <w:rPr>
          <w:rFonts w:hint="eastAsia" w:ascii="宋体" w:hAnsi="宋体" w:eastAsia="宋体"/>
          <w:szCs w:val="21"/>
        </w:rPr>
        <w:t xml:space="preserve">架</w:t>
      </w:r>
      <w:r>
        <w:rPr>
          <w:rFonts w:ascii="宋体" w:hAnsi="宋体" w:eastAsia="宋体"/>
          <w:szCs w:val="21"/>
        </w:rPr>
        <w:t xml:space="preserve">/</w:t>
      </w:r>
      <w:r>
        <w:rPr>
          <w:rFonts w:hint="eastAsia" w:ascii="宋体" w:hAnsi="宋体" w:eastAsia="宋体"/>
          <w:szCs w:val="21"/>
        </w:rPr>
        <w:t xml:space="preserve">组等）：</w:t>
      </w:r>
      <w:r/>
    </w:p>
    <w:p>
      <w:pPr>
        <w:ind w:firstLine="945"/>
        <w:jc w:val="left"/>
        <w:spacing w:line="400" w:lineRule="exact"/>
        <w:rPr>
          <w:rFonts w:ascii="宋体" w:hAnsi="宋体" w:eastAsia="宋体" w:cs="宋体"/>
          <w:szCs w:val="21"/>
        </w:rPr>
      </w:pPr>
      <w:r>
        <w:rPr>
          <w:rFonts w:hint="eastAsia" w:ascii="宋体" w:hAnsi="宋体" w:eastAsia="宋体"/>
          <w:szCs w:val="21"/>
        </w:rPr>
        <w:t xml:space="preserve">品牌：    规格型号</w:t>
      </w:r>
      <w:r>
        <w:rPr>
          <w:rFonts w:hint="eastAsia" w:ascii="宋体" w:hAnsi="宋体" w:eastAsia="宋体" w:cs="宋体"/>
          <w:szCs w:val="21"/>
        </w:rPr>
        <w:t xml:space="preserve">：    </w:t>
      </w:r>
      <w:r/>
    </w:p>
    <w:p>
      <w:pPr>
        <w:ind w:firstLine="945"/>
        <w:jc w:val="left"/>
        <w:spacing w:line="400" w:lineRule="exact"/>
        <w:rPr>
          <w:rFonts w:ascii="宋体" w:hAnsi="宋体" w:eastAsia="宋体"/>
          <w:szCs w:val="21"/>
          <w:u w:val="single"/>
        </w:rPr>
      </w:pPr>
      <w:r>
        <w:rPr>
          <w:rFonts w:hint="eastAsia" w:ascii="宋体" w:hAnsi="宋体" w:eastAsia="宋体"/>
          <w:szCs w:val="21"/>
        </w:rPr>
        <w:t xml:space="preserve">采购标的的技术要求、商务要求具体见附件。</w:t>
      </w:r>
      <w:r/>
    </w:p>
    <w:p>
      <w:pPr>
        <w:numPr>
          <w:ilvl w:val="0"/>
          <w:numId w:val="0"/>
        </w:numPr>
        <w:ind w:firstLine="945"/>
        <w:jc w:val="left"/>
        <w:spacing w:line="400" w:lineRule="exact"/>
        <w:rPr>
          <w:rFonts w:ascii="宋体" w:hAnsi="宋体" w:eastAsia="宋体" w:cs="宋体"/>
          <w:szCs w:val="21"/>
        </w:rPr>
      </w:pPr>
      <w:r>
        <w:rPr>
          <w:rFonts w:hint="eastAsia" w:ascii="宋体" w:hAnsi="宋体" w:eastAsia="宋体" w:cs="汉仪书宋二S"/>
          <w:szCs w:val="21"/>
        </w:rPr>
        <w:t xml:space="preserve">①</w:t>
      </w:r>
      <w:r>
        <w:rPr>
          <w:rFonts w:hint="eastAsia" w:ascii="宋体" w:hAnsi="宋体" w:eastAsia="宋体" w:cs="宋体"/>
          <w:szCs w:val="21"/>
        </w:rPr>
        <w:t xml:space="preserve">涉及信息类产品，请填写该产品关键部件的品牌、型号：</w:t>
      </w:r>
      <w:r/>
    </w:p>
    <w:p>
      <w:pPr>
        <w:numPr>
          <w:ilvl w:val="0"/>
          <w:numId w:val="0"/>
        </w:numPr>
        <w:ind w:firstLine="945"/>
        <w:jc w:val="left"/>
        <w:spacing w:line="400" w:lineRule="exact"/>
        <w:rPr>
          <w:rFonts w:ascii="宋体" w:hAnsi="宋体" w:eastAsia="宋体" w:cs="宋体"/>
          <w:szCs w:val="21"/>
        </w:rPr>
      </w:pPr>
      <w:r>
        <w:rPr>
          <w:rFonts w:hint="eastAsia" w:ascii="宋体" w:hAnsi="宋体" w:eastAsia="宋体" w:cs="宋体"/>
          <w:szCs w:val="21"/>
        </w:rPr>
        <w:t xml:space="preserve">标的名称：</w:t>
      </w:r>
      <w:r/>
    </w:p>
    <w:p>
      <w:pPr>
        <w:numPr>
          <w:ilvl w:val="0"/>
          <w:numId w:val="0"/>
        </w:numPr>
        <w:ind w:firstLine="945"/>
        <w:jc w:val="left"/>
        <w:spacing w:line="400" w:lineRule="exact"/>
        <w:rPr>
          <w:rFonts w:ascii="宋体" w:hAnsi="宋体" w:eastAsia="宋体" w:cs="宋体"/>
          <w:szCs w:val="21"/>
        </w:rPr>
      </w:pPr>
      <w:r>
        <w:rPr>
          <w:rFonts w:hint="eastAsia" w:ascii="宋体" w:hAnsi="宋体" w:eastAsia="宋体" w:cs="宋体"/>
          <w:szCs w:val="21"/>
        </w:rPr>
        <w:t xml:space="preserve">关键部件：    品牌：    型号：</w:t>
      </w:r>
      <w:r/>
    </w:p>
    <w:p>
      <w:pPr>
        <w:numPr>
          <w:ilvl w:val="0"/>
          <w:numId w:val="0"/>
        </w:numPr>
        <w:ind w:firstLine="945"/>
        <w:jc w:val="left"/>
        <w:spacing w:line="400" w:lineRule="exact"/>
        <w:rPr>
          <w:rFonts w:ascii="宋体" w:hAnsi="宋体" w:eastAsia="宋体" w:cs="宋体"/>
          <w:szCs w:val="21"/>
        </w:rPr>
      </w:pPr>
      <w:r>
        <w:rPr>
          <w:rFonts w:hint="eastAsia" w:ascii="宋体" w:hAnsi="宋体" w:eastAsia="宋体" w:cs="宋体"/>
          <w:szCs w:val="21"/>
        </w:rPr>
        <w:t xml:space="preserve">关键部件：    品牌：    型号：</w:t>
      </w:r>
      <w:r/>
    </w:p>
    <w:p>
      <w:pPr>
        <w:numPr>
          <w:ilvl w:val="0"/>
          <w:numId w:val="0"/>
        </w:numPr>
        <w:ind w:firstLine="945"/>
        <w:jc w:val="left"/>
        <w:spacing w:line="400" w:lineRule="exact"/>
        <w:rPr>
          <w:rFonts w:ascii="宋体" w:hAnsi="宋体" w:eastAsia="宋体" w:cs="宋体"/>
        </w:rPr>
      </w:pPr>
      <w:r>
        <w:rPr>
          <w:rFonts w:hint="eastAsia" w:ascii="宋体" w:hAnsi="宋体" w:eastAsia="宋体" w:cs="宋体"/>
        </w:rPr>
        <w:t xml:space="preserve">关键部件：    品牌：    型号：</w:t>
      </w:r>
      <w:r/>
    </w:p>
    <w:p>
      <w:pPr>
        <w:numPr>
          <w:ilvl w:val="0"/>
          <w:numId w:val="0"/>
        </w:numPr>
        <w:ind w:firstLine="945"/>
        <w:jc w:val="left"/>
        <w:spacing w:line="400" w:lineRule="exact"/>
        <w:rPr>
          <w:rFonts w:ascii="宋体" w:hAnsi="宋体" w:eastAsia="宋体" w:cs="宋体"/>
          <w:szCs w:val="21"/>
        </w:rPr>
      </w:pPr>
      <w:r>
        <w:rPr>
          <w:rFonts w:hint="eastAsia" w:ascii="宋体" w:hAnsi="宋体" w:eastAsia="宋体" w:cs="宋体"/>
        </w:rPr>
        <w:t xml:space="preserve">（注：关键部件是指财政部会同有关部门发布的政府采购需求标准规定的需要通过国家有关部门指定的测评机构开展的安全可靠测评的软硬件，如CPU芯片、操作系统、数据库等。）</w:t>
      </w:r>
      <w:r/>
    </w:p>
    <w:p>
      <w:pPr>
        <w:pStyle w:val="893"/>
        <w:numPr>
          <w:ilvl w:val="0"/>
          <w:numId w:val="0"/>
        </w:numPr>
        <w:ind w:firstLine="945"/>
        <w:rPr>
          <w:rFonts w:ascii="宋体" w:hAnsi="宋体" w:eastAsia="宋体" w:cs="宋体"/>
          <w:sz w:val="21"/>
        </w:rPr>
      </w:pP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p>
    <w:p>
      <w:pPr>
        <w:pStyle w:val="893"/>
        <w:numPr>
          <w:ilvl w:val="0"/>
          <w:numId w:val="0"/>
        </w:numPr>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    数量：    金额：</w:t>
      </w:r>
      <w:r/>
    </w:p>
    <w:p>
      <w:pPr>
        <w:pStyle w:val="893"/>
        <w:numPr>
          <w:ilvl w:val="0"/>
          <w:numId w:val="0"/>
        </w:numPr>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否</w:t>
      </w:r>
      <w:r/>
    </w:p>
    <w:p>
      <w:pPr>
        <w:pStyle w:val="893"/>
        <w:numPr>
          <w:ilvl w:val="0"/>
          <w:numId w:val="0"/>
        </w:numPr>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893"/>
        <w:numPr>
          <w:ilvl w:val="0"/>
          <w:numId w:val="0"/>
        </w:numPr>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893"/>
        <w:numPr>
          <w:ilvl w:val="0"/>
          <w:numId w:val="0"/>
        </w:numPr>
        <w:ind w:firstLine="2436"/>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p>
    <w:p>
      <w:pPr>
        <w:pStyle w:val="893"/>
        <w:numPr>
          <w:ilvl w:val="0"/>
          <w:numId w:val="0"/>
        </w:numPr>
        <w:ind w:firstLine="945"/>
        <w:rPr>
          <w:rFonts w:ascii="宋体" w:hAnsi="宋体" w:eastAsia="宋体" w:cs="宋体"/>
          <w:sz w:val="21"/>
          <w:u w:val="single"/>
        </w:rPr>
      </w:pPr>
      <w:r>
        <w:rPr>
          <w:rFonts w:hint="eastAsia" w:ascii="宋体" w:hAnsi="宋体" w:eastAsia="宋体" w:cs="宋体"/>
          <w:sz w:val="21"/>
        </w:rPr>
        <w:t xml:space="preserve">（注：在框架协议采购的第二阶段，可选择使用该合同文本）</w:t>
      </w:r>
      <w:r/>
    </w:p>
    <w:p>
      <w:pPr>
        <w:pStyle w:val="893"/>
        <w:numPr>
          <w:ilvl w:val="0"/>
          <w:numId w:val="0"/>
        </w:numPr>
        <w:ind w:firstLine="420"/>
        <w:rPr>
          <w:rFonts w:ascii="宋体" w:hAnsi="宋体" w:eastAsia="宋体" w:cs="Times New Roman"/>
          <w:sz w:val="21"/>
        </w:rPr>
      </w:pPr>
      <w:r>
        <w:rPr>
          <w:rFonts w:hint="eastAsia" w:ascii="宋体" w:hAnsi="宋体" w:eastAsia="宋体" w:cs="宋体"/>
          <w:sz w:val="21"/>
        </w:rPr>
        <w:t xml:space="preserve">（</w:t>
      </w:r>
      <w:r>
        <w:rPr>
          <w:rFonts w:ascii="宋体" w:hAnsi="宋体" w:eastAsia="宋体" w:cs="宋体"/>
          <w:sz w:val="21"/>
        </w:rPr>
        <w:t xml:space="preserve">6</w:t>
      </w:r>
      <w:r>
        <w:rPr>
          <w:rFonts w:hint="eastAsia" w:ascii="宋体" w:hAnsi="宋体" w:eastAsia="宋体" w:cs="宋体"/>
          <w:sz w:val="21"/>
        </w:rPr>
        <w:t xml:space="preserve">）中标（成交）采购</w:t>
      </w:r>
      <w:r>
        <w:rPr>
          <w:rFonts w:hint="eastAsia" w:ascii="宋体" w:hAnsi="宋体" w:eastAsia="宋体" w:cs="Times New Roman"/>
          <w:sz w:val="21"/>
        </w:rPr>
        <w:t xml:space="preserve">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0"/>
          <w:numId w:val="0"/>
        </w:numPr>
        <w:ind w:firstLine="945"/>
        <w:jc w:val="left"/>
        <w:spacing w:line="400" w:lineRule="exact"/>
        <w:rPr>
          <w:rFonts w:ascii="宋体" w:hAnsi="宋体" w:eastAsia="宋体"/>
          <w:iCs/>
          <w:szCs w:val="21"/>
        </w:rPr>
      </w:pPr>
      <w:r>
        <w:rPr>
          <w:rFonts w:hint="eastAsia" w:ascii="宋体" w:hAnsi="宋体" w:eastAsia="宋体"/>
          <w:szCs w:val="21"/>
        </w:rPr>
        <w:t xml:space="preserve">本合同是否为专门面向中小企业的采购合同（中小企业预留合同）：</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numPr>
          <w:ilvl w:val="0"/>
          <w:numId w:val="0"/>
        </w:numPr>
        <w:ind w:firstLine="945"/>
        <w:jc w:val="left"/>
        <w:spacing w:line="400" w:lineRule="exact"/>
        <w:rPr>
          <w:rFonts w:ascii="宋体" w:hAnsi="宋体" w:eastAsia="宋体"/>
          <w:iCs/>
          <w:szCs w:val="21"/>
        </w:rPr>
      </w:pPr>
      <w:r>
        <w:rPr>
          <w:rFonts w:hint="eastAsia" w:ascii="宋体" w:hAnsi="宋体" w:eastAsia="宋体"/>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numPr>
          <w:ilvl w:val="0"/>
          <w:numId w:val="0"/>
        </w:numPr>
        <w:ind w:firstLine="945"/>
        <w:jc w:val="left"/>
        <w:spacing w:line="400" w:lineRule="exact"/>
        <w:rPr>
          <w:rFonts w:ascii="宋体" w:hAnsi="宋体" w:eastAsia="宋体"/>
          <w:iCs/>
          <w:szCs w:val="21"/>
        </w:rPr>
      </w:pPr>
      <w:r>
        <w:rPr>
          <w:rFonts w:hint="eastAsia" w:ascii="宋体" w:hAnsi="宋体" w:eastAsia="宋体"/>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ind w:firstLine="945"/>
        <w:jc w:val="left"/>
        <w:spacing w:line="400" w:lineRule="exact"/>
        <w:rPr>
          <w:rFonts w:ascii="宋体" w:hAnsi="宋体" w:eastAsia="宋体"/>
        </w:rPr>
      </w:pPr>
      <w:r>
        <w:rPr>
          <w:rFonts w:hint="eastAsia" w:ascii="宋体" w:hAnsi="宋体" w:eastAsia="宋体"/>
        </w:rPr>
        <w:t xml:space="preserve">中标（成交）采购标的制造商是否为监狱企业：</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ind w:firstLine="420"/>
        <w:jc w:val="left"/>
        <w:spacing w:line="400" w:lineRule="exact"/>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7</w:t>
      </w:r>
      <w:r>
        <w:rPr>
          <w:rFonts w:hint="eastAsia" w:ascii="宋体" w:hAnsi="宋体" w:eastAsia="宋体"/>
          <w:szCs w:val="21"/>
        </w:rPr>
        <w:t xml:space="preserve">）合同是否分包：</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ind w:firstLine="945"/>
        <w:jc w:val="left"/>
        <w:spacing w:line="400" w:lineRule="exact"/>
        <w:rPr>
          <w:rFonts w:ascii="宋体" w:hAnsi="宋体" w:eastAsia="宋体"/>
          <w:szCs w:val="21"/>
          <w:u w:val="single"/>
        </w:rPr>
      </w:pPr>
      <w:r>
        <w:rPr>
          <w:rFonts w:hint="eastAsia" w:ascii="宋体" w:hAnsi="宋体" w:eastAsia="宋体"/>
          <w:szCs w:val="21"/>
        </w:rPr>
        <w:t xml:space="preserve">分包主要内容：</w:t>
      </w:r>
      <w:r/>
    </w:p>
    <w:p>
      <w:pPr>
        <w:ind w:firstLine="945"/>
        <w:jc w:val="left"/>
        <w:spacing w:line="400" w:lineRule="exact"/>
        <w:rPr>
          <w:rFonts w:ascii="宋体" w:hAnsi="宋体" w:eastAsia="宋体"/>
          <w:szCs w:val="21"/>
        </w:rPr>
      </w:pPr>
      <w:r>
        <w:rPr>
          <w:rFonts w:hint="eastAsia" w:ascii="宋体" w:hAnsi="宋体" w:eastAsia="宋体"/>
          <w:szCs w:val="21"/>
        </w:rPr>
        <w:t xml:space="preserve">分包供应商/制造商名称（如供应商和制造商不同，请分别填写）：</w:t>
      </w:r>
      <w:r/>
    </w:p>
    <w:p>
      <w:pPr>
        <w:ind w:firstLine="945"/>
        <w:jc w:val="left"/>
        <w:spacing w:line="400" w:lineRule="exact"/>
        <w:rPr>
          <w:rFonts w:ascii="宋体" w:hAnsi="宋体" w:eastAsia="宋体"/>
          <w:szCs w:val="21"/>
        </w:rPr>
      </w:pPr>
      <w:r>
        <w:rPr>
          <w:rFonts w:hint="eastAsia" w:ascii="宋体" w:hAnsi="宋体" w:eastAsia="宋体"/>
          <w:szCs w:val="21"/>
        </w:rPr>
        <w:t xml:space="preserve">分包供应商/制造商类型（如果供应商和制造商不同，只填写制造商类型）：</w:t>
      </w:r>
      <w:r/>
    </w:p>
    <w:p>
      <w:pPr>
        <w:ind w:firstLine="945"/>
        <w:jc w:val="left"/>
        <w:spacing w:line="400" w:lineRule="exact"/>
        <w:rPr>
          <w:rFonts w:ascii="宋体" w:hAnsi="宋体" w:eastAsia="宋体"/>
          <w:iCs/>
          <w:szCs w:val="21"/>
        </w:rPr>
      </w:pPr>
      <w:r>
        <w:rPr>
          <w:rFonts w:ascii="Wingdings" w:hAnsi="Wingdings" w:eastAsia="Wingdings" w:cs="Wingdings"/>
          <w:iCs/>
          <w:szCs w:val="21"/>
        </w:rPr>
        <w:t xml:space="preserve">¨</w:t>
      </w:r>
      <w:r>
        <w:rPr>
          <w:rFonts w:hint="eastAsia" w:ascii="宋体" w:hAnsi="宋体" w:eastAsia="宋体"/>
          <w:iCs/>
          <w:szCs w:val="21"/>
        </w:rPr>
        <w:t xml:space="preserve">大型企业  </w:t>
      </w:r>
      <w:r>
        <w:rPr>
          <w:rFonts w:ascii="Wingdings" w:hAnsi="Wingdings" w:eastAsia="Wingdings" w:cs="Wingdings"/>
          <w:iCs/>
          <w:szCs w:val="21"/>
        </w:rPr>
        <w:t xml:space="preserve">¨</w:t>
      </w:r>
      <w:r>
        <w:rPr>
          <w:rFonts w:hint="eastAsia" w:ascii="宋体" w:hAnsi="宋体" w:eastAsia="宋体"/>
          <w:iCs/>
          <w:szCs w:val="21"/>
        </w:rPr>
        <w:t xml:space="preserve">中型企业  </w:t>
      </w:r>
      <w:r>
        <w:rPr>
          <w:rFonts w:ascii="Wingdings" w:hAnsi="Wingdings" w:eastAsia="Wingdings" w:cs="Wingdings"/>
          <w:iCs/>
          <w:szCs w:val="21"/>
        </w:rPr>
        <w:t xml:space="preserve">¨</w:t>
      </w:r>
      <w:r>
        <w:rPr>
          <w:rFonts w:hint="eastAsia" w:ascii="宋体" w:hAnsi="宋体" w:eastAsia="宋体"/>
          <w:iCs/>
          <w:szCs w:val="21"/>
        </w:rPr>
        <w:t xml:space="preserve">小微型企业</w:t>
      </w:r>
      <w:r/>
    </w:p>
    <w:p>
      <w:pPr>
        <w:ind w:firstLine="945"/>
        <w:jc w:val="left"/>
        <w:spacing w:line="400" w:lineRule="exact"/>
        <w:rPr>
          <w:rFonts w:ascii="宋体" w:hAnsi="宋体" w:eastAsia="宋体"/>
        </w:rPr>
      </w:pPr>
      <w:r>
        <w:rPr>
          <w:rFonts w:ascii="Wingdings" w:hAnsi="Wingdings" w:eastAsia="Wingdings" w:cs="Wingdings"/>
          <w:iCs/>
          <w:szCs w:val="21"/>
        </w:rPr>
        <w:t xml:space="preserve">¨</w:t>
      </w:r>
      <w:r>
        <w:rPr>
          <w:rFonts w:hint="eastAsia" w:ascii="宋体" w:hAnsi="宋体" w:eastAsia="宋体"/>
          <w:iCs/>
          <w:szCs w:val="21"/>
        </w:rPr>
        <w:t xml:space="preserve">残疾人福利性单位  </w:t>
      </w:r>
      <w:r>
        <w:rPr>
          <w:rFonts w:ascii="Wingdings" w:hAnsi="Wingdings" w:eastAsia="Wingdings" w:cs="Wingdings"/>
          <w:iCs/>
          <w:szCs w:val="21"/>
        </w:rPr>
        <w:t xml:space="preserve">¨</w:t>
      </w:r>
      <w:r>
        <w:rPr>
          <w:rFonts w:hint="eastAsia" w:ascii="宋体" w:hAnsi="宋体" w:eastAsia="宋体"/>
          <w:iCs/>
          <w:szCs w:val="21"/>
        </w:rPr>
        <w:t xml:space="preserve">监狱企业  </w:t>
      </w:r>
      <w:r>
        <w:rPr>
          <w:rFonts w:ascii="Wingdings" w:hAnsi="Wingdings" w:eastAsia="Wingdings" w:cs="Wingdings"/>
          <w:iCs/>
          <w:szCs w:val="21"/>
        </w:rPr>
        <w:t xml:space="preserve">¨</w:t>
      </w:r>
      <w:r>
        <w:rPr>
          <w:rFonts w:hint="eastAsia" w:ascii="宋体" w:hAnsi="宋体" w:eastAsia="宋体"/>
          <w:iCs/>
          <w:szCs w:val="21"/>
        </w:rPr>
        <w:t xml:space="preserve">其他</w:t>
      </w:r>
      <w:r/>
    </w:p>
    <w:p>
      <w:pPr>
        <w:numPr>
          <w:ilvl w:val="0"/>
          <w:numId w:val="0"/>
        </w:numPr>
        <w:ind w:firstLine="420"/>
        <w:jc w:val="left"/>
        <w:spacing w:line="400" w:lineRule="exact"/>
        <w:rPr>
          <w:rFonts w:ascii="宋体" w:hAnsi="宋体" w:eastAsia="宋体" w:cs="宋体"/>
          <w:iCs/>
          <w:szCs w:val="21"/>
        </w:rPr>
      </w:pPr>
      <w:r>
        <w:rPr>
          <w:rFonts w:hint="eastAsia" w:ascii="宋体" w:hAnsi="宋体" w:eastAsia="宋体" w:cs="宋体"/>
          <w:szCs w:val="21"/>
        </w:rPr>
        <w:t xml:space="preserve">（</w:t>
      </w:r>
      <w:r>
        <w:rPr>
          <w:rFonts w:ascii="宋体" w:hAnsi="宋体" w:eastAsia="宋体" w:cs="宋体"/>
          <w:szCs w:val="21"/>
        </w:rPr>
        <w:t xml:space="preserve">8</w:t>
      </w:r>
      <w:r>
        <w:rPr>
          <w:rFonts w:hint="eastAsia" w:ascii="宋体" w:hAnsi="宋体" w:eastAsia="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eastAsia="宋体" w:cs="宋体"/>
          <w:iCs/>
          <w:szCs w:val="21"/>
        </w:rPr>
        <w:t xml:space="preserve">是       </w:t>
      </w:r>
      <w:r>
        <w:rPr>
          <w:rFonts w:ascii="Wingdings" w:hAnsi="Wingdings" w:eastAsia="Wingdings" w:cs="Wingdings"/>
          <w:iCs/>
          <w:szCs w:val="21"/>
        </w:rPr>
        <w:t xml:space="preserve">¨</w:t>
      </w:r>
      <w:r>
        <w:rPr>
          <w:rFonts w:hint="eastAsia" w:ascii="宋体" w:hAnsi="宋体" w:eastAsia="宋体" w:cs="宋体"/>
          <w:iCs/>
          <w:szCs w:val="21"/>
        </w:rPr>
        <w:t xml:space="preserve">否</w:t>
      </w:r>
      <w:r/>
    </w:p>
    <w:p>
      <w:pPr>
        <w:pStyle w:val="893"/>
        <w:ind w:firstLine="945"/>
        <w:tabs>
          <w:tab w:val="left" w:pos="1340" w:leader="none"/>
        </w:tabs>
        <w:rPr>
          <w:rFonts w:ascii="宋体" w:hAnsi="宋体" w:eastAsia="宋体" w:cs="宋体"/>
          <w:sz w:val="21"/>
          <w:u w:val="single"/>
        </w:rPr>
      </w:pPr>
      <w:r>
        <w:rPr>
          <w:rFonts w:hint="eastAsia" w:ascii="宋体" w:hAnsi="宋体" w:eastAsia="宋体" w:cs="宋体"/>
          <w:sz w:val="21"/>
        </w:rPr>
        <w:t xml:space="preserve">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0"/>
          <w:numId w:val="0"/>
        </w:numPr>
        <w:ind w:firstLine="420"/>
        <w:jc w:val="left"/>
        <w:spacing w:line="400" w:lineRule="exact"/>
        <w:rPr>
          <w:rFonts w:ascii="宋体" w:hAnsi="宋体" w:eastAsia="宋体" w:cs="宋体"/>
          <w:szCs w:val="21"/>
        </w:rPr>
      </w:pPr>
      <w:r>
        <w:rPr>
          <w:rFonts w:hint="eastAsia" w:ascii="宋体" w:hAnsi="宋体" w:eastAsia="宋体" w:cs="宋体"/>
          <w:szCs w:val="21"/>
        </w:rPr>
        <w:t xml:space="preserve">（</w:t>
      </w:r>
      <w:r>
        <w:rPr>
          <w:rFonts w:ascii="宋体" w:hAnsi="宋体" w:eastAsia="宋体" w:cs="宋体"/>
          <w:szCs w:val="21"/>
        </w:rPr>
        <w:t xml:space="preserve">9</w:t>
      </w:r>
      <w:r>
        <w:rPr>
          <w:rFonts w:hint="eastAsia" w:ascii="宋体" w:hAnsi="宋体" w:eastAsia="宋体" w:cs="宋体"/>
          <w:szCs w:val="21"/>
        </w:rPr>
        <w:t xml:space="preserve">）是否涉及进口产品：</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是，《政府采购品目分类目录》底级品目名称：金额：</w:t>
      </w:r>
      <w:r/>
    </w:p>
    <w:p>
      <w:pPr>
        <w:ind w:firstLine="945"/>
        <w:jc w:val="left"/>
        <w:spacing w:line="400" w:lineRule="exact"/>
        <w:rPr>
          <w:rFonts w:ascii="宋体" w:hAnsi="宋体" w:eastAsia="宋体"/>
          <w:szCs w:val="21"/>
        </w:rPr>
      </w:pPr>
      <w:r>
        <w:rPr>
          <w:rFonts w:hint="eastAsia" w:ascii="宋体" w:hAnsi="宋体" w:eastAsia="宋体"/>
          <w:szCs w:val="21"/>
        </w:rPr>
        <w:t xml:space="preserve">国别：    品牌：    规格型号：</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否</w:t>
      </w:r>
      <w:r/>
    </w:p>
    <w:p>
      <w:pPr>
        <w:numPr>
          <w:ilvl w:val="0"/>
          <w:numId w:val="0"/>
        </w:numPr>
        <w:jc w:val="left"/>
        <w:spacing w:line="400" w:lineRule="exact"/>
        <w:tabs>
          <w:tab w:val="left" w:pos="740" w:leader="none"/>
        </w:tabs>
        <w:rPr>
          <w:rFonts w:ascii="宋体" w:hAnsi="宋体" w:eastAsia="宋体"/>
          <w:szCs w:val="21"/>
        </w:rPr>
      </w:pPr>
      <w:r>
        <w:rPr>
          <w:rFonts w:hint="eastAsia" w:ascii="宋体" w:hAnsi="宋体" w:eastAsia="宋体"/>
          <w:szCs w:val="21"/>
        </w:rPr>
        <w:t xml:space="preserve">    （1</w:t>
      </w:r>
      <w:r>
        <w:rPr>
          <w:rFonts w:ascii="宋体" w:hAnsi="宋体" w:eastAsia="宋体"/>
          <w:szCs w:val="21"/>
        </w:rPr>
        <w:t xml:space="preserve">0</w:t>
      </w:r>
      <w:r>
        <w:rPr>
          <w:rFonts w:hint="eastAsia" w:ascii="宋体" w:hAnsi="宋体" w:eastAsia="宋体"/>
          <w:szCs w:val="21"/>
        </w:rPr>
        <w:t xml:space="preserve">）是否涉及节能产品：</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是，《节能产品政府采购品目清单》的底级品目名称：</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强制采购  </w:t>
      </w:r>
      <w:r>
        <w:rPr>
          <w:rFonts w:ascii="Wingdings" w:hAnsi="Wingdings" w:eastAsia="Wingdings" w:cs="Wingdings"/>
          <w:szCs w:val="21"/>
        </w:rPr>
        <w:t xml:space="preserve">¨</w:t>
      </w:r>
      <w:r>
        <w:rPr>
          <w:rFonts w:hint="eastAsia" w:ascii="宋体" w:hAnsi="宋体" w:eastAsia="宋体"/>
          <w:szCs w:val="21"/>
        </w:rPr>
        <w:t xml:space="preserve">优先采购</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否</w:t>
      </w:r>
      <w:r/>
    </w:p>
    <w:p>
      <w:pPr>
        <w:ind w:firstLine="945"/>
        <w:jc w:val="left"/>
        <w:spacing w:line="400" w:lineRule="exact"/>
        <w:rPr>
          <w:rFonts w:ascii="宋体" w:hAnsi="宋体" w:eastAsia="宋体"/>
          <w:szCs w:val="21"/>
        </w:rPr>
      </w:pPr>
      <w:r>
        <w:rPr>
          <w:rFonts w:hint="eastAsia" w:ascii="宋体" w:hAnsi="宋体" w:eastAsia="宋体"/>
          <w:szCs w:val="21"/>
        </w:rPr>
        <w:t xml:space="preserve">是否涉及环境标志产品：</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是，《环境标志产品政府采购品目清单》的底级品目名称：</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强制采购  </w:t>
      </w:r>
      <w:r>
        <w:rPr>
          <w:rFonts w:ascii="Wingdings" w:hAnsi="Wingdings" w:eastAsia="Wingdings" w:cs="Wingdings"/>
          <w:szCs w:val="21"/>
        </w:rPr>
        <w:t xml:space="preserve">¨</w:t>
      </w:r>
      <w:r>
        <w:rPr>
          <w:rFonts w:hint="eastAsia" w:ascii="宋体" w:hAnsi="宋体" w:eastAsia="宋体"/>
          <w:szCs w:val="21"/>
        </w:rPr>
        <w:t xml:space="preserve">优先采购</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否</w:t>
      </w:r>
      <w:r/>
    </w:p>
    <w:p>
      <w:pPr>
        <w:ind w:firstLine="945"/>
        <w:jc w:val="left"/>
        <w:spacing w:line="400" w:lineRule="exact"/>
        <w:rPr>
          <w:rFonts w:ascii="宋体" w:hAnsi="宋体" w:eastAsia="宋体"/>
          <w:szCs w:val="21"/>
        </w:rPr>
      </w:pPr>
      <w:r>
        <w:rPr>
          <w:rFonts w:hint="eastAsia" w:ascii="宋体" w:hAnsi="宋体" w:eastAsia="宋体"/>
          <w:szCs w:val="21"/>
        </w:rPr>
        <w:t xml:space="preserve">是否涉及绿色产品：</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是，绿色产品政府采购相关政策确定的底级品目名称：</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强制采购  </w:t>
      </w:r>
      <w:r>
        <w:rPr>
          <w:rFonts w:ascii="Wingdings" w:hAnsi="Wingdings" w:eastAsia="Wingdings" w:cs="Wingdings"/>
          <w:szCs w:val="21"/>
        </w:rPr>
        <w:t xml:space="preserve">¨</w:t>
      </w:r>
      <w:r>
        <w:rPr>
          <w:rFonts w:hint="eastAsia" w:ascii="宋体" w:hAnsi="宋体" w:eastAsia="宋体"/>
          <w:szCs w:val="21"/>
        </w:rPr>
        <w:t xml:space="preserve">优先采购</w:t>
      </w:r>
      <w:r/>
    </w:p>
    <w:p>
      <w:pPr>
        <w:ind w:firstLine="945"/>
        <w:jc w:val="left"/>
        <w:spacing w:line="400" w:lineRule="exact"/>
        <w:rPr>
          <w:rFonts w:ascii="宋体" w:hAnsi="宋体" w:eastAsia="宋体"/>
          <w:szCs w:val="21"/>
        </w:rPr>
      </w:pPr>
      <w:r>
        <w:rPr>
          <w:rFonts w:ascii="Wingdings" w:hAnsi="Wingdings" w:eastAsia="Wingdings" w:cs="Wingdings"/>
        </w:rPr>
        <w:t xml:space="preserve">¨</w:t>
      </w:r>
      <w:r>
        <w:rPr>
          <w:rFonts w:hint="eastAsia" w:ascii="宋体" w:hAnsi="宋体" w:eastAsia="宋体" w:cs="Times New Roman"/>
        </w:rPr>
        <w:t xml:space="preserve">否</w:t>
      </w:r>
      <w:r/>
    </w:p>
    <w:p>
      <w:pPr>
        <w:numPr>
          <w:ilvl w:val="0"/>
          <w:numId w:val="0"/>
        </w:numPr>
        <w:ind w:firstLine="420"/>
        <w:jc w:val="left"/>
        <w:spacing w:line="400" w:lineRule="exact"/>
        <w:rPr>
          <w:rFonts w:ascii="宋体" w:hAnsi="宋体" w:eastAsia="宋体"/>
          <w:szCs w:val="21"/>
        </w:rPr>
      </w:pPr>
      <w:r>
        <w:rPr>
          <w:rFonts w:hint="eastAsia" w:ascii="宋体" w:hAnsi="宋体" w:eastAsia="宋体"/>
          <w:szCs w:val="21"/>
        </w:rPr>
        <w:t xml:space="preserve">（1</w:t>
      </w:r>
      <w:r>
        <w:rPr>
          <w:rFonts w:ascii="宋体" w:hAnsi="宋体" w:eastAsia="宋体"/>
          <w:szCs w:val="21"/>
        </w:rPr>
        <w:t xml:space="preserve">1</w:t>
      </w:r>
      <w:r>
        <w:rPr>
          <w:rFonts w:hint="eastAsia" w:ascii="宋体" w:hAnsi="宋体" w:eastAsia="宋体"/>
          <w:szCs w:val="21"/>
        </w:rPr>
        <w:t xml:space="preserve">）涉及商品包装和快递包装的，是否参考《商品包装政府采购需求标准（试行）》、《快递包装政府采购需求标准（试行）》明确产品及相关快递服务的具体包装要求：</w:t>
      </w:r>
      <w:r/>
    </w:p>
    <w:p>
      <w:pPr>
        <w:numPr>
          <w:ilvl w:val="0"/>
          <w:numId w:val="0"/>
        </w:num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  </w:t>
      </w:r>
      <w:r>
        <w:rPr>
          <w:rFonts w:ascii="Wingdings" w:hAnsi="Wingdings" w:eastAsia="Wingdings" w:cs="Wingdings"/>
          <w:szCs w:val="21"/>
        </w:rPr>
        <w:t xml:space="preserve">¨</w:t>
      </w:r>
      <w:r>
        <w:rPr>
          <w:rFonts w:hint="eastAsia" w:ascii="宋体" w:hAnsi="宋体" w:eastAsia="宋体"/>
          <w:szCs w:val="21"/>
        </w:rPr>
        <w:t xml:space="preserve">否  </w:t>
      </w:r>
      <w:r>
        <w:rPr>
          <w:rFonts w:ascii="Wingdings" w:hAnsi="Wingdings" w:eastAsia="Wingdings" w:cs="Wingdings"/>
          <w:szCs w:val="21"/>
        </w:rPr>
        <w:t xml:space="preserve">¨</w:t>
      </w:r>
      <w:r>
        <w:rPr>
          <w:rFonts w:hint="eastAsia" w:ascii="宋体" w:hAnsi="宋体" w:eastAsia="宋体"/>
          <w:szCs w:val="21"/>
        </w:rPr>
        <w:t xml:space="preserve">不涉及</w:t>
      </w:r>
      <w:r/>
    </w:p>
    <w:p>
      <w:pPr>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合同金额</w:t>
      </w:r>
      <w:r/>
    </w:p>
    <w:p>
      <w:pPr>
        <w:ind w:firstLine="420"/>
        <w:jc w:val="left"/>
        <w:spacing w:line="400" w:lineRule="exact"/>
        <w:rPr>
          <w:rFonts w:ascii="宋体" w:hAnsi="宋体" w:eastAsia="宋体"/>
          <w:szCs w:val="21"/>
        </w:rPr>
      </w:pPr>
      <w:r>
        <w:rPr>
          <w:rFonts w:hint="eastAsia" w:ascii="宋体" w:hAnsi="宋体" w:eastAsia="宋体"/>
          <w:szCs w:val="21"/>
        </w:rPr>
        <w:t xml:space="preserve">（1）合同金额小写：</w:t>
      </w:r>
      <w:r/>
    </w:p>
    <w:p>
      <w:pPr>
        <w:ind w:firstLine="945"/>
        <w:jc w:val="left"/>
        <w:spacing w:line="400" w:lineRule="exact"/>
        <w:rPr>
          <w:rFonts w:ascii="宋体" w:hAnsi="宋体" w:eastAsia="宋体"/>
          <w:szCs w:val="21"/>
          <w:u w:val="single"/>
        </w:rPr>
      </w:pPr>
      <w:r>
        <w:rPr>
          <w:rFonts w:hint="eastAsia" w:ascii="宋体" w:hAnsi="宋体" w:eastAsia="宋体"/>
          <w:szCs w:val="21"/>
        </w:rPr>
        <w:t xml:space="preserve">大写：</w:t>
      </w:r>
      <w:r/>
    </w:p>
    <w:p>
      <w:pPr>
        <w:ind w:firstLine="945"/>
        <w:jc w:val="left"/>
        <w:spacing w:line="400" w:lineRule="exact"/>
        <w:rPr>
          <w:rFonts w:ascii="宋体" w:hAnsi="宋体" w:eastAsia="宋体"/>
          <w:szCs w:val="21"/>
        </w:rPr>
      </w:pPr>
      <w:r>
        <w:rPr>
          <w:rFonts w:hint="eastAsia" w:ascii="宋体" w:hAnsi="宋体" w:eastAsia="宋体"/>
          <w:szCs w:val="21"/>
        </w:rPr>
        <w:t xml:space="preserve">分包金额（如有）小写：</w:t>
      </w:r>
      <w:r/>
    </w:p>
    <w:p>
      <w:pPr>
        <w:ind w:firstLine="945"/>
        <w:jc w:val="left"/>
        <w:spacing w:line="400" w:lineRule="exact"/>
        <w:rPr>
          <w:rFonts w:ascii="宋体" w:hAnsi="宋体" w:eastAsia="宋体"/>
          <w:szCs w:val="21"/>
          <w:u w:val="single"/>
        </w:rPr>
      </w:pPr>
      <w:r>
        <w:rPr>
          <w:rFonts w:hint="eastAsia" w:ascii="宋体" w:hAnsi="宋体" w:eastAsia="宋体"/>
          <w:szCs w:val="21"/>
        </w:rPr>
        <w:t xml:space="preserve">大写：</w:t>
      </w:r>
      <w:r/>
    </w:p>
    <w:p>
      <w:pPr>
        <w:ind w:firstLine="945"/>
        <w:jc w:val="left"/>
        <w:spacing w:line="400" w:lineRule="exact"/>
        <w:rPr>
          <w:rFonts w:ascii="宋体" w:hAnsi="宋体" w:eastAsia="宋体"/>
          <w:szCs w:val="21"/>
        </w:rPr>
      </w:pPr>
      <w:r>
        <w:rPr>
          <w:rFonts w:hint="eastAsia" w:ascii="宋体" w:hAnsi="宋体" w:eastAsia="宋体"/>
          <w:szCs w:val="21"/>
        </w:rPr>
        <w:t xml:space="preserve">（注：固定单价合同应填写单价和最高限价）</w:t>
      </w:r>
      <w:r/>
    </w:p>
    <w:p>
      <w:pPr>
        <w:ind w:firstLine="420"/>
        <w:jc w:val="left"/>
        <w:spacing w:line="400" w:lineRule="exact"/>
        <w:rPr>
          <w:rFonts w:ascii="宋体" w:hAnsi="宋体" w:eastAsia="宋体"/>
          <w:szCs w:val="21"/>
        </w:rPr>
      </w:pPr>
      <w:r>
        <w:rPr>
          <w:rFonts w:hint="eastAsia" w:ascii="宋体" w:hAnsi="宋体" w:eastAsia="宋体"/>
          <w:szCs w:val="21"/>
        </w:rPr>
        <w:t xml:space="preserve">（2）合同定价方式（采用组合定价方式的，可以勾选多项）：</w:t>
      </w:r>
      <w:r/>
    </w:p>
    <w:p>
      <w:pPr>
        <w:ind w:firstLine="945"/>
        <w:jc w:val="left"/>
        <w:spacing w:line="400" w:lineRule="exact"/>
        <w:rPr>
          <w:rFonts w:ascii="宋体" w:hAnsi="宋体" w:eastAsia="宋体"/>
          <w:szCs w:val="21"/>
        </w:rPr>
      </w:pPr>
      <w:r>
        <w:rPr>
          <w:rFonts w:ascii="Wingdings" w:hAnsi="Wingdings" w:eastAsia="Wingdings" w:cs="Wingdings"/>
          <w:iCs/>
          <w:szCs w:val="21"/>
        </w:rPr>
        <w:t xml:space="preserve">¨</w:t>
      </w:r>
      <w:r>
        <w:rPr>
          <w:rFonts w:hint="eastAsia" w:ascii="宋体" w:hAnsi="宋体" w:eastAsia="宋体"/>
          <w:iCs/>
          <w:szCs w:val="21"/>
        </w:rPr>
        <w:t xml:space="preserve">固定总价  </w:t>
      </w:r>
      <w:r>
        <w:rPr>
          <w:rFonts w:ascii="Wingdings" w:hAnsi="Wingdings" w:eastAsia="Wingdings" w:cs="Wingdings"/>
          <w:iCs/>
          <w:szCs w:val="21"/>
        </w:rPr>
        <w:t xml:space="preserve">¨</w:t>
      </w:r>
      <w:r>
        <w:rPr>
          <w:rFonts w:hint="eastAsia" w:ascii="宋体" w:hAnsi="宋体" w:eastAsia="宋体"/>
          <w:iCs/>
          <w:szCs w:val="21"/>
        </w:rPr>
        <w:t xml:space="preserve">固定单价  </w:t>
      </w:r>
      <w:r>
        <w:rPr>
          <w:rFonts w:ascii="Wingdings" w:hAnsi="Wingdings" w:eastAsia="Wingdings" w:cs="Wingdings"/>
          <w:iCs/>
          <w:szCs w:val="21"/>
        </w:rPr>
        <w:t xml:space="preserve">¨</w:t>
      </w:r>
      <w:r>
        <w:rPr>
          <w:rFonts w:hint="eastAsia" w:ascii="宋体" w:hAnsi="宋体" w:eastAsia="宋体"/>
          <w:iCs/>
          <w:szCs w:val="21"/>
        </w:rPr>
        <w:t xml:space="preserve">固定费率  </w:t>
      </w:r>
      <w:r>
        <w:rPr>
          <w:rFonts w:ascii="Wingdings" w:hAnsi="Wingdings" w:eastAsia="Wingdings" w:cs="Wingdings"/>
          <w:iCs/>
          <w:szCs w:val="21"/>
        </w:rPr>
        <w:t xml:space="preserve">¨</w:t>
      </w:r>
      <w:r>
        <w:rPr>
          <w:rFonts w:hint="eastAsia" w:ascii="宋体" w:hAnsi="宋体" w:eastAsia="宋体"/>
          <w:iCs/>
          <w:szCs w:val="21"/>
        </w:rPr>
        <w:t xml:space="preserve">成本补偿  </w:t>
      </w:r>
      <w:r>
        <w:rPr>
          <w:rFonts w:ascii="Wingdings" w:hAnsi="Wingdings" w:eastAsia="Wingdings" w:cs="Wingdings"/>
          <w:iCs/>
          <w:szCs w:val="21"/>
        </w:rPr>
        <w:t xml:space="preserve">¨</w:t>
      </w:r>
      <w:r>
        <w:rPr>
          <w:rFonts w:hint="eastAsia" w:ascii="宋体" w:hAnsi="宋体" w:eastAsia="宋体"/>
          <w:iCs/>
          <w:szCs w:val="21"/>
        </w:rPr>
        <w:t xml:space="preserve">绩效激励  </w:t>
      </w:r>
      <w:r>
        <w:rPr>
          <w:rFonts w:ascii="Wingdings" w:hAnsi="Wingdings" w:eastAsia="Wingdings" w:cs="Wingdings"/>
          <w:iCs/>
          <w:szCs w:val="21"/>
        </w:rPr>
        <w:t xml:space="preserve">¨</w:t>
      </w:r>
      <w:r>
        <w:rPr>
          <w:rFonts w:hint="eastAsia" w:ascii="宋体" w:hAnsi="宋体" w:eastAsia="宋体"/>
          <w:iCs/>
          <w:szCs w:val="21"/>
        </w:rPr>
        <w:t xml:space="preserve">其他</w:t>
      </w:r>
      <w:r/>
    </w:p>
    <w:p>
      <w:pPr>
        <w:pStyle w:val="894"/>
        <w:jc w:val="left"/>
        <w:spacing w:line="400" w:lineRule="exact"/>
        <w:rPr>
          <w:rFonts w:ascii="宋体" w:hAnsi="宋体"/>
        </w:rPr>
      </w:pPr>
      <w:r>
        <w:rPr>
          <w:rFonts w:hint="eastAsia" w:ascii="宋体" w:hAnsi="宋体"/>
        </w:rPr>
        <w:t xml:space="preserve">（3）付款方式（按项目实际勾选填写）：</w:t>
      </w:r>
      <w:r/>
    </w:p>
    <w:p>
      <w:pPr>
        <w:ind w:firstLine="945"/>
        <w:jc w:val="left"/>
        <w:spacing w:line="400" w:lineRule="exact"/>
        <w:rPr>
          <w:rFonts w:ascii="宋体" w:hAnsi="宋体" w:eastAsia="宋体"/>
          <w:szCs w:val="21"/>
          <w:u w:val="single"/>
        </w:rPr>
      </w:pPr>
      <w:r>
        <w:rPr>
          <w:rFonts w:ascii="Wingdings" w:hAnsi="Wingdings" w:eastAsia="Wingdings" w:cs="Wingdings"/>
          <w:szCs w:val="21"/>
        </w:rPr>
        <w:t xml:space="preserve">¨</w:t>
      </w:r>
      <w:r>
        <w:rPr>
          <w:rFonts w:hint="eastAsia" w:ascii="宋体" w:hAnsi="宋体" w:eastAsia="宋体"/>
          <w:szCs w:val="21"/>
        </w:rPr>
        <w:t xml:space="preserve">全额付款：</w:t>
      </w:r>
      <w:r>
        <w:rPr>
          <w:rFonts w:hint="eastAsia" w:ascii="宋体" w:hAnsi="宋体" w:eastAsia="宋体"/>
          <w:szCs w:val="21"/>
          <w:u w:val="single"/>
        </w:rPr>
        <w:t xml:space="preserve">     （应明确一次性支付合同款项的条件）                </w:t>
      </w:r>
      <w:r/>
    </w:p>
    <w:p>
      <w:pPr>
        <w:ind w:firstLine="945"/>
        <w:jc w:val="left"/>
        <w:spacing w:line="400" w:lineRule="exact"/>
        <w:rPr>
          <w:rFonts w:ascii="宋体" w:hAnsi="宋体" w:eastAsia="宋体"/>
        </w:rPr>
      </w:pPr>
      <w:r>
        <w:rPr>
          <w:rFonts w:ascii="Wingdings" w:hAnsi="Wingdings" w:eastAsia="Wingdings" w:cs="Wingdings"/>
          <w:szCs w:val="21"/>
        </w:rPr>
        <w:t xml:space="preserve">¨</w:t>
      </w:r>
      <w:r>
        <w:rPr>
          <w:rFonts w:hint="eastAsia" w:ascii="宋体" w:hAnsi="宋体" w:eastAsia="宋体"/>
          <w:szCs w:val="21"/>
        </w:rPr>
        <w:t xml:space="preserve">分期付款：</w:t>
      </w:r>
      <w:r>
        <w:rPr>
          <w:rFonts w:hint="eastAsia" w:ascii="宋体" w:hAnsi="宋体" w:eastAsia="宋体"/>
          <w:szCs w:val="21"/>
          <w:u w:val="single"/>
        </w:rPr>
        <w:t xml:space="preserve">  （应明确分期支付合同款项的各期比例和支付条件，各期支付条件应与分期履约验收情况挂钩） </w:t>
      </w:r>
      <w:r>
        <w:rPr>
          <w:rFonts w:hint="eastAsia" w:ascii="宋体" w:hAnsi="宋体" w:eastAsia="宋体"/>
          <w:szCs w:val="21"/>
        </w:rPr>
        <w:t xml:space="preserve">，其中涉及预付款的：</w:t>
      </w:r>
      <w:r>
        <w:rPr>
          <w:rFonts w:hint="eastAsia" w:ascii="宋体" w:hAnsi="宋体" w:eastAsia="宋体"/>
          <w:szCs w:val="21"/>
          <w:u w:val="single"/>
        </w:rPr>
        <w:t xml:space="preserve"> （应明确预付款的支付比例和支付条件） </w:t>
      </w:r>
      <w:r/>
    </w:p>
    <w:p>
      <w:pPr>
        <w:ind w:firstLine="945"/>
        <w:jc w:val="left"/>
        <w:spacing w:line="400" w:lineRule="exact"/>
        <w:rPr>
          <w:rFonts w:ascii="宋体" w:hAnsi="宋体" w:eastAsia="宋体"/>
          <w:szCs w:val="21"/>
          <w:u w:val="single"/>
        </w:rPr>
      </w:pPr>
      <w:r>
        <w:rPr>
          <w:rFonts w:ascii="Wingdings" w:hAnsi="Wingdings" w:eastAsia="Wingdings" w:cs="Wingdings"/>
          <w:szCs w:val="21"/>
        </w:rPr>
        <w:t xml:space="preserve">¨</w:t>
      </w:r>
      <w:r>
        <w:rPr>
          <w:rFonts w:hint="eastAsia" w:ascii="宋体" w:hAnsi="宋体" w:eastAsia="宋体"/>
          <w:szCs w:val="21"/>
        </w:rPr>
        <w:t xml:space="preserve">成本补偿：</w:t>
      </w:r>
      <w:r>
        <w:rPr>
          <w:rFonts w:hint="eastAsia" w:ascii="宋体" w:hAnsi="宋体" w:eastAsia="宋体"/>
          <w:szCs w:val="21"/>
          <w:u w:val="single"/>
        </w:rPr>
        <w:t xml:space="preserve">      （应明确按照成本补偿方式的支付方式和支付条件）   </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绩效激励：</w:t>
      </w:r>
      <w:r>
        <w:rPr>
          <w:rFonts w:hint="eastAsia" w:ascii="宋体" w:hAnsi="宋体" w:eastAsia="宋体"/>
          <w:szCs w:val="21"/>
          <w:u w:val="single"/>
        </w:rPr>
        <w:t xml:space="preserve">      （应明确按照绩效激励方式的支付方式和支付条件）   </w:t>
      </w:r>
      <w:r/>
    </w:p>
    <w:p>
      <w:pPr>
        <w:numPr>
          <w:ilvl w:val="0"/>
          <w:numId w:val="1"/>
        </w:numPr>
        <w:ind w:firstLine="422"/>
        <w:jc w:val="left"/>
        <w:spacing w:line="400" w:lineRule="exact"/>
        <w:rPr>
          <w:rFonts w:ascii="宋体" w:hAnsi="宋体" w:eastAsia="宋体"/>
          <w:b/>
          <w:szCs w:val="21"/>
          <w:u w:val="single"/>
        </w:rPr>
      </w:pPr>
      <w:r>
        <w:rPr>
          <w:rFonts w:hint="eastAsia" w:ascii="宋体" w:hAnsi="宋体" w:eastAsia="宋体"/>
          <w:b/>
          <w:szCs w:val="21"/>
        </w:rPr>
        <w:t xml:space="preserve">合同履行</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（1）起始日期：    年  月  日，完成日期：    年  月  日。</w:t>
      </w:r>
      <w:r/>
    </w:p>
    <w:p>
      <w:pPr>
        <w:ind w:firstLine="420"/>
        <w:jc w:val="left"/>
        <w:spacing w:line="400" w:lineRule="exact"/>
        <w:rPr>
          <w:rFonts w:ascii="宋体" w:hAnsi="宋体" w:eastAsia="宋体" w:cs="宋体"/>
          <w:szCs w:val="21"/>
          <w:u w:val="single"/>
        </w:rPr>
      </w:pPr>
      <w:r>
        <w:rPr>
          <w:rFonts w:hint="eastAsia" w:ascii="宋体" w:hAnsi="宋体" w:eastAsia="宋体" w:cs="宋体"/>
          <w:szCs w:val="21"/>
        </w:rPr>
        <w:t xml:space="preserve">（2）履约地点</w:t>
      </w:r>
      <w:r>
        <w:rPr>
          <w:rFonts w:hint="eastAsia" w:ascii="宋体" w:hAnsi="宋体" w:eastAsia="宋体" w:cs="宋体"/>
          <w:bCs/>
          <w:szCs w:val="21"/>
        </w:rPr>
        <w:t xml:space="preserve">：</w:t>
      </w:r>
      <w:r/>
    </w:p>
    <w:p>
      <w:pPr>
        <w:ind w:firstLine="420"/>
        <w:jc w:val="left"/>
        <w:spacing w:line="400" w:lineRule="exact"/>
        <w:rPr>
          <w:rFonts w:ascii="宋体" w:hAnsi="宋体" w:eastAsia="宋体" w:cs="宋体"/>
          <w:szCs w:val="21"/>
        </w:rPr>
      </w:pPr>
      <w:r>
        <w:rPr>
          <w:rFonts w:hint="eastAsia" w:ascii="宋体" w:hAnsi="宋体" w:eastAsia="宋体" w:cs="宋体"/>
          <w:bCs/>
          <w:szCs w:val="21"/>
        </w:rPr>
        <w:t xml:space="preserve">（3）履约担保：</w:t>
      </w:r>
      <w:r>
        <w:rPr>
          <w:rFonts w:hint="eastAsia" w:ascii="宋体" w:hAnsi="宋体" w:eastAsia="宋体" w:cs="宋体"/>
        </w:rPr>
        <w:t xml:space="preserve">是否收取履约保证金：</w:t>
      </w:r>
      <w:r>
        <w:rPr>
          <w:rFonts w:ascii="Wingdings" w:hAnsi="Wingdings" w:eastAsia="Wingdings" w:cs="Wingdings"/>
          <w:szCs w:val="21"/>
        </w:rPr>
        <w:t xml:space="preserve">¨</w:t>
      </w:r>
      <w:r>
        <w:rPr>
          <w:rFonts w:hint="eastAsia" w:ascii="宋体" w:hAnsi="宋体" w:eastAsia="宋体" w:cs="宋体"/>
          <w:szCs w:val="21"/>
        </w:rPr>
        <w:t xml:space="preserve">是  </w:t>
      </w:r>
      <w:r>
        <w:rPr>
          <w:rFonts w:ascii="Wingdings" w:hAnsi="Wingdings" w:eastAsia="Wingdings" w:cs="Wingdings"/>
          <w:szCs w:val="21"/>
        </w:rPr>
        <w:t xml:space="preserve">¨</w:t>
      </w:r>
      <w:r>
        <w:rPr>
          <w:rFonts w:hint="eastAsia" w:ascii="宋体" w:hAnsi="宋体" w:eastAsia="宋体" w:cs="宋体"/>
          <w:szCs w:val="21"/>
        </w:rPr>
        <w:t xml:space="preserve">否</w:t>
      </w:r>
      <w:r/>
    </w:p>
    <w:p>
      <w:pPr>
        <w:pStyle w:val="893"/>
        <w:ind w:firstLine="945"/>
        <w:rPr>
          <w:rFonts w:ascii="宋体" w:hAnsi="宋体" w:eastAsia="宋体" w:cs="宋体"/>
          <w:sz w:val="21"/>
        </w:rPr>
      </w:pPr>
      <w:r>
        <w:rPr>
          <w:rFonts w:hint="eastAsia" w:ascii="宋体" w:hAnsi="宋体" w:eastAsia="宋体" w:cs="宋体"/>
          <w:sz w:val="21"/>
        </w:rPr>
        <w:t xml:space="preserve">收取履约保证金形式：</w:t>
      </w:r>
      <w:r/>
    </w:p>
    <w:p>
      <w:pPr>
        <w:pStyle w:val="893"/>
        <w:ind w:firstLine="945"/>
        <w:rPr>
          <w:rFonts w:ascii="宋体" w:hAnsi="宋体" w:eastAsia="宋体" w:cs="宋体"/>
          <w:sz w:val="21"/>
        </w:rPr>
      </w:pPr>
      <w:r>
        <w:rPr>
          <w:rFonts w:hint="eastAsia" w:ascii="宋体" w:hAnsi="宋体" w:eastAsia="宋体" w:cs="宋体"/>
          <w:sz w:val="21"/>
        </w:rPr>
        <w:t xml:space="preserve">收取履约保证金金额：</w:t>
      </w:r>
      <w:r/>
    </w:p>
    <w:p>
      <w:pPr>
        <w:ind w:firstLine="945"/>
        <w:jc w:val="left"/>
        <w:spacing w:line="400" w:lineRule="exact"/>
        <w:rPr>
          <w:rFonts w:ascii="宋体" w:hAnsi="宋体" w:eastAsia="宋体" w:cs="宋体"/>
        </w:rPr>
      </w:pPr>
      <w:r>
        <w:rPr>
          <w:rFonts w:hint="eastAsia" w:ascii="宋体" w:hAnsi="宋体" w:eastAsia="宋体" w:cs="宋体"/>
          <w:bCs/>
          <w:szCs w:val="21"/>
        </w:rPr>
        <w:t xml:space="preserve">履约担保期限：</w:t>
      </w:r>
      <w:r/>
    </w:p>
    <w:p>
      <w:pPr>
        <w:ind w:firstLine="420"/>
        <w:jc w:val="left"/>
        <w:spacing w:line="400" w:lineRule="exact"/>
        <w:rPr>
          <w:rFonts w:ascii="宋体" w:hAnsi="宋体" w:eastAsia="宋体" w:cs="宋体"/>
          <w:bCs/>
          <w:szCs w:val="21"/>
        </w:rPr>
      </w:pPr>
      <w:r>
        <w:rPr>
          <w:rFonts w:hint="eastAsia" w:ascii="宋体" w:hAnsi="宋体" w:eastAsia="宋体" w:cs="宋体"/>
          <w:bCs/>
          <w:szCs w:val="21"/>
        </w:rPr>
        <w:t xml:space="preserve">（4）分期履行要求：</w:t>
      </w:r>
      <w:r/>
    </w:p>
    <w:p>
      <w:pPr>
        <w:ind w:firstLine="420"/>
        <w:jc w:val="left"/>
        <w:spacing w:line="400" w:lineRule="exact"/>
        <w:rPr>
          <w:rFonts w:ascii="宋体" w:hAnsi="宋体" w:eastAsia="宋体" w:cs="宋体"/>
          <w:szCs w:val="21"/>
          <w:u w:val="single"/>
        </w:rPr>
      </w:pPr>
      <w:r>
        <w:rPr>
          <w:rFonts w:hint="eastAsia" w:ascii="宋体" w:hAnsi="宋体" w:eastAsia="宋体" w:cs="宋体"/>
          <w:bCs/>
          <w:szCs w:val="21"/>
        </w:rPr>
        <w:t xml:space="preserve">（5）风险处置措施和替代方案：</w:t>
      </w:r>
      <w:r/>
    </w:p>
    <w:p>
      <w:pPr>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合同验收</w:t>
      </w:r>
      <w:r/>
    </w:p>
    <w:p>
      <w:pPr>
        <w:ind w:firstLine="420"/>
        <w:jc w:val="left"/>
        <w:spacing w:line="400" w:lineRule="exact"/>
        <w:rPr>
          <w:rFonts w:ascii="宋体" w:hAnsi="宋体" w:eastAsia="宋体"/>
          <w:bCs/>
          <w:szCs w:val="21"/>
        </w:rPr>
      </w:pPr>
      <w:r>
        <w:rPr>
          <w:rFonts w:hint="eastAsia" w:ascii="宋体" w:hAnsi="宋体" w:eastAsia="宋体"/>
          <w:bCs/>
          <w:szCs w:val="21"/>
        </w:rPr>
        <w:t xml:space="preserve">（1）验收组织方式：</w:t>
      </w:r>
      <w:r>
        <w:rPr>
          <w:rFonts w:ascii="Wingdings" w:hAnsi="Wingdings" w:eastAsia="Wingdings" w:cs="Wingdings"/>
          <w:szCs w:val="21"/>
        </w:rPr>
        <w:t xml:space="preserve">¨</w:t>
      </w:r>
      <w:r>
        <w:rPr>
          <w:rFonts w:hint="eastAsia" w:ascii="宋体" w:hAnsi="宋体" w:eastAsia="宋体"/>
          <w:bCs/>
          <w:szCs w:val="21"/>
        </w:rPr>
        <w:t xml:space="preserve">自行组织  </w:t>
      </w:r>
      <w:r>
        <w:rPr>
          <w:rFonts w:ascii="Wingdings" w:hAnsi="Wingdings" w:eastAsia="Wingdings" w:cs="Wingdings"/>
          <w:szCs w:val="21"/>
        </w:rPr>
        <w:t xml:space="preserve">¨</w:t>
      </w:r>
      <w:r>
        <w:rPr>
          <w:rFonts w:hint="eastAsia" w:ascii="宋体" w:hAnsi="宋体" w:eastAsia="宋体"/>
          <w:bCs/>
          <w:szCs w:val="21"/>
        </w:rPr>
        <w:t xml:space="preserve">委托第三方组织</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验收主体：</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是否邀请专家参加验收：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是否邀请服务对象参加验收：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是否进行抽查检测：</w:t>
      </w:r>
      <w:r>
        <w:rPr>
          <w:rFonts w:ascii="Wingdings" w:hAnsi="Wingdings" w:eastAsia="Wingdings" w:cs="Wingdings"/>
          <w:szCs w:val="21"/>
        </w:rPr>
        <w:t xml:space="preserve">¨</w:t>
      </w:r>
      <w:r>
        <w:rPr>
          <w:rFonts w:hint="eastAsia" w:ascii="宋体" w:hAnsi="宋体" w:eastAsia="宋体"/>
          <w:bCs/>
          <w:szCs w:val="21"/>
        </w:rPr>
        <w:t xml:space="preserve">是，抽查比例：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是否存在破坏性检测：</w:t>
      </w:r>
      <w:r>
        <w:rPr>
          <w:rFonts w:ascii="Wingdings" w:hAnsi="Wingdings" w:eastAsia="Wingdings" w:cs="Wingdings"/>
          <w:szCs w:val="21"/>
        </w:rPr>
        <w:t xml:space="preserve">¨</w:t>
      </w:r>
      <w:r>
        <w:rPr>
          <w:rFonts w:hint="eastAsia" w:ascii="宋体" w:hAnsi="宋体" w:eastAsia="宋体"/>
          <w:bCs/>
          <w:szCs w:val="21"/>
        </w:rPr>
        <w:t xml:space="preserve">是，</w:t>
      </w:r>
      <w:r>
        <w:rPr>
          <w:rFonts w:hint="eastAsia" w:ascii="宋体" w:hAnsi="宋体" w:eastAsia="宋体"/>
          <w:bCs/>
          <w:szCs w:val="21"/>
          <w:u w:val="single"/>
        </w:rPr>
        <w:t xml:space="preserve">（应明确对被破坏的检测产品的处理方式）</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u w:val="single"/>
        </w:rPr>
      </w:pPr>
      <w:r>
        <w:rPr>
          <w:rFonts w:hint="eastAsia" w:ascii="宋体" w:hAnsi="宋体" w:eastAsia="宋体"/>
          <w:bCs/>
          <w:szCs w:val="21"/>
        </w:rPr>
        <w:t xml:space="preserve">验收组织的其他事项：</w:t>
      </w:r>
      <w:r/>
    </w:p>
    <w:p>
      <w:pPr>
        <w:ind w:firstLine="420"/>
        <w:jc w:val="left"/>
        <w:spacing w:line="400" w:lineRule="exact"/>
        <w:rPr>
          <w:rFonts w:ascii="宋体" w:hAnsi="宋体" w:eastAsia="宋体"/>
          <w:bCs/>
          <w:szCs w:val="21"/>
          <w:u w:val="single"/>
        </w:rPr>
      </w:pPr>
      <w:r>
        <w:rPr>
          <w:rFonts w:hint="eastAsia" w:ascii="宋体" w:hAnsi="宋体" w:eastAsia="宋体"/>
          <w:bCs/>
          <w:szCs w:val="21"/>
        </w:rPr>
        <w:t xml:space="preserve">（2）履约验收时间：</w:t>
      </w:r>
      <w:r>
        <w:rPr>
          <w:rFonts w:hint="eastAsia" w:ascii="宋体" w:hAnsi="宋体" w:eastAsia="宋体"/>
          <w:bCs/>
          <w:szCs w:val="21"/>
          <w:u w:val="single"/>
        </w:rPr>
        <w:t xml:space="preserve">（计划于何时验收/供应商提出验收申请之日起   日内组织验收）</w:t>
      </w:r>
      <w:r/>
    </w:p>
    <w:p>
      <w:pPr>
        <w:ind w:firstLine="420"/>
        <w:jc w:val="left"/>
        <w:spacing w:line="400" w:lineRule="exact"/>
        <w:rPr>
          <w:rFonts w:ascii="宋体" w:hAnsi="宋体" w:eastAsia="宋体"/>
          <w:bCs/>
          <w:szCs w:val="21"/>
        </w:rPr>
      </w:pPr>
      <w:r>
        <w:rPr>
          <w:rFonts w:hint="eastAsia" w:ascii="宋体" w:hAnsi="宋体" w:eastAsia="宋体"/>
          <w:bCs/>
          <w:szCs w:val="21"/>
        </w:rPr>
        <w:t xml:space="preserve">（3）履约验收方式：</w:t>
      </w:r>
      <w:r/>
    </w:p>
    <w:p>
      <w:pPr>
        <w:ind w:firstLine="945"/>
        <w:jc w:val="left"/>
        <w:spacing w:line="400" w:lineRule="exact"/>
        <w:rPr>
          <w:rFonts w:ascii="宋体" w:hAnsi="宋体" w:eastAsia="宋体"/>
          <w:bCs/>
          <w:szCs w:val="21"/>
        </w:rPr>
      </w:pPr>
      <w:r>
        <w:rPr>
          <w:rFonts w:ascii="Wingdings" w:hAnsi="Wingdings" w:eastAsia="Wingdings" w:cs="Wingdings"/>
          <w:szCs w:val="21"/>
        </w:rPr>
        <w:t xml:space="preserve">¨</w:t>
      </w:r>
      <w:r>
        <w:rPr>
          <w:rFonts w:hint="eastAsia" w:ascii="宋体" w:hAnsi="宋体" w:eastAsia="宋体"/>
          <w:bCs/>
          <w:szCs w:val="21"/>
        </w:rPr>
        <w:t xml:space="preserve">一次性验收  </w:t>
      </w:r>
      <w:r>
        <w:rPr>
          <w:rFonts w:ascii="Wingdings" w:hAnsi="Wingdings" w:eastAsia="Wingdings" w:cs="Wingdings"/>
          <w:szCs w:val="21"/>
        </w:rPr>
        <w:t xml:space="preserve">¨</w:t>
      </w:r>
      <w:r>
        <w:rPr>
          <w:rFonts w:hint="eastAsia" w:ascii="宋体" w:hAnsi="宋体" w:eastAsia="宋体"/>
          <w:bCs/>
          <w:szCs w:val="21"/>
        </w:rPr>
        <w:t xml:space="preserve">分期/分项验收：</w:t>
      </w:r>
      <w:r>
        <w:rPr>
          <w:rFonts w:hint="eastAsia" w:ascii="宋体" w:hAnsi="宋体" w:eastAsia="宋体"/>
          <w:bCs/>
          <w:szCs w:val="21"/>
          <w:u w:val="single"/>
        </w:rPr>
        <w:t xml:space="preserve">（应明确分期</w:t>
      </w:r>
      <w:r>
        <w:rPr>
          <w:rFonts w:ascii="宋体" w:hAnsi="宋体" w:eastAsia="宋体"/>
          <w:bCs/>
          <w:szCs w:val="21"/>
          <w:u w:val="single"/>
        </w:rPr>
        <w:t xml:space="preserve">/</w:t>
      </w:r>
      <w:r>
        <w:rPr>
          <w:rFonts w:hint="eastAsia" w:ascii="宋体" w:hAnsi="宋体" w:eastAsia="宋体"/>
          <w:bCs/>
          <w:szCs w:val="21"/>
          <w:u w:val="single"/>
        </w:rPr>
        <w:t xml:space="preserve">分项验收的工作安排）</w:t>
      </w:r>
      <w:r/>
    </w:p>
    <w:p>
      <w:pPr>
        <w:ind w:firstLine="420"/>
        <w:jc w:val="left"/>
        <w:spacing w:line="400" w:lineRule="exact"/>
        <w:rPr>
          <w:rFonts w:ascii="宋体" w:hAnsi="宋体" w:eastAsia="宋体"/>
          <w:bCs/>
          <w:szCs w:val="21"/>
        </w:rPr>
      </w:pPr>
      <w:r>
        <w:rPr>
          <w:rFonts w:hint="eastAsia" w:ascii="宋体" w:hAnsi="宋体" w:eastAsia="宋体"/>
          <w:bCs/>
          <w:szCs w:val="21"/>
        </w:rPr>
        <w:t xml:space="preserve">（4）履约验收程序：</w:t>
      </w:r>
      <w:r/>
    </w:p>
    <w:p>
      <w:pPr>
        <w:ind w:firstLine="420"/>
        <w:jc w:val="left"/>
        <w:spacing w:line="400" w:lineRule="exact"/>
        <w:rPr>
          <w:rFonts w:ascii="宋体" w:hAnsi="宋体" w:eastAsia="宋体"/>
          <w:bCs/>
          <w:szCs w:val="21"/>
          <w:u w:val="single"/>
        </w:rPr>
      </w:pPr>
      <w:r>
        <w:rPr>
          <w:rFonts w:hint="eastAsia" w:ascii="宋体" w:hAnsi="宋体" w:eastAsia="宋体"/>
          <w:bCs/>
          <w:szCs w:val="21"/>
        </w:rPr>
        <w:t xml:space="preserve">（5）履约验收的内容：</w:t>
      </w:r>
      <w:r>
        <w:rPr>
          <w:rFonts w:hint="eastAsia" w:ascii="宋体" w:hAnsi="宋体" w:eastAsia="宋体"/>
          <w:bCs/>
          <w:szCs w:val="21"/>
          <w:u w:val="single"/>
        </w:rPr>
        <w:t xml:space="preserve">（应当包括每一项技术和商务要求的履约情况，特别是落实政府采购扶持中小企业，支持绿色发展和乡村振兴等政策情况）</w:t>
      </w:r>
      <w:r/>
    </w:p>
    <w:p>
      <w:pPr>
        <w:ind w:firstLine="420"/>
        <w:jc w:val="left"/>
        <w:spacing w:line="400" w:lineRule="exact"/>
        <w:rPr>
          <w:rFonts w:ascii="宋体" w:hAnsi="宋体" w:eastAsia="宋体"/>
          <w:bCs/>
          <w:szCs w:val="21"/>
          <w:u w:val="single"/>
        </w:rPr>
      </w:pPr>
      <w:r>
        <w:rPr>
          <w:rFonts w:hint="eastAsia" w:ascii="宋体" w:hAnsi="宋体" w:eastAsia="宋体"/>
          <w:bCs/>
          <w:szCs w:val="21"/>
        </w:rPr>
        <w:t xml:space="preserve">（6）履约验收标准：</w:t>
      </w:r>
      <w:r/>
    </w:p>
    <w:p>
      <w:pPr>
        <w:pStyle w:val="893"/>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jc w:val="left"/>
        <w:spacing w:line="400" w:lineRule="exact"/>
        <w:rPr>
          <w:rFonts w:ascii="宋体" w:hAnsi="宋体" w:eastAsia="宋体" w:cs="宋体"/>
          <w:bCs/>
          <w:szCs w:val="21"/>
          <w:u w:val="single"/>
        </w:rPr>
      </w:pPr>
      <w:r>
        <w:rPr>
          <w:rFonts w:hint="eastAsia" w:ascii="宋体" w:hAnsi="宋体" w:eastAsia="宋体" w:cs="宋体"/>
          <w:bCs/>
          <w:szCs w:val="21"/>
        </w:rPr>
        <w:t xml:space="preserve">（8）履约验收其他事项：</w:t>
      </w:r>
      <w:r>
        <w:rPr>
          <w:rFonts w:hint="eastAsia" w:ascii="宋体" w:hAnsi="宋体" w:eastAsia="宋体" w:cs="宋体"/>
          <w:bCs/>
          <w:szCs w:val="21"/>
          <w:u w:val="single"/>
        </w:rPr>
        <w:t xml:space="preserve">（产权过户登记等）</w:t>
      </w:r>
      <w:r/>
    </w:p>
    <w:p>
      <w:pPr>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组成合同的文件</w:t>
      </w:r>
      <w:r/>
    </w:p>
    <w:p>
      <w:pPr>
        <w:ind w:firstLine="420"/>
        <w:jc w:val="left"/>
        <w:spacing w:line="400" w:lineRule="exact"/>
        <w:rPr>
          <w:rFonts w:ascii="宋体" w:hAnsi="宋体" w:eastAsia="宋体"/>
          <w:szCs w:val="21"/>
        </w:rPr>
      </w:pPr>
      <w:r>
        <w:rPr>
          <w:rFonts w:hint="eastAsia" w:ascii="宋体" w:hAnsi="宋体" w:eastAsia="宋体"/>
          <w:szCs w:val="21"/>
        </w:rPr>
        <w:t xml:space="preserve">本协议书与下列文件一起构成合同文件，如下述文件之间有任何抵触、矛盾或歧义，应按以下顺序解释：</w:t>
      </w:r>
      <w:r/>
    </w:p>
    <w:p>
      <w:pPr>
        <w:ind w:firstLine="420"/>
        <w:jc w:val="left"/>
        <w:spacing w:line="400" w:lineRule="exact"/>
        <w:rPr>
          <w:rFonts w:ascii="宋体" w:hAnsi="宋体" w:eastAsia="宋体"/>
          <w:szCs w:val="21"/>
        </w:rPr>
      </w:pPr>
      <w:r>
        <w:rPr>
          <w:rFonts w:hint="eastAsia" w:ascii="宋体" w:hAnsi="宋体" w:eastAsia="宋体"/>
          <w:szCs w:val="21"/>
        </w:rPr>
        <w:t xml:space="preserve">（1）政府采购合同协议书及其变更、补充协议</w:t>
      </w:r>
      <w:r/>
    </w:p>
    <w:p>
      <w:pPr>
        <w:ind w:firstLine="420"/>
        <w:jc w:val="left"/>
        <w:spacing w:line="400" w:lineRule="exact"/>
        <w:rPr>
          <w:rFonts w:ascii="宋体" w:hAnsi="宋体" w:eastAsia="宋体"/>
          <w:szCs w:val="21"/>
        </w:rPr>
      </w:pPr>
      <w:r>
        <w:rPr>
          <w:rFonts w:hint="eastAsia" w:ascii="宋体" w:hAnsi="宋体" w:eastAsia="宋体"/>
          <w:szCs w:val="21"/>
        </w:rPr>
        <w:t xml:space="preserve">（2）政府采购合同专用条款</w:t>
      </w:r>
      <w:r/>
    </w:p>
    <w:p>
      <w:pPr>
        <w:ind w:firstLine="420"/>
        <w:jc w:val="left"/>
        <w:spacing w:line="400" w:lineRule="exact"/>
        <w:rPr>
          <w:rFonts w:ascii="宋体" w:hAnsi="宋体" w:eastAsia="宋体"/>
          <w:szCs w:val="21"/>
        </w:rPr>
      </w:pPr>
      <w:r>
        <w:rPr>
          <w:rFonts w:hint="eastAsia" w:ascii="宋体" w:hAnsi="宋体" w:eastAsia="宋体"/>
          <w:szCs w:val="21"/>
        </w:rPr>
        <w:t xml:space="preserve">（3）政府采购合同通用条款</w:t>
      </w:r>
      <w:r/>
    </w:p>
    <w:p>
      <w:pPr>
        <w:ind w:firstLine="420"/>
        <w:jc w:val="left"/>
        <w:spacing w:line="400" w:lineRule="exact"/>
        <w:rPr>
          <w:rFonts w:ascii="宋体" w:hAnsi="宋体" w:eastAsia="宋体"/>
          <w:szCs w:val="21"/>
        </w:rPr>
      </w:pPr>
      <w:r>
        <w:rPr>
          <w:rFonts w:hint="eastAsia" w:ascii="宋体" w:hAnsi="宋体" w:eastAsia="宋体"/>
          <w:szCs w:val="21"/>
        </w:rPr>
        <w:t xml:space="preserve">（4）中标（成交）通知书</w:t>
      </w:r>
      <w:r/>
    </w:p>
    <w:p>
      <w:pPr>
        <w:ind w:firstLine="420"/>
        <w:jc w:val="left"/>
        <w:spacing w:line="400" w:lineRule="exact"/>
        <w:rPr>
          <w:rFonts w:ascii="宋体" w:hAnsi="宋体" w:eastAsia="宋体"/>
          <w:szCs w:val="21"/>
        </w:rPr>
      </w:pPr>
      <w:r>
        <w:rPr>
          <w:rFonts w:hint="eastAsia" w:ascii="宋体" w:hAnsi="宋体" w:eastAsia="宋体"/>
          <w:szCs w:val="21"/>
        </w:rPr>
        <w:t xml:space="preserve">（5）投标（响应）文件</w:t>
      </w:r>
      <w:r/>
    </w:p>
    <w:p>
      <w:pPr>
        <w:ind w:firstLine="420"/>
        <w:jc w:val="left"/>
        <w:spacing w:line="400" w:lineRule="exact"/>
        <w:rPr>
          <w:rFonts w:ascii="宋体" w:hAnsi="宋体" w:eastAsia="宋体"/>
          <w:szCs w:val="21"/>
        </w:rPr>
      </w:pPr>
      <w:r>
        <w:rPr>
          <w:rFonts w:hint="eastAsia" w:ascii="宋体" w:hAnsi="宋体" w:eastAsia="宋体"/>
          <w:szCs w:val="21"/>
        </w:rPr>
        <w:t xml:space="preserve">（6）采购文件</w:t>
      </w:r>
      <w:r/>
    </w:p>
    <w:p>
      <w:pPr>
        <w:ind w:firstLine="420"/>
        <w:jc w:val="left"/>
        <w:spacing w:line="400" w:lineRule="exact"/>
        <w:rPr>
          <w:rFonts w:ascii="宋体" w:hAnsi="宋体" w:eastAsia="宋体"/>
          <w:szCs w:val="21"/>
        </w:rPr>
      </w:pPr>
      <w:r>
        <w:rPr>
          <w:rFonts w:hint="eastAsia" w:ascii="宋体" w:hAnsi="宋体" w:eastAsia="宋体"/>
          <w:szCs w:val="21"/>
        </w:rPr>
        <w:t xml:space="preserve">（7）有关技术文件，图纸</w:t>
      </w:r>
      <w:r/>
    </w:p>
    <w:p>
      <w:pPr>
        <w:pStyle w:val="893"/>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合同生效</w:t>
      </w:r>
      <w:r/>
    </w:p>
    <w:p>
      <w:pPr>
        <w:ind w:firstLine="420"/>
        <w:jc w:val="left"/>
        <w:spacing w:line="400" w:lineRule="exact"/>
        <w:rPr>
          <w:rFonts w:ascii="宋体" w:hAnsi="宋体" w:eastAsia="宋体"/>
          <w:szCs w:val="21"/>
        </w:rPr>
      </w:pPr>
      <w:r>
        <w:rPr>
          <w:rFonts w:hint="eastAsia" w:ascii="宋体" w:hAnsi="宋体" w:eastAsia="宋体"/>
          <w:szCs w:val="21"/>
        </w:rPr>
        <w:t xml:space="preserve">本合同自        生效。</w:t>
      </w:r>
      <w:r/>
    </w:p>
    <w:p>
      <w:pPr>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合同份数</w:t>
      </w:r>
      <w:r/>
    </w:p>
    <w:p>
      <w:pPr>
        <w:ind w:firstLine="420"/>
        <w:jc w:val="left"/>
        <w:spacing w:line="400" w:lineRule="exact"/>
        <w:rPr>
          <w:rFonts w:ascii="宋体" w:hAnsi="宋体" w:eastAsia="宋体"/>
          <w:szCs w:val="21"/>
        </w:rPr>
      </w:pPr>
      <w:r>
        <w:rPr>
          <w:rFonts w:hint="eastAsia" w:ascii="宋体" w:hAnsi="宋体" w:eastAsia="宋体"/>
          <w:szCs w:val="21"/>
        </w:rPr>
        <w:t xml:space="preserve">本合同一式    份，甲方执    份，乙方执    份，均具有同等法律效力。</w:t>
      </w:r>
      <w:r/>
    </w:p>
    <w:p>
      <w:pPr>
        <w:ind w:firstLine="420"/>
        <w:jc w:val="left"/>
        <w:spacing w:line="400" w:lineRule="exact"/>
        <w:rPr>
          <w:rFonts w:ascii="宋体" w:hAnsi="宋体" w:eastAsia="宋体"/>
          <w:szCs w:val="21"/>
        </w:rPr>
      </w:pPr>
      <w:r>
        <w:rPr>
          <w:rFonts w:hint="eastAsia" w:ascii="宋体" w:hAnsi="宋体" w:eastAsia="宋体"/>
          <w:szCs w:val="21"/>
        </w:rPr>
        <w:t xml:space="preserve">合同订立时间：     年  月  日</w:t>
      </w:r>
      <w:r/>
    </w:p>
    <w:p>
      <w:pPr>
        <w:ind w:firstLine="420"/>
        <w:jc w:val="left"/>
        <w:spacing w:line="400" w:lineRule="exact"/>
        <w:rPr>
          <w:rFonts w:ascii="宋体" w:hAnsi="宋体" w:eastAsia="宋体"/>
          <w:szCs w:val="21"/>
        </w:rPr>
      </w:pPr>
      <w:r>
        <w:rPr>
          <w:rFonts w:hint="eastAsia" w:ascii="宋体" w:hAnsi="宋体" w:eastAsia="宋体"/>
          <w:szCs w:val="21"/>
        </w:rPr>
        <w:t xml:space="preserve">合同订立地点：</w:t>
      </w:r>
      <w:r/>
    </w:p>
    <w:p>
      <w:pPr>
        <w:ind w:firstLine="420"/>
        <w:jc w:val="left"/>
        <w:spacing w:line="400" w:lineRule="exact"/>
        <w:rPr>
          <w:rFonts w:ascii="宋体" w:hAnsi="宋体" w:eastAsia="宋体"/>
        </w:rPr>
      </w:pPr>
      <w:r>
        <w:rPr>
          <w:rFonts w:hint="eastAsia" w:ascii="宋体" w:hAnsi="宋体" w:eastAsia="宋体"/>
          <w:szCs w:val="21"/>
        </w:rPr>
        <w:t xml:space="preserve">附件：具体标的及其技术要求和商务要求、联合协议、分包意向协议等。</w:t>
      </w:r>
      <w:r/>
    </w:p>
    <w:p>
      <w:r>
        <w:rPr>
          <w:rFonts w:hint="eastAsia"/>
        </w:rPr>
        <w:br w:type="page" w:clear="all"/>
      </w:r>
      <w:r/>
    </w:p>
    <w:p>
      <w:pPr>
        <w:pStyle w:val="894"/>
      </w:pPr>
      <w:r/>
      <w:r/>
    </w:p>
    <w:tbl>
      <w:tblPr>
        <w:tblStyle w:val="655"/>
        <w:tblW w:w="8398" w:type="dxa"/>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126"/>
        <w:gridCol w:w="3177"/>
        <w:gridCol w:w="1178"/>
        <w:gridCol w:w="2917"/>
      </w:tblGrid>
      <w:tr>
        <w:trPr>
          <w:jc w:val="center"/>
          <w:trHeight w:val="490"/>
        </w:trPr>
        <w:tc>
          <w:tcPr>
            <w:gridSpan w:val="2"/>
            <w:tcW w:w="4303" w:type="dxa"/>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5" w:type="dxa"/>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jc w:val="center"/>
          <w:trHeight w:val="917"/>
        </w:trPr>
        <w:tc>
          <w:tcPr>
            <w:tcW w:w="1126"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3177"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2917" w:type="dxa"/>
            <w:vAlign w:val="center"/>
            <w:textDirection w:val="lrTb"/>
            <w:noWrap w:val="false"/>
          </w:tcPr>
          <w:p>
            <w:pPr>
              <w:jc w:val="center"/>
              <w:spacing w:line="300" w:lineRule="exact"/>
              <w:rPr>
                <w:spacing w:val="20"/>
                <w:szCs w:val="21"/>
              </w:rPr>
            </w:pPr>
            <w:r>
              <w:rPr>
                <w:spacing w:val="20"/>
                <w:szCs w:val="21"/>
              </w:rPr>
            </w:r>
            <w:r/>
          </w:p>
        </w:tc>
      </w:tr>
      <w:tr>
        <w:trPr>
          <w:jc w:val="center"/>
          <w:trHeight w:val="1171"/>
        </w:trPr>
        <w:tc>
          <w:tcPr>
            <w:tcW w:w="1126" w:type="dxa"/>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3177" w:type="dxa"/>
            <w:vAlign w:val="center"/>
            <w:vMerge w:val="restart"/>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2917" w:type="dxa"/>
            <w:vAlign w:val="center"/>
            <w:textDirection w:val="lrTb"/>
            <w:noWrap w:val="false"/>
          </w:tcPr>
          <w:p>
            <w:pPr>
              <w:jc w:val="center"/>
              <w:spacing w:line="300" w:lineRule="exact"/>
              <w:rPr>
                <w:szCs w:val="21"/>
              </w:rPr>
            </w:pPr>
            <w:r>
              <w:rPr>
                <w:szCs w:val="21"/>
              </w:rPr>
            </w:r>
            <w:r/>
          </w:p>
        </w:tc>
      </w:tr>
      <w:tr>
        <w:trPr>
          <w:jc w:val="center"/>
          <w:trHeight w:val="483"/>
        </w:trPr>
        <w:tc>
          <w:tcPr>
            <w:tcW w:w="1126" w:type="dxa"/>
            <w:vAlign w:val="center"/>
            <w:vMerge w:val="continue"/>
            <w:textDirection w:val="lrTb"/>
            <w:noWrap w:val="false"/>
          </w:tcPr>
          <w:p>
            <w:pPr>
              <w:jc w:val="center"/>
              <w:spacing w:line="300" w:lineRule="exact"/>
              <w:rPr>
                <w:szCs w:val="21"/>
              </w:rPr>
            </w:pPr>
            <w:r>
              <w:rPr>
                <w:szCs w:val="21"/>
              </w:rPr>
            </w:r>
            <w:r/>
          </w:p>
        </w:tc>
        <w:tc>
          <w:tcPr>
            <w:tcW w:w="3177" w:type="dxa"/>
            <w:vAlign w:val="center"/>
            <w:vMerge w:val="continue"/>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拥有者性别</w:t>
            </w:r>
            <w:r/>
          </w:p>
        </w:tc>
        <w:tc>
          <w:tcPr>
            <w:tcW w:w="2917"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rFonts w:hint="eastAsia"/>
                <w:szCs w:val="21"/>
              </w:rPr>
              <w:t xml:space="preserve">住所</w:t>
            </w:r>
            <w:r/>
          </w:p>
        </w:tc>
        <w:tc>
          <w:tcPr>
            <w:tcW w:w="3177"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住所</w:t>
            </w:r>
            <w:r/>
          </w:p>
        </w:tc>
        <w:tc>
          <w:tcPr>
            <w:tcW w:w="2917"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szCs w:val="21"/>
              </w:rPr>
              <w:t xml:space="preserve">联 系 人</w:t>
            </w:r>
            <w:r/>
          </w:p>
        </w:tc>
        <w:tc>
          <w:tcPr>
            <w:tcW w:w="3177"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 系 人</w:t>
            </w:r>
            <w:r/>
          </w:p>
        </w:tc>
        <w:tc>
          <w:tcPr>
            <w:tcW w:w="2917"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szCs w:val="21"/>
              </w:rPr>
              <w:t xml:space="preserve">联系电话</w:t>
            </w:r>
            <w:r/>
          </w:p>
        </w:tc>
        <w:tc>
          <w:tcPr>
            <w:tcW w:w="3177"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联系电话</w:t>
            </w:r>
            <w:r/>
          </w:p>
        </w:tc>
        <w:tc>
          <w:tcPr>
            <w:tcW w:w="2917"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rFonts w:hint="eastAsia"/>
                <w:szCs w:val="21"/>
              </w:rPr>
              <w:t xml:space="preserve">通信地址</w:t>
            </w:r>
            <w:r/>
          </w:p>
        </w:tc>
        <w:tc>
          <w:tcPr>
            <w:tcW w:w="3177"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通信地址</w:t>
            </w:r>
            <w:r/>
          </w:p>
        </w:tc>
        <w:tc>
          <w:tcPr>
            <w:tcW w:w="2917"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szCs w:val="21"/>
              </w:rPr>
              <w:t xml:space="preserve">邮政编码</w:t>
            </w:r>
            <w:r/>
          </w:p>
        </w:tc>
        <w:tc>
          <w:tcPr>
            <w:tcW w:w="3177"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邮政编码</w:t>
            </w:r>
            <w:r/>
          </w:p>
        </w:tc>
        <w:tc>
          <w:tcPr>
            <w:tcW w:w="2917"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rFonts w:hint="eastAsia"/>
                <w:szCs w:val="21"/>
              </w:rPr>
              <w:t xml:space="preserve">电子邮箱</w:t>
            </w:r>
            <w:r/>
          </w:p>
        </w:tc>
        <w:tc>
          <w:tcPr>
            <w:tcW w:w="3177"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电子邮箱</w:t>
            </w:r>
            <w:r/>
          </w:p>
        </w:tc>
        <w:tc>
          <w:tcPr>
            <w:tcW w:w="2917"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3177"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2917"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gridSpan w:val="2"/>
            <w:tcW w:w="4303" w:type="dxa"/>
            <w:vAlign w:val="center"/>
            <w:vMerge w:val="restart"/>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开户名称</w:t>
            </w:r>
            <w:r/>
          </w:p>
        </w:tc>
        <w:tc>
          <w:tcPr>
            <w:tcW w:w="2917"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gridSpan w:val="2"/>
            <w:tcW w:w="4303" w:type="dxa"/>
            <w:vAlign w:val="center"/>
            <w:vMerge w:val="continue"/>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开户银行</w:t>
            </w:r>
            <w:r/>
          </w:p>
        </w:tc>
        <w:tc>
          <w:tcPr>
            <w:tcW w:w="2917"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gridSpan w:val="2"/>
            <w:tcW w:w="4303" w:type="dxa"/>
            <w:vAlign w:val="center"/>
            <w:vMerge w:val="continue"/>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银行账号</w:t>
            </w:r>
            <w:r/>
          </w:p>
        </w:tc>
        <w:tc>
          <w:tcPr>
            <w:tcW w:w="2917" w:type="dxa"/>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W w:w="8398" w:type="dxa"/>
            <w:vAlign w:val="center"/>
            <w:textDirection w:val="lrTb"/>
            <w:noWrap w:val="false"/>
          </w:tcPr>
          <w:p>
            <w:pPr>
              <w:pStyle w:val="873"/>
              <w:ind w:left="0"/>
              <w:jc w:val="left"/>
              <w:spacing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862"/>
        <w:jc w:val="center"/>
        <w:spacing w:line="400" w:lineRule="exact"/>
        <w:rPr>
          <w:rFonts w:ascii="黑体" w:hAnsi="黑体" w:eastAsia="黑体"/>
          <w:sz w:val="28"/>
          <w:szCs w:val="28"/>
        </w:rPr>
      </w:pPr>
      <w:r>
        <w:rPr>
          <w:rFonts w:ascii="宋体" w:hAnsi="宋体"/>
          <w:sz w:val="21"/>
          <w:szCs w:val="21"/>
          <w:u w:val="single"/>
        </w:rPr>
        <w:br w:type="page" w:clear="all"/>
      </w:r>
      <w:bookmarkStart w:id="5" w:name="_Toc27624"/>
      <w:r>
        <w:rPr>
          <w:rFonts w:hint="eastAsia" w:ascii="黑体" w:hAnsi="黑体" w:eastAsia="黑体"/>
          <w:b w:val="0"/>
          <w:bCs w:val="0"/>
          <w:sz w:val="28"/>
          <w:szCs w:val="28"/>
        </w:rPr>
        <w:t xml:space="preserve">第二节 政府采购合同通用条款</w:t>
      </w:r>
      <w:bookmarkEnd w:id="5"/>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 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 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2"/>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 </w:t>
      </w:r>
      <w:r>
        <w:rPr>
          <w:rFonts w:ascii="宋体" w:hAnsi="宋体"/>
          <w:color w:val="000000"/>
          <w:szCs w:val="21"/>
        </w:rPr>
        <w:t xml:space="preserve">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 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pStyle w:val="871"/>
        <w:ind w:firstLine="369"/>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 乙方有权</w:t>
      </w:r>
      <w:r>
        <w:rPr>
          <w:rFonts w:hint="eastAsia" w:ascii="宋体" w:hAnsi="宋体" w:cs="宋体"/>
          <w:color w:val="000000"/>
          <w:szCs w:val="21"/>
        </w:rPr>
        <w:t xml:space="preserve">根据合同约定向甲方收取合同价款。</w:t>
      </w:r>
      <w:r/>
    </w:p>
    <w:p>
      <w:pPr>
        <w:pStyle w:val="871"/>
        <w:ind w:firstLine="369"/>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s="宋体"/>
          <w:color w:val="000000"/>
          <w:szCs w:val="21"/>
        </w:rPr>
        <w:t xml:space="preserve">国家法律法规规定</w:t>
      </w:r>
      <w:r>
        <w:rPr>
          <w:rFonts w:hint="eastAsia" w:ascii="宋体" w:hAnsi="宋体"/>
          <w:color w:val="000000"/>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szCs w:val="21"/>
        </w:rPr>
        <w:t xml:space="preserve">由乙方承担的其他义务和责任。</w:t>
      </w:r>
      <w:r/>
    </w:p>
    <w:p>
      <w:pPr>
        <w:numPr>
          <w:ilvl w:val="0"/>
          <w:numId w:val="3"/>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893"/>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875"/>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75"/>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6"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871"/>
        <w:spacing w:after="0" w:line="400" w:lineRule="exact"/>
        <w:rPr>
          <w:rFonts w:ascii="宋体" w:hAnsi="宋体"/>
          <w:b/>
          <w:bCs/>
          <w:sz w:val="24"/>
          <w:szCs w:val="24"/>
        </w:rPr>
      </w:pPr>
      <w:r>
        <w:rPr>
          <w:rFonts w:hint="eastAsia" w:ascii="宋体" w:hAnsi="宋体"/>
          <w:b/>
          <w:bCs/>
          <w:sz w:val="24"/>
          <w:szCs w:val="24"/>
        </w:rPr>
        <w:t xml:space="preserve">13.履约保证金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893"/>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15.违约责任</w:t>
      </w:r>
      <w:r/>
    </w:p>
    <w:p>
      <w:pPr>
        <w:ind w:firstLine="420"/>
        <w:jc w:val="left"/>
        <w:spacing w:line="400" w:lineRule="exact"/>
        <w:rPr>
          <w:rFonts w:ascii="宋体" w:hAnsi="宋体"/>
          <w:bCs/>
          <w:szCs w:val="21"/>
        </w:rPr>
      </w:pPr>
      <w:r>
        <w:rPr>
          <w:rFonts w:hint="eastAsia" w:ascii="宋体" w:hAnsi="宋体"/>
          <w:bCs/>
          <w:szCs w:val="21"/>
        </w:rPr>
        <w:t xml:space="preserve">15.1 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 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4"/>
        </w:numPr>
        <w:jc w:val="left"/>
        <w:spacing w:line="400" w:lineRule="exact"/>
        <w:rPr>
          <w:rFonts w:ascii="宋体" w:hAnsi="宋体"/>
          <w:b/>
          <w:sz w:val="24"/>
        </w:rPr>
      </w:pPr>
      <w:r>
        <w:rPr>
          <w:rFonts w:hint="eastAsia" w:ascii="宋体" w:hAnsi="宋体"/>
          <w:b/>
          <w:sz w:val="24"/>
        </w:rPr>
        <w:t xml:space="preserve">合同变更、中止与终止</w:t>
      </w:r>
      <w:r/>
    </w:p>
    <w:p>
      <w:pPr>
        <w:ind w:firstLine="420"/>
        <w:jc w:val="left"/>
        <w:spacing w:line="400" w:lineRule="exact"/>
        <w:rPr>
          <w:rFonts w:ascii="宋体" w:hAnsi="宋体"/>
          <w:bCs/>
          <w:szCs w:val="21"/>
        </w:rPr>
      </w:pPr>
      <w:r>
        <w:rPr>
          <w:rFonts w:hint="eastAsia" w:ascii="宋体" w:hAnsi="宋体"/>
          <w:bCs/>
          <w:szCs w:val="21"/>
        </w:rPr>
        <w:t xml:space="preserve">16.1 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 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93"/>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 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893"/>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893"/>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19.解决争议的方法</w:t>
      </w:r>
      <w:r/>
    </w:p>
    <w:p>
      <w:pPr>
        <w:pStyle w:val="893"/>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93"/>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893"/>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871"/>
        <w:ind w:firstLine="420"/>
        <w:spacing w:after="0" w:line="400" w:lineRule="exact"/>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21.法律适用</w:t>
      </w:r>
      <w:r/>
    </w:p>
    <w:p>
      <w:pPr>
        <w:pStyle w:val="893"/>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893"/>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0"/>
          <w:numId w:val="0"/>
        </w:numPr>
        <w:jc w:val="left"/>
        <w:spacing w:line="400" w:lineRule="exact"/>
        <w:rPr>
          <w:rFonts w:ascii="宋体" w:hAnsi="宋体"/>
          <w:b/>
          <w:sz w:val="24"/>
        </w:rPr>
      </w:pPr>
      <w:r>
        <w:rPr>
          <w:rFonts w:hint="eastAsia" w:ascii="宋体" w:hAnsi="宋体"/>
          <w:b/>
          <w:sz w:val="24"/>
        </w:rPr>
        <w:t xml:space="preserve">22. 通知</w:t>
      </w:r>
      <w:r/>
    </w:p>
    <w:p>
      <w:pPr>
        <w:pStyle w:val="893"/>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893"/>
        <w:ind w:firstLine="420"/>
        <w:jc w:val="both"/>
        <w:rPr>
          <w:rFonts w:ascii="宋体" w:hAnsi="宋体" w:eastAsia="宋体" w:cs="宋体"/>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 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 通知以送达之日或通知书中规定的生效之日起生效，两者中以较迟之日为准。</w:t>
      </w:r>
      <w:r/>
    </w:p>
    <w:p>
      <w:pPr>
        <w:numPr>
          <w:ilvl w:val="0"/>
          <w:numId w:val="5"/>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 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bookmarkStart w:id="7" w:name="_Toc20313"/>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862"/>
        <w:jc w:val="center"/>
        <w:spacing w:line="400" w:lineRule="exact"/>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7"/>
      <w:r/>
      <w:r/>
    </w:p>
    <w:tbl>
      <w:tblPr>
        <w:tblStyle w:val="655"/>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jc w:val="cente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jc w:val="cente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jc w:val="cente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货物质量缺陷</w:t>
            </w:r>
            <w:r/>
          </w:p>
          <w:p>
            <w:pPr>
              <w:jc w:val="center"/>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893"/>
              <w:ind w:firstLine="0"/>
              <w:jc w:val="center"/>
            </w:pPr>
            <w:r>
              <w:rPr>
                <w:rFonts w:hint="eastAsia" w:ascii="宋体" w:hAnsi="宋体" w:eastAsia="宋体" w:cs="宋体"/>
              </w:rPr>
              <w:t xml:space="preserve">第11.1款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87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其他违约责任</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9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解决争议的方法</w:t>
            </w:r>
            <w:r/>
          </w:p>
        </w:tc>
        <w:tc>
          <w:tcPr>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 ）种方式解决：</w:t>
            </w:r>
            <w:r/>
          </w:p>
          <w:p>
            <w:pPr>
              <w:jc w:val="left"/>
              <w:spacing w:line="400" w:lineRule="exact"/>
              <w:rPr>
                <w:rFonts w:ascii="宋体" w:hAnsi="宋体" w:cs="宋体"/>
                <w:iCs/>
                <w:szCs w:val="21"/>
              </w:rPr>
            </w:pPr>
            <w:r>
              <w:rPr>
                <w:rFonts w:hint="eastAsia" w:ascii="宋体" w:hAnsi="宋体" w:cs="宋体"/>
                <w:iCs/>
                <w:szCs w:val="21"/>
              </w:rPr>
              <w:t xml:space="preserve">（1）向仲裁委员会申请仲裁，仲裁地点为        ；</w:t>
            </w:r>
            <w:r/>
          </w:p>
          <w:p>
            <w:pPr>
              <w:jc w:val="left"/>
              <w:rPr>
                <w:rFonts w:ascii="宋体" w:hAnsi="宋体"/>
                <w:szCs w:val="21"/>
                <w:u w:val="single"/>
              </w:rPr>
            </w:pPr>
            <w:r>
              <w:rPr>
                <w:rFonts w:hint="eastAsia" w:ascii="宋体" w:hAnsi="宋体" w:cs="宋体"/>
                <w:iCs/>
                <w:szCs w:val="21"/>
              </w:rPr>
              <w:t xml:space="preserve">（2）向        人民法院起诉。</w:t>
            </w:r>
            <w:r/>
          </w:p>
        </w:tc>
      </w:tr>
      <w:tr>
        <w:trPr>
          <w:jc w:val="cente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center"/>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jc w:val="left"/>
        <w:widowControl/>
        <w:rPr>
          <w:rFonts w:ascii="宋体" w:hAnsi="宋体"/>
          <w:szCs w:val="21"/>
        </w:rPr>
      </w:pPr>
      <w:r>
        <w:rPr>
          <w:rFonts w:ascii="宋体" w:hAnsi="宋体"/>
          <w:szCs w:val="21"/>
        </w:rPr>
        <w:br w:type="page" w:clear="all"/>
      </w:r>
      <w:r/>
    </w:p>
    <w:p>
      <w:pPr>
        <w:pStyle w:val="860"/>
        <w:jc w:val="center"/>
        <w:spacing w:line="360" w:lineRule="auto"/>
        <w:rPr>
          <w:rFonts w:ascii="黑体" w:hAnsi="黑体" w:eastAsia="黑体"/>
          <w:b w:val="0"/>
        </w:rPr>
      </w:pPr>
      <w:r/>
      <w:bookmarkStart w:id="8" w:name="_Toc165205797"/>
      <w:r>
        <w:rPr>
          <w:rFonts w:hint="eastAsia" w:ascii="黑体" w:hAnsi="黑体" w:eastAsia="黑体"/>
          <w:b w:val="0"/>
        </w:rPr>
        <w:t xml:space="preserve">第四章  采购需求</w:t>
      </w:r>
      <w:bookmarkEnd w:id="8"/>
      <w:r/>
      <w:r/>
    </w:p>
    <w:p>
      <w:pPr>
        <w:ind w:firstLine="480"/>
        <w:jc w:val="left"/>
        <w:spacing w:line="360" w:lineRule="auto"/>
        <w:rPr>
          <w:rFonts w:ascii="宋体" w:hAnsi="宋体" w:eastAsia="宋体" w:cs="Times New Roman"/>
          <w:sz w:val="24"/>
          <w:szCs w:val="24"/>
        </w:rP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p>
    <w:p>
      <w:pPr>
        <w:ind w:firstLine="480"/>
        <w:jc w:val="left"/>
        <w:spacing w:line="360" w:lineRule="auto"/>
        <w:rPr>
          <w:rFonts w:hint="eastAsia"/>
          <w:sz w:val="24"/>
          <w:szCs w:val="24"/>
        </w:rPr>
      </w:pP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行业划型标准：</w:t>
      </w:r>
      <w:r>
        <w:rPr>
          <w:rFonts w:hint="eastAsia"/>
          <w:sz w:val="24"/>
          <w:szCs w:val="24"/>
        </w:rPr>
        <w:t xml:space="preserve">从业人员1000人以下或营业收入4亿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500" w:lineRule="exact"/>
        <w:rPr>
          <w:sz w:val="24"/>
          <w:szCs w:val="24"/>
        </w:rPr>
      </w:pPr>
      <w:r>
        <w:rPr>
          <w:rFonts w:hint="eastAsia"/>
          <w:sz w:val="24"/>
          <w:szCs w:val="24"/>
        </w:rPr>
        <w:t xml:space="preserve">1、根据《政府采购需求管理办法》等有关规定，采购人确定采购需求。</w:t>
      </w:r>
      <w:r/>
    </w:p>
    <w:p>
      <w:pPr>
        <w:ind w:firstLine="480"/>
        <w:jc w:val="left"/>
        <w:spacing w:line="500" w:lineRule="exact"/>
        <w:rPr>
          <w:sz w:val="24"/>
          <w:szCs w:val="24"/>
        </w:rPr>
      </w:pPr>
      <w:r>
        <w:rPr>
          <w:rFonts w:hint="eastAsia"/>
          <w:sz w:val="24"/>
          <w:szCs w:val="24"/>
        </w:rPr>
        <w:t xml:space="preserve">2、</w:t>
      </w:r>
      <w:r>
        <w:rPr>
          <w:rFonts w:hint="eastAsia"/>
          <w:b/>
          <w:color w:val="ff0000"/>
          <w:sz w:val="24"/>
          <w:szCs w:val="24"/>
        </w:rPr>
        <w:t xml:space="preserve">本招标文件中</w:t>
      </w:r>
      <w:r>
        <w:rPr>
          <w:rFonts w:hint="eastAsia"/>
          <w:color w:val="ff0000"/>
          <w:sz w:val="24"/>
          <w:szCs w:val="24"/>
        </w:rPr>
        <w:t xml:space="preserve">指标按重要性分为 “★” 、 “▲” </w:t>
      </w:r>
      <w:r>
        <w:rPr>
          <w:rFonts w:hint="eastAsia"/>
          <w:color w:val="ff0000"/>
          <w:sz w:val="24"/>
          <w:szCs w:val="24"/>
          <w:lang w:eastAsia="zh-CN"/>
        </w:rPr>
        <w:t xml:space="preserve">。</w:t>
      </w:r>
      <w:r>
        <w:rPr>
          <w:rFonts w:hint="eastAsia"/>
          <w:color w:val="ff0000"/>
          <w:sz w:val="24"/>
          <w:szCs w:val="24"/>
        </w:rPr>
        <w:t xml:space="preserve">★ 代表实质性指标，由采购人根据实际情况设置，投标人须逐条明确作出满足实质性要求和条件的响应，否则将按无效响应处理。 ▲代表重要指标。其他为一般指标。</w:t>
      </w:r>
      <w:r/>
    </w:p>
    <w:tbl>
      <w:tblPr>
        <w:tblStyle w:val="88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W w:w="8505" w:type="dxa"/>
            <w:vAlign w:val="center"/>
            <w:textDirection w:val="lrTb"/>
            <w:noWrap w:val="false"/>
          </w:tcPr>
          <w:p>
            <w:pPr>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p>
        </w:tc>
      </w:tr>
      <w:tr>
        <w:trPr>
          <w:jc w:val="center"/>
        </w:trPr>
        <w:tc>
          <w:tcPr>
            <w:tcW w:w="816" w:type="dxa"/>
            <w:vAlign w:val="top"/>
            <w:textDirection w:val="lrTb"/>
            <w:noWrap w:val="false"/>
          </w:tcPr>
          <w:p>
            <w:pPr>
              <w:jc w:val="center"/>
              <w:spacing w:line="500" w:lineRule="exact"/>
              <w:rPr>
                <w:b/>
                <w:sz w:val="24"/>
                <w:szCs w:val="24"/>
              </w:rPr>
            </w:pPr>
            <w:r>
              <w:rPr>
                <w:b/>
                <w:sz w:val="24"/>
                <w:szCs w:val="24"/>
              </w:rPr>
              <w:t xml:space="preserve">序号</w:t>
            </w:r>
            <w:r/>
          </w:p>
        </w:tc>
        <w:tc>
          <w:tcPr>
            <w:tcW w:w="7689" w:type="dxa"/>
            <w:vAlign w:val="top"/>
            <w:textDirection w:val="lrTb"/>
            <w:noWrap w:val="false"/>
          </w:tcPr>
          <w:p>
            <w:pPr>
              <w:jc w:val="center"/>
              <w:spacing w:line="500" w:lineRule="exact"/>
              <w:rPr>
                <w:b/>
                <w:sz w:val="24"/>
                <w:szCs w:val="24"/>
              </w:rPr>
            </w:pPr>
            <w:r>
              <w:rPr>
                <w:b/>
                <w:sz w:val="24"/>
                <w:szCs w:val="24"/>
              </w:rPr>
              <w:t xml:space="preserve">实质性要求和条件</w:t>
            </w:r>
            <w:r/>
          </w:p>
        </w:tc>
      </w:tr>
      <w:tr>
        <w:trPr>
          <w:jc w:val="center"/>
        </w:trPr>
        <w:tc>
          <w:tcPr>
            <w:tcW w:w="816" w:type="dxa"/>
            <w:vAlign w:val="center"/>
            <w:textDirection w:val="lrTb"/>
            <w:noWrap w:val="false"/>
          </w:tcPr>
          <w:p>
            <w:pPr>
              <w:jc w:val="center"/>
              <w:spacing w:before="0" w:after="0"/>
            </w:pPr>
            <w:r>
              <w:rPr>
                <w:rFonts w:ascii="宋体" w:hAnsi="宋体" w:eastAsia="宋体"/>
                <w:i w:val="0"/>
                <w:sz w:val="20"/>
                <w:u w:val="none"/>
              </w:rPr>
              <w:t xml:space="preserve">1</w:t>
            </w:r>
            <w:r/>
          </w:p>
        </w:tc>
        <w:tc>
          <w:tcPr>
            <w:tcW w:w="7689" w:type="dxa"/>
            <w:vAlign w:val="center"/>
            <w:textDirection w:val="lrTb"/>
            <w:noWrap w:val="false"/>
          </w:tcPr>
          <w:p>
            <w:pPr>
              <w:jc w:val="left"/>
              <w:spacing w:before="0" w:after="0" w:line="240" w:lineRule="auto"/>
              <w:tabs>
                <w:tab w:val="left" w:pos="7350" w:leader="none"/>
              </w:tabs>
              <w:rPr>
                <w:rFonts w:hint="eastAsia" w:ascii="宋体" w:hAnsi="宋体" w:eastAsia="宋体" w:cs="宋体"/>
                <w:i w:val="0"/>
                <w:iCs w:val="0"/>
                <w:sz w:val="24"/>
                <w:szCs w:val="24"/>
                <w:u w:val="none"/>
              </w:rPr>
            </w:pPr>
            <w:r>
              <w:rPr>
                <w:rFonts w:hint="eastAsia" w:ascii="宋体" w:hAnsi="宋体" w:eastAsia="宋体" w:cs="宋体"/>
                <w:i w:val="0"/>
                <w:iCs w:val="0"/>
                <w:sz w:val="24"/>
                <w:szCs w:val="24"/>
                <w:highlight w:val="none"/>
                <w:u w:val="none"/>
                <w:lang w:val="en-US" w:eastAsia="zh-CN"/>
              </w:rPr>
              <w:t xml:space="preserve">★本项目质量保障期（质保期）为自竣工验收合格之日起3年。投标人应承诺在项目通过验收后提供三年的原厂质量保障服务，要求提供7*24小时技术服务（需提供承诺函并加盖投标人公章）。在质保期内，中标供应商必须确保机房微模块系统建设后运行良好，提供每季度至少1次巡检服务。</w:t>
            </w:r>
            <w:r/>
          </w:p>
        </w:tc>
      </w:tr>
      <w:tr>
        <w:trPr>
          <w:jc w:val="center"/>
        </w:trPr>
        <w:tc>
          <w:tcPr>
            <w:tcW w:w="816" w:type="dxa"/>
            <w:vAlign w:val="center"/>
            <w:textDirection w:val="lrTb"/>
            <w:noWrap w:val="false"/>
          </w:tcPr>
          <w:p>
            <w:pPr>
              <w:jc w:val="center"/>
              <w:spacing w:before="0" w:after="0"/>
            </w:pPr>
            <w:r>
              <w:rPr>
                <w:rFonts w:ascii="宋体" w:hAnsi="宋体" w:eastAsia="宋体"/>
                <w:i w:val="0"/>
                <w:sz w:val="20"/>
                <w:u w:val="none"/>
              </w:rPr>
              <w:t xml:space="preserve">2</w:t>
            </w:r>
            <w:r/>
          </w:p>
        </w:tc>
        <w:tc>
          <w:tcPr>
            <w:tcW w:w="7689" w:type="dxa"/>
            <w:vAlign w:val="center"/>
            <w:textDirection w:val="lrTb"/>
            <w:noWrap w:val="false"/>
          </w:tcPr>
          <w:p>
            <w:pPr>
              <w:jc w:val="left"/>
              <w:spacing w:before="0" w:after="0"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highlight w:val="none"/>
                <w:u w:val="none"/>
                <w:lang w:val="en-US" w:eastAsia="zh-CN"/>
              </w:rPr>
              <w:t xml:space="preserve">★</w:t>
            </w:r>
            <w:r>
              <w:rPr>
                <w:rFonts w:hint="eastAsia"/>
                <w:lang w:eastAsia="zh-CN"/>
              </w:rPr>
              <w:t xml:space="preserve">合同履行期限</w:t>
            </w:r>
            <w:r>
              <w:rPr>
                <w:rFonts w:hint="eastAsia" w:ascii="宋体" w:hAnsi="宋体" w:eastAsia="宋体" w:cs="宋体"/>
                <w:i w:val="0"/>
                <w:iCs w:val="0"/>
                <w:color w:val="auto"/>
                <w:sz w:val="24"/>
                <w:szCs w:val="24"/>
                <w:highlight w:val="none"/>
                <w:u w:val="none"/>
                <w:lang w:val="en-US" w:eastAsia="zh-CN"/>
              </w:rPr>
              <w:t xml:space="preserve">：自合同签订之日起</w:t>
            </w:r>
            <w:r>
              <w:rPr>
                <w:rFonts w:hint="eastAsia" w:ascii="宋体" w:hAnsi="宋体" w:cs="宋体"/>
                <w:i w:val="0"/>
                <w:iCs w:val="0"/>
                <w:color w:val="auto"/>
                <w:sz w:val="24"/>
                <w:szCs w:val="24"/>
                <w:highlight w:val="none"/>
                <w:u w:val="none"/>
                <w:lang w:val="en-US" w:eastAsia="zh-CN"/>
              </w:rPr>
              <w:t xml:space="preserve">60</w:t>
            </w:r>
            <w:r>
              <w:rPr>
                <w:rFonts w:hint="eastAsia" w:ascii="宋体" w:hAnsi="宋体" w:eastAsia="宋体" w:cs="宋体"/>
                <w:i w:val="0"/>
                <w:iCs w:val="0"/>
                <w:color w:val="auto"/>
                <w:sz w:val="24"/>
                <w:szCs w:val="24"/>
                <w:highlight w:val="none"/>
                <w:u w:val="none"/>
                <w:lang w:val="en-US" w:eastAsia="zh-CN"/>
              </w:rPr>
              <w:t xml:space="preserve">个日历天完成本项目的建设任务、提交全部项目竣工文档，满足竣工验收条件。</w:t>
            </w:r>
            <w:r/>
          </w:p>
        </w:tc>
      </w:tr>
      <w:tr>
        <w:trPr>
          <w:jc w:val="center"/>
        </w:trPr>
        <w:tc>
          <w:tcPr>
            <w:tcW w:w="816" w:type="dxa"/>
            <w:vAlign w:val="center"/>
            <w:textDirection w:val="lrTb"/>
            <w:noWrap w:val="false"/>
          </w:tcPr>
          <w:p>
            <w:pPr>
              <w:jc w:val="center"/>
              <w:spacing w:before="0" w:after="0"/>
              <w:rPr>
                <w:rFonts w:hint="eastAsia" w:ascii="宋体" w:hAnsi="宋体" w:eastAsia="宋体"/>
                <w:i w:val="0"/>
                <w:sz w:val="20"/>
                <w:u w:val="none"/>
                <w:lang w:val="en-US" w:eastAsia="zh-CN"/>
              </w:rPr>
            </w:pPr>
            <w:r>
              <w:rPr>
                <w:rFonts w:hint="eastAsia" w:ascii="宋体" w:hAnsi="宋体"/>
                <w:i w:val="0"/>
                <w:sz w:val="20"/>
                <w:u w:val="none"/>
                <w:lang w:val="en-US" w:eastAsia="zh-CN"/>
              </w:rPr>
              <w:t xml:space="preserve">3</w:t>
            </w:r>
            <w:r/>
          </w:p>
        </w:tc>
        <w:tc>
          <w:tcPr>
            <w:tcW w:w="7689" w:type="dxa"/>
            <w:vAlign w:val="center"/>
            <w:textDirection w:val="lrTb"/>
            <w:noWrap w:val="false"/>
          </w:tcPr>
          <w:p>
            <w:pPr>
              <w:jc w:val="left"/>
              <w:spacing w:before="0" w:after="0" w:line="240" w:lineRule="auto"/>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highlight w:val="none"/>
                <w:u w:val="none"/>
                <w:lang w:val="en-US" w:eastAsia="zh-CN"/>
              </w:rPr>
              <w:t xml:space="preserve">★付款方式：</w:t>
            </w:r>
            <w:r>
              <w:rPr>
                <w:rFonts w:hint="eastAsia" w:ascii="宋体" w:hAnsi="宋体" w:cs="宋体"/>
                <w:i w:val="0"/>
                <w:iCs w:val="0"/>
                <w:color w:val="auto"/>
                <w:sz w:val="24"/>
                <w:szCs w:val="24"/>
                <w:highlight w:val="none"/>
                <w:u w:val="none"/>
                <w:lang w:val="en-US" w:eastAsia="zh-CN"/>
              </w:rPr>
              <w:t xml:space="preserve">项目竣工验收合格后一次性付款。</w:t>
            </w:r>
            <w:r/>
          </w:p>
        </w:tc>
      </w:tr>
      <w:tr>
        <w:trPr>
          <w:jc w:val="center"/>
        </w:trPr>
        <w:tc>
          <w:tcPr>
            <w:tcW w:w="816" w:type="dxa"/>
            <w:vAlign w:val="center"/>
            <w:textDirection w:val="lrTb"/>
            <w:noWrap w:val="false"/>
          </w:tcPr>
          <w:p>
            <w:pPr>
              <w:jc w:val="center"/>
              <w:spacing w:before="0" w:after="0"/>
              <w:rPr>
                <w:rFonts w:hint="eastAsia" w:ascii="宋体" w:hAnsi="宋体" w:eastAsia="宋体"/>
                <w:i w:val="0"/>
                <w:sz w:val="20"/>
                <w:u w:val="none"/>
                <w:lang w:val="en-US" w:eastAsia="zh-CN"/>
              </w:rPr>
            </w:pPr>
            <w:r>
              <w:rPr>
                <w:rFonts w:hint="eastAsia" w:ascii="宋体" w:hAnsi="宋体"/>
                <w:i w:val="0"/>
                <w:sz w:val="20"/>
                <w:u w:val="none"/>
                <w:lang w:val="en-US" w:eastAsia="zh-CN"/>
              </w:rPr>
              <w:t xml:space="preserve">4</w:t>
            </w:r>
            <w:r/>
          </w:p>
        </w:tc>
        <w:tc>
          <w:tcPr>
            <w:tcW w:w="7689" w:type="dxa"/>
            <w:vAlign w:val="center"/>
            <w:textDirection w:val="lrTb"/>
            <w:noWrap w:val="false"/>
          </w:tcPr>
          <w:p>
            <w:pPr>
              <w:numPr>
                <w:ilvl w:val="0"/>
                <w:numId w:val="0"/>
              </w:numPr>
              <w:jc w:val="left"/>
              <w:spacing w:line="360" w:lineRule="auto"/>
              <w:rPr>
                <w:rFonts w:hint="eastAsia" w:ascii="宋体" w:hAnsi="宋体" w:eastAsia="宋体" w:cs="宋体"/>
                <w:i w:val="0"/>
                <w:iCs w:val="0"/>
                <w:sz w:val="24"/>
                <w:szCs w:val="24"/>
                <w:highlight w:val="none"/>
                <w:u w:val="none"/>
                <w:lang w:val="en-US" w:eastAsia="zh-CN" w:bidi="ar-SA"/>
              </w:rPr>
              <w:outlineLvl w:val="2"/>
            </w:pPr>
            <w:r>
              <w:rPr>
                <w:rFonts w:hint="eastAsia" w:ascii="宋体" w:hAnsi="宋体" w:eastAsia="宋体" w:cs="宋体"/>
                <w:b/>
                <w:bCs/>
                <w:sz w:val="24"/>
                <w:szCs w:val="24"/>
                <w:highlight w:val="none"/>
                <w:lang w:val="en-US" w:eastAsia="zh-CN"/>
              </w:rPr>
              <w:t xml:space="preserve">项目总体建设要求</w:t>
            </w:r>
            <w:r/>
          </w:p>
          <w:p>
            <w:pPr>
              <w:pStyle w:val="658"/>
              <w:rPr>
                <w:rFonts w:hint="eastAsia" w:ascii="宋体" w:hAnsi="宋体" w:eastAsia="宋体" w:cs="宋体"/>
                <w:b/>
                <w:bCs/>
                <w:sz w:val="24"/>
                <w:szCs w:val="24"/>
                <w:highlight w:val="none"/>
                <w:lang w:val="en-US" w:eastAsia="zh-CN"/>
              </w:rPr>
            </w:pPr>
            <w:r>
              <w:rPr>
                <w:rFonts w:hint="eastAsia" w:ascii="宋体" w:hAnsi="宋体" w:eastAsia="宋体" w:cs="宋体"/>
                <w:i w:val="0"/>
                <w:iCs w:val="0"/>
                <w:sz w:val="24"/>
                <w:szCs w:val="24"/>
                <w:highlight w:val="none"/>
                <w:u w:val="none"/>
                <w:lang w:val="en-US" w:eastAsia="zh-CN" w:bidi="ar-SA"/>
              </w:rPr>
              <w:t xml:space="preserve">项目总体建设要求(</w:t>
            </w:r>
            <w:r>
              <w:rPr>
                <w:rFonts w:hint="eastAsia" w:ascii="宋体" w:hAnsi="宋体" w:cs="宋体"/>
                <w:i w:val="0"/>
                <w:iCs w:val="0"/>
                <w:sz w:val="24"/>
                <w:szCs w:val="24"/>
                <w:highlight w:val="none"/>
                <w:u w:val="none"/>
                <w:lang w:val="en-US" w:eastAsia="zh-CN" w:bidi="ar-SA"/>
              </w:rPr>
              <w:t xml:space="preserve">对以下条款，</w:t>
            </w:r>
            <w:r>
              <w:rPr>
                <w:rFonts w:hint="eastAsia" w:ascii="宋体" w:hAnsi="宋体" w:eastAsia="宋体" w:cs="宋体"/>
                <w:i w:val="0"/>
                <w:iCs w:val="0"/>
                <w:sz w:val="24"/>
                <w:szCs w:val="24"/>
                <w:highlight w:val="none"/>
                <w:u w:val="none"/>
                <w:lang w:val="en-US" w:eastAsia="zh-CN" w:bidi="ar-SA"/>
              </w:rPr>
              <w:t xml:space="preserve">提供</w:t>
            </w:r>
            <w:r>
              <w:rPr>
                <w:rFonts w:hint="eastAsia" w:ascii="宋体" w:hAnsi="宋体" w:eastAsia="宋体" w:cs="宋体"/>
                <w:i w:val="0"/>
                <w:iCs w:val="0"/>
                <w:sz w:val="24"/>
                <w:szCs w:val="24"/>
                <w:highlight w:val="none"/>
                <w:u w:val="none"/>
                <w:lang w:val="en-US" w:eastAsia="zh-CN"/>
              </w:rPr>
              <w:t xml:space="preserve">承诺函并加盖投标人公章</w:t>
            </w:r>
            <w:r>
              <w:rPr>
                <w:rFonts w:hint="eastAsia" w:ascii="宋体" w:hAnsi="宋体" w:cs="宋体"/>
                <w:i w:val="0"/>
                <w:iCs w:val="0"/>
                <w:sz w:val="24"/>
                <w:szCs w:val="24"/>
                <w:highlight w:val="none"/>
                <w:u w:val="none"/>
                <w:lang w:val="en-US" w:eastAsia="zh-CN"/>
              </w:rPr>
              <w:t xml:space="preserve">)</w:t>
            </w:r>
            <w:r/>
          </w:p>
          <w:p>
            <w:pPr>
              <w:numPr>
                <w:ilvl w:val="0"/>
                <w:numId w:val="6"/>
              </w:numPr>
              <w:ind w:left="425" w:hanging="425"/>
              <w:jc w:val="left"/>
              <w:spacing w:line="360" w:lineRule="auto"/>
              <w:rPr>
                <w:rFonts w:hint="eastAsia" w:ascii="宋体" w:hAnsi="宋体" w:eastAsia="宋体" w:cs="宋体"/>
                <w:b/>
                <w:bCs/>
                <w:sz w:val="24"/>
                <w:szCs w:val="24"/>
                <w:highlight w:val="none"/>
                <w:lang w:val="en-US" w:eastAsia="zh-CN"/>
              </w:rPr>
              <w:outlineLvl w:val="2"/>
            </w:pPr>
            <w:r>
              <w:rPr>
                <w:rFonts w:hint="eastAsia" w:ascii="宋体" w:hAnsi="宋体" w:eastAsia="宋体" w:cs="宋体"/>
                <w:color w:val="000000"/>
                <w:sz w:val="24"/>
                <w:szCs w:val="24"/>
                <w:highlight w:val="none"/>
              </w:rPr>
              <w:t xml:space="preserve">★本次建设中标方负责本项目的总集成</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包含机房装修工程和微模块系统建设。</w:t>
            </w:r>
            <w:r/>
          </w:p>
          <w:p>
            <w:pPr>
              <w:numPr>
                <w:ilvl w:val="0"/>
                <w:numId w:val="6"/>
              </w:numPr>
              <w:ind w:left="425" w:hanging="425"/>
              <w:jc w:val="left"/>
              <w:spacing w:line="360" w:lineRule="auto"/>
              <w:rPr>
                <w:rFonts w:hint="eastAsia" w:ascii="宋体" w:hAnsi="宋体" w:eastAsia="宋体" w:cs="宋体"/>
                <w:color w:val="000000"/>
                <w:sz w:val="24"/>
                <w:szCs w:val="24"/>
                <w:highlight w:val="none"/>
                <w:lang w:val="en-US" w:eastAsia="zh-CN"/>
              </w:rPr>
              <w:outlineLvl w:val="2"/>
            </w:pPr>
            <w:r>
              <w:rPr>
                <w:rFonts w:hint="eastAsia" w:ascii="宋体" w:hAnsi="宋体" w:eastAsia="宋体" w:cs="宋体"/>
                <w:color w:val="000000"/>
                <w:sz w:val="24"/>
                <w:szCs w:val="24"/>
                <w:highlight w:val="none"/>
              </w:rPr>
              <w:t xml:space="preserve">★</w:t>
            </w:r>
            <w:r>
              <w:rPr>
                <w:rFonts w:hint="eastAsia" w:ascii="仿宋" w:hAnsi="仿宋" w:eastAsia="仿宋" w:cs="仿宋"/>
                <w:b/>
                <w:bCs/>
                <w:sz w:val="24"/>
              </w:rPr>
              <w:t xml:space="preserve">UPS电源配置</w:t>
            </w:r>
            <w:r/>
          </w:p>
          <w:p>
            <w:pPr>
              <w:numPr>
                <w:ilvl w:val="0"/>
                <w:numId w:val="0"/>
              </w:numPr>
              <w:jc w:val="left"/>
              <w:spacing w:line="360" w:lineRule="auto"/>
              <w:rPr>
                <w:rFonts w:hint="default" w:ascii="宋体" w:hAnsi="宋体" w:eastAsia="宋体" w:cs="宋体"/>
                <w:sz w:val="24"/>
                <w:szCs w:val="24"/>
                <w:lang w:val="en-US"/>
              </w:rPr>
              <w:outlineLvl w:val="2"/>
            </w:pPr>
            <w:r>
              <w:rPr>
                <w:rFonts w:hint="eastAsia" w:ascii="宋体" w:hAnsi="宋体" w:eastAsia="宋体" w:cs="宋体"/>
                <w:color w:val="000000"/>
                <w:sz w:val="24"/>
                <w:szCs w:val="24"/>
                <w:highlight w:val="none"/>
                <w:lang w:val="en-US" w:eastAsia="zh-CN"/>
              </w:rPr>
              <w:t xml:space="preserve">数据中心机房配置</w:t>
            </w:r>
            <w:r>
              <w:rPr>
                <w:rFonts w:hint="eastAsia" w:ascii="宋体" w:hAnsi="宋体" w:cs="宋体"/>
                <w:color w:val="000000"/>
                <w:sz w:val="24"/>
                <w:szCs w:val="24"/>
                <w:highlight w:val="none"/>
                <w:lang w:val="en-US" w:eastAsia="zh-CN"/>
              </w:rPr>
              <w:t xml:space="preserve">不低于60</w:t>
            </w:r>
            <w:r>
              <w:rPr>
                <w:rFonts w:hint="eastAsia" w:ascii="宋体" w:hAnsi="宋体" w:eastAsia="宋体" w:cs="宋体"/>
                <w:color w:val="000000"/>
                <w:sz w:val="24"/>
                <w:szCs w:val="24"/>
                <w:highlight w:val="none"/>
                <w:lang w:val="en-US" w:eastAsia="zh-CN"/>
              </w:rPr>
              <w:t xml:space="preserve">KVA模块化UPS机框</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台</w:t>
            </w:r>
            <w:r>
              <w:rPr>
                <w:rFonts w:hint="eastAsia" w:ascii="宋体" w:hAnsi="宋体" w:cs="宋体"/>
                <w:color w:val="000000"/>
                <w:sz w:val="24"/>
                <w:szCs w:val="24"/>
                <w:highlight w:val="none"/>
                <w:lang w:val="en-US" w:eastAsia="zh-CN"/>
              </w:rPr>
              <w:t xml:space="preserve">（入列）</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i w:val="0"/>
                <w:iCs w:val="0"/>
                <w:sz w:val="24"/>
                <w:szCs w:val="24"/>
                <w:highlight w:val="none"/>
                <w:u w:val="none"/>
                <w:lang w:val="en-US" w:eastAsia="zh-CN" w:bidi="ar-SA"/>
              </w:rPr>
              <w:t xml:space="preserve">每台UPS配置2个30KVA的功率模块。蓄电池后备延时不小于30min。UPS采用高频模块化UPS，单台主机机框容量≥60kVA，UPS总功率容量≥60kVA(单功率模块额定容量≤30kVA)。</w:t>
            </w:r>
            <w:r/>
          </w:p>
        </w:tc>
      </w:tr>
      <w:tr>
        <w:trPr>
          <w:jc w:val="center"/>
        </w:trPr>
        <w:tc>
          <w:tcPr>
            <w:tcW w:w="816" w:type="dxa"/>
            <w:vAlign w:val="center"/>
            <w:textDirection w:val="lrTb"/>
            <w:noWrap w:val="false"/>
          </w:tcPr>
          <w:p>
            <w:pPr>
              <w:jc w:val="center"/>
              <w:spacing w:before="0" w:after="0"/>
              <w:rPr>
                <w:rFonts w:hint="eastAsia" w:ascii="宋体" w:hAnsi="宋体"/>
                <w:i w:val="0"/>
                <w:sz w:val="20"/>
                <w:u w:val="none"/>
                <w:lang w:val="en-US" w:eastAsia="zh-CN"/>
              </w:rPr>
            </w:pPr>
            <w:r>
              <w:rPr>
                <w:rFonts w:hint="eastAsia" w:ascii="宋体" w:hAnsi="宋体"/>
                <w:i w:val="0"/>
                <w:sz w:val="20"/>
                <w:u w:val="none"/>
                <w:lang w:val="en-US" w:eastAsia="zh-CN"/>
              </w:rPr>
            </w:r>
            <w:r/>
          </w:p>
        </w:tc>
        <w:tc>
          <w:tcPr>
            <w:tcW w:w="7689" w:type="dxa"/>
            <w:vAlign w:val="center"/>
            <w:textDirection w:val="lrTb"/>
            <w:noWrap w:val="false"/>
          </w:tcPr>
          <w:p>
            <w:pPr>
              <w:numPr>
                <w:ilvl w:val="0"/>
                <w:numId w:val="6"/>
              </w:numPr>
              <w:ind w:left="425" w:hanging="425"/>
              <w:jc w:val="left"/>
              <w:spacing w:line="360" w:lineRule="auto"/>
              <w:rPr>
                <w:rFonts w:hint="eastAsia" w:ascii="仿宋" w:hAnsi="仿宋" w:eastAsia="仿宋" w:cs="仿宋"/>
                <w:b/>
                <w:bCs/>
                <w:sz w:val="24"/>
              </w:rPr>
              <w:outlineLvl w:val="2"/>
            </w:pPr>
            <w:r>
              <w:rPr>
                <w:rFonts w:hint="eastAsia" w:ascii="宋体" w:hAnsi="宋体" w:eastAsia="宋体" w:cs="宋体"/>
                <w:color w:val="000000"/>
                <w:sz w:val="24"/>
                <w:szCs w:val="24"/>
                <w:highlight w:val="none"/>
              </w:rPr>
              <w:t xml:space="preserve">★</w:t>
            </w:r>
            <w:r>
              <w:rPr>
                <w:rFonts w:hint="eastAsia" w:ascii="仿宋" w:hAnsi="仿宋" w:eastAsia="仿宋" w:cs="仿宋"/>
                <w:b/>
                <w:bCs/>
                <w:sz w:val="24"/>
              </w:rPr>
              <w:t xml:space="preserve">机房冷通道系统</w:t>
            </w:r>
            <w:r/>
          </w:p>
          <w:p>
            <w:pPr>
              <w:numPr>
                <w:ilvl w:val="0"/>
                <w:numId w:val="0"/>
              </w:numPr>
              <w:jc w:val="left"/>
              <w:spacing w:line="360" w:lineRule="auto"/>
              <w:rPr>
                <w:rFonts w:hint="default" w:ascii="宋体" w:hAnsi="宋体" w:eastAsia="宋体" w:cs="宋体"/>
                <w:sz w:val="24"/>
                <w:szCs w:val="24"/>
                <w:lang w:val="en-US" w:eastAsia="zh-CN"/>
              </w:rPr>
              <w:outlineLvl w:val="2"/>
            </w:pPr>
            <w:r>
              <w:rPr>
                <w:rFonts w:hint="eastAsia" w:ascii="宋体" w:hAnsi="宋体" w:eastAsia="宋体" w:cs="宋体"/>
                <w:sz w:val="24"/>
                <w:szCs w:val="24"/>
                <w:lang w:val="en-US" w:eastAsia="zh-CN"/>
              </w:rPr>
              <w:t xml:space="preserve">本次项目配置1条冷通道，设计功率3KW，微模块设电动平移门，≥43寸显示屏，及配套集中动环监控，冷热通道尺寸≥1200mm。</w:t>
            </w:r>
            <w:r/>
          </w:p>
        </w:tc>
      </w:tr>
      <w:tr>
        <w:trPr>
          <w:jc w:val="center"/>
        </w:trPr>
        <w:tc>
          <w:tcPr>
            <w:tcW w:w="816" w:type="dxa"/>
            <w:vAlign w:val="center"/>
            <w:textDirection w:val="lrTb"/>
            <w:noWrap w:val="false"/>
          </w:tcPr>
          <w:p>
            <w:pPr>
              <w:jc w:val="center"/>
              <w:spacing w:before="0" w:after="0"/>
              <w:rPr>
                <w:rFonts w:hint="eastAsia" w:ascii="宋体" w:hAnsi="宋体"/>
                <w:i w:val="0"/>
                <w:sz w:val="20"/>
                <w:u w:val="none"/>
                <w:lang w:val="en-US" w:eastAsia="zh-CN"/>
              </w:rPr>
            </w:pPr>
            <w:r>
              <w:rPr>
                <w:rFonts w:hint="eastAsia" w:ascii="宋体" w:hAnsi="宋体"/>
                <w:i w:val="0"/>
                <w:sz w:val="20"/>
                <w:u w:val="none"/>
                <w:lang w:val="en-US" w:eastAsia="zh-CN"/>
              </w:rPr>
            </w:r>
            <w:r/>
          </w:p>
        </w:tc>
        <w:tc>
          <w:tcPr>
            <w:tcW w:w="7689" w:type="dxa"/>
            <w:vAlign w:val="center"/>
            <w:textDirection w:val="lrTb"/>
            <w:noWrap w:val="false"/>
          </w:tcPr>
          <w:p>
            <w:pPr>
              <w:numPr>
                <w:ilvl w:val="0"/>
                <w:numId w:val="6"/>
              </w:numPr>
              <w:ind w:left="425" w:hanging="425"/>
              <w:jc w:val="left"/>
              <w:spacing w:line="360" w:lineRule="auto"/>
              <w:rPr>
                <w:rFonts w:hint="eastAsia" w:ascii="宋体" w:hAnsi="宋体" w:eastAsia="宋体" w:cs="宋体"/>
                <w:sz w:val="24"/>
                <w:szCs w:val="24"/>
              </w:rPr>
              <w:outlineLvl w:val="2"/>
            </w:pPr>
            <w:r>
              <w:rPr>
                <w:rFonts w:hint="eastAsia" w:ascii="宋体" w:hAnsi="宋体" w:eastAsia="宋体" w:cs="宋体"/>
                <w:color w:val="000000"/>
                <w:sz w:val="24"/>
                <w:szCs w:val="24"/>
                <w:highlight w:val="none"/>
              </w:rPr>
              <w:t xml:space="preserve">★</w:t>
            </w:r>
            <w:r>
              <w:rPr>
                <w:rFonts w:hint="eastAsia" w:ascii="仿宋" w:hAnsi="仿宋" w:eastAsia="仿宋" w:cs="仿宋"/>
                <w:b/>
                <w:bCs/>
                <w:sz w:val="24"/>
              </w:rPr>
              <w:t xml:space="preserve">空调系统</w:t>
            </w:r>
            <w:r/>
          </w:p>
          <w:p>
            <w:pPr>
              <w:numPr>
                <w:ilvl w:val="0"/>
                <w:numId w:val="0"/>
              </w:numPr>
              <w:jc w:val="left"/>
              <w:spacing w:line="360" w:lineRule="auto"/>
              <w:rPr>
                <w:rFonts w:hint="default" w:ascii="宋体" w:hAnsi="宋体" w:eastAsia="宋体" w:cs="宋体"/>
                <w:sz w:val="24"/>
                <w:szCs w:val="24"/>
                <w:lang w:val="en-US" w:eastAsia="zh-CN"/>
              </w:rPr>
              <w:outlineLvl w:val="2"/>
            </w:pPr>
            <w:r>
              <w:rPr>
                <w:rFonts w:hint="eastAsia" w:ascii="宋体" w:hAnsi="宋体" w:cs="宋体"/>
                <w:sz w:val="24"/>
                <w:szCs w:val="24"/>
                <w:lang w:val="en-US" w:eastAsia="zh-CN"/>
              </w:rPr>
              <w:t xml:space="preserve">本次项目</w:t>
            </w:r>
            <w:r>
              <w:rPr>
                <w:rFonts w:hint="eastAsia" w:ascii="宋体" w:hAnsi="宋体" w:eastAsia="宋体" w:cs="宋体"/>
                <w:sz w:val="24"/>
                <w:szCs w:val="24"/>
              </w:rPr>
              <w:t xml:space="preserve">配置</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台≥46KW</w:t>
            </w:r>
            <w:r>
              <w:rPr>
                <w:rFonts w:hint="eastAsia" w:ascii="宋体" w:hAnsi="宋体" w:cs="宋体"/>
                <w:sz w:val="24"/>
                <w:szCs w:val="24"/>
                <w:lang w:val="en-US" w:eastAsia="zh-CN"/>
              </w:rPr>
              <w:t xml:space="preserve">制</w:t>
            </w:r>
            <w:r>
              <w:rPr>
                <w:rFonts w:hint="eastAsia" w:ascii="宋体" w:hAnsi="宋体" w:eastAsia="宋体" w:cs="宋体"/>
                <w:sz w:val="24"/>
                <w:szCs w:val="24"/>
              </w:rPr>
              <w:t xml:space="preserve">冷量的</w:t>
            </w:r>
            <w:r>
              <w:rPr>
                <w:rFonts w:hint="eastAsia" w:ascii="宋体" w:hAnsi="宋体" w:cs="宋体"/>
                <w:sz w:val="24"/>
                <w:szCs w:val="24"/>
                <w:lang w:val="en-US" w:eastAsia="zh-CN"/>
              </w:rPr>
              <w:t xml:space="preserve">行级精密空调</w:t>
            </w:r>
            <w:r>
              <w:rPr>
                <w:rFonts w:hint="eastAsia" w:ascii="宋体" w:hAnsi="宋体" w:cs="宋体"/>
                <w:sz w:val="24"/>
                <w:szCs w:val="24"/>
                <w:lang w:eastAsia="zh-CN"/>
              </w:rPr>
              <w:t xml:space="preserve">，</w:t>
            </w:r>
            <w:r>
              <w:rPr>
                <w:rFonts w:hint="eastAsia" w:ascii="宋体" w:hAnsi="宋体" w:eastAsia="宋体" w:cs="宋体"/>
                <w:sz w:val="24"/>
                <w:szCs w:val="24"/>
              </w:rPr>
              <w:t xml:space="preserve">覆盖机房冷通道区域,</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台≥</w:t>
            </w:r>
            <w:r>
              <w:rPr>
                <w:rFonts w:hint="eastAsia" w:ascii="宋体" w:hAnsi="宋体" w:cs="宋体"/>
                <w:sz w:val="24"/>
                <w:szCs w:val="24"/>
                <w:lang w:val="en-US" w:eastAsia="zh-CN"/>
              </w:rPr>
              <w:t xml:space="preserve">13</w:t>
            </w:r>
            <w:r>
              <w:rPr>
                <w:rFonts w:hint="eastAsia" w:ascii="宋体" w:hAnsi="宋体" w:eastAsia="宋体" w:cs="宋体"/>
                <w:sz w:val="24"/>
                <w:szCs w:val="24"/>
              </w:rPr>
              <w:t xml:space="preserve">KW</w:t>
            </w:r>
            <w:r>
              <w:rPr>
                <w:rFonts w:hint="eastAsia" w:ascii="宋体" w:hAnsi="宋体" w:cs="宋体"/>
                <w:sz w:val="24"/>
                <w:szCs w:val="24"/>
                <w:lang w:val="en-US" w:eastAsia="zh-CN"/>
              </w:rPr>
              <w:t xml:space="preserve">制</w:t>
            </w:r>
            <w:r>
              <w:rPr>
                <w:rFonts w:hint="eastAsia" w:ascii="宋体" w:hAnsi="宋体" w:eastAsia="宋体" w:cs="宋体"/>
                <w:sz w:val="24"/>
                <w:szCs w:val="24"/>
              </w:rPr>
              <w:t xml:space="preserve">冷量精密空调用于</w:t>
            </w:r>
            <w:r>
              <w:rPr>
                <w:rFonts w:hint="eastAsia" w:ascii="宋体" w:hAnsi="宋体" w:cs="宋体"/>
                <w:sz w:val="24"/>
                <w:szCs w:val="24"/>
                <w:lang w:val="en-US" w:eastAsia="zh-CN"/>
              </w:rPr>
              <w:t xml:space="preserve">电池间</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空</w:t>
            </w:r>
            <w:r>
              <w:rPr>
                <w:rFonts w:hint="eastAsia" w:ascii="宋体" w:hAnsi="宋体" w:eastAsia="宋体" w:cs="宋体"/>
                <w:sz w:val="24"/>
                <w:szCs w:val="24"/>
                <w:lang w:val="en-US" w:eastAsia="zh-CN"/>
              </w:rPr>
              <w:t xml:space="preserve">调机主要技术性能：风冷行级精密空调，水平送风，总冷量≥46KW，显冷量≥46kW，风量≥9000m³/h，加热量≥6kW，加湿量≥3kg/h，采用环保高效的R410A制冷剂。</w:t>
            </w:r>
            <w:r/>
          </w:p>
        </w:tc>
      </w:tr>
      <w:tr>
        <w:trPr>
          <w:jc w:val="center"/>
        </w:trPr>
        <w:tc>
          <w:tcPr>
            <w:tcW w:w="816" w:type="dxa"/>
            <w:vAlign w:val="center"/>
            <w:textDirection w:val="lrTb"/>
            <w:noWrap w:val="false"/>
          </w:tcPr>
          <w:p>
            <w:pPr>
              <w:jc w:val="center"/>
              <w:spacing w:before="0" w:after="0"/>
              <w:rPr>
                <w:rFonts w:hint="eastAsia" w:ascii="宋体" w:hAnsi="宋体"/>
                <w:i w:val="0"/>
                <w:sz w:val="20"/>
                <w:u w:val="none"/>
                <w:lang w:val="en-US" w:eastAsia="zh-CN"/>
              </w:rPr>
            </w:pPr>
            <w:r>
              <w:rPr>
                <w:rFonts w:hint="eastAsia" w:ascii="宋体" w:hAnsi="宋体"/>
                <w:i w:val="0"/>
                <w:sz w:val="20"/>
                <w:u w:val="none"/>
                <w:lang w:val="en-US" w:eastAsia="zh-CN"/>
              </w:rPr>
            </w:r>
            <w:r/>
          </w:p>
        </w:tc>
        <w:tc>
          <w:tcPr>
            <w:tcW w:w="7689" w:type="dxa"/>
            <w:vAlign w:val="center"/>
            <w:textDirection w:val="lrTb"/>
            <w:noWrap w:val="false"/>
          </w:tcPr>
          <w:p>
            <w:pPr>
              <w:numPr>
                <w:ilvl w:val="0"/>
                <w:numId w:val="6"/>
              </w:numPr>
              <w:ind w:left="425" w:hanging="425"/>
              <w:jc w:val="left"/>
              <w:spacing w:line="360" w:lineRule="auto"/>
              <w:rPr>
                <w:rFonts w:hint="eastAsia" w:ascii="宋体" w:hAnsi="宋体" w:eastAsia="宋体" w:cs="宋体"/>
                <w:sz w:val="24"/>
                <w:szCs w:val="24"/>
              </w:rPr>
              <w:outlineLvl w:val="2"/>
            </w:pPr>
            <w:r>
              <w:rPr>
                <w:rFonts w:hint="eastAsia" w:ascii="宋体" w:hAnsi="宋体" w:eastAsia="宋体" w:cs="宋体"/>
                <w:color w:val="000000"/>
                <w:sz w:val="24"/>
                <w:szCs w:val="24"/>
                <w:highlight w:val="none"/>
              </w:rPr>
              <w:t xml:space="preserve">★</w:t>
            </w:r>
            <w:r>
              <w:rPr>
                <w:rFonts w:hint="eastAsia" w:ascii="仿宋" w:hAnsi="仿宋" w:eastAsia="仿宋" w:cs="仿宋"/>
                <w:b/>
                <w:bCs/>
                <w:sz w:val="24"/>
              </w:rPr>
              <w:t xml:space="preserve">防雷接地系统</w:t>
            </w:r>
            <w:r/>
          </w:p>
          <w:p>
            <w:pPr>
              <w:numPr>
                <w:ilvl w:val="0"/>
                <w:numId w:val="7"/>
              </w:numPr>
              <w:ind w:left="425" w:hanging="425"/>
              <w:jc w:val="left"/>
              <w:spacing w:line="360" w:lineRule="auto"/>
              <w:rPr>
                <w:rFonts w:hint="eastAsia" w:ascii="宋体" w:hAnsi="宋体" w:cs="宋体"/>
                <w:sz w:val="24"/>
                <w:szCs w:val="24"/>
                <w:lang w:val="en-US" w:eastAsia="zh-CN"/>
              </w:rPr>
              <w:outlineLvl w:val="2"/>
            </w:pPr>
            <w:r>
              <w:rPr>
                <w:rFonts w:hint="eastAsia" w:ascii="宋体" w:hAnsi="宋体" w:eastAsia="宋体" w:cs="宋体"/>
                <w:sz w:val="24"/>
                <w:szCs w:val="24"/>
              </w:rPr>
              <w:t xml:space="preserve">机房</w:t>
            </w:r>
            <w:r>
              <w:rPr>
                <w:rFonts w:hint="eastAsia" w:ascii="宋体" w:hAnsi="宋体" w:cs="宋体"/>
                <w:sz w:val="24"/>
                <w:szCs w:val="24"/>
                <w:lang w:val="en-US" w:eastAsia="zh-CN"/>
              </w:rPr>
              <w:t xml:space="preserve">接地</w:t>
            </w:r>
            <w:r/>
          </w:p>
          <w:p>
            <w:pPr>
              <w:numPr>
                <w:ilvl w:val="0"/>
                <w:numId w:val="0"/>
              </w:numPr>
              <w:jc w:val="left"/>
              <w:spacing w:line="360" w:lineRule="auto"/>
              <w:rPr>
                <w:rFonts w:hint="eastAsia" w:ascii="宋体" w:hAnsi="宋体" w:eastAsia="宋体" w:cs="宋体"/>
                <w:sz w:val="24"/>
                <w:szCs w:val="24"/>
              </w:rPr>
              <w:outlineLvl w:val="2"/>
            </w:pPr>
            <w:r>
              <w:rPr>
                <w:rFonts w:hint="eastAsia" w:ascii="宋体" w:hAnsi="宋体" w:cs="宋体"/>
                <w:sz w:val="24"/>
                <w:szCs w:val="24"/>
                <w:lang w:val="en-US" w:eastAsia="zh-CN"/>
              </w:rPr>
              <w:t xml:space="preserve">机房</w:t>
            </w:r>
            <w:r>
              <w:rPr>
                <w:rFonts w:hint="eastAsia" w:ascii="宋体" w:hAnsi="宋体" w:eastAsia="宋体" w:cs="宋体"/>
                <w:sz w:val="24"/>
                <w:szCs w:val="24"/>
              </w:rPr>
              <w:t xml:space="preserve">内采用集中接地方式，集中接地其接地电阻≤1Ω。所有接地除防雷接地外共用一个汇流排连接到机房主干接地端子。 </w:t>
            </w:r>
            <w:r/>
          </w:p>
          <w:p>
            <w:pPr>
              <w:numPr>
                <w:ilvl w:val="0"/>
                <w:numId w:val="7"/>
              </w:numPr>
              <w:ind w:left="425" w:hanging="425"/>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设备接地</w:t>
            </w:r>
            <w:r/>
          </w:p>
          <w:p>
            <w:pPr>
              <w:numPr>
                <w:ilvl w:val="0"/>
                <w:numId w:val="0"/>
              </w:numPr>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机柜内网络交换机、服务器、小型机等设备通过设备自带的接地线缆连接至各自所在机柜的接地端子上，实现等电位连接。</w:t>
            </w:r>
            <w:r/>
          </w:p>
          <w:p>
            <w:pPr>
              <w:numPr>
                <w:ilvl w:val="0"/>
                <w:numId w:val="7"/>
              </w:numPr>
              <w:ind w:left="425" w:hanging="425"/>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弱电系统接地体</w:t>
            </w:r>
            <w:r/>
          </w:p>
          <w:p>
            <w:pPr>
              <w:numPr>
                <w:ilvl w:val="0"/>
                <w:numId w:val="0"/>
              </w:numPr>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本机房的弱电接地极采用原机柜内的接地极，在接入之前须对机房内接地极进行测试，测试接地电阻是否能满足≤1Ω要求。</w:t>
            </w:r>
            <w:r/>
          </w:p>
        </w:tc>
      </w:tr>
      <w:tr>
        <w:trPr>
          <w:jc w:val="center"/>
        </w:trPr>
        <w:tc>
          <w:tcPr>
            <w:tcW w:w="816" w:type="dxa"/>
            <w:vAlign w:val="center"/>
            <w:textDirection w:val="lrTb"/>
            <w:noWrap w:val="false"/>
          </w:tcPr>
          <w:p>
            <w:pPr>
              <w:jc w:val="center"/>
              <w:spacing w:before="0" w:after="0"/>
              <w:rPr>
                <w:rFonts w:hint="eastAsia" w:ascii="宋体" w:hAnsi="宋体"/>
                <w:i w:val="0"/>
                <w:sz w:val="20"/>
                <w:u w:val="none"/>
                <w:lang w:val="en-US" w:eastAsia="zh-CN"/>
              </w:rPr>
            </w:pPr>
            <w:r>
              <w:rPr>
                <w:rFonts w:hint="eastAsia" w:ascii="宋体" w:hAnsi="宋体"/>
                <w:i w:val="0"/>
                <w:sz w:val="20"/>
                <w:u w:val="none"/>
                <w:lang w:val="en-US" w:eastAsia="zh-CN"/>
              </w:rPr>
            </w:r>
            <w:r/>
          </w:p>
        </w:tc>
        <w:tc>
          <w:tcPr>
            <w:tcW w:w="7689" w:type="dxa"/>
            <w:vAlign w:val="center"/>
            <w:textDirection w:val="lrTb"/>
            <w:noWrap w:val="false"/>
          </w:tcPr>
          <w:p>
            <w:pPr>
              <w:numPr>
                <w:ilvl w:val="0"/>
                <w:numId w:val="6"/>
              </w:numPr>
              <w:ind w:left="425" w:hanging="425"/>
              <w:jc w:val="left"/>
              <w:spacing w:line="360" w:lineRule="auto"/>
              <w:rPr>
                <w:rFonts w:hint="eastAsia" w:ascii="宋体" w:hAnsi="宋体" w:eastAsia="宋体" w:cs="宋体"/>
                <w:sz w:val="24"/>
                <w:szCs w:val="24"/>
              </w:rPr>
              <w:outlineLvl w:val="2"/>
            </w:pPr>
            <w:r>
              <w:rPr>
                <w:rFonts w:hint="eastAsia" w:ascii="宋体" w:hAnsi="宋体" w:eastAsia="宋体" w:cs="宋体"/>
                <w:color w:val="000000"/>
                <w:sz w:val="24"/>
                <w:szCs w:val="24"/>
                <w:highlight w:val="none"/>
              </w:rPr>
              <w:t xml:space="preserve">★</w:t>
            </w:r>
            <w:r>
              <w:rPr>
                <w:rFonts w:hint="eastAsia" w:ascii="仿宋" w:hAnsi="仿宋" w:eastAsia="仿宋" w:cs="仿宋"/>
                <w:b/>
                <w:bCs/>
                <w:sz w:val="24"/>
              </w:rPr>
              <w:t xml:space="preserve">气体灭火系统</w:t>
            </w:r>
            <w:r/>
          </w:p>
          <w:p>
            <w:pPr>
              <w:numPr>
                <w:ilvl w:val="0"/>
                <w:numId w:val="0"/>
              </w:numPr>
              <w:jc w:val="left"/>
              <w:spacing w:line="360" w:lineRule="auto"/>
              <w:rPr>
                <w:rFonts w:hint="eastAsia" w:ascii="宋体" w:hAnsi="宋体" w:eastAsia="宋体" w:cs="宋体"/>
                <w:sz w:val="24"/>
                <w:szCs w:val="24"/>
                <w:lang w:eastAsia="zh-CN"/>
              </w:rPr>
              <w:outlineLvl w:val="2"/>
            </w:pPr>
            <w:r>
              <w:rPr>
                <w:rFonts w:hint="eastAsia" w:ascii="宋体" w:hAnsi="宋体" w:eastAsia="宋体" w:cs="宋体"/>
                <w:sz w:val="24"/>
                <w:szCs w:val="24"/>
              </w:rPr>
              <w:t xml:space="preserve">采用七氟丙烷（HFC-227ea）气体灭火系统</w:t>
            </w:r>
            <w:r>
              <w:rPr>
                <w:rFonts w:hint="eastAsia" w:ascii="宋体" w:hAnsi="宋体" w:cs="宋体"/>
                <w:sz w:val="24"/>
                <w:szCs w:val="24"/>
                <w:lang w:eastAsia="zh-CN"/>
              </w:rPr>
              <w:t xml:space="preserve">，保护区内设置两路感烟探头、</w:t>
            </w:r>
            <w:r>
              <w:rPr>
                <w:rFonts w:hint="eastAsia" w:ascii="宋体" w:hAnsi="宋体" w:cs="宋体"/>
                <w:sz w:val="24"/>
                <w:szCs w:val="24"/>
                <w:lang w:val="en-US" w:eastAsia="zh-CN"/>
              </w:rPr>
              <w:t xml:space="preserve">感温探头、</w:t>
            </w:r>
            <w:r>
              <w:rPr>
                <w:rFonts w:hint="eastAsia" w:ascii="宋体" w:hAnsi="宋体" w:cs="宋体"/>
                <w:sz w:val="24"/>
                <w:szCs w:val="24"/>
                <w:lang w:eastAsia="zh-CN"/>
              </w:rPr>
              <w:t xml:space="preserve">警铃，</w:t>
            </w:r>
            <w:r>
              <w:rPr>
                <w:rFonts w:hint="eastAsia" w:ascii="宋体" w:hAnsi="宋体" w:cs="宋体"/>
                <w:sz w:val="24"/>
                <w:szCs w:val="24"/>
                <w:lang w:val="en-US" w:eastAsia="zh-CN"/>
              </w:rPr>
              <w:t xml:space="preserve">当发生火情时，</w:t>
            </w:r>
            <w:r>
              <w:rPr>
                <w:rFonts w:hint="eastAsia" w:ascii="宋体" w:hAnsi="宋体" w:cs="宋体"/>
                <w:sz w:val="24"/>
                <w:szCs w:val="24"/>
                <w:lang w:eastAsia="zh-CN"/>
              </w:rPr>
              <w:t xml:space="preserve">火灾自动报警系统发出警报信号，七氟丙烷喷洒扑灭火源。</w:t>
            </w:r>
            <w:r/>
          </w:p>
        </w:tc>
      </w:tr>
      <w:tr>
        <w:trPr>
          <w:jc w:val="center"/>
        </w:trPr>
        <w:tc>
          <w:tcPr>
            <w:tcW w:w="816" w:type="dxa"/>
            <w:vAlign w:val="center"/>
            <w:textDirection w:val="lrTb"/>
            <w:noWrap w:val="false"/>
          </w:tcPr>
          <w:p>
            <w:pPr>
              <w:jc w:val="center"/>
              <w:spacing w:before="0" w:after="0"/>
              <w:rPr>
                <w:rFonts w:hint="eastAsia" w:ascii="宋体" w:hAnsi="宋体"/>
                <w:i w:val="0"/>
                <w:sz w:val="20"/>
                <w:u w:val="none"/>
                <w:lang w:val="en-US" w:eastAsia="zh-CN"/>
              </w:rPr>
            </w:pPr>
            <w:r>
              <w:rPr>
                <w:rFonts w:hint="eastAsia" w:ascii="宋体" w:hAnsi="宋体"/>
                <w:i w:val="0"/>
                <w:sz w:val="20"/>
                <w:u w:val="none"/>
                <w:lang w:val="en-US" w:eastAsia="zh-CN"/>
              </w:rPr>
            </w:r>
            <w:r/>
          </w:p>
        </w:tc>
        <w:tc>
          <w:tcPr>
            <w:tcW w:w="7689" w:type="dxa"/>
            <w:vAlign w:val="center"/>
            <w:textDirection w:val="lrTb"/>
            <w:noWrap w:val="false"/>
          </w:tcPr>
          <w:p>
            <w:pPr>
              <w:numPr>
                <w:ilvl w:val="0"/>
                <w:numId w:val="6"/>
              </w:numPr>
              <w:ind w:left="425" w:hanging="425"/>
              <w:jc w:val="left"/>
              <w:spacing w:line="360" w:lineRule="auto"/>
              <w:rPr>
                <w:rFonts w:hint="eastAsia" w:ascii="仿宋" w:hAnsi="仿宋" w:eastAsia="仿宋" w:cs="仿宋"/>
                <w:b/>
                <w:bCs/>
                <w:sz w:val="24"/>
              </w:rPr>
              <w:outlineLvl w:val="2"/>
            </w:pPr>
            <w:r>
              <w:rPr>
                <w:rFonts w:hint="eastAsia" w:ascii="仿宋" w:hAnsi="仿宋" w:eastAsia="仿宋" w:cs="仿宋"/>
                <w:b/>
                <w:bCs/>
                <w:sz w:val="24"/>
              </w:rPr>
              <w:t xml:space="preserve">★</w:t>
            </w:r>
            <w:r>
              <w:rPr>
                <w:rFonts w:hint="eastAsia" w:ascii="仿宋" w:hAnsi="仿宋" w:eastAsia="仿宋" w:cs="仿宋"/>
                <w:b/>
                <w:bCs/>
                <w:sz w:val="24"/>
                <w:lang w:val="en-US" w:eastAsia="zh-CN"/>
              </w:rPr>
              <w:t xml:space="preserve">装饰</w:t>
            </w:r>
            <w:r>
              <w:rPr>
                <w:rFonts w:hint="eastAsia" w:ascii="仿宋" w:hAnsi="仿宋" w:eastAsia="仿宋" w:cs="仿宋"/>
                <w:b/>
                <w:bCs/>
                <w:sz w:val="24"/>
              </w:rPr>
              <w:t xml:space="preserve">装修工程</w:t>
            </w:r>
            <w:r/>
          </w:p>
          <w:p>
            <w:pPr>
              <w:numPr>
                <w:ilvl w:val="0"/>
                <w:numId w:val="0"/>
              </w:numPr>
              <w:jc w:val="left"/>
              <w:spacing w:line="360" w:lineRule="auto"/>
              <w:rPr>
                <w:rFonts w:hint="eastAsia" w:ascii="宋体" w:hAnsi="宋体" w:cs="宋体"/>
                <w:sz w:val="24"/>
                <w:szCs w:val="24"/>
                <w:lang w:eastAsia="zh-CN"/>
              </w:rPr>
              <w:outlineLvl w:val="2"/>
            </w:pPr>
            <w:r>
              <w:rPr>
                <w:rFonts w:hint="eastAsia" w:ascii="宋体" w:hAnsi="宋体" w:cs="宋体"/>
                <w:sz w:val="24"/>
                <w:szCs w:val="24"/>
                <w:lang w:eastAsia="zh-CN"/>
              </w:rPr>
              <w:t xml:space="preserve">机房装修的目的在于维持机房环境，保证温度、湿度和洁净度。</w:t>
            </w:r>
            <w:r/>
          </w:p>
          <w:p>
            <w:pPr>
              <w:numPr>
                <w:ilvl w:val="0"/>
                <w:numId w:val="8"/>
              </w:numPr>
              <w:ind w:left="425" w:hanging="425"/>
              <w:jc w:val="left"/>
              <w:spacing w:line="360" w:lineRule="auto"/>
              <w:rPr>
                <w:rFonts w:hint="eastAsia" w:ascii="宋体" w:hAnsi="宋体" w:cs="宋体"/>
                <w:sz w:val="24"/>
                <w:szCs w:val="24"/>
                <w:lang w:eastAsia="zh-CN"/>
              </w:rPr>
              <w:outlineLvl w:val="2"/>
            </w:pPr>
            <w:r>
              <w:rPr>
                <w:rFonts w:hint="eastAsia" w:ascii="宋体" w:hAnsi="宋体" w:cs="宋体"/>
                <w:sz w:val="24"/>
                <w:szCs w:val="24"/>
                <w:lang w:eastAsia="zh-CN"/>
              </w:rPr>
              <w:t xml:space="preserve">地面：数据机房、</w:t>
            </w:r>
            <w:r>
              <w:rPr>
                <w:rFonts w:hint="eastAsia" w:ascii="宋体" w:hAnsi="宋体" w:cs="宋体"/>
                <w:sz w:val="24"/>
                <w:szCs w:val="24"/>
                <w:lang w:val="en-US" w:eastAsia="zh-CN"/>
              </w:rPr>
              <w:t xml:space="preserve">电池间</w:t>
            </w:r>
            <w:r>
              <w:rPr>
                <w:rFonts w:hint="eastAsia" w:ascii="宋体" w:hAnsi="宋体" w:cs="宋体"/>
                <w:sz w:val="24"/>
                <w:szCs w:val="24"/>
                <w:lang w:eastAsia="zh-CN"/>
              </w:rPr>
              <w:t xml:space="preserve">使用抗静电活动地板，架高</w:t>
            </w:r>
            <w:r>
              <w:rPr>
                <w:rFonts w:hint="eastAsia" w:ascii="宋体" w:hAnsi="宋体" w:cs="宋体"/>
                <w:sz w:val="24"/>
                <w:szCs w:val="24"/>
                <w:lang w:val="en-US" w:eastAsia="zh-CN"/>
              </w:rPr>
              <w:t xml:space="preserve">3</w:t>
            </w:r>
            <w:r>
              <w:rPr>
                <w:rFonts w:hint="eastAsia" w:ascii="宋体" w:hAnsi="宋体" w:cs="宋体"/>
                <w:sz w:val="24"/>
                <w:szCs w:val="24"/>
                <w:lang w:eastAsia="zh-CN"/>
              </w:rPr>
              <w:t xml:space="preserve">00mm；在机房区域全部建议采用优质</w:t>
            </w:r>
            <w:r>
              <w:rPr>
                <w:rFonts w:hint="eastAsia" w:ascii="宋体" w:hAnsi="宋体" w:cs="宋体"/>
                <w:sz w:val="24"/>
                <w:szCs w:val="24"/>
                <w:lang w:val="en-US" w:eastAsia="zh-CN"/>
              </w:rPr>
              <w:t xml:space="preserve">全</w:t>
            </w:r>
            <w:r>
              <w:rPr>
                <w:rFonts w:hint="eastAsia" w:ascii="宋体" w:hAnsi="宋体" w:cs="宋体"/>
                <w:sz w:val="24"/>
                <w:szCs w:val="24"/>
                <w:lang w:eastAsia="zh-CN"/>
              </w:rPr>
              <w:t xml:space="preserve">钢</w:t>
            </w:r>
            <w:r>
              <w:rPr>
                <w:rFonts w:hint="eastAsia" w:ascii="宋体" w:hAnsi="宋体" w:cs="宋体"/>
                <w:sz w:val="24"/>
                <w:szCs w:val="24"/>
                <w:lang w:val="en-US" w:eastAsia="zh-CN"/>
              </w:rPr>
              <w:t xml:space="preserve">材</w:t>
            </w:r>
            <w:r>
              <w:rPr>
                <w:rFonts w:hint="eastAsia" w:ascii="宋体" w:hAnsi="宋体" w:cs="宋体"/>
                <w:sz w:val="24"/>
                <w:szCs w:val="24"/>
                <w:lang w:eastAsia="zh-CN"/>
              </w:rPr>
              <w:t xml:space="preserve">质抗静电地板，规格为600mm*600mm，常温常湿下地板绝缘电阻应</w:t>
            </w:r>
            <w:r>
              <w:rPr>
                <w:rFonts w:hint="eastAsia" w:ascii="宋体" w:hAnsi="宋体" w:cs="宋体"/>
                <w:sz w:val="24"/>
                <w:szCs w:val="24"/>
                <w:lang w:val="en-US" w:eastAsia="zh-CN"/>
              </w:rPr>
              <w:t xml:space="preserve">≥</w:t>
            </w:r>
            <w:r>
              <w:rPr>
                <w:rFonts w:hint="eastAsia" w:ascii="宋体" w:hAnsi="宋体" w:cs="宋体"/>
                <w:sz w:val="24"/>
                <w:szCs w:val="24"/>
                <w:lang w:eastAsia="zh-CN"/>
              </w:rPr>
              <w:t xml:space="preserve">100KΩ，地板均匀荷载</w:t>
            </w:r>
            <w:r>
              <w:rPr>
                <w:rFonts w:hint="eastAsia" w:ascii="宋体" w:hAnsi="宋体" w:cs="宋体"/>
                <w:sz w:val="24"/>
                <w:szCs w:val="24"/>
                <w:lang w:val="en-US" w:eastAsia="zh-CN"/>
              </w:rPr>
              <w:t xml:space="preserve">不小于</w:t>
            </w:r>
            <w:r>
              <w:rPr>
                <w:rFonts w:hint="eastAsia" w:ascii="宋体" w:hAnsi="宋体" w:cs="宋体"/>
                <w:sz w:val="24"/>
                <w:szCs w:val="24"/>
                <w:lang w:eastAsia="zh-CN"/>
              </w:rPr>
              <w:t xml:space="preserve">1000KG/平方米。</w:t>
            </w:r>
            <w:r/>
          </w:p>
          <w:p>
            <w:pPr>
              <w:numPr>
                <w:ilvl w:val="0"/>
                <w:numId w:val="8"/>
              </w:numPr>
              <w:ind w:left="425" w:hanging="425"/>
              <w:jc w:val="left"/>
              <w:spacing w:line="360" w:lineRule="auto"/>
              <w:rPr>
                <w:rFonts w:hint="eastAsia" w:ascii="宋体" w:hAnsi="宋体" w:cs="宋体"/>
                <w:sz w:val="24"/>
                <w:szCs w:val="24"/>
                <w:lang w:eastAsia="zh-CN"/>
              </w:rPr>
              <w:outlineLvl w:val="2"/>
            </w:pPr>
            <w:r>
              <w:rPr>
                <w:rFonts w:hint="eastAsia" w:ascii="宋体" w:hAnsi="宋体" w:cs="宋体"/>
                <w:sz w:val="24"/>
                <w:szCs w:val="24"/>
                <w:lang w:eastAsia="zh-CN"/>
              </w:rPr>
              <w:t xml:space="preserve">内墙、柱饰面：机房内砖墙面机房采用保温措施，防火性能按照GB8624-2012判定达到A1(</w:t>
            </w:r>
            <w:r>
              <w:rPr>
                <w:rFonts w:hint="eastAsia" w:ascii="宋体" w:hAnsi="宋体" w:cs="宋体"/>
                <w:sz w:val="24"/>
                <w:szCs w:val="24"/>
                <w:lang w:val="en-US" w:eastAsia="zh-CN"/>
              </w:rPr>
              <w:t xml:space="preserve">不燃</w:t>
            </w:r>
            <w:r>
              <w:rPr>
                <w:rFonts w:hint="eastAsia" w:ascii="宋体" w:hAnsi="宋体" w:cs="宋体"/>
                <w:sz w:val="24"/>
                <w:szCs w:val="24"/>
                <w:lang w:eastAsia="zh-CN"/>
              </w:rPr>
              <w:t xml:space="preserve">性)级，墙面彩钢板</w:t>
            </w:r>
            <w:r>
              <w:rPr>
                <w:rFonts w:hint="eastAsia" w:ascii="宋体" w:hAnsi="宋体" w:cs="宋体"/>
                <w:sz w:val="24"/>
                <w:szCs w:val="24"/>
                <w:lang w:val="en-US" w:eastAsia="zh-CN"/>
              </w:rPr>
              <w:t xml:space="preserve">厚度≥0.6mm</w:t>
            </w:r>
            <w:r>
              <w:rPr>
                <w:rFonts w:hint="eastAsia" w:ascii="宋体" w:hAnsi="宋体" w:cs="宋体"/>
                <w:sz w:val="24"/>
                <w:szCs w:val="24"/>
                <w:lang w:eastAsia="zh-CN"/>
              </w:rPr>
              <w:t xml:space="preserve">，内衬石膏板</w:t>
            </w:r>
            <w:r>
              <w:rPr>
                <w:rFonts w:hint="eastAsia" w:ascii="宋体" w:hAnsi="宋体" w:cs="宋体"/>
                <w:sz w:val="24"/>
                <w:szCs w:val="24"/>
                <w:lang w:val="en-US" w:eastAsia="zh-CN"/>
              </w:rPr>
              <w:t xml:space="preserve">厚度≥12mm</w:t>
            </w:r>
            <w:r>
              <w:rPr>
                <w:rFonts w:hint="eastAsia" w:ascii="宋体" w:hAnsi="宋体" w:cs="宋体"/>
                <w:sz w:val="24"/>
                <w:szCs w:val="24"/>
                <w:lang w:eastAsia="zh-CN"/>
              </w:rPr>
              <w:t xml:space="preserve">，整体厚度</w:t>
            </w:r>
            <w:r>
              <w:rPr>
                <w:rFonts w:hint="eastAsia" w:ascii="宋体" w:hAnsi="宋体" w:cs="宋体"/>
                <w:sz w:val="24"/>
                <w:szCs w:val="24"/>
                <w:lang w:val="en-US" w:eastAsia="zh-CN"/>
              </w:rPr>
              <w:t xml:space="preserve">不小于</w:t>
            </w:r>
            <w:r>
              <w:rPr>
                <w:rFonts w:hint="eastAsia" w:ascii="宋体" w:hAnsi="宋体" w:cs="宋体"/>
                <w:sz w:val="24"/>
                <w:szCs w:val="24"/>
                <w:lang w:eastAsia="zh-CN"/>
              </w:rPr>
              <w:t xml:space="preserve">13</w:t>
            </w:r>
            <w:r>
              <w:rPr>
                <w:rFonts w:hint="eastAsia" w:ascii="宋体" w:hAnsi="宋体" w:cs="宋体"/>
                <w:sz w:val="24"/>
                <w:szCs w:val="24"/>
                <w:lang w:val="en-US" w:eastAsia="zh-CN"/>
              </w:rPr>
              <w:t xml:space="preserve">mm</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保温玻璃棉厚度≥50mm</w:t>
            </w:r>
            <w:r>
              <w:rPr>
                <w:rFonts w:hint="eastAsia" w:ascii="宋体" w:hAnsi="宋体" w:cs="宋体"/>
                <w:sz w:val="24"/>
                <w:szCs w:val="24"/>
                <w:lang w:eastAsia="zh-CN"/>
              </w:rPr>
              <w:t xml:space="preserve">。</w:t>
            </w:r>
            <w:r/>
          </w:p>
          <w:p>
            <w:pPr>
              <w:numPr>
                <w:ilvl w:val="0"/>
                <w:numId w:val="8"/>
              </w:numPr>
              <w:ind w:left="425" w:hanging="425"/>
              <w:jc w:val="left"/>
              <w:spacing w:line="360" w:lineRule="auto"/>
              <w:rPr>
                <w:rFonts w:hint="eastAsia" w:ascii="宋体" w:hAnsi="宋体" w:cs="宋体"/>
                <w:sz w:val="24"/>
                <w:szCs w:val="24"/>
                <w:lang w:eastAsia="zh-CN"/>
              </w:rPr>
              <w:outlineLvl w:val="2"/>
            </w:pPr>
            <w:r>
              <w:rPr>
                <w:rFonts w:hint="eastAsia" w:ascii="宋体" w:hAnsi="宋体" w:cs="宋体"/>
                <w:sz w:val="24"/>
                <w:szCs w:val="24"/>
                <w:lang w:eastAsia="zh-CN"/>
              </w:rPr>
              <w:t xml:space="preserve">承重架：为了减小对原有建筑的影响，综合考虑各方面因素及原有建筑设计条件下，空调、UPS、电池、机柜下</w:t>
            </w:r>
            <w:r>
              <w:rPr>
                <w:rFonts w:hint="eastAsia" w:ascii="宋体" w:hAnsi="宋体" w:cs="宋体"/>
                <w:sz w:val="24"/>
                <w:szCs w:val="24"/>
                <w:lang w:val="en-US" w:eastAsia="zh-CN"/>
              </w:rPr>
              <w:t xml:space="preserve">需</w:t>
            </w:r>
            <w:r>
              <w:rPr>
                <w:rFonts w:hint="eastAsia" w:ascii="宋体" w:hAnsi="宋体" w:cs="宋体"/>
                <w:sz w:val="24"/>
                <w:szCs w:val="24"/>
                <w:lang w:eastAsia="zh-CN"/>
              </w:rPr>
              <w:t xml:space="preserve">安装承重架，满足机房设备运行使用。</w:t>
            </w:r>
            <w:r/>
          </w:p>
          <w:p>
            <w:pPr>
              <w:numPr>
                <w:ilvl w:val="0"/>
                <w:numId w:val="8"/>
              </w:numPr>
              <w:ind w:left="425" w:hanging="425"/>
              <w:jc w:val="left"/>
              <w:spacing w:line="360" w:lineRule="auto"/>
              <w:rPr>
                <w:rFonts w:hint="eastAsia" w:ascii="宋体" w:hAnsi="宋体" w:cs="宋体"/>
                <w:sz w:val="24"/>
                <w:szCs w:val="24"/>
                <w:lang w:eastAsia="zh-CN"/>
              </w:rPr>
              <w:outlineLvl w:val="2"/>
            </w:pPr>
            <w:r>
              <w:rPr>
                <w:rFonts w:hint="eastAsia" w:ascii="宋体" w:hAnsi="宋体" w:cs="宋体"/>
                <w:sz w:val="24"/>
                <w:szCs w:val="24"/>
                <w:lang w:eastAsia="zh-CN"/>
              </w:rPr>
              <w:t xml:space="preserve">机房内门窗部分：机房主机区、电</w:t>
            </w:r>
            <w:r>
              <w:rPr>
                <w:rFonts w:hint="eastAsia" w:ascii="宋体" w:hAnsi="宋体" w:cs="宋体"/>
                <w:sz w:val="24"/>
                <w:szCs w:val="24"/>
                <w:lang w:val="en-US" w:eastAsia="zh-CN"/>
              </w:rPr>
              <w:t xml:space="preserve">池</w:t>
            </w:r>
            <w:r>
              <w:rPr>
                <w:rFonts w:hint="eastAsia" w:ascii="宋体" w:hAnsi="宋体" w:cs="宋体"/>
                <w:sz w:val="24"/>
                <w:szCs w:val="24"/>
                <w:lang w:eastAsia="zh-CN"/>
              </w:rPr>
              <w:t xml:space="preserve">间墙面出入口均采用甲级钢质防火密闭门。</w:t>
            </w:r>
            <w:r/>
          </w:p>
        </w:tc>
      </w:tr>
    </w:tbl>
    <w:p>
      <w:pPr>
        <w:ind w:firstLine="480"/>
        <w:jc w:val="left"/>
        <w:spacing w:line="500" w:lineRule="exact"/>
        <w:rPr>
          <w:sz w:val="24"/>
          <w:szCs w:val="24"/>
        </w:rPr>
      </w:pPr>
      <w:r>
        <w:rPr>
          <w:rFonts w:hint="eastAsia"/>
          <w:sz w:val="24"/>
          <w:szCs w:val="24"/>
        </w:rPr>
        <w:t xml:space="preserve">3、本项目核心产品为：</w:t>
      </w:r>
      <w:r>
        <w:rPr>
          <w:rFonts w:hint="eastAsia"/>
          <w:sz w:val="24"/>
          <w:szCs w:val="24"/>
          <w:lang w:val="en-US" w:eastAsia="zh-CN"/>
        </w:rPr>
        <w:t xml:space="preserve">UPS+精密空调</w:t>
      </w:r>
      <w:r>
        <w:rPr>
          <w:rFonts w:hint="eastAsia"/>
          <w:sz w:val="24"/>
          <w:szCs w:val="24"/>
        </w:rPr>
        <w:t xml:space="preserve">。</w:t>
      </w:r>
      <w:r/>
    </w:p>
    <w:p>
      <w:pPr>
        <w:jc w:val="left"/>
        <w:rPr>
          <w:rFonts w:ascii="華康楷書體W5" w:hAnsi="Calibri" w:eastAsia="宋体" w:cs="Times New Roman"/>
          <w:color w:val="000000"/>
          <w:szCs w:val="24"/>
        </w:rPr>
      </w:pPr>
      <w:r>
        <w:rPr>
          <w:rFonts w:ascii="華康楷書體W5" w:hAnsi="Calibri" w:eastAsia="宋体" w:cs="Times New Roman"/>
          <w:color w:val="000000"/>
          <w:szCs w:val="24"/>
        </w:rPr>
      </w:r>
      <w:r/>
    </w:p>
    <w:p>
      <w:pPr>
        <w:jc w:val="left"/>
        <w:rPr>
          <w:rFonts w:ascii="華康楷書體W5" w:hAnsi="Calibri" w:eastAsia="宋体" w:cs="Times New Roman"/>
          <w:color w:val="000000"/>
          <w:szCs w:val="24"/>
        </w:rPr>
      </w:pPr>
      <w:r>
        <w:rPr>
          <w:rFonts w:ascii="華康楷書體W5" w:hAnsi="Calibri" w:eastAsia="宋体" w:cs="Times New Roman"/>
          <w:color w:val="000000"/>
          <w:szCs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一、项目概况</w:t>
      </w:r>
      <w:r/>
    </w:p>
    <w:p>
      <w:pPr>
        <w:ind w:firstLine="560"/>
        <w:jc w:val="left"/>
        <w:spacing w:line="360" w:lineRule="auto"/>
        <w:tabs>
          <w:tab w:val="left" w:pos="426" w:leader="none"/>
        </w:tabs>
        <w:rPr>
          <w:rFonts w:hint="eastAsia" w:ascii="宋体" w:hAnsi="宋体" w:eastAsia="宋体" w:cs="宋体"/>
          <w:b w:val="0"/>
          <w:i w:val="0"/>
          <w:caps w:val="0"/>
          <w:color w:val="000000"/>
          <w:spacing w:val="0"/>
          <w:sz w:val="28"/>
          <w:szCs w:val="28"/>
          <w:u w:val="none"/>
          <w:shd w:val="clear" w:color="auto" w:fill="ffffff"/>
          <w:lang w:val="en-US" w:eastAsia="zh-CN" w:bidi="ar"/>
        </w:rPr>
      </w:pPr>
      <w:r>
        <w:rPr>
          <w:rFonts w:hint="eastAsia" w:ascii="宋体" w:hAnsi="宋体" w:eastAsia="宋体" w:cs="宋体"/>
          <w:sz w:val="28"/>
          <w:szCs w:val="28"/>
          <w:lang w:val="en-US" w:eastAsia="zh-CN"/>
        </w:rPr>
        <w:t xml:space="preserve">法院新建诉讼服务中心大楼，需要新建一体化机房，</w:t>
      </w:r>
      <w:r>
        <w:rPr>
          <w:rFonts w:hint="eastAsia" w:ascii="宋体" w:hAnsi="宋体" w:cs="宋体"/>
          <w:sz w:val="28"/>
          <w:szCs w:val="28"/>
          <w:lang w:val="en-US" w:eastAsia="zh-CN"/>
        </w:rPr>
        <w:t xml:space="preserve">满足大楼日常信息化需求，需</w:t>
      </w:r>
      <w:r>
        <w:rPr>
          <w:rFonts w:hint="eastAsia" w:ascii="宋体" w:hAnsi="宋体" w:eastAsia="宋体" w:cs="宋体"/>
          <w:sz w:val="28"/>
          <w:szCs w:val="28"/>
          <w:lang w:val="en-US" w:eastAsia="zh-CN"/>
        </w:rPr>
        <w:t xml:space="preserve">包含精密空调、</w:t>
      </w:r>
      <w:r>
        <w:rPr>
          <w:rFonts w:hint="eastAsia" w:ascii="宋体" w:hAnsi="宋体" w:cs="宋体"/>
          <w:sz w:val="28"/>
          <w:szCs w:val="28"/>
          <w:lang w:val="en-US" w:eastAsia="zh-CN"/>
        </w:rPr>
        <w:t xml:space="preserve">UPS主机、蓄</w:t>
      </w:r>
      <w:r>
        <w:rPr>
          <w:rFonts w:hint="eastAsia" w:ascii="宋体" w:hAnsi="宋体" w:eastAsia="宋体" w:cs="宋体"/>
          <w:sz w:val="28"/>
          <w:szCs w:val="28"/>
          <w:lang w:val="en-US" w:eastAsia="zh-CN"/>
        </w:rPr>
        <w:t xml:space="preserve">电池、</w:t>
      </w:r>
      <w:r>
        <w:rPr>
          <w:rFonts w:hint="eastAsia" w:ascii="宋体" w:hAnsi="宋体" w:cs="宋体"/>
          <w:sz w:val="28"/>
          <w:szCs w:val="28"/>
          <w:lang w:val="en-US" w:eastAsia="zh-CN"/>
        </w:rPr>
        <w:t xml:space="preserve">IT</w:t>
      </w:r>
      <w:r>
        <w:rPr>
          <w:rFonts w:hint="eastAsia" w:ascii="宋体" w:hAnsi="宋体" w:eastAsia="宋体" w:cs="宋体"/>
          <w:sz w:val="28"/>
          <w:szCs w:val="28"/>
          <w:lang w:val="en-US" w:eastAsia="zh-CN"/>
        </w:rPr>
        <w:t xml:space="preserve">机柜、气体消防、动环监控系统等设备</w:t>
      </w:r>
      <w:r>
        <w:rPr>
          <w:rFonts w:hint="eastAsia" w:ascii="宋体" w:hAnsi="宋体" w:cs="宋体"/>
          <w:sz w:val="28"/>
          <w:szCs w:val="28"/>
          <w:lang w:val="en-US" w:eastAsia="zh-CN"/>
        </w:rPr>
        <w:t xml:space="preserve">及其附属安装工程</w:t>
      </w:r>
      <w:r>
        <w:rPr>
          <w:rFonts w:hint="eastAsia" w:ascii="宋体" w:hAnsi="宋体" w:eastAsia="宋体" w:cs="宋体"/>
          <w:sz w:val="28"/>
          <w:szCs w:val="28"/>
          <w:lang w:val="en-US" w:eastAsia="zh-CN"/>
        </w:rPr>
        <w:t xml:space="preserve">。</w:t>
      </w:r>
      <w:r/>
    </w:p>
    <w:p>
      <w:pPr>
        <w:ind w:left="420"/>
        <w:rPr>
          <w:rFonts w:ascii="微软雅黑" w:hAnsi="微软雅黑" w:eastAsia="微软雅黑" w:cs="宋体"/>
          <w:sz w:val="28"/>
          <w:szCs w:val="28"/>
        </w:rPr>
      </w:pPr>
      <w:r>
        <w:rPr>
          <w:rFonts w:ascii="微软雅黑" w:hAnsi="微软雅黑" w:eastAsia="微软雅黑" w:cs="宋体"/>
          <w:sz w:val="28"/>
          <w:szCs w:val="28"/>
        </w:rPr>
      </w:r>
      <w:r/>
    </w:p>
    <w:p>
      <w:pPr>
        <w:ind w:firstLine="560"/>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562"/>
        <w:jc w:val="left"/>
        <w:spacing w:line="360" w:lineRule="auto"/>
        <w:rPr>
          <w:rFonts w:ascii="Times New Roman" w:hAnsi="Times New Roman" w:eastAsia="宋体" w:cs="Times New Roman"/>
          <w:b/>
          <w:sz w:val="28"/>
          <w:szCs w:val="28"/>
        </w:rPr>
      </w:pPr>
      <w:r/>
      <w:bookmarkStart w:id="9" w:name="_Toc139966432"/>
      <w:r/>
      <w:bookmarkStart w:id="10" w:name="_Toc139967216"/>
      <w:r>
        <w:rPr>
          <w:rFonts w:hint="eastAsia" w:ascii="Times New Roman" w:hAnsi="Times New Roman" w:eastAsia="宋体" w:cs="Times New Roman"/>
          <w:b/>
          <w:sz w:val="28"/>
          <w:szCs w:val="28"/>
        </w:rPr>
        <w:t xml:space="preserve">二、货物（标的）采购清单</w:t>
      </w:r>
      <w:r/>
    </w:p>
    <w:tbl>
      <w:tblPr>
        <w:tblStyle w:val="655"/>
        <w:tblW w:w="7369"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60"/>
        <w:gridCol w:w="2820"/>
        <w:gridCol w:w="960"/>
        <w:gridCol w:w="960"/>
        <w:gridCol w:w="1669"/>
      </w:tblGrid>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8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货物（标的）名称</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中小企业划分标准所属行业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服务器机柜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机柜侧门板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理线托盘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控制天窗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玻璃天窗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电动推拉门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LED-Logo灯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线槽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围框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辅料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下封板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顶部围板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LED格栅灯带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前后门框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LED软灯带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配电模块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60KVA一体化UPS</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30KVA功能模块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8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46KW行级精密空调内机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加热加湿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行级精密空调外机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8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13KW房级精密空调内机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加热加湿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房级精密空调外机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微模块控制器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43寸触摸显示屏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智能插座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天窗磁力锁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按键开关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LED灯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门禁系统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多功能传感器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非定位式水浸传感器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非定位式水浸传感器检测绳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温湿度传感器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束线座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蜂鸣器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智能微模块执行器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摄像头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信号线缆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台式机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便携式笔记本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操作台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电池空开箱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电池架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防静电地板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平米</w:t>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入口踏步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墙面防尘处理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平米</w:t>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轻钢龙骨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平米</w:t>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彩钢板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平米</w:t>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墙面保温岩棉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平米</w:t>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防火石膏板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平米</w:t>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甲级钢质单开防火门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空调防水堰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装饰辅材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疏散指示灯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应急双头灯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强电金属桥架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弱电金属桥架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电气辅助材料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等电位铜排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绝缘端子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等电位端子箱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设备接地线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接地跨接线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接地总引线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铜排绝缘处理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辅助材料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机房柜式七氟丙烷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药剂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泄压口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智能光电感烟探测器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智能感温探测器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紧急启停按钮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声光报警器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输入输出模块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气体释放警报器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气体灭火控制盘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non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UPS输入电缆（甲供）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机柜输入电缆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设备承重底座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电池空开箱至UPS连接线缆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列间空调输入电缆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列间空调铜管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精密空调输入电缆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精密空调铜管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空调水管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空调冷媒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设备辅材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室外机基础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安装施工费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p>
        </w:tc>
      </w:tr>
    </w:tbl>
    <w:p>
      <w:pPr>
        <w:ind w:firstLine="480"/>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numPr>
          <w:ilvl w:val="0"/>
          <w:numId w:val="9"/>
        </w:numPr>
        <w:ind w:firstLine="562"/>
        <w:jc w:val="left"/>
        <w:spacing w:line="360" w:lineRule="auto"/>
        <w:rPr>
          <w:rFonts w:hint="eastAsia" w:ascii="Times New Roman" w:hAnsi="Times New Roman" w:eastAsia="宋体" w:cs="Times New Roman"/>
          <w:b/>
          <w:sz w:val="28"/>
          <w:szCs w:val="28"/>
        </w:rPr>
      </w:pPr>
      <w:r>
        <w:rPr>
          <w:rFonts w:hint="eastAsia" w:ascii="Times New Roman" w:hAnsi="Times New Roman" w:eastAsia="宋体" w:cs="Times New Roman"/>
          <w:b/>
          <w:sz w:val="28"/>
          <w:szCs w:val="28"/>
        </w:rPr>
        <w:t xml:space="preserve">货物（标的）技术参数及功能指标</w:t>
      </w:r>
      <w:r/>
    </w:p>
    <w:tbl>
      <w:tblPr>
        <w:tblStyle w:val="655"/>
        <w:tblW w:w="8859"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79"/>
        <w:gridCol w:w="1437"/>
        <w:gridCol w:w="6743"/>
      </w:tblGrid>
      <w:tr>
        <w:trPr>
          <w:trHeight w:val="608"/>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标的名称</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技术参数及功能指标</w:t>
            </w:r>
            <w:r/>
          </w:p>
        </w:tc>
      </w:tr>
      <w:tr>
        <w:trPr>
          <w:trHeight w:val="309"/>
        </w:trPr>
        <w:tc>
          <w:tcPr>
            <w:gridSpan w:val="3"/>
            <w:shd w:val="clear" w:color="auto" w:fill="auto"/>
            <w:tcBorders>
              <w:top w:val="single" w:color="000000" w:sz="4" w:space="0"/>
              <w:left w:val="single" w:color="000000" w:sz="4" w:space="0"/>
              <w:bottom w:val="single" w:color="000000" w:sz="4" w:space="0"/>
              <w:right w:val="single" w:color="000000" w:sz="4" w:space="0"/>
            </w:tcBorders>
            <w:tcW w:w="8859"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一、模块化机房设备</w:t>
            </w:r>
            <w:r/>
          </w:p>
        </w:tc>
      </w:tr>
      <w:tr>
        <w:trPr>
          <w:trHeight w:val="309"/>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机柜通道系统</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1"/>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服务器机柜</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numPr>
                <w:ilvl w:val="0"/>
                <w:numId w:val="10"/>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机柜采用标准的服务器机柜，尺寸（宽*深*高）为600*1200*2000mm，支持19英寸标准的服务器、存储及网络设备安装；无滚轮、含2pcs侧板、典配附件，2*国标 铝合金或钣金材料，坚实可靠，全高竖直型PDU，为设备A/B路供电使用</w:t>
            </w:r>
            <w:r/>
          </w:p>
          <w:p>
            <w:pPr>
              <w:numPr>
                <w:ilvl w:val="0"/>
                <w:numId w:val="0"/>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2、机柜静态承载能力≥2300kg。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3、机柜门板、侧板平整；前后门外开，前门单开，后门双开，前后门均为通风网孔门，通风率不小于70%；开启角度应不小于120°。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4、▲按照标准YD5083-2005《电信设备抗地震性能检测规范》要求，带载560kg测试连续通过8、9级烈度结构抗地震考核。提供“CNAS”</w:t>
            </w:r>
            <w:r>
              <w:rPr>
                <w:rFonts w:hint="eastAsia" w:ascii="宋体" w:hAnsi="宋体" w:cs="宋体"/>
                <w:i w:val="0"/>
                <w:iCs w:val="0"/>
                <w:color w:val="000000"/>
                <w:sz w:val="20"/>
                <w:szCs w:val="20"/>
                <w:u w:val="none"/>
                <w:lang w:val="en-US" w:eastAsia="zh-CN" w:bidi="ar"/>
              </w:rPr>
              <w:t xml:space="preserve">或“CMA”</w:t>
            </w:r>
            <w:r>
              <w:rPr>
                <w:rFonts w:hint="eastAsia" w:ascii="宋体" w:hAnsi="宋体" w:eastAsia="宋体" w:cs="宋体"/>
                <w:i w:val="0"/>
                <w:iCs w:val="0"/>
                <w:color w:val="000000"/>
                <w:sz w:val="20"/>
                <w:szCs w:val="20"/>
                <w:u w:val="none"/>
                <w:lang w:val="en-US" w:eastAsia="zh-CN" w:bidi="ar"/>
              </w:rPr>
              <w:t xml:space="preserve">标识的检验报告扫描件加盖投标人公章，在上传的检验报告中用红线标明所需项，否则无效佐证。</w:t>
            </w:r>
            <w:r/>
          </w:p>
        </w:tc>
      </w:tr>
      <w:tr>
        <w:trPr>
          <w:trHeight w:val="309"/>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机柜侧门板</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机柜侧门板双块</w:t>
            </w:r>
            <w:r/>
          </w:p>
        </w:tc>
      </w:tr>
      <w:tr>
        <w:trPr>
          <w:trHeight w:val="309"/>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理线托盘</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1U水平理线方向理线</w:t>
            </w:r>
            <w:r/>
          </w:p>
        </w:tc>
      </w:tr>
      <w:tr>
        <w:trPr>
          <w:trHeight w:val="309"/>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控制天窗</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固定控制天窗，用于安装传感器和摄像头</w:t>
            </w:r>
            <w:r/>
          </w:p>
        </w:tc>
      </w:tr>
      <w:tr>
        <w:trPr>
          <w:trHeight w:val="1206"/>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玻璃天窗</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1、600宽全玻璃天窗-用于1200mm密封通道；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2、通道系统应兼具功能性、透光性及美观性，翻转型天窗透光材质应使用覆膜钢化玻璃，厚度不小于5mm，天窗玻璃面积占比应保证不小于90%，钢化玻璃透光率应不小于90%；</w:t>
            </w:r>
            <w:r/>
          </w:p>
        </w:tc>
      </w:tr>
      <w:tr>
        <w:trPr>
          <w:trHeight w:val="2104"/>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电动推拉门</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1、密封冷通道的两端需设置封闭性良好的自动平移端门，以保证通道的气密性。尺寸规格：高度2.0m；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门板应采用整块钢化玻璃或铝型材镶嵌钢化玻璃形式。采用整块钢化玻璃材质的，其钢化玻璃厚度应不小于8mm，以保证门板强度；如采用铝型材镶嵌钢化玻璃结构的，其门板铝型材厚度应不小于1.5mm，玻璃厚度不小于8mm，玻璃镶嵌面积应不小于端门面积的60%，以保证通道内的良好可视性。端门接缝、门缝处应配置胶条、毛刷等装置，尽量减少端门缝隙，用以保证气密性；</w:t>
            </w:r>
            <w:r/>
          </w:p>
        </w:tc>
      </w:tr>
      <w:tr>
        <w:trPr>
          <w:trHeight w:val="309"/>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LED-Logo灯</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24V-单相-不超过30W</w:t>
            </w:r>
            <w:r/>
          </w:p>
        </w:tc>
      </w:tr>
      <w:tr>
        <w:trPr>
          <w:trHeight w:val="309"/>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线槽</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600mm宽机柜顶部线槽</w:t>
            </w:r>
            <w:r/>
          </w:p>
        </w:tc>
      </w:tr>
      <w:tr>
        <w:trPr>
          <w:trHeight w:val="309"/>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围框</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1100mm深柜体补齐组件，配合一体化UPS柜使用</w:t>
            </w:r>
            <w:r/>
          </w:p>
        </w:tc>
      </w:tr>
      <w:tr>
        <w:trPr>
          <w:trHeight w:val="309"/>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辅料</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安装指南及辅料</w:t>
            </w:r>
            <w:r/>
          </w:p>
        </w:tc>
      </w:tr>
      <w:tr>
        <w:trPr>
          <w:trHeight w:val="309"/>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下封板</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机柜下封板</w:t>
            </w:r>
            <w:r/>
          </w:p>
        </w:tc>
      </w:tr>
      <w:tr>
        <w:trPr>
          <w:trHeight w:val="309"/>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顶部围板</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用于密封600mm宽机柜顶部线槽-每2台机柜配置1PCS</w:t>
            </w:r>
            <w:r/>
          </w:p>
        </w:tc>
      </w:tr>
      <w:tr>
        <w:trPr>
          <w:trHeight w:val="1206"/>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LED格栅灯带</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1、格栅式eLight灯-220-240V-单相-50/60Hz-6W/m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2、▲微模块应支持告警联动不同颜色展示,可根据不同的告警等级设置不同颜色的灯光告警指示,告警等级及指示灯光颜色应≥4种。</w:t>
            </w:r>
            <w:r>
              <w:rPr>
                <w:rFonts w:hint="eastAsia" w:ascii="宋体" w:hAnsi="宋体" w:eastAsia="宋体" w:cs="宋体"/>
                <w:b/>
                <w:bCs/>
                <w:i w:val="0"/>
                <w:iCs w:val="0"/>
                <w:color w:val="000000"/>
                <w:sz w:val="20"/>
                <w:szCs w:val="20"/>
                <w:u w:val="none"/>
                <w:lang w:val="en-US" w:eastAsia="zh-CN" w:bidi="ar"/>
              </w:rPr>
              <w:t xml:space="preserve">提供“CNAS”或“CMA”标识的检验报告扫描件加盖投标人公章，在上传的检验报告中用红线标明所需项，否则无效佐证。</w:t>
            </w:r>
            <w:r/>
          </w:p>
        </w:tc>
      </w:tr>
      <w:tr>
        <w:trPr>
          <w:trHeight w:val="1206"/>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前后门框</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1、高端造型大屏前门盒（支持智慧屏安装）-配套新造型双开推拉门使用-用于2000mm高1200mm深机柜，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2、高端造型大屏后门盒（不支持智慧屏安装）-配套新造型双开推拉门使用-用于2000mm高1200mm深机柜</w:t>
            </w:r>
            <w:r/>
          </w:p>
        </w:tc>
      </w:tr>
      <w:tr>
        <w:trPr>
          <w:trHeight w:val="309"/>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LED软灯带</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氛围灯-220V-240V-单相-50/60Hz-3.6W/m-蓝光</w:t>
            </w:r>
            <w:r/>
          </w:p>
        </w:tc>
      </w:tr>
      <w:tr>
        <w:trPr>
          <w:trHeight w:val="309"/>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供配电系统</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9"/>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配电模块</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三相空调配电模块,C63/3P*8。</w:t>
            </w:r>
            <w:r/>
          </w:p>
        </w:tc>
      </w:tr>
      <w:tr>
        <w:trPr>
          <w:trHeight w:val="5094"/>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一体化UPS</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numPr>
                <w:ilvl w:val="0"/>
                <w:numId w:val="11"/>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应采用一体化UPS柜将UPS、IT配电、空调配电、照明配电、UPS输入、输出配电集成于一个柜体中，输入开关双路ATS 250A；输出规格不低于：IT配电2*24路40A/1P、空调配电8*63A/3P、微模块内部照明配电3*10A/1P。</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数据中心机房配置不低于60KVA模块化UPS机框1台（入列），每台UPS配置2个30KVA的功率模块。蓄电池后备延时不小于30min。UPS采用高频模块化UPS，单台主机机框容量≥60kVA，UPS总功率容量≥60kVA(单功率模块额定容量≤30kVA)。。</w:t>
            </w:r>
            <w:r/>
          </w:p>
          <w:p>
            <w:pPr>
              <w:pStyle w:val="658"/>
              <w:rPr>
                <w:rFonts w:hint="eastAsia" w:ascii="宋体" w:hAnsi="宋体" w:eastAsia="宋体" w:cs="宋体"/>
                <w:i w:val="0"/>
                <w:iCs w:val="0"/>
                <w:color w:val="000000"/>
                <w:sz w:val="20"/>
                <w:szCs w:val="20"/>
                <w:u w:val="none"/>
              </w:rPr>
            </w:pPr>
            <w:r>
              <w:rPr>
                <w:rStyle w:val="690"/>
                <w:rFonts w:hint="eastAsia" w:ascii="宋体" w:hAnsi="宋体" w:eastAsia="宋体" w:cs="宋体"/>
                <w:sz w:val="20"/>
                <w:szCs w:val="20"/>
                <w:lang w:val="en-US" w:eastAsia="zh-CN" w:bidi="ar"/>
              </w:rPr>
              <w:t xml:space="preserve">3、UPS要求为全模块化设计，包括功率模块、旁路模块（集中静态旁路模块）、控制模块均支持在线热拔插。</w:t>
            </w:r>
            <w:r>
              <w:rPr>
                <w:rStyle w:val="690"/>
                <w:rFonts w:hint="eastAsia" w:ascii="宋体" w:hAnsi="宋体" w:eastAsia="宋体" w:cs="宋体"/>
                <w:sz w:val="20"/>
                <w:szCs w:val="20"/>
                <w:lang w:val="en-US" w:eastAsia="zh-CN" w:bidi="ar"/>
              </w:rPr>
              <w:br/>
            </w:r>
            <w:r>
              <w:rPr>
                <w:rStyle w:val="690"/>
                <w:rFonts w:hint="eastAsia" w:ascii="宋体" w:hAnsi="宋体" w:eastAsia="宋体" w:cs="宋体"/>
                <w:sz w:val="20"/>
                <w:szCs w:val="20"/>
                <w:lang w:val="en-US" w:eastAsia="zh-CN" w:bidi="ar"/>
              </w:rPr>
              <w:t xml:space="preserve">4、UPS输入电压范围为303Vac~485Vac，输入频率范围为40Hz~70Hz，输入功率因数&gt;0.99；</w:t>
            </w:r>
            <w:r>
              <w:rPr>
                <w:rStyle w:val="690"/>
                <w:rFonts w:hint="eastAsia" w:ascii="宋体" w:hAnsi="宋体" w:eastAsia="宋体" w:cs="宋体"/>
                <w:sz w:val="20"/>
                <w:szCs w:val="20"/>
                <w:lang w:val="en-US" w:eastAsia="zh-CN" w:bidi="ar"/>
              </w:rPr>
              <w:br/>
            </w:r>
            <w:r>
              <w:rPr>
                <w:rStyle w:val="690"/>
                <w:rFonts w:hint="eastAsia" w:ascii="宋体" w:hAnsi="宋体" w:eastAsia="宋体" w:cs="宋体"/>
                <w:sz w:val="20"/>
                <w:szCs w:val="20"/>
                <w:lang w:val="en-US" w:eastAsia="zh-CN" w:bidi="ar"/>
              </w:rPr>
              <w:t xml:space="preserve">5、市电模式运行下，系统效率≥96%（30%负载），≥96%（50%负载）。</w:t>
            </w:r>
            <w:r>
              <w:rPr>
                <w:rStyle w:val="690"/>
                <w:rFonts w:hint="eastAsia" w:ascii="宋体" w:hAnsi="宋体" w:eastAsia="宋体" w:cs="宋体"/>
                <w:sz w:val="20"/>
                <w:szCs w:val="20"/>
                <w:lang w:val="en-US" w:eastAsia="zh-CN" w:bidi="ar"/>
              </w:rPr>
              <w:br/>
            </w:r>
            <w:r>
              <w:rPr>
                <w:rStyle w:val="690"/>
                <w:rFonts w:hint="eastAsia" w:ascii="宋体" w:hAnsi="宋体" w:cs="宋体"/>
                <w:sz w:val="20"/>
                <w:szCs w:val="20"/>
                <w:lang w:val="en-US" w:eastAsia="zh-CN" w:bidi="ar"/>
              </w:rPr>
              <w:t xml:space="preserve">6</w:t>
            </w:r>
            <w:r>
              <w:rPr>
                <w:rStyle w:val="690"/>
                <w:rFonts w:hint="eastAsia" w:ascii="宋体" w:hAnsi="宋体" w:eastAsia="宋体" w:cs="宋体"/>
                <w:sz w:val="20"/>
                <w:szCs w:val="20"/>
                <w:lang w:val="en-US" w:eastAsia="zh-CN" w:bidi="ar"/>
              </w:rPr>
              <w:t xml:space="preserve">、▲UPS系统满足网络安全要求，通过网络安全认证。</w:t>
            </w:r>
            <w:r>
              <w:rPr>
                <w:rFonts w:hint="eastAsia" w:ascii="宋体" w:hAnsi="宋体" w:eastAsia="宋体" w:cs="宋体"/>
                <w:b/>
                <w:bCs/>
                <w:i w:val="0"/>
                <w:iCs w:val="0"/>
                <w:color w:val="000000"/>
                <w:sz w:val="20"/>
                <w:szCs w:val="20"/>
                <w:u w:val="none"/>
                <w:lang w:val="en-US" w:eastAsia="zh-CN" w:bidi="ar"/>
              </w:rPr>
              <w:t xml:space="preserve">提供</w:t>
            </w:r>
            <w:r>
              <w:rPr>
                <w:rFonts w:hint="eastAsia" w:ascii="宋体" w:hAnsi="宋体" w:cs="宋体"/>
                <w:b/>
                <w:bCs/>
                <w:i w:val="0"/>
                <w:iCs w:val="0"/>
                <w:color w:val="000000"/>
                <w:sz w:val="20"/>
                <w:szCs w:val="20"/>
                <w:u w:val="none"/>
                <w:lang w:val="en-US" w:eastAsia="zh-CN" w:bidi="ar"/>
              </w:rPr>
              <w:t xml:space="preserve">公安部相关检测机构</w:t>
            </w:r>
            <w:r>
              <w:rPr>
                <w:rFonts w:hint="eastAsia" w:ascii="宋体" w:hAnsi="宋体" w:eastAsia="宋体" w:cs="宋体"/>
                <w:b/>
                <w:bCs/>
                <w:i w:val="0"/>
                <w:iCs w:val="0"/>
                <w:color w:val="000000"/>
                <w:sz w:val="20"/>
                <w:szCs w:val="20"/>
                <w:u w:val="none"/>
                <w:lang w:val="en-US" w:eastAsia="zh-CN" w:bidi="ar"/>
              </w:rPr>
              <w:t xml:space="preserve">出具的安全认证证书扫描件加盖投标人公章，否则无效佐证。</w:t>
            </w:r>
            <w:r>
              <w:rPr>
                <w:rStyle w:val="690"/>
                <w:rFonts w:hint="eastAsia" w:ascii="宋体" w:hAnsi="宋体" w:eastAsia="宋体" w:cs="宋体"/>
                <w:sz w:val="20"/>
                <w:szCs w:val="20"/>
                <w:lang w:val="en-US" w:eastAsia="zh-CN" w:bidi="ar"/>
              </w:rPr>
              <w:br/>
            </w:r>
            <w:r>
              <w:rPr>
                <w:rStyle w:val="690"/>
                <w:rFonts w:hint="eastAsia" w:ascii="宋体" w:hAnsi="宋体" w:cs="宋体"/>
                <w:sz w:val="20"/>
                <w:szCs w:val="20"/>
                <w:lang w:val="en-US" w:eastAsia="zh-CN" w:bidi="ar"/>
              </w:rPr>
              <w:t xml:space="preserve">7</w:t>
            </w:r>
            <w:r>
              <w:rPr>
                <w:rStyle w:val="690"/>
                <w:rFonts w:hint="eastAsia" w:ascii="宋体" w:hAnsi="宋体" w:eastAsia="宋体" w:cs="宋体"/>
                <w:sz w:val="20"/>
                <w:szCs w:val="20"/>
                <w:lang w:val="en-US" w:eastAsia="zh-CN" w:bidi="ar"/>
              </w:rPr>
              <w:t xml:space="preserve">、▲功率模块的风扇有容错设计,并且风扇故障时应发出声光告警。</w:t>
            </w:r>
            <w:r>
              <w:rPr>
                <w:rStyle w:val="904"/>
                <w:rFonts w:hint="eastAsia" w:ascii="宋体" w:hAnsi="宋体" w:eastAsia="宋体" w:cs="宋体"/>
                <w:sz w:val="20"/>
                <w:szCs w:val="20"/>
                <w:lang w:val="en-US" w:eastAsia="zh-CN" w:bidi="ar"/>
              </w:rPr>
              <w:t xml:space="preserve">提供风扇告警截图</w:t>
            </w:r>
            <w:r>
              <w:rPr>
                <w:rStyle w:val="904"/>
                <w:rFonts w:hint="eastAsia" w:ascii="宋体" w:hAnsi="宋体" w:cs="宋体"/>
                <w:sz w:val="20"/>
                <w:szCs w:val="20"/>
                <w:lang w:val="en-US" w:eastAsia="zh-CN" w:bidi="ar"/>
              </w:rPr>
              <w:t xml:space="preserve">，</w:t>
            </w:r>
            <w:r>
              <w:rPr>
                <w:rStyle w:val="904"/>
                <w:rFonts w:hint="eastAsia" w:ascii="宋体" w:hAnsi="宋体" w:eastAsia="宋体" w:cs="宋体"/>
                <w:sz w:val="20"/>
                <w:szCs w:val="20"/>
                <w:lang w:val="en-US" w:eastAsia="zh-CN" w:bidi="ar"/>
              </w:rPr>
              <w:t xml:space="preserve">并加盖投标人公章；</w:t>
            </w:r>
            <w:r>
              <w:rPr>
                <w:rStyle w:val="690"/>
                <w:rFonts w:hint="eastAsia" w:ascii="宋体" w:hAnsi="宋体" w:eastAsia="宋体" w:cs="宋体"/>
                <w:sz w:val="20"/>
                <w:szCs w:val="20"/>
                <w:lang w:val="en-US" w:eastAsia="zh-CN" w:bidi="ar"/>
              </w:rPr>
              <w:br/>
            </w:r>
            <w:r>
              <w:rPr>
                <w:rStyle w:val="690"/>
                <w:rFonts w:hint="eastAsia" w:ascii="宋体" w:hAnsi="宋体" w:cs="宋体"/>
                <w:sz w:val="20"/>
                <w:szCs w:val="20"/>
                <w:lang w:val="en-US" w:eastAsia="zh-CN" w:bidi="ar"/>
              </w:rPr>
              <w:t xml:space="preserve">8</w:t>
            </w:r>
            <w:r>
              <w:rPr>
                <w:rStyle w:val="690"/>
                <w:rFonts w:hint="eastAsia" w:ascii="宋体" w:hAnsi="宋体" w:eastAsia="宋体" w:cs="宋体"/>
                <w:sz w:val="20"/>
                <w:szCs w:val="20"/>
                <w:lang w:val="en-US" w:eastAsia="zh-CN" w:bidi="ar"/>
              </w:rPr>
              <w:t xml:space="preserve">、▲按照YD5083-2005《电信设备抗地震性能检测规范》要求，通过不低于9烈度抗震检验。提供“CNAS”</w:t>
            </w:r>
            <w:r>
              <w:rPr>
                <w:rFonts w:hint="eastAsia" w:ascii="宋体" w:hAnsi="宋体" w:cs="宋体"/>
                <w:i w:val="0"/>
                <w:iCs w:val="0"/>
                <w:color w:val="000000"/>
                <w:sz w:val="20"/>
                <w:szCs w:val="20"/>
                <w:u w:val="none"/>
                <w:lang w:val="en-US" w:eastAsia="zh-CN" w:bidi="ar"/>
              </w:rPr>
              <w:t xml:space="preserve">或“CMA”</w:t>
            </w:r>
            <w:r>
              <w:rPr>
                <w:rStyle w:val="690"/>
                <w:rFonts w:hint="eastAsia" w:ascii="宋体" w:hAnsi="宋体" w:eastAsia="宋体" w:cs="宋体"/>
                <w:sz w:val="20"/>
                <w:szCs w:val="20"/>
                <w:lang w:val="en-US" w:eastAsia="zh-CN" w:bidi="ar"/>
              </w:rPr>
              <w:t xml:space="preserve">标识的检验报告扫描件加盖投标人公章，在上传的检验报告中用红线标明所需项，否则无效佐证。</w:t>
            </w:r>
            <w:r/>
          </w:p>
        </w:tc>
      </w:tr>
      <w:tr>
        <w:trPr>
          <w:trHeight w:val="309"/>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30KVA功能模块</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30kVA功率模块</w:t>
            </w:r>
            <w:r/>
          </w:p>
        </w:tc>
      </w:tr>
      <w:tr>
        <w:trPr>
          <w:trHeight w:val="309"/>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温控系统</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384"/>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行级精密空调内机</w:t>
            </w:r>
            <w:r>
              <w:rPr>
                <w:rFonts w:hint="eastAsia" w:ascii="宋体" w:hAnsi="宋体" w:eastAsia="宋体" w:cs="宋体"/>
                <w:i w:val="0"/>
                <w:iCs w:val="0"/>
                <w:color w:val="000000"/>
                <w:sz w:val="20"/>
                <w:szCs w:val="20"/>
                <w:u w:val="none"/>
                <w:lang w:val="en-US" w:eastAsia="zh-CN" w:bidi="ar"/>
              </w:rPr>
              <w:br/>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numPr>
                <w:ilvl w:val="0"/>
                <w:numId w:val="12"/>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行级空调应满足数据机房高热湿比，长时间运行，高可靠性、安全性的要求，空调机组为24小时x365天不间断运行；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2、行级空调应依据功能要求设置高效直流变频压缩机、蒸发器、EC风机、控制器、电子膨胀阀、油分、轻载除湿组件，视液镜、干燥过滤器、加湿器/加热器等主要部件组成；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3、精密空调室内机应安装在列间，采用水平送风方式，为保持美观度，空调室内机高度与深度应与机柜保持一致；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空调机主要技术性能：项目配置1台≥46KW制冷量的行级精密空调，覆盖机房冷通道区域,1台≥13KW制冷量精密空调用于电池间。空调机主要技术性能：风冷行级精密空调，水平送风，总冷量≥46KW，显冷量≥46kW，风量≥9000m³/h，加热量≥6kW，加湿量≥3kg/h，采用环保高效的R410A制冷剂。。</w:t>
            </w:r>
            <w:r/>
          </w:p>
          <w:p>
            <w:pPr>
              <w:numPr>
                <w:ilvl w:val="0"/>
                <w:numId w:val="0"/>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5、制冷量可在10%-100%无极调节，最小制冷量≤4500W（即最小制冷量≤10%）。</w:t>
            </w:r>
            <w:r>
              <w:rPr>
                <w:rFonts w:hint="eastAsia" w:ascii="宋体" w:hAnsi="宋体" w:eastAsia="宋体" w:cs="宋体"/>
                <w:i w:val="0"/>
                <w:iCs w:val="0"/>
                <w:color w:val="000000"/>
                <w:sz w:val="20"/>
                <w:szCs w:val="20"/>
                <w:u w:val="none"/>
                <w:lang w:val="en-US" w:eastAsia="zh-CN" w:bidi="ar"/>
              </w:rPr>
              <w:br/>
            </w:r>
            <w:r>
              <w:rPr>
                <w:rStyle w:val="690"/>
                <w:rFonts w:hint="eastAsia" w:ascii="宋体" w:hAnsi="宋体" w:eastAsia="宋体" w:cs="宋体"/>
                <w:sz w:val="20"/>
                <w:szCs w:val="20"/>
                <w:lang w:val="en-US" w:eastAsia="zh-CN" w:bidi="ar"/>
              </w:rPr>
              <w:t xml:space="preserve">6、可以实现在≤10%显热制冷量（即显热制冷量≤4500W）且室内高湿度情况下稳定除湿功能（除湿量≥5.0kg/h），降低高湿环境下数据中心低载运行的设备结露风险。</w:t>
            </w:r>
            <w:r>
              <w:rPr>
                <w:rStyle w:val="690"/>
                <w:rFonts w:hint="eastAsia" w:ascii="宋体" w:hAnsi="宋体" w:eastAsia="宋体" w:cs="宋体"/>
                <w:sz w:val="20"/>
                <w:szCs w:val="20"/>
                <w:lang w:val="en-US" w:eastAsia="zh-CN" w:bidi="ar"/>
              </w:rPr>
              <w:br/>
            </w:r>
            <w:r>
              <w:rPr>
                <w:rStyle w:val="690"/>
                <w:rFonts w:hint="eastAsia" w:ascii="宋体" w:hAnsi="宋体" w:eastAsia="宋体" w:cs="宋体"/>
                <w:sz w:val="20"/>
                <w:szCs w:val="20"/>
                <w:lang w:val="en-US" w:eastAsia="zh-CN" w:bidi="ar"/>
              </w:rPr>
              <w:t xml:space="preserve">7、压缩机采用Rotalock连接，维护无需动火。</w:t>
            </w:r>
            <w:r>
              <w:rPr>
                <w:rStyle w:val="690"/>
                <w:rFonts w:hint="eastAsia" w:ascii="宋体" w:hAnsi="宋体" w:eastAsia="宋体" w:cs="宋体"/>
                <w:sz w:val="20"/>
                <w:szCs w:val="20"/>
                <w:lang w:val="en-US" w:eastAsia="zh-CN" w:bidi="ar"/>
              </w:rPr>
              <w:br/>
            </w:r>
            <w:r>
              <w:rPr>
                <w:rStyle w:val="690"/>
                <w:rFonts w:hint="eastAsia" w:ascii="宋体" w:hAnsi="宋体" w:eastAsia="宋体" w:cs="宋体"/>
                <w:sz w:val="20"/>
                <w:szCs w:val="20"/>
                <w:lang w:val="en-US" w:eastAsia="zh-CN" w:bidi="ar"/>
              </w:rPr>
              <w:t xml:space="preserve">8、▲行级空调需提供可靠准确的检测手段，对冷媒容量进行自动检测并能在冷媒泄漏量超过阈值时产生制冷剂不足告警，避免由于制冷剂不足导致空调宕机或者制冷能力下降使模块产生局部热点。提供“CNAS”</w:t>
            </w:r>
            <w:r>
              <w:rPr>
                <w:rFonts w:hint="eastAsia" w:ascii="宋体" w:hAnsi="宋体" w:cs="宋体"/>
                <w:i w:val="0"/>
                <w:iCs w:val="0"/>
                <w:color w:val="000000"/>
                <w:sz w:val="20"/>
                <w:szCs w:val="20"/>
                <w:u w:val="none"/>
                <w:lang w:val="en-US" w:eastAsia="zh-CN" w:bidi="ar"/>
              </w:rPr>
              <w:t xml:space="preserve">或“CMA”</w:t>
            </w:r>
            <w:r>
              <w:rPr>
                <w:rStyle w:val="690"/>
                <w:rFonts w:hint="eastAsia" w:ascii="宋体" w:hAnsi="宋体" w:eastAsia="宋体" w:cs="宋体"/>
                <w:sz w:val="20"/>
                <w:szCs w:val="20"/>
                <w:lang w:val="en-US" w:eastAsia="zh-CN" w:bidi="ar"/>
              </w:rPr>
              <w:t xml:space="preserve">标识的检验报告扫描件加盖投标人公章，在上传的检验报告中用红线标明所需项，否则无效佐证。</w:t>
            </w:r>
            <w:r/>
          </w:p>
          <w:p>
            <w:pPr>
              <w:numPr>
                <w:ilvl w:val="0"/>
                <w:numId w:val="0"/>
              </w:numPr>
              <w:jc w:val="left"/>
              <w:keepLines w:val="0"/>
              <w:keepNext w:val="0"/>
              <w:widowControl/>
              <w:rPr>
                <w:rStyle w:val="690"/>
                <w:rFonts w:hint="eastAsia" w:ascii="宋体" w:hAnsi="宋体" w:eastAsia="宋体" w:cs="宋体"/>
                <w:b/>
                <w:bCs/>
                <w:sz w:val="20"/>
                <w:szCs w:val="20"/>
                <w:lang w:val="en-US" w:eastAsia="zh-CN" w:bidi="ar"/>
              </w:rPr>
              <w:suppressLineNumbers w:val="0"/>
            </w:pPr>
            <w:r>
              <w:rPr>
                <w:rStyle w:val="690"/>
                <w:rFonts w:hint="eastAsia" w:ascii="宋体" w:hAnsi="宋体" w:eastAsia="宋体" w:cs="宋体"/>
                <w:sz w:val="20"/>
                <w:szCs w:val="20"/>
                <w:lang w:val="en-US" w:eastAsia="zh-CN" w:bidi="ar"/>
              </w:rPr>
              <w:t xml:space="preserve">9、空调加热应采用PTC电加热，再加热量≥6kW。加湿应采用高效的湿膜加湿，加湿量≥3kg/h。</w:t>
            </w:r>
            <w:r>
              <w:rPr>
                <w:rStyle w:val="690"/>
                <w:rFonts w:hint="eastAsia" w:ascii="宋体" w:hAnsi="宋体" w:eastAsia="宋体" w:cs="宋体"/>
                <w:sz w:val="20"/>
                <w:szCs w:val="20"/>
                <w:lang w:val="en-US" w:eastAsia="zh-CN" w:bidi="ar"/>
              </w:rPr>
              <w:br/>
            </w:r>
            <w:r>
              <w:rPr>
                <w:rStyle w:val="690"/>
                <w:rFonts w:hint="eastAsia" w:ascii="宋体" w:hAnsi="宋体" w:eastAsia="宋体" w:cs="宋体"/>
                <w:sz w:val="20"/>
                <w:szCs w:val="20"/>
                <w:lang w:val="en-US" w:eastAsia="zh-CN" w:bidi="ar"/>
              </w:rPr>
              <w:t xml:space="preserve">10、机组应具备不低于6kV防雷滤波规格，在极端浪涌条件下更加安全可靠；</w:t>
            </w:r>
            <w:r>
              <w:rPr>
                <w:rStyle w:val="690"/>
                <w:rFonts w:hint="eastAsia" w:ascii="宋体" w:hAnsi="宋体" w:eastAsia="宋体" w:cs="宋体"/>
                <w:sz w:val="20"/>
                <w:szCs w:val="20"/>
                <w:lang w:val="en-US" w:eastAsia="zh-CN" w:bidi="ar"/>
              </w:rPr>
              <w:br/>
            </w:r>
            <w:r>
              <w:rPr>
                <w:rStyle w:val="690"/>
                <w:rFonts w:hint="eastAsia" w:ascii="宋体" w:hAnsi="宋体" w:eastAsia="宋体" w:cs="宋体"/>
                <w:sz w:val="20"/>
                <w:szCs w:val="20"/>
                <w:lang w:val="en-US" w:eastAsia="zh-CN" w:bidi="ar"/>
              </w:rPr>
              <w:t xml:space="preserve">11、机组应标配采用≥7英寸真彩触屏，可实时显示冷量、风量等关键参数信息，易于操作和运维管理；</w:t>
            </w:r>
            <w:r>
              <w:rPr>
                <w:rStyle w:val="690"/>
                <w:rFonts w:hint="eastAsia" w:ascii="宋体" w:hAnsi="宋体" w:eastAsia="宋体" w:cs="宋体"/>
                <w:sz w:val="20"/>
                <w:szCs w:val="20"/>
                <w:lang w:val="en-US" w:eastAsia="zh-CN" w:bidi="ar"/>
              </w:rPr>
              <w:br/>
            </w:r>
            <w:r>
              <w:rPr>
                <w:rStyle w:val="690"/>
                <w:rFonts w:hint="eastAsia" w:ascii="宋体" w:hAnsi="宋体" w:eastAsia="宋体" w:cs="宋体"/>
                <w:sz w:val="20"/>
                <w:szCs w:val="20"/>
                <w:highlight w:val="none"/>
                <w:lang w:val="en-US" w:eastAsia="zh-CN" w:bidi="ar"/>
              </w:rPr>
              <w:t xml:space="preserve">12、▲投标精密空调厂家具备自主研发测试能力，拥有获得CNAS或GMPI认可的全场景≥350KW专业焓差实验室</w:t>
            </w:r>
            <w:r>
              <w:rPr>
                <w:rStyle w:val="690"/>
                <w:rFonts w:hint="eastAsia" w:ascii="宋体" w:hAnsi="宋体" w:cs="宋体"/>
                <w:sz w:val="20"/>
                <w:szCs w:val="20"/>
                <w:highlight w:val="none"/>
                <w:lang w:val="en-US" w:eastAsia="zh-CN" w:bidi="ar"/>
              </w:rPr>
              <w:t xml:space="preserve">。</w:t>
            </w:r>
            <w:r>
              <w:rPr>
                <w:rStyle w:val="690"/>
                <w:rFonts w:hint="eastAsia" w:ascii="宋体" w:hAnsi="宋体" w:eastAsia="宋体" w:cs="宋体"/>
                <w:b/>
                <w:bCs/>
                <w:sz w:val="20"/>
                <w:szCs w:val="20"/>
                <w:highlight w:val="none"/>
                <w:lang w:val="en-US" w:eastAsia="zh-CN" w:bidi="ar"/>
              </w:rPr>
              <w:t xml:space="preserve">提供中国制冷空调行业试验装置评定合格证书扫描件，并加盖投标人公章。</w:t>
            </w:r>
            <w:r/>
          </w:p>
          <w:p>
            <w:pPr>
              <w:numPr>
                <w:ilvl w:val="0"/>
                <w:numId w:val="0"/>
              </w:numPr>
              <w:jc w:val="left"/>
              <w:keepLines w:val="0"/>
              <w:keepNext w:val="0"/>
              <w:widowControl/>
              <w:rPr>
                <w:rFonts w:hint="eastAsia" w:ascii="宋体" w:hAnsi="宋体" w:eastAsia="宋体" w:cs="宋体"/>
                <w:i w:val="0"/>
                <w:iCs w:val="0"/>
                <w:color w:val="000000"/>
                <w:sz w:val="20"/>
                <w:szCs w:val="20"/>
                <w:u w:val="none"/>
              </w:rPr>
              <w:suppressLineNumbers w:val="0"/>
            </w:pPr>
            <w:r>
              <w:rPr>
                <w:rStyle w:val="690"/>
                <w:rFonts w:hint="eastAsia" w:ascii="宋体" w:hAnsi="宋体" w:eastAsia="宋体" w:cs="宋体"/>
                <w:sz w:val="20"/>
                <w:szCs w:val="20"/>
                <w:lang w:val="en-US" w:eastAsia="zh-CN" w:bidi="ar"/>
              </w:rPr>
              <w:t xml:space="preserve">13、▲精密空调应满足网络安全要求，通过网络安全认证。</w:t>
            </w:r>
            <w:r>
              <w:rPr>
                <w:rFonts w:hint="eastAsia" w:ascii="宋体" w:hAnsi="宋体" w:eastAsia="宋体" w:cs="宋体"/>
                <w:b/>
                <w:bCs/>
                <w:i w:val="0"/>
                <w:iCs w:val="0"/>
                <w:color w:val="000000"/>
                <w:sz w:val="20"/>
                <w:szCs w:val="20"/>
                <w:u w:val="none"/>
                <w:lang w:val="en-US" w:eastAsia="zh-CN" w:bidi="ar"/>
              </w:rPr>
              <w:t xml:space="preserve">提供</w:t>
            </w:r>
            <w:r>
              <w:rPr>
                <w:rFonts w:hint="eastAsia" w:ascii="宋体" w:hAnsi="宋体" w:cs="宋体"/>
                <w:b/>
                <w:bCs/>
                <w:i w:val="0"/>
                <w:iCs w:val="0"/>
                <w:color w:val="000000"/>
                <w:sz w:val="20"/>
                <w:szCs w:val="20"/>
                <w:u w:val="none"/>
                <w:lang w:val="en-US" w:eastAsia="zh-CN" w:bidi="ar"/>
              </w:rPr>
              <w:t xml:space="preserve">公安部相关检测机构</w:t>
            </w:r>
            <w:r>
              <w:rPr>
                <w:rFonts w:hint="eastAsia" w:ascii="宋体" w:hAnsi="宋体" w:eastAsia="宋体" w:cs="宋体"/>
                <w:b/>
                <w:bCs/>
                <w:i w:val="0"/>
                <w:iCs w:val="0"/>
                <w:color w:val="000000"/>
                <w:sz w:val="20"/>
                <w:szCs w:val="20"/>
                <w:u w:val="none"/>
                <w:lang w:val="en-US" w:eastAsia="zh-CN" w:bidi="ar"/>
              </w:rPr>
              <w:t xml:space="preserve">出具的安全认证证书扫描件加盖投标人公章，否则无效佐证。</w:t>
            </w:r>
            <w:r/>
          </w:p>
        </w:tc>
      </w:tr>
      <w:tr>
        <w:trPr>
          <w:trHeight w:val="1805"/>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行级精密空调外机</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、风机电机、风机驱动器、控制器等有良好的防水性能，满足IPX5要求；</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、驱动器采用变频驱动器，室外风机调速范围在10%～100%，风机最低运行频率不高于5Hz，低载运行更稳定；</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lang w:val="en-US" w:eastAsia="zh-CN" w:bidi="ar"/>
              </w:rPr>
              <w:t xml:space="preserve">、采用镀锌板和表面磷化＋粉末涂层工艺，具有良好的刚性和防腐性能，适应恶劣环境；</w:t>
            </w:r>
            <w:r/>
          </w:p>
        </w:tc>
      </w:tr>
      <w:tr>
        <w:trPr>
          <w:trHeight w:val="5094"/>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房级精密空调内机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加热加湿</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1、空调类型：风冷房间级精密空调，上送风，制冷量≥12.5kW，风量≥3100m3/h，室内机尺寸≤600mm(W)*600mm(D)*2000(mm)(H)。</w:t>
            </w:r>
            <w:r/>
          </w:p>
          <w:p>
            <w:pPr>
              <w:numPr>
                <w:ilvl w:val="0"/>
                <w:numId w:val="0"/>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2、采用直流变频压缩机、DC直流风机，冷量可在35%-100%调节；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3、精密空调控制器应采用不低于3.0英寸LCD屏，人机交互友好；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具备联动与群控功能，将同一区域机组进行统一控制管理。每台机组控制器均可作为主控机组，控制功能包括：1）备份：备份自动切换功能，当群组中机组发生故障时，备份机组自动投入运行，提高空调系统的可靠性； 2）轮巡：定时切换备份机组 ；3）层叠：根据机房内热负荷的变化，自动控制机组中空调机的运行数量，及时响应需求，消除热点，达到节能的目的； 4）避免竞争运行：避免同一机房内多台空调机同时运行在相反的运行状态（制冷/加热、加湿/除湿），达到节能的目的；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5、空调机组应具有送回风温度过高、过低报警、风扇故障报警、温湿度传感器故障报警等功能；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6、精密空调机组应具有方便的现场监控及远程监控能力，应具有RS485接口，对系统进行远程巡检和参数的设置，及提供Modbus协议，以接入机房环境监控系统；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7、机组应具备不低于6kV防雷滤波规格，在极端浪涌条件下更加安全可靠；</w:t>
            </w:r>
            <w:r/>
          </w:p>
        </w:tc>
      </w:tr>
      <w:tr>
        <w:trPr>
          <w:trHeight w:val="907"/>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房级精密空调外机</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1、室外机主要由直流变频压缩机、油分离器、干燥器、储液罐和 DC风机等制冷部件组成；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2、防护等级IPX4；</w:t>
            </w:r>
            <w:r/>
          </w:p>
        </w:tc>
      </w:tr>
      <w:tr>
        <w:trPr>
          <w:trHeight w:val="309"/>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动环监控系统</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889"/>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微模块控制器</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微模块应设置控制器，</w:t>
            </w:r>
            <w:r>
              <w:rPr>
                <w:rFonts w:hint="eastAsia" w:ascii="宋体" w:hAnsi="宋体" w:cs="宋体"/>
                <w:i w:val="0"/>
                <w:iCs w:val="0"/>
                <w:color w:val="000000"/>
                <w:sz w:val="20"/>
                <w:szCs w:val="20"/>
                <w:u w:val="none"/>
                <w:lang w:val="en-US" w:eastAsia="zh-CN" w:bidi="ar"/>
              </w:rPr>
              <w:t xml:space="preserve">对接</w:t>
            </w:r>
            <w:r>
              <w:rPr>
                <w:rFonts w:hint="eastAsia" w:ascii="宋体" w:hAnsi="宋体" w:eastAsia="宋体" w:cs="宋体"/>
                <w:i w:val="0"/>
                <w:iCs w:val="0"/>
                <w:color w:val="000000"/>
                <w:sz w:val="20"/>
                <w:szCs w:val="20"/>
                <w:u w:val="none"/>
                <w:lang w:val="en-US" w:eastAsia="zh-CN" w:bidi="ar"/>
              </w:rPr>
              <w:t xml:space="preserve">网管系统与下级监控设备；</w:t>
            </w:r>
            <w:r>
              <w:rPr>
                <w:rFonts w:hint="eastAsia" w:ascii="宋体" w:hAnsi="宋体" w:cs="宋体"/>
                <w:i w:val="0"/>
                <w:iCs w:val="0"/>
                <w:color w:val="000000"/>
                <w:sz w:val="20"/>
                <w:szCs w:val="20"/>
                <w:u w:val="none"/>
                <w:lang w:val="en-US" w:eastAsia="zh-CN" w:bidi="ar"/>
              </w:rPr>
              <w:t xml:space="preserve">统一采集</w:t>
            </w:r>
            <w:r>
              <w:rPr>
                <w:rFonts w:hint="eastAsia" w:ascii="宋体" w:hAnsi="宋体" w:eastAsia="宋体" w:cs="宋体"/>
                <w:i w:val="0"/>
                <w:iCs w:val="0"/>
                <w:color w:val="000000"/>
                <w:sz w:val="20"/>
                <w:szCs w:val="20"/>
                <w:u w:val="none"/>
                <w:lang w:val="en-US" w:eastAsia="zh-CN" w:bidi="ar"/>
              </w:rPr>
              <w:t xml:space="preserve">精密空调、配电、天窗执行器、门禁执行器、烟感、温湿度、水浸、声光告警信号；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2、为保证一致性和整体交付质量，密封通道件、列头配电柜、精密空调、机柜、采集器等核心部件要求使用同一品牌；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3、微模块控制器：机架式</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高度≤1U</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系统内存≥512M，Flash存储≥1GB+64MB</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支持4G、3G通讯，</w:t>
            </w:r>
            <w:r>
              <w:rPr>
                <w:rFonts w:hint="eastAsia" w:ascii="宋体" w:hAnsi="宋体" w:cs="宋体"/>
                <w:i w:val="0"/>
                <w:iCs w:val="0"/>
                <w:color w:val="000000"/>
                <w:sz w:val="20"/>
                <w:szCs w:val="20"/>
                <w:u w:val="none"/>
                <w:lang w:val="en-US" w:eastAsia="zh-CN" w:bidi="ar"/>
              </w:rPr>
              <w:t xml:space="preserve">配置</w:t>
            </w:r>
            <w:r>
              <w:rPr>
                <w:rFonts w:hint="eastAsia" w:ascii="宋体" w:hAnsi="宋体" w:eastAsia="宋体" w:cs="宋体"/>
                <w:i w:val="0"/>
                <w:iCs w:val="0"/>
                <w:color w:val="000000"/>
                <w:sz w:val="20"/>
                <w:szCs w:val="20"/>
                <w:u w:val="none"/>
                <w:lang w:val="en-US" w:eastAsia="zh-CN" w:bidi="ar"/>
              </w:rPr>
              <w:t xml:space="preserve">SIM卡插槽。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4、具备供电全链路显示</w:t>
            </w:r>
            <w:r>
              <w:rPr>
                <w:rFonts w:hint="eastAsia" w:ascii="宋体" w:hAnsi="宋体" w:cs="宋体"/>
                <w:i w:val="0"/>
                <w:iCs w:val="0"/>
                <w:color w:val="000000"/>
                <w:sz w:val="20"/>
                <w:szCs w:val="20"/>
                <w:u w:val="none"/>
                <w:lang w:val="en-US" w:eastAsia="zh-CN" w:bidi="ar"/>
              </w:rPr>
              <w:t xml:space="preserve">，可展示</w:t>
            </w:r>
            <w:r>
              <w:rPr>
                <w:rFonts w:hint="eastAsia" w:ascii="宋体" w:hAnsi="宋体" w:eastAsia="宋体" w:cs="宋体"/>
                <w:i w:val="0"/>
                <w:iCs w:val="0"/>
                <w:color w:val="000000"/>
                <w:sz w:val="20"/>
                <w:szCs w:val="20"/>
                <w:u w:val="none"/>
                <w:lang w:val="en-US" w:eastAsia="zh-CN" w:bidi="ar"/>
              </w:rPr>
              <w:t xml:space="preserve">从微模块总输入到机柜的PDU</w:t>
            </w:r>
            <w:r>
              <w:rPr>
                <w:rFonts w:hint="eastAsia" w:ascii="宋体" w:hAnsi="宋体" w:cs="宋体"/>
                <w:i w:val="0"/>
                <w:iCs w:val="0"/>
                <w:color w:val="000000"/>
                <w:sz w:val="20"/>
                <w:szCs w:val="20"/>
                <w:u w:val="none"/>
                <w:lang w:val="en-US" w:eastAsia="zh-CN" w:bidi="ar"/>
              </w:rPr>
              <w:t xml:space="preserve">的</w:t>
            </w:r>
            <w:r>
              <w:rPr>
                <w:rFonts w:hint="eastAsia" w:ascii="宋体" w:hAnsi="宋体" w:eastAsia="宋体" w:cs="宋体"/>
                <w:i w:val="0"/>
                <w:iCs w:val="0"/>
                <w:color w:val="000000"/>
                <w:sz w:val="20"/>
                <w:szCs w:val="20"/>
                <w:u w:val="none"/>
                <w:lang w:val="en-US" w:eastAsia="zh-CN" w:bidi="ar"/>
              </w:rPr>
              <w:t xml:space="preserve">配电拓扑、开关状态、能量流图、设备故障状态、支路关系</w:t>
            </w:r>
            <w:r>
              <w:rPr>
                <w:rFonts w:hint="eastAsia" w:ascii="宋体" w:hAnsi="宋体" w:cs="宋体"/>
                <w:i w:val="0"/>
                <w:iCs w:val="0"/>
                <w:color w:val="000000"/>
                <w:sz w:val="20"/>
                <w:szCs w:val="20"/>
                <w:u w:val="none"/>
                <w:lang w:val="en-US" w:eastAsia="zh-CN" w:bidi="ar"/>
              </w:rPr>
              <w:t xml:space="preserve">及</w:t>
            </w:r>
            <w:r>
              <w:rPr>
                <w:rFonts w:hint="eastAsia" w:ascii="宋体" w:hAnsi="宋体" w:eastAsia="宋体" w:cs="宋体"/>
                <w:i w:val="0"/>
                <w:iCs w:val="0"/>
                <w:color w:val="000000"/>
                <w:sz w:val="20"/>
                <w:szCs w:val="20"/>
                <w:u w:val="none"/>
                <w:lang w:val="en-US" w:eastAsia="zh-CN" w:bidi="ar"/>
              </w:rPr>
              <w:t xml:space="preserve">电压、电流、温度等关键信号参数。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5、管理系统</w:t>
            </w:r>
            <w:r>
              <w:rPr>
                <w:rFonts w:hint="eastAsia" w:ascii="宋体" w:hAnsi="宋体" w:cs="宋体"/>
                <w:i w:val="0"/>
                <w:iCs w:val="0"/>
                <w:color w:val="000000"/>
                <w:sz w:val="20"/>
                <w:szCs w:val="20"/>
                <w:u w:val="none"/>
                <w:lang w:val="en-US" w:eastAsia="zh-CN" w:bidi="ar"/>
              </w:rPr>
              <w:t xml:space="preserve">集中管控</w:t>
            </w:r>
            <w:r>
              <w:rPr>
                <w:rFonts w:hint="eastAsia" w:ascii="宋体" w:hAnsi="宋体" w:eastAsia="宋体" w:cs="宋体"/>
                <w:i w:val="0"/>
                <w:iCs w:val="0"/>
                <w:color w:val="000000"/>
                <w:sz w:val="20"/>
                <w:szCs w:val="20"/>
                <w:u w:val="none"/>
                <w:lang w:val="en-US" w:eastAsia="zh-CN" w:bidi="ar"/>
              </w:rPr>
              <w:t xml:space="preserve">微模块、动力、环境、视频、门禁</w:t>
            </w:r>
            <w:r>
              <w:rPr>
                <w:rFonts w:hint="eastAsia" w:ascii="宋体" w:hAnsi="宋体" w:cs="宋体"/>
                <w:i w:val="0"/>
                <w:iCs w:val="0"/>
                <w:color w:val="000000"/>
                <w:sz w:val="20"/>
                <w:szCs w:val="20"/>
                <w:u w:val="none"/>
                <w:lang w:val="en-US" w:eastAsia="zh-CN" w:bidi="ar"/>
              </w:rPr>
              <w:t xml:space="preserve">；支持</w:t>
            </w:r>
            <w:r>
              <w:rPr>
                <w:rFonts w:hint="eastAsia" w:ascii="宋体" w:hAnsi="宋体" w:eastAsia="宋体" w:cs="宋体"/>
                <w:i w:val="0"/>
                <w:iCs w:val="0"/>
                <w:color w:val="000000"/>
                <w:sz w:val="20"/>
                <w:szCs w:val="20"/>
                <w:u w:val="none"/>
                <w:lang w:val="en-US" w:eastAsia="zh-CN" w:bidi="ar"/>
              </w:rPr>
              <w:t xml:space="preserve">颜色、E-mail、SMS和声音告警等多种报警方式，记录历史数据和报警事件，</w:t>
            </w:r>
            <w:r>
              <w:rPr>
                <w:rFonts w:hint="eastAsia" w:ascii="宋体" w:hAnsi="宋体" w:cs="宋体"/>
                <w:i w:val="0"/>
                <w:iCs w:val="0"/>
                <w:color w:val="000000"/>
                <w:sz w:val="20"/>
                <w:szCs w:val="20"/>
                <w:u w:val="none"/>
                <w:lang w:val="en-US" w:eastAsia="zh-CN" w:bidi="ar"/>
              </w:rPr>
              <w:t xml:space="preserve">提供</w:t>
            </w:r>
            <w:r>
              <w:rPr>
                <w:rFonts w:hint="eastAsia" w:ascii="宋体" w:hAnsi="宋体" w:eastAsia="宋体" w:cs="宋体"/>
                <w:i w:val="0"/>
                <w:iCs w:val="0"/>
                <w:color w:val="000000"/>
                <w:sz w:val="20"/>
                <w:szCs w:val="20"/>
                <w:u w:val="none"/>
                <w:lang w:val="en-US" w:eastAsia="zh-CN" w:bidi="ar"/>
              </w:rPr>
              <w:t xml:space="preserve">北向SNMP接口</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支持本地监控屏和手机APP实时查看设备信息，移动运维；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cs="宋体"/>
                <w:i w:val="0"/>
                <w:iCs w:val="0"/>
                <w:color w:val="000000"/>
                <w:sz w:val="20"/>
                <w:szCs w:val="20"/>
                <w:u w:val="none"/>
                <w:lang w:val="en-US" w:eastAsia="zh-CN" w:bidi="ar"/>
              </w:rPr>
              <w:t xml:space="preserve">监控系统的采集器硬件满足网络安全的相关要求，提供行业主流的病毒与漏洞软件的安全扫描，通过智能联网产品网络安全认证。</w:t>
            </w:r>
            <w:r>
              <w:rPr>
                <w:rFonts w:hint="eastAsia" w:ascii="宋体" w:hAnsi="宋体" w:eastAsia="宋体" w:cs="宋体"/>
                <w:b/>
                <w:bCs/>
                <w:i w:val="0"/>
                <w:iCs w:val="0"/>
                <w:color w:val="000000"/>
                <w:sz w:val="20"/>
                <w:szCs w:val="20"/>
                <w:u w:val="none"/>
                <w:lang w:val="en-US" w:eastAsia="zh-CN" w:bidi="ar"/>
              </w:rPr>
              <w:t xml:space="preserve">提供</w:t>
            </w:r>
            <w:r>
              <w:rPr>
                <w:rFonts w:hint="eastAsia" w:ascii="宋体" w:hAnsi="宋体" w:cs="宋体"/>
                <w:b/>
                <w:bCs/>
                <w:i w:val="0"/>
                <w:iCs w:val="0"/>
                <w:color w:val="000000"/>
                <w:sz w:val="20"/>
                <w:szCs w:val="20"/>
                <w:u w:val="none"/>
                <w:lang w:val="en-US" w:eastAsia="zh-CN" w:bidi="ar"/>
              </w:rPr>
              <w:t xml:space="preserve">公安部相关检测机构</w:t>
            </w:r>
            <w:r>
              <w:rPr>
                <w:rFonts w:hint="eastAsia" w:ascii="宋体" w:hAnsi="宋体" w:eastAsia="宋体" w:cs="宋体"/>
                <w:b/>
                <w:bCs/>
                <w:i w:val="0"/>
                <w:iCs w:val="0"/>
                <w:color w:val="000000"/>
                <w:sz w:val="20"/>
                <w:szCs w:val="20"/>
                <w:u w:val="none"/>
                <w:lang w:val="en-US" w:eastAsia="zh-CN" w:bidi="ar"/>
              </w:rPr>
              <w:t xml:space="preserve">出具的安全认证证书扫描件加盖投标人公章，否则无效佐证。</w:t>
            </w:r>
            <w:r>
              <w:rPr>
                <w:rStyle w:val="690"/>
                <w:rFonts w:hint="eastAsia" w:ascii="宋体" w:hAnsi="宋体" w:eastAsia="宋体" w:cs="宋体"/>
                <w:sz w:val="20"/>
                <w:szCs w:val="20"/>
                <w:lang w:val="en-US" w:eastAsia="zh-CN" w:bidi="ar"/>
              </w:rPr>
              <w:br/>
            </w:r>
            <w:r>
              <w:rPr>
                <w:rStyle w:val="690"/>
                <w:rFonts w:hint="eastAsia" w:ascii="宋体" w:hAnsi="宋体" w:cs="宋体"/>
                <w:sz w:val="20"/>
                <w:szCs w:val="20"/>
                <w:lang w:val="en-US" w:eastAsia="zh-CN" w:bidi="ar"/>
              </w:rPr>
              <w:t xml:space="preserve">7</w:t>
            </w:r>
            <w:r>
              <w:rPr>
                <w:rStyle w:val="690"/>
                <w:rFonts w:hint="eastAsia" w:ascii="宋体" w:hAnsi="宋体" w:eastAsia="宋体" w:cs="宋体"/>
                <w:sz w:val="20"/>
                <w:szCs w:val="20"/>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w:t>
            </w:r>
            <w:r>
              <w:rPr>
                <w:rStyle w:val="690"/>
                <w:rFonts w:hint="eastAsia" w:ascii="宋体" w:hAnsi="宋体" w:eastAsia="宋体" w:cs="宋体"/>
                <w:sz w:val="20"/>
                <w:szCs w:val="20"/>
                <w:lang w:val="en-US" w:eastAsia="zh-CN" w:bidi="ar"/>
              </w:rPr>
              <w:t xml:space="preserve">管理系统通信总线具备容错能力，单点故障应不影响其他设备；管理系统电源总线应具有热备份，具备支持热插拔，在线更换功能。</w:t>
            </w:r>
            <w:r>
              <w:rPr>
                <w:rFonts w:hint="eastAsia" w:ascii="宋体" w:hAnsi="宋体" w:eastAsia="宋体" w:cs="宋体"/>
                <w:b/>
                <w:bCs/>
                <w:i w:val="0"/>
                <w:iCs w:val="0"/>
                <w:color w:val="000000"/>
                <w:sz w:val="20"/>
                <w:szCs w:val="20"/>
                <w:u w:val="none"/>
                <w:lang w:val="en-US" w:eastAsia="zh-CN" w:bidi="ar"/>
              </w:rPr>
              <w:t xml:space="preserve">提供“CNAS”或“CMA”标识的检验报告扫描件加盖投标人公章，在上传的检验报告中用红线标明所需项，否则无效佐证。</w:t>
            </w:r>
            <w:r/>
          </w:p>
        </w:tc>
      </w:tr>
      <w:tr>
        <w:trPr>
          <w:trHeight w:val="608"/>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43寸触摸显示屏</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43寸触摸显示屏-含本地管理软件</w:t>
            </w:r>
            <w:r/>
          </w:p>
        </w:tc>
      </w:tr>
      <w:tr>
        <w:trPr>
          <w:trHeight w:val="309"/>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智能插座</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智能接入组件-4个POE接口</w:t>
            </w:r>
            <w:r/>
          </w:p>
        </w:tc>
      </w:tr>
      <w:tr>
        <w:trPr>
          <w:trHeight w:val="309"/>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天窗磁力锁</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天窗磁力锁-12VDC供电</w:t>
            </w:r>
            <w:r/>
          </w:p>
        </w:tc>
      </w:tr>
      <w:tr>
        <w:trPr>
          <w:trHeight w:val="309"/>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按键开关</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按键开关-出门按钮</w:t>
            </w:r>
            <w:r/>
          </w:p>
        </w:tc>
      </w:tr>
      <w:tr>
        <w:trPr>
          <w:trHeight w:val="309"/>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LED灯</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照明系统-LED灯-220~240V-单相-50Hz</w:t>
            </w:r>
            <w:r/>
          </w:p>
        </w:tc>
      </w:tr>
      <w:tr>
        <w:trPr>
          <w:trHeight w:val="309"/>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门禁系统</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指纹/密码/刷卡门禁系统，适用于双开推拉自动门场景</w:t>
            </w:r>
            <w:r/>
          </w:p>
        </w:tc>
      </w:tr>
      <w:tr>
        <w:trPr>
          <w:trHeight w:val="1206"/>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多功能传感器</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1、支持温度、湿度、烟感和红外多参数监测，支持通过FE、无线通信接入到控制器；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2、温度检测：-20℃～+70℃，精度≤±1℃(0℃～60℃，精度≤ 士0.5℃@25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3、湿度检测：0～100%RH(无冷凝)，精度士5%RH(25℃，20%RH～80%RH)；</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4、烟雾检测：符合GB4715-2005；</w:t>
            </w:r>
            <w:r/>
          </w:p>
        </w:tc>
      </w:tr>
      <w:tr>
        <w:trPr>
          <w:trHeight w:val="608"/>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非定位式水浸传感器</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1、非定位式水浸传感器，工作电压：12V DC；</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2、工作温度：–20℃～+70℃，湿度：10%RH～80%RH（无冷凝）；</w:t>
            </w:r>
            <w:r/>
          </w:p>
        </w:tc>
      </w:tr>
      <w:tr>
        <w:trPr>
          <w:trHeight w:val="608"/>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非定位式水浸传感器检测绳</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检测线5米长</w:t>
            </w:r>
            <w:r/>
          </w:p>
        </w:tc>
      </w:tr>
      <w:tr>
        <w:trPr>
          <w:trHeight w:val="608"/>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温湿度传感器</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1、温度测量范围：–20℃～+70℃，准确度±1℃；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2、湿度测量范围：5% RH～95% RH，准确度±5% RH（25℃，20% RH～80% RH）；</w:t>
            </w:r>
            <w:r/>
          </w:p>
        </w:tc>
      </w:tr>
      <w:tr>
        <w:trPr>
          <w:trHeight w:val="309"/>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束线座</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束线座</w:t>
            </w:r>
            <w:r/>
          </w:p>
        </w:tc>
      </w:tr>
      <w:tr>
        <w:trPr>
          <w:trHeight w:val="608"/>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蜂鸣器</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1、RJ45接口，支持输入电压10V DC～15V DC，工作电流 ≤ 300mA；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2、声压≥ 108dB/30cm，持续工作时间≥40min；</w:t>
            </w:r>
            <w:r/>
          </w:p>
        </w:tc>
      </w:tr>
      <w:tr>
        <w:trPr>
          <w:trHeight w:val="1206"/>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智能微模块执行器</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1、微模块控制器可通过消防告警的联动信息或上位机的控制信息，控制通道的翻转天窗；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2、通过检测读卡器刷卡信息、开门按钮信息以及消防联动信息，执行打开通道移门，同时具备门禁权限管理、进出门事件记录、告警记录等功能；</w:t>
            </w:r>
            <w:r/>
          </w:p>
        </w:tc>
      </w:tr>
      <w:tr>
        <w:trPr>
          <w:trHeight w:val="309"/>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摄像头</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200万红外AI半球型摄像机</w:t>
            </w:r>
            <w:r/>
          </w:p>
        </w:tc>
      </w:tr>
      <w:tr>
        <w:trPr>
          <w:trHeight w:val="608"/>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最大64路视频接入,存储和转发,16路1080P解码</w:t>
            </w:r>
            <w:r/>
          </w:p>
        </w:tc>
      </w:tr>
      <w:tr>
        <w:trPr>
          <w:trHeight w:val="309"/>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8TB 企业级硬盘单元(3.5")</w:t>
            </w:r>
            <w:r/>
          </w:p>
        </w:tc>
      </w:tr>
      <w:tr>
        <w:trPr>
          <w:trHeight w:val="309"/>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信号线缆</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系统标配内部环控线缆</w:t>
            </w:r>
            <w:r/>
          </w:p>
        </w:tc>
      </w:tr>
      <w:tr>
        <w:trPr>
          <w:trHeight w:val="608"/>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台式机</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国产操作系统/</w:t>
            </w:r>
            <w:r>
              <w:rPr>
                <w:rFonts w:hint="eastAsia" w:ascii="宋体" w:hAnsi="宋体" w:cs="宋体"/>
                <w:i w:val="0"/>
                <w:iCs w:val="0"/>
                <w:color w:val="000000"/>
                <w:sz w:val="20"/>
                <w:szCs w:val="20"/>
                <w:u w:val="none"/>
                <w:lang w:val="en-US" w:eastAsia="zh-CN" w:bidi="ar"/>
              </w:rPr>
              <w:t xml:space="preserve">内存不低于</w:t>
            </w:r>
            <w:r>
              <w:rPr>
                <w:rFonts w:hint="eastAsia" w:ascii="宋体" w:hAnsi="宋体" w:eastAsia="宋体" w:cs="宋体"/>
                <w:i w:val="0"/>
                <w:iCs w:val="0"/>
                <w:color w:val="000000"/>
                <w:sz w:val="20"/>
                <w:szCs w:val="20"/>
                <w:u w:val="none"/>
                <w:lang w:val="en-US" w:eastAsia="zh-CN" w:bidi="ar"/>
              </w:rPr>
              <w:t xml:space="preserve">16G/</w:t>
            </w:r>
            <w:r>
              <w:rPr>
                <w:rFonts w:hint="eastAsia" w:ascii="宋体" w:hAnsi="宋体" w:cs="宋体"/>
                <w:i w:val="0"/>
                <w:iCs w:val="0"/>
                <w:color w:val="000000"/>
                <w:sz w:val="20"/>
                <w:szCs w:val="20"/>
                <w:u w:val="none"/>
                <w:lang w:val="en-US" w:eastAsia="zh-CN" w:bidi="ar"/>
              </w:rPr>
              <w:t xml:space="preserve">要求固态硬盘不低于</w:t>
            </w:r>
            <w:r>
              <w:rPr>
                <w:rFonts w:hint="eastAsia" w:ascii="宋体" w:hAnsi="宋体" w:eastAsia="宋体" w:cs="宋体"/>
                <w:i w:val="0"/>
                <w:iCs w:val="0"/>
                <w:color w:val="000000"/>
                <w:sz w:val="20"/>
                <w:szCs w:val="20"/>
                <w:u w:val="none"/>
                <w:lang w:val="en-US" w:eastAsia="zh-CN" w:bidi="ar"/>
              </w:rPr>
              <w:t xml:space="preserve">512</w:t>
            </w:r>
            <w:r>
              <w:rPr>
                <w:rFonts w:hint="eastAsia" w:ascii="宋体" w:hAnsi="宋体" w:cs="宋体"/>
                <w:i w:val="0"/>
                <w:iCs w:val="0"/>
                <w:color w:val="000000"/>
                <w:sz w:val="20"/>
                <w:szCs w:val="20"/>
                <w:u w:val="none"/>
                <w:lang w:val="en-US" w:eastAsia="zh-CN" w:bidi="ar"/>
              </w:rPr>
              <w:t xml:space="preserve">G</w:t>
            </w:r>
            <w:r>
              <w:rPr>
                <w:rFonts w:hint="eastAsia" w:ascii="宋体" w:hAnsi="宋体" w:eastAsia="宋体" w:cs="宋体"/>
                <w:i w:val="0"/>
                <w:iCs w:val="0"/>
                <w:color w:val="000000"/>
                <w:sz w:val="20"/>
                <w:szCs w:val="20"/>
                <w:u w:val="none"/>
                <w:lang w:val="en-US" w:eastAsia="zh-CN" w:bidi="ar"/>
              </w:rPr>
              <w:t xml:space="preserve">固态/独立显/</w:t>
            </w:r>
            <w:r>
              <w:rPr>
                <w:rFonts w:hint="eastAsia" w:ascii="宋体" w:hAnsi="宋体" w:cs="宋体"/>
                <w:i w:val="0"/>
                <w:iCs w:val="0"/>
                <w:color w:val="000000"/>
                <w:sz w:val="20"/>
                <w:szCs w:val="20"/>
                <w:u w:val="none"/>
                <w:lang w:val="en-US" w:eastAsia="zh-CN" w:bidi="ar"/>
              </w:rPr>
              <w:t xml:space="preserve">要求</w:t>
            </w:r>
            <w:r>
              <w:rPr>
                <w:rFonts w:hint="eastAsia" w:ascii="宋体" w:hAnsi="宋体" w:eastAsia="宋体" w:cs="宋体"/>
                <w:i w:val="0"/>
                <w:iCs w:val="0"/>
                <w:color w:val="000000"/>
                <w:sz w:val="20"/>
                <w:szCs w:val="20"/>
                <w:u w:val="none"/>
                <w:lang w:val="en-US" w:eastAsia="zh-CN" w:bidi="ar"/>
              </w:rPr>
              <w:t xml:space="preserve">无wifi/有光驱</w:t>
            </w:r>
            <w:r>
              <w:rPr>
                <w:rFonts w:hint="eastAsia" w:ascii="宋体" w:hAnsi="宋体" w:cs="宋体"/>
                <w:i w:val="0"/>
                <w:iCs w:val="0"/>
                <w:color w:val="000000"/>
                <w:sz w:val="20"/>
                <w:szCs w:val="20"/>
                <w:u w:val="none"/>
                <w:lang w:val="en-US" w:eastAsia="zh-CN" w:bidi="ar"/>
              </w:rPr>
              <w:t xml:space="preserve">模块</w:t>
            </w: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cs="宋体"/>
                <w:i w:val="0"/>
                <w:iCs w:val="0"/>
                <w:color w:val="000000"/>
                <w:sz w:val="20"/>
                <w:szCs w:val="20"/>
                <w:u w:val="none"/>
                <w:lang w:val="en-US" w:eastAsia="zh-CN" w:bidi="ar"/>
              </w:rPr>
              <w:t xml:space="preserve">不低于27</w:t>
            </w:r>
            <w:r>
              <w:rPr>
                <w:rFonts w:hint="eastAsia" w:ascii="宋体" w:hAnsi="宋体" w:eastAsia="宋体" w:cs="宋体"/>
                <w:i w:val="0"/>
                <w:iCs w:val="0"/>
                <w:color w:val="000000"/>
                <w:sz w:val="20"/>
                <w:szCs w:val="20"/>
                <w:u w:val="none"/>
                <w:lang w:val="en-US" w:eastAsia="zh-CN" w:bidi="ar"/>
              </w:rPr>
              <w:t xml:space="preserve">寸显示器</w:t>
            </w:r>
            <w:r/>
          </w:p>
        </w:tc>
      </w:tr>
      <w:tr>
        <w:trPr>
          <w:trHeight w:val="309"/>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便携式笔记本</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不低于</w:t>
            </w:r>
            <w:r>
              <w:rPr>
                <w:rFonts w:hint="eastAsia" w:ascii="宋体" w:hAnsi="宋体" w:eastAsia="宋体" w:cs="宋体"/>
                <w:i w:val="0"/>
                <w:iCs w:val="0"/>
                <w:color w:val="000000"/>
                <w:sz w:val="20"/>
                <w:szCs w:val="20"/>
                <w:u w:val="none"/>
                <w:lang w:val="en-US" w:eastAsia="zh-CN" w:bidi="ar"/>
              </w:rPr>
              <w:t xml:space="preserve">14 寸国产化笔记本电脑、国产化操作系统、</w:t>
            </w:r>
            <w:r>
              <w:rPr>
                <w:rFonts w:hint="eastAsia" w:ascii="宋体" w:hAnsi="宋体" w:cs="宋体"/>
                <w:i w:val="0"/>
                <w:iCs w:val="0"/>
                <w:color w:val="000000"/>
                <w:sz w:val="20"/>
                <w:szCs w:val="20"/>
                <w:u w:val="none"/>
                <w:lang w:val="en-US" w:eastAsia="zh-CN" w:bidi="ar"/>
              </w:rPr>
              <w:t xml:space="preserve">不低于</w:t>
            </w:r>
            <w:r>
              <w:rPr>
                <w:rFonts w:hint="eastAsia" w:ascii="宋体" w:hAnsi="宋体" w:eastAsia="宋体" w:cs="宋体"/>
                <w:i w:val="0"/>
                <w:iCs w:val="0"/>
                <w:color w:val="000000"/>
                <w:sz w:val="20"/>
                <w:szCs w:val="20"/>
                <w:u w:val="none"/>
                <w:lang w:val="en-US" w:eastAsia="zh-CN" w:bidi="ar"/>
              </w:rPr>
              <w:t xml:space="preserve">16G内存、</w:t>
            </w:r>
            <w:r>
              <w:rPr>
                <w:rFonts w:hint="eastAsia" w:ascii="宋体" w:hAnsi="宋体" w:cs="宋体"/>
                <w:i w:val="0"/>
                <w:iCs w:val="0"/>
                <w:color w:val="000000"/>
                <w:sz w:val="20"/>
                <w:szCs w:val="20"/>
                <w:u w:val="none"/>
                <w:lang w:val="en-US" w:eastAsia="zh-CN" w:bidi="ar"/>
              </w:rPr>
              <w:t xml:space="preserve">不低于</w:t>
            </w:r>
            <w:r>
              <w:rPr>
                <w:rFonts w:hint="eastAsia" w:ascii="宋体" w:hAnsi="宋体" w:eastAsia="宋体" w:cs="宋体"/>
                <w:i w:val="0"/>
                <w:iCs w:val="0"/>
                <w:color w:val="000000"/>
                <w:sz w:val="20"/>
                <w:szCs w:val="20"/>
                <w:u w:val="none"/>
                <w:lang w:val="en-US" w:eastAsia="zh-CN" w:bidi="ar"/>
              </w:rPr>
              <w:t xml:space="preserve">1TB固态硬盘、独立显卡，OLED显示屏</w:t>
            </w:r>
            <w:r/>
          </w:p>
        </w:tc>
      </w:tr>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操作台</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执行操作台多联6-8米，包含配套椅子</w:t>
            </w:r>
            <w:r/>
          </w:p>
        </w:tc>
      </w:tr>
      <w:tr>
        <w:trPr>
          <w:trHeight w:val="309"/>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392"/>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1、采用12V100Ah铅酸免维护蓄电池。  </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、蓄电池槽、盖应采用高强度ABS材料制造，阻燃性能应符合GB/T2408-2008中FH-1和FV-0的要求。</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lang w:val="en-US" w:eastAsia="zh-CN" w:bidi="ar"/>
              </w:rPr>
              <w:t xml:space="preserve">、蓄电池在20℃~25℃的环境中，静置28天,不充电,放电检测容量,容量保存率应不小于96 %。</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lang w:val="en-US" w:eastAsia="zh-CN" w:bidi="ar"/>
              </w:rPr>
              <w:t xml:space="preserve">、蓄电池以0.01C10的电流连续充电96h后,改用0.005C10充电1h,然后收集气体1h,计算密封反应效率V应不低于95%。</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lang w:val="en-US" w:eastAsia="zh-CN" w:bidi="ar"/>
              </w:rPr>
              <w:t xml:space="preserve">、蓄电池防酸雾性能：以0.05I10（A）充电2h后，收集气体2h，计算充电电量每1Ah析出酸雾量Ma（H2SO4)≤0.025mg/Ah。</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lang w:val="en-US" w:eastAsia="zh-CN" w:bidi="ar"/>
              </w:rPr>
              <w:t xml:space="preserve">、容量一致性：电池的10h率最大值与最小值的比应不大于5%。</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lang w:val="en-US" w:eastAsia="zh-CN" w:bidi="ar"/>
              </w:rPr>
              <w:t xml:space="preserve">、蓄电池间连接电压降：以1h率放电时,蓄电池间的连接电压降应≤10mV。</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lang w:val="en-US" w:eastAsia="zh-CN" w:bidi="ar"/>
              </w:rPr>
              <w:t xml:space="preserve">、所投蓄电池产品不接受OEM，蓄电池厂家应具有污染物排放许可证。</w:t>
            </w:r>
            <w:r>
              <w:rPr>
                <w:rStyle w:val="897"/>
                <w:rFonts w:hint="eastAsia" w:ascii="宋体" w:hAnsi="宋体" w:eastAsia="宋体" w:cs="宋体"/>
                <w:sz w:val="20"/>
                <w:szCs w:val="20"/>
                <w:lang w:val="en-US" w:eastAsia="zh-CN" w:bidi="ar"/>
              </w:rPr>
              <w:br/>
            </w:r>
            <w:r>
              <w:rPr>
                <w:rStyle w:val="897"/>
                <w:rFonts w:hint="eastAsia" w:ascii="宋体" w:hAnsi="宋体" w:cs="宋体"/>
                <w:sz w:val="20"/>
                <w:szCs w:val="20"/>
                <w:highlight w:val="none"/>
                <w:lang w:val="en-US" w:eastAsia="zh-CN" w:bidi="ar"/>
              </w:rPr>
              <w:t xml:space="preserve">9</w:t>
            </w:r>
            <w:r>
              <w:rPr>
                <w:rStyle w:val="897"/>
                <w:rFonts w:hint="eastAsia" w:ascii="宋体" w:hAnsi="宋体" w:eastAsia="宋体" w:cs="宋体"/>
                <w:sz w:val="20"/>
                <w:szCs w:val="20"/>
                <w:highlight w:val="none"/>
                <w:lang w:val="en-US" w:eastAsia="zh-CN" w:bidi="ar"/>
              </w:rPr>
              <w:t xml:space="preserve">、所投蓄电池产品应具有泰尔认证、CE认证、ROHS检测报告。</w:t>
            </w:r>
            <w:r>
              <w:rPr>
                <w:rStyle w:val="897"/>
                <w:rFonts w:hint="eastAsia" w:ascii="宋体" w:hAnsi="宋体" w:eastAsia="宋体" w:cs="宋体"/>
                <w:sz w:val="20"/>
                <w:szCs w:val="20"/>
                <w:highlight w:val="none"/>
                <w:lang w:val="en-US" w:eastAsia="zh-CN" w:bidi="ar"/>
              </w:rPr>
              <w:br/>
            </w:r>
            <w:r>
              <w:rPr>
                <w:rStyle w:val="897"/>
                <w:rFonts w:hint="eastAsia" w:ascii="宋体" w:hAnsi="宋体" w:cs="宋体"/>
                <w:sz w:val="20"/>
                <w:szCs w:val="20"/>
                <w:highlight w:val="none"/>
                <w:lang w:val="en-US" w:eastAsia="zh-CN" w:bidi="ar"/>
              </w:rPr>
              <w:t xml:space="preserve">10</w:t>
            </w:r>
            <w:r>
              <w:rPr>
                <w:rStyle w:val="897"/>
                <w:rFonts w:hint="eastAsia" w:ascii="宋体" w:hAnsi="宋体" w:eastAsia="宋体" w:cs="宋体"/>
                <w:sz w:val="20"/>
                <w:szCs w:val="20"/>
                <w:highlight w:val="none"/>
                <w:lang w:val="en-US" w:eastAsia="zh-CN" w:bidi="ar"/>
              </w:rPr>
              <w:t xml:space="preserve">、所投蓄电池产品应符合GB/T19638.1固定型控式铅酸蓄电池和YD/T799-2010通信用阀控式密封铅酸蓄电池标准技术要求。</w:t>
            </w:r>
            <w:r/>
          </w:p>
        </w:tc>
      </w:tr>
      <w:tr>
        <w:trPr>
          <w:trHeight w:val="309"/>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电池空开箱</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含100A/3P*1</w:t>
            </w:r>
            <w:r/>
          </w:p>
        </w:tc>
      </w:tr>
      <w:tr>
        <w:trPr>
          <w:trHeight w:val="618"/>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电池架</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40节12V100AH铅酸蓄电池架，立式四层摆放，含内部25mm²电池连接线；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尺寸：1020*950*1600mm</w:t>
            </w:r>
            <w:r/>
          </w:p>
        </w:tc>
      </w:tr>
      <w:tr>
        <w:trPr>
          <w:trHeight w:val="618"/>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装饰装修工程</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960"/>
        </w:trPr>
        <w:tc>
          <w:tcPr>
            <w:shd w:val="clear" w:color="auto" w:fill="ffffff"/>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防静电地板 </w:t>
            </w:r>
            <w:r/>
          </w:p>
        </w:tc>
        <w:tc>
          <w:tcPr>
            <w:shd w:val="clear" w:color="auto" w:fill="ffffff"/>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全钢材质；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规格：600×600×35mm；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活动板由地板面、可调支架、承重横梁和缓冲垫组成；</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入口踏步</w:t>
            </w:r>
            <w:r/>
          </w:p>
        </w:tc>
        <w:tc>
          <w:tcPr>
            <w:shd w:val="clear" w:color="auto" w:fill="ffffff"/>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角钢焊接、不锈钢收边地板贴面</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non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不锈钢踢脚线</w:t>
            </w:r>
            <w:r/>
          </w:p>
        </w:tc>
        <w:tc>
          <w:tcPr>
            <w:shd w:val="clear" w:color="auto" w:fill="ffffff"/>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1.0拉丝不锈钢</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non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墙面防尘处理</w:t>
            </w:r>
            <w:r/>
          </w:p>
        </w:tc>
        <w:tc>
          <w:tcPr>
            <w:shd w:val="clear" w:color="auto" w:fill="ffffff"/>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调和漆、涂刷两遍</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non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轻钢龙骨</w:t>
            </w:r>
            <w:r/>
          </w:p>
        </w:tc>
        <w:tc>
          <w:tcPr>
            <w:shd w:val="clear" w:color="auto" w:fill="ffffff"/>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75×50×0.6mm轻钢龙骨</w:t>
            </w:r>
            <w:r/>
          </w:p>
        </w:tc>
      </w:tr>
      <w:tr>
        <w:trPr>
          <w:trHeight w:val="2400"/>
        </w:trPr>
        <w:tc>
          <w:tcPr>
            <w:shd w:val="clear" w:color="auto" w:fill="ffffff"/>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non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彩钢板</w:t>
            </w:r>
            <w:r/>
          </w:p>
        </w:tc>
        <w:tc>
          <w:tcPr>
            <w:shd w:val="clear" w:color="auto" w:fill="ffffff"/>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机房专用防火金属面夹心板，表面为0.6mm厚钢板，内衬12MM厚石膏板，整体厚度为13MM。</w:t>
            </w:r>
            <w:r>
              <w:rPr>
                <w:rFonts w:hint="eastAsia" w:ascii="宋体" w:hAnsi="宋体" w:eastAsia="宋体" w:cs="宋体"/>
                <w:i w:val="0"/>
                <w:iCs w:val="0"/>
                <w:color w:val="000000"/>
                <w:sz w:val="20"/>
                <w:szCs w:val="20"/>
                <w:highlight w:val="none"/>
                <w:u w:val="none"/>
                <w:lang w:val="en-US" w:eastAsia="zh-CN" w:bidi="ar"/>
              </w:rPr>
              <w:t xml:space="preserve">防火性能按照GB8624-2012判定达到A1(不燃性)级</w:t>
            </w:r>
            <w:r>
              <w:rPr>
                <w:rFonts w:hint="eastAsia" w:ascii="宋体" w:hAnsi="宋体" w:eastAsia="宋体" w:cs="宋体"/>
                <w:i w:val="0"/>
                <w:iCs w:val="0"/>
                <w:color w:val="000000"/>
                <w:sz w:val="20"/>
                <w:szCs w:val="20"/>
                <w:u w:val="none"/>
                <w:lang w:val="en-US" w:eastAsia="zh-CN" w:bidi="ar"/>
              </w:rPr>
              <w:t xml:space="preserve">，墙板连接采用特殊V型连接边配合H型卡件固定，在最大范围使用情况下仍能保持墙面良好的平整度。</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ff"/>
            <w:tcBorders>
              <w:top w:val="single" w:color="000000" w:sz="4" w:space="0"/>
              <w:left w:val="non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墙面保温岩棉</w:t>
            </w:r>
            <w:r/>
          </w:p>
        </w:tc>
        <w:tc>
          <w:tcPr>
            <w:shd w:val="clear" w:color="auto" w:fill="ffffff"/>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50mm保温玻璃棉</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cBorders>
              <w:top w:val="single" w:color="000000" w:sz="4" w:space="0"/>
              <w:left w:val="non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防火石膏板</w:t>
            </w:r>
            <w:r/>
          </w:p>
        </w:tc>
        <w:tc>
          <w:tcPr>
            <w:shd w:val="clear" w:color="auto" w:fill="ffffff"/>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12mm防火石膏板，墙面彩钢板上下封堵</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non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甲级钢质单开防火门</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单开1000*2200 防火门，配套防火锁五金件</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non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空调防水堰</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混凝土浇筑80*100mm、防水处理</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non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装饰辅材</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机房装修墙顶地等装饰辅材</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non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疏散指示灯 </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疏散指示</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non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应急双头灯 </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应急灯储备90分钟电池</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non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强电金属桥架</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400*100金属封闭桥架</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non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弱电金属桥架</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300*100网格桥架</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non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电气辅助材料</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管线等辅材</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non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等电位铜排  </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30*3mm紫铜排</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non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绝缘端子</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M8，固定汇流铜排</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non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等电位端子箱</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内含铜排</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non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设备接地线</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BVR-6mm2黄绿双色</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non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接地跨接线</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BVR-16mm2黄绿双色</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non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接地总引线</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BVR-50mm2黄绿双色</w:t>
            </w:r>
            <w:r/>
          </w:p>
        </w:tc>
      </w:tr>
      <w:tr>
        <w:trPr>
          <w:trHeight w:val="960"/>
        </w:trPr>
        <w:tc>
          <w:tcPr>
            <w:shd w:val="clear" w:color="auto" w:fill="ffffff"/>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non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铜排绝缘处理</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铜排对接处、铜排与铜鼻子连接处，铜鼻子与等电位箱连接处、等电位箱与镀锌扁铁连接处须增加锡焊处理</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non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辅助材料</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固定螺丝/线耳/焊条/固定码/支架等</w:t>
            </w:r>
            <w:r/>
          </w:p>
        </w:tc>
      </w:tr>
      <w:tr>
        <w:trPr>
          <w:trHeight w:val="2160"/>
        </w:trPr>
        <w:tc>
          <w:tcPr>
            <w:shd w:val="clear" w:color="auto" w:fill="ffffff"/>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non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机房柜式七氟丙烷</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1.类型:机房柜式七氟丙烷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2.安装部位:120L柜式七氟丙烷，灭火剂储存压力：2.5Mpa；灭火剂储存容积：120L;系统工作压力：4.2Mpa；喷放时间：8-10s；电动装置工作电源：DC24V,1.5A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3.包含管道、喷头等</w:t>
            </w:r>
            <w:r/>
          </w:p>
        </w:tc>
      </w:tr>
      <w:tr>
        <w:trPr>
          <w:trHeight w:val="1680"/>
        </w:trPr>
        <w:tc>
          <w:tcPr>
            <w:shd w:val="clear" w:color="auto" w:fill="ffffff"/>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non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药剂</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七氟丙烷(HFC-227ea/FM200)是一种以化学灭火为主，兼有物理灭火作用的洁净气体灭火剂;它无色、无味、低毒、不导电、不污染被保护对象，不会对财物和精密设施造成损坏</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non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泄压口</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泄压面积 0.12 ㎡</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non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智能光电感烟探测器</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智能型，电子编码，集成芯片；指示灯360°可见</w:t>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non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智能感温探测器</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智能型，电子编码，内置单片机。类别：A1R、BS可设定。</w:t>
            </w:r>
            <w:r/>
          </w:p>
        </w:tc>
      </w:tr>
      <w:tr>
        <w:trPr>
          <w:trHeight w:val="1440"/>
        </w:trPr>
        <w:tc>
          <w:tcPr>
            <w:shd w:val="clear" w:color="auto" w:fill="ffffff"/>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non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紧急启停按钮</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电子编码，与气体灭火控制器配套使用，启动和停动共占一个编码点，按钮可提供输出无源常开触点信号，可直接控制声光警报器等设备。</w:t>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non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声光报警器</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电子编码，启动后发出强烈的声光警号，蜂鸣器检线功能。</w:t>
            </w:r>
            <w:r/>
          </w:p>
        </w:tc>
      </w:tr>
      <w:tr>
        <w:trPr>
          <w:trHeight w:val="1440"/>
        </w:trPr>
        <w:tc>
          <w:tcPr>
            <w:shd w:val="clear" w:color="auto" w:fill="ffffff"/>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non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输入输出模块</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电子编码，低功耗，总线供电，占用1个总线地址。模块提供1路无源信号输入接口（常开、常闭可设），1路无源常开输出接口（输出继电器容量DC30V/2A）。</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non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气体释放警报器</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电子编码，与气体灭火控制器配套使用。2线制。</w:t>
            </w:r>
            <w:r/>
          </w:p>
        </w:tc>
      </w:tr>
      <w:tr>
        <w:trPr>
          <w:trHeight w:val="2880"/>
        </w:trPr>
        <w:tc>
          <w:tcPr>
            <w:shd w:val="clear" w:color="auto" w:fill="ffffff"/>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non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气体灭火控制盘</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壁挂式，可实现1个防区的火灾报警和气体灭火控制，最大容量242点。可适用于各种火灾探测器、手动火灾报警按钮、紧急启/停按钮、声光警报器、气体释放警报器、手自动转换开关以及输出模块等编码设备，具有火灾探测和气体灭火控制功能，自带CAN联网卡，含备电，无打印机；最多装4块联网卡；</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none" w:color="000000" w:sz="4" w:space="0"/>
              <w:bottom w:val="non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辅材</w:t>
            </w:r>
            <w:r/>
          </w:p>
        </w:tc>
        <w:tc>
          <w:tcPr>
            <w:shd w:val="clear" w:color="auto" w:fill="auto"/>
            <w:tcBorders>
              <w:top w:val="single" w:color="000000" w:sz="4" w:space="0"/>
              <w:left w:val="single" w:color="000000" w:sz="4" w:space="0"/>
              <w:bottom w:val="non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消防管线及辅材</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non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UPS输入电缆</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WDZB-YJY 4*50+1*25mm²</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non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机柜输入电缆</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RVV 3*6mm²</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non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设备承重底座</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设备承重底座，采用预制化钢板折弯现场拼接</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Borders>
              <w:top w:val="single" w:color="000000" w:sz="4" w:space="0"/>
              <w:left w:val="non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电池空开箱至UPS连接线缆</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BVR 25mm²</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non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列间空调输入电缆</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RVV 5*10mm²</w:t>
            </w:r>
            <w:r/>
          </w:p>
        </w:tc>
      </w:tr>
      <w:tr>
        <w:trPr>
          <w:trHeight w:val="1680"/>
        </w:trPr>
        <w:tc>
          <w:tcPr>
            <w:shd w:val="clear" w:color="auto" w:fill="ffffff"/>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Borders>
              <w:top w:val="single" w:color="000000" w:sz="4" w:space="0"/>
              <w:left w:val="non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列间空调铜管</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室内机至室外机铜管组件-空调(φ22mm气管、φ16mm液管)-含保温、管路支架、室内外机连接线缆RVV 5*2.5mm²；保温棉厚度≥13mm；信号线RVVP 3*1.5mm²；</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non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精密空调输入电缆</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RVV 5*6mm²</w:t>
            </w:r>
            <w:r/>
          </w:p>
        </w:tc>
      </w:tr>
      <w:tr>
        <w:trPr>
          <w:trHeight w:val="1680"/>
        </w:trPr>
        <w:tc>
          <w:tcPr>
            <w:shd w:val="clear" w:color="auto" w:fill="ffffff"/>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auto" w:fill="auto"/>
            <w:tcBorders>
              <w:top w:val="single" w:color="000000" w:sz="4" w:space="0"/>
              <w:left w:val="non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精密空调铜管</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室内机至室外机铜管组件-空调(φ19mm气管、φ10mm液管)-含保温、管路支架、室内外机连接线缆RVV 3*6mm²；保温棉厚度≥13mm；信号线RVVP 3*1.5mm²；</w:t>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auto" w:fill="auto"/>
            <w:tcBorders>
              <w:top w:val="single" w:color="000000" w:sz="4" w:space="0"/>
              <w:left w:val="non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空调水管</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室内机水管弯头、PPR40排水管、PPR25进水管、连接软管</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Borders>
              <w:top w:val="single" w:color="000000" w:sz="4" w:space="0"/>
              <w:left w:val="non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空调冷媒</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R410a 10kg/瓶</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auto" w:fill="auto"/>
            <w:tcBorders>
              <w:top w:val="single" w:color="000000" w:sz="4" w:space="0"/>
              <w:left w:val="non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设备辅材</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焊接气体、保温棉、弯头、焊条</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shd w:val="clear" w:color="auto" w:fill="auto"/>
            <w:tcBorders>
              <w:top w:val="single" w:color="000000" w:sz="4" w:space="0"/>
              <w:left w:val="non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室外机基础</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空调外机基础</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none" w:color="000000" w:sz="4" w:space="0"/>
              <w:bottom w:val="single" w:color="000000" w:sz="4" w:space="0"/>
              <w:right w:val="single" w:color="000000" w:sz="4" w:space="0"/>
            </w:tcBorders>
            <w:tcW w:w="143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安装调试费</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ind w:firstLine="480"/>
        <w:spacing w:line="360" w:lineRule="auto"/>
        <w:rPr>
          <w:rFonts w:hint="eastAsia" w:ascii="宋体" w:hAnsi="宋体"/>
          <w:sz w:val="24"/>
          <w:szCs w:val="24"/>
        </w:rPr>
      </w:pPr>
      <w:r>
        <w:rPr>
          <w:rFonts w:hint="eastAsia" w:ascii="宋体" w:hAnsi="宋体"/>
          <w:sz w:val="24"/>
          <w:szCs w:val="24"/>
        </w:rPr>
      </w:r>
      <w:r/>
    </w:p>
    <w:p>
      <w:pPr>
        <w:ind w:firstLine="480"/>
        <w:spacing w:line="360" w:lineRule="auto"/>
        <w:rPr>
          <w:rFonts w:ascii="Times New Roman" w:hAnsi="Times New Roman" w:eastAsia="宋体" w:cs="Times New Roman"/>
          <w:b/>
          <w:sz w:val="24"/>
          <w:szCs w:val="24"/>
        </w:rPr>
      </w:pPr>
      <w:r>
        <w:rPr>
          <w:rFonts w:hint="eastAsia" w:ascii="宋体" w:hAnsi="宋体"/>
          <w:sz w:val="24"/>
          <w:szCs w:val="24"/>
        </w:rPr>
        <w:t xml:space="preserve">注：根据《台式计算机政府采购需求标准（2023年版）》、《操作系统政府采购需求标准（2023年版）》政府采购需求标准，投标人在投标环节对所提供上述产品实质性条款技术指标要求逐条响应即视为相关产品符合要求。上述内容中涉及供应商提供、供应商给出等相关表述，在投标环节只须响应条款内容，无须按照条款要求提供或给出相关具体内容。如若中标，在签订合同前将具体内容提供给采购人确认。要求提供节能产品认证证书要求不在上述范围内，投标文件中须提供相关认证证书</w:t>
      </w:r>
      <w:r>
        <w:rPr>
          <w:rFonts w:ascii="Times New Roman" w:hAnsi="Times New Roman" w:eastAsia="宋体" w:cs="Times New Roman"/>
          <w:b w:val="0"/>
          <w:bCs w:val="0"/>
          <w:sz w:val="24"/>
          <w:szCs w:val="24"/>
        </w:rPr>
        <w:t xml:space="preserve">，否则视为无效响应。</w:t>
      </w:r>
      <w:bookmarkEnd w:id="9"/>
      <w:bookmarkEnd w:id="10"/>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四、辅材、配件</w:t>
      </w:r>
      <w:r/>
    </w:p>
    <w:p>
      <w:pPr>
        <w:ind w:firstLine="480"/>
        <w:spacing w:line="360" w:lineRule="auto"/>
        <w:rPr>
          <w:rFonts w:hint="eastAsia" w:ascii="宋体" w:hAnsi="宋体" w:eastAsia="宋体" w:cs="宋体"/>
          <w:bCs/>
          <w:sz w:val="24"/>
          <w:szCs w:val="24"/>
          <w:lang w:eastAsia="zh-CN"/>
        </w:rPr>
      </w:pPr>
      <w:r/>
      <w:bookmarkStart w:id="11" w:name="OLE_LINK4"/>
      <w:r>
        <w:rPr>
          <w:rFonts w:hint="eastAsia" w:ascii="宋体" w:hAnsi="宋体"/>
          <w:sz w:val="24"/>
          <w:szCs w:val="24"/>
        </w:rPr>
        <w:t xml:space="preserve">项目实施所需的辅材及配件包括但不限于网线、线槽、跳线及安装调试所需的必要配件等，</w:t>
      </w:r>
      <w:r>
        <w:rPr>
          <w:rFonts w:hint="eastAsia" w:ascii="宋体" w:hAnsi="宋体" w:cs="宋体"/>
          <w:bCs/>
          <w:sz w:val="24"/>
          <w:szCs w:val="24"/>
        </w:rPr>
        <w:t xml:space="preserve">包含招标文件中未列出而项目实施必需的软件、硬件辅材配件，以保证项目顺利进行。</w:t>
      </w:r>
      <w:r>
        <w:rPr>
          <w:rFonts w:hint="eastAsia" w:ascii="宋体" w:hAnsi="宋体" w:cs="宋体"/>
          <w:bCs/>
          <w:sz w:val="24"/>
          <w:szCs w:val="24"/>
          <w:lang w:eastAsia="zh-CN"/>
        </w:rPr>
        <w:t xml:space="preserve">此项目还包含大楼一楼配电间到三楼机房的强电线路，需满足机房用电标准。</w:t>
      </w:r>
      <w:r/>
    </w:p>
    <w:p>
      <w:pPr>
        <w:ind w:firstLine="480"/>
        <w:jc w:val="left"/>
        <w:spacing w:line="360" w:lineRule="auto"/>
        <w:widowControl/>
        <w:rPr>
          <w:rFonts w:ascii="宋体" w:hAnsi="宋体" w:cs="宋体"/>
          <w:b/>
          <w:sz w:val="24"/>
          <w:szCs w:val="24"/>
        </w:rPr>
      </w:pPr>
      <w:r>
        <w:rPr>
          <w:rFonts w:hint="eastAsia" w:ascii="宋体" w:hAnsi="宋体"/>
          <w:bCs/>
          <w:sz w:val="24"/>
          <w:szCs w:val="24"/>
        </w:rPr>
        <w:t xml:space="preserve">因不同投标人的设备设计原理未必完全相同，投标人可视自身情况配置辅材，应能充分满足采购人需求的功能及参数要求。</w:t>
      </w:r>
      <w:r>
        <w:rPr>
          <w:rFonts w:hint="eastAsia" w:ascii="宋体" w:hAnsi="宋体" w:cs="宋体"/>
          <w:bCs/>
          <w:color w:val="000000"/>
          <w:sz w:val="24"/>
          <w:szCs w:val="24"/>
        </w:rPr>
        <w:t xml:space="preserve">此部分包含在投标报价中。</w:t>
      </w:r>
      <w:r>
        <w:rPr>
          <w:rFonts w:hint="eastAsia" w:ascii="宋体" w:hAnsi="宋体" w:cs="宋体"/>
          <w:bCs/>
          <w:sz w:val="24"/>
          <w:szCs w:val="24"/>
        </w:rPr>
        <w:t xml:space="preserve">如果投标人中标并签署合同后，在供货或项目实施时出现辅材和配件的任何遗漏，均由中标人及时配齐提供，不影响项目正常实施，</w:t>
      </w:r>
      <w:r>
        <w:rPr>
          <w:rFonts w:hint="eastAsia" w:ascii="宋体" w:hAnsi="宋体"/>
          <w:bCs/>
          <w:color w:val="000000"/>
          <w:sz w:val="24"/>
          <w:szCs w:val="24"/>
        </w:rPr>
        <w:t xml:space="preserve">采购人不在额外支付费用</w:t>
      </w:r>
      <w:r>
        <w:rPr>
          <w:rFonts w:hint="eastAsia" w:ascii="宋体" w:hAnsi="宋体" w:cs="宋体"/>
          <w:bCs/>
          <w:sz w:val="24"/>
          <w:szCs w:val="24"/>
        </w:rPr>
        <w:t xml:space="preserve">。</w:t>
      </w:r>
      <w:bookmarkEnd w:id="11"/>
      <w:r/>
    </w:p>
    <w:p>
      <w:pPr>
        <w:ind w:firstLine="562"/>
        <w:jc w:val="left"/>
        <w:spacing w:line="360" w:lineRule="auto"/>
        <w:rPr>
          <w:rFonts w:ascii="宋体" w:hAnsi="宋体"/>
          <w:sz w:val="24"/>
          <w:szCs w:val="24"/>
        </w:rPr>
      </w:pPr>
      <w:r>
        <w:rPr>
          <w:rFonts w:ascii="Times New Roman" w:hAnsi="Times New Roman"/>
          <w:b/>
          <w:sz w:val="28"/>
          <w:szCs w:val="28"/>
        </w:rPr>
        <w:t xml:space="preserve">五、供货要求</w:t>
      </w:r>
      <w:r/>
    </w:p>
    <w:p>
      <w:pPr>
        <w:ind w:firstLine="480"/>
        <w:jc w:val="left"/>
        <w:spacing w:line="36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lang w:eastAsia="zh-CN"/>
        </w:rPr>
        <w:t xml:space="preserve">合同履行期限</w:t>
      </w:r>
      <w:r>
        <w:rPr>
          <w:rFonts w:hint="eastAsia" w:ascii="宋体" w:hAnsi="宋体"/>
          <w:sz w:val="24"/>
          <w:szCs w:val="24"/>
        </w:rPr>
        <w:t xml:space="preserve">：</w:t>
      </w:r>
      <w:r>
        <w:rPr>
          <w:rFonts w:hint="eastAsia" w:ascii="宋体" w:hAnsi="宋体" w:eastAsia="宋体" w:cs="宋体"/>
          <w:i w:val="0"/>
          <w:iCs w:val="0"/>
          <w:color w:val="auto"/>
          <w:sz w:val="24"/>
          <w:szCs w:val="24"/>
          <w:highlight w:val="none"/>
          <w:u w:val="none"/>
          <w:lang w:val="en-US" w:eastAsia="zh-CN"/>
        </w:rPr>
        <w:t xml:space="preserve">自合同签订之日起</w:t>
      </w:r>
      <w:r>
        <w:rPr>
          <w:rFonts w:hint="eastAsia" w:ascii="宋体" w:hAnsi="宋体" w:cs="宋体"/>
          <w:i w:val="0"/>
          <w:iCs w:val="0"/>
          <w:color w:val="auto"/>
          <w:sz w:val="24"/>
          <w:szCs w:val="24"/>
          <w:highlight w:val="none"/>
          <w:u w:val="none"/>
          <w:lang w:val="en-US" w:eastAsia="zh-CN"/>
        </w:rPr>
        <w:t xml:space="preserve">60</w:t>
      </w:r>
      <w:r>
        <w:rPr>
          <w:rFonts w:hint="eastAsia" w:ascii="宋体" w:hAnsi="宋体" w:eastAsia="宋体" w:cs="宋体"/>
          <w:i w:val="0"/>
          <w:iCs w:val="0"/>
          <w:color w:val="auto"/>
          <w:sz w:val="24"/>
          <w:szCs w:val="24"/>
          <w:highlight w:val="none"/>
          <w:u w:val="none"/>
          <w:lang w:val="en-US" w:eastAsia="zh-CN"/>
        </w:rPr>
        <w:t xml:space="preserve">个日历天完成本项目的建设任务、提交全部项目竣工文档，满足竣工验收条件。</w:t>
      </w:r>
      <w:r>
        <w:rPr>
          <w:rFonts w:hint="eastAsia" w:ascii="宋体" w:hAnsi="宋体"/>
          <w:sz w:val="24"/>
          <w:szCs w:val="24"/>
        </w:rPr>
        <w:t xml:space="preserve">。</w:t>
      </w:r>
      <w:r/>
    </w:p>
    <w:p>
      <w:pPr>
        <w:ind w:firstLine="480"/>
        <w:jc w:val="left"/>
        <w:spacing w:line="360" w:lineRule="auto"/>
        <w:rPr>
          <w:rFonts w:ascii="宋体" w:hAnsi="宋体"/>
          <w:sz w:val="24"/>
          <w:szCs w:val="24"/>
        </w:rPr>
      </w:pPr>
      <w:r>
        <w:rPr>
          <w:rFonts w:hint="eastAsia" w:ascii="宋体" w:hAnsi="宋体"/>
          <w:sz w:val="24"/>
          <w:szCs w:val="24"/>
        </w:rPr>
        <w:t xml:space="preserve">2.交货方式：现场交货。</w:t>
      </w:r>
      <w:r>
        <w:rPr>
          <w:rFonts w:hint="eastAsia" w:ascii="宋体" w:hAnsi="宋体"/>
          <w:sz w:val="24"/>
        </w:rPr>
        <w:t xml:space="preserve">在货物发运前对其进行满足运输距离、防潮、防震、防锈和防破损装卸等要求包装，以保证货物安全运达采购人指定地点。</w:t>
      </w:r>
      <w:r/>
    </w:p>
    <w:p>
      <w:pPr>
        <w:ind w:firstLine="480"/>
        <w:jc w:val="left"/>
        <w:spacing w:line="360" w:lineRule="auto"/>
        <w:rPr>
          <w:rFonts w:ascii="宋体" w:hAnsi="宋体"/>
          <w:sz w:val="24"/>
          <w:szCs w:val="24"/>
        </w:rPr>
      </w:pPr>
      <w:r>
        <w:rPr>
          <w:rFonts w:hint="eastAsia" w:ascii="宋体" w:hAnsi="宋体"/>
          <w:sz w:val="24"/>
          <w:szCs w:val="24"/>
        </w:rPr>
        <w:t xml:space="preserve">3.交货地点：采购人指定。</w:t>
      </w:r>
      <w:r/>
    </w:p>
    <w:p>
      <w:pPr>
        <w:ind w:firstLine="480"/>
        <w:jc w:val="left"/>
        <w:spacing w:line="360" w:lineRule="auto"/>
        <w:rPr>
          <w:rFonts w:ascii="宋体" w:hAnsi="宋体"/>
          <w:sz w:val="24"/>
          <w:szCs w:val="24"/>
        </w:rPr>
      </w:pPr>
      <w:r>
        <w:rPr>
          <w:rFonts w:hint="eastAsia" w:ascii="宋体" w:hAnsi="宋体"/>
          <w:sz w:val="24"/>
          <w:szCs w:val="24"/>
        </w:rPr>
        <w:t xml:space="preserve">4.提供的软硬件设备技术指标符合采购文件要求和国家规定的出厂要求，其产品的质量性能、技术指标和使用功能达到合同要求。使用说明书、随配附件和工具以及清单一并附于货物内。所提供的技术资料（包含货物及软件）完整正确，数据和资料准确无误，能够保证项目顺利进行，正确地安装调试和验收，满足正常运行和维修保养的需要。</w:t>
      </w:r>
      <w:r/>
    </w:p>
    <w:p>
      <w:pPr>
        <w:ind w:firstLine="480"/>
        <w:jc w:val="left"/>
        <w:spacing w:line="360" w:lineRule="auto"/>
        <w:rPr>
          <w:rFonts w:ascii="宋体" w:hAnsi="宋体"/>
          <w:sz w:val="24"/>
          <w:szCs w:val="24"/>
        </w:rPr>
      </w:pPr>
      <w:r>
        <w:rPr>
          <w:rFonts w:hint="eastAsia" w:ascii="宋体" w:hAnsi="宋体"/>
          <w:sz w:val="24"/>
          <w:szCs w:val="24"/>
        </w:rPr>
        <w:t xml:space="preserve">5.货物送达指定地点后，采购人现场开箱检查，根据合同对货物的质量、规格、数量进行检验，如有缺漏、损坏，由中标人负责调换、补齐。根据验货情况做开箱记录，双方签字确认。在未验收前，货物保管、安全均由中标人负责，货物送到采购人指定地点，并负责办理运输和装卸，费用由中标人负责。</w:t>
      </w:r>
      <w:r/>
    </w:p>
    <w:p>
      <w:pPr>
        <w:ind w:firstLine="480"/>
        <w:jc w:val="left"/>
        <w:spacing w:line="360" w:lineRule="auto"/>
        <w:rPr>
          <w:rFonts w:ascii="宋体" w:hAnsi="宋体"/>
          <w:sz w:val="24"/>
          <w:szCs w:val="24"/>
        </w:rPr>
      </w:pPr>
      <w:r>
        <w:rPr>
          <w:rFonts w:hint="eastAsia" w:ascii="宋体" w:hAnsi="宋体"/>
          <w:sz w:val="24"/>
          <w:szCs w:val="24"/>
        </w:rPr>
        <w:t xml:space="preserve">6.本项目采购货物中如涉及到低挥发性原辅材料的，优先提供符合国家推荐性标准的涂料、胶黏剂、油墨、清洗剂等挥发性有机物产品。</w:t>
      </w:r>
      <w:r/>
    </w:p>
    <w:p>
      <w:pPr>
        <w:ind w:firstLine="562"/>
        <w:jc w:val="left"/>
        <w:spacing w:line="360" w:lineRule="auto"/>
        <w:rPr>
          <w:rFonts w:ascii="Times New Roman" w:hAnsi="Times New Roman"/>
          <w:b/>
          <w:sz w:val="28"/>
          <w:szCs w:val="28"/>
        </w:rPr>
      </w:pPr>
      <w:r>
        <w:rPr>
          <w:rFonts w:ascii="Times New Roman" w:hAnsi="Times New Roman"/>
          <w:b/>
          <w:sz w:val="28"/>
          <w:szCs w:val="28"/>
        </w:rPr>
        <w:t xml:space="preserve">六、安装调试要求</w:t>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1.本项目安装调试内容主要包括但不限于软件、硬件安装调试、综合布线、集成测试以及对接等内容，中标人完成相关软硬件的部署及测试，制定完善的</w:t>
      </w:r>
      <w:r>
        <w:rPr>
          <w:rFonts w:hint="eastAsia" w:ascii="宋体" w:hAnsi="宋体"/>
          <w:color w:val="000000"/>
          <w:sz w:val="24"/>
          <w:szCs w:val="21"/>
        </w:rPr>
        <w:t xml:space="preserve">紧急预案，保证</w:t>
      </w:r>
      <w:r>
        <w:rPr>
          <w:rFonts w:hint="eastAsia" w:ascii="宋体" w:hAnsi="宋体" w:cs="宋体"/>
          <w:bCs/>
          <w:sz w:val="24"/>
          <w:szCs w:val="24"/>
        </w:rPr>
        <w:t xml:space="preserve">达到项目预期需求和性能。</w:t>
      </w:r>
      <w:r/>
    </w:p>
    <w:p>
      <w:pPr>
        <w:ind w:firstLine="480"/>
        <w:jc w:val="left"/>
        <w:spacing w:line="360" w:lineRule="auto"/>
        <w:rPr>
          <w:rFonts w:ascii="宋体" w:hAnsi="宋体"/>
          <w:sz w:val="24"/>
        </w:rPr>
      </w:pPr>
      <w:r>
        <w:rPr>
          <w:rFonts w:hint="eastAsia" w:ascii="Times New Roman" w:hAnsi="Times New Roman"/>
          <w:sz w:val="24"/>
          <w:szCs w:val="24"/>
        </w:rPr>
        <w:t xml:space="preserve">2.中标人根据提交的相关技术文件，对合同设备的进行安装、调试、试运行，使其符合技术要求和有关标准的要求。质保期内，中标人需负责</w:t>
      </w:r>
      <w:r>
        <w:rPr>
          <w:rFonts w:hint="eastAsia" w:ascii="宋体" w:hAnsi="宋体"/>
          <w:sz w:val="24"/>
        </w:rPr>
        <w:t xml:space="preserve">相关设备的正确安装、调试和维护保养，保持设备运转良好。</w:t>
      </w:r>
      <w:r/>
    </w:p>
    <w:p>
      <w:pPr>
        <w:ind w:firstLine="480"/>
        <w:jc w:val="left"/>
        <w:spacing w:line="360" w:lineRule="auto"/>
        <w:rPr>
          <w:rFonts w:ascii="Times New Roman" w:hAnsi="Times New Roman"/>
          <w:sz w:val="24"/>
          <w:szCs w:val="24"/>
        </w:rPr>
      </w:pPr>
      <w:r>
        <w:rPr>
          <w:rFonts w:hint="eastAsia" w:ascii="Times New Roman" w:hAnsi="Times New Roman"/>
          <w:sz w:val="24"/>
          <w:szCs w:val="24"/>
        </w:rPr>
        <w:t xml:space="preserve">3.安装完成后或者设备使用过程中发现技术指标、产品资料、服务承诺、实施方案等与采购文件、投标文件及合同中的要求不符，影响采购人正常应用的，中标人应无条件整改直至满足要求，并赔偿采购人由此而产生的损失。</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七、国家或行业相关规范标准</w:t>
      </w:r>
      <w:r/>
    </w:p>
    <w:p>
      <w:pPr>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1、</w:t>
      </w:r>
      <w:bookmarkStart w:id="12" w:name="OLE_LINK19"/>
      <w:r/>
      <w:bookmarkStart w:id="13" w:name="OLE_LINK20"/>
      <w:r>
        <w:rPr>
          <w:rFonts w:hint="eastAsia" w:ascii="Times New Roman" w:hAnsi="Times New Roman"/>
          <w:sz w:val="24"/>
          <w:szCs w:val="24"/>
        </w:rPr>
        <w:t xml:space="preserve">《智能建筑设计标准》 GB50314-2015</w:t>
      </w:r>
      <w:bookmarkEnd w:id="12"/>
      <w:r/>
      <w:bookmarkEnd w:id="13"/>
      <w:r/>
      <w:r/>
    </w:p>
    <w:p>
      <w:pPr>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2、</w:t>
      </w:r>
      <w:bookmarkStart w:id="14" w:name="OLE_LINK21"/>
      <w:r/>
      <w:bookmarkStart w:id="15" w:name="OLE_LINK22"/>
      <w:r>
        <w:rPr>
          <w:rFonts w:hint="eastAsia" w:ascii="Times New Roman" w:hAnsi="Times New Roman"/>
          <w:sz w:val="24"/>
          <w:szCs w:val="24"/>
        </w:rPr>
        <w:t xml:space="preserve">《综合布线系统工程设计规范》 GB50311-2016</w:t>
      </w:r>
      <w:bookmarkEnd w:id="14"/>
      <w:r/>
      <w:bookmarkEnd w:id="15"/>
      <w:r/>
      <w:r/>
    </w:p>
    <w:p>
      <w:pPr>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3、</w:t>
      </w:r>
      <w:bookmarkStart w:id="16" w:name="OLE_LINK24"/>
      <w:r/>
      <w:bookmarkStart w:id="17" w:name="OLE_LINK23"/>
      <w:r>
        <w:rPr>
          <w:rFonts w:hint="eastAsia" w:ascii="Times New Roman" w:hAnsi="Times New Roman"/>
          <w:sz w:val="24"/>
          <w:szCs w:val="24"/>
        </w:rPr>
        <w:t xml:space="preserve">《综合布线系统工程验收规范》 GB/T50312-2016 </w:t>
      </w:r>
      <w:bookmarkEnd w:id="16"/>
      <w:r/>
      <w:bookmarkEnd w:id="17"/>
      <w:r/>
      <w:r/>
    </w:p>
    <w:p>
      <w:pPr>
        <w:pStyle w:val="678"/>
        <w:ind w:firstLine="480"/>
        <w:rPr>
          <w:rFonts w:hint="eastAsia" w:ascii="方正仿宋_GB2312" w:hAnsi="Times New Roman" w:eastAsia="方正仿宋_GB2312" w:cs="Times New Roman"/>
          <w:sz w:val="24"/>
          <w:szCs w:val="21"/>
          <w:lang w:val="zh-CN"/>
        </w:rPr>
      </w:pPr>
      <w:r>
        <w:rPr>
          <w:rFonts w:hint="eastAsia" w:ascii="Times New Roman" w:hAnsi="Times New Roman"/>
          <w:sz w:val="24"/>
          <w:szCs w:val="24"/>
          <w:lang w:val="en-US" w:eastAsia="zh-CN"/>
        </w:rPr>
        <w:t xml:space="preserve">4、</w:t>
      </w:r>
      <w:r>
        <w:rPr>
          <w:rFonts w:hint="eastAsia" w:ascii="方正仿宋_GB2312" w:hAnsi="Times New Roman" w:eastAsia="方正仿宋_GB2312" w:cs="Times New Roman"/>
          <w:sz w:val="24"/>
          <w:szCs w:val="21"/>
          <w:lang w:val="zh-CN"/>
        </w:rPr>
        <w:t xml:space="preserve">《信息管理中心信息化建设要求》</w:t>
      </w:r>
      <w:r>
        <w:rPr>
          <w:rFonts w:hint="eastAsia" w:ascii="方正仿宋_GB2312" w:hAnsi="Times New Roman" w:eastAsia="方正仿宋_GB2312" w:cs="Times New Roman"/>
          <w:sz w:val="24"/>
          <w:szCs w:val="21"/>
          <w:lang w:val="en-US" w:eastAsia="zh-CN"/>
        </w:rPr>
        <w:t xml:space="preserve"> </w:t>
      </w:r>
      <w:r>
        <w:rPr>
          <w:rFonts w:hint="eastAsia" w:ascii="方正仿宋_GB2312" w:hAnsi="Times New Roman" w:eastAsia="方正仿宋_GB2312" w:cs="Times New Roman"/>
          <w:sz w:val="24"/>
          <w:szCs w:val="21"/>
          <w:lang w:val="zh-CN"/>
        </w:rPr>
        <w:t xml:space="preserve">FYB/T 54005-2018</w:t>
      </w:r>
      <w:r/>
    </w:p>
    <w:p>
      <w:pPr>
        <w:pStyle w:val="678"/>
        <w:ind w:firstLine="480"/>
        <w:rPr>
          <w:rFonts w:hint="default" w:ascii="方正仿宋_GB2312" w:hAnsi="Times New Roman" w:eastAsia="方正仿宋_GB2312" w:cs="Times New Roman"/>
          <w:sz w:val="24"/>
          <w:szCs w:val="21"/>
          <w:lang w:val="en-US" w:eastAsia="zh-CN"/>
        </w:rPr>
      </w:pPr>
      <w:r>
        <w:rPr>
          <w:rFonts w:hint="default" w:ascii="方正仿宋_GB2312" w:hAnsi="Times New Roman" w:eastAsia="方正仿宋_GB2312" w:cs="Times New Roman"/>
          <w:sz w:val="24"/>
          <w:szCs w:val="21"/>
          <w:lang w:val="en-US" w:eastAsia="zh-CN"/>
        </w:rPr>
      </w:r>
      <w:r/>
    </w:p>
    <w:p>
      <w:pPr>
        <w:ind w:firstLine="482"/>
        <w:jc w:val="left"/>
        <w:spacing w:line="360" w:lineRule="auto"/>
        <w:rPr>
          <w:rFonts w:hint="eastAsia" w:ascii="Times New Roman" w:hAnsi="Times New Roman"/>
          <w:sz w:val="24"/>
          <w:szCs w:val="24"/>
        </w:rPr>
      </w:pPr>
      <w:r>
        <w:rPr>
          <w:rFonts w:hint="eastAsia" w:ascii="Times New Roman" w:hAnsi="Times New Roman"/>
          <w:sz w:val="24"/>
          <w:szCs w:val="24"/>
          <w:lang w:val="en-US" w:eastAsia="zh-CN"/>
        </w:rPr>
        <w:t xml:space="preserve">5</w:t>
      </w:r>
      <w:r>
        <w:rPr>
          <w:rFonts w:hint="eastAsia" w:ascii="Times New Roman" w:hAnsi="Times New Roman"/>
          <w:sz w:val="24"/>
          <w:szCs w:val="24"/>
        </w:rPr>
        <w:t xml:space="preserve">、财政部 生态环境部 工业和信息化部关于印发《绿色数据中心政府采购需求标准（试行）》的通知（财库〔2023〕7号）</w:t>
      </w:r>
      <w:r/>
    </w:p>
    <w:p>
      <w:pPr>
        <w:pStyle w:val="678"/>
        <w:ind w:firstLine="482"/>
        <w:spacing w:line="360" w:lineRule="auto"/>
        <w:rPr>
          <w:rFonts w:hint="eastAsia" w:ascii="Times New Roman" w:hAnsi="Times New Roman"/>
          <w:sz w:val="24"/>
        </w:rPr>
      </w:pPr>
      <w:r>
        <w:rPr>
          <w:rFonts w:hint="eastAsia" w:ascii="Times New Roman" w:hAnsi="Times New Roman"/>
          <w:sz w:val="24"/>
          <w:lang w:val="en-US" w:eastAsia="zh-CN"/>
        </w:rPr>
        <w:t xml:space="preserve">6</w:t>
      </w:r>
      <w:r>
        <w:rPr>
          <w:rFonts w:hint="eastAsia" w:ascii="Times New Roman" w:hAnsi="Times New Roman"/>
          <w:sz w:val="24"/>
        </w:rPr>
        <w:t xml:space="preserve">、财政部 工业和信息化部关于印发《台式计算机政府采购需求标准（2023年版）》的通知（财库〔2023〕29号）</w:t>
      </w:r>
      <w:r/>
    </w:p>
    <w:p>
      <w:pPr>
        <w:pStyle w:val="678"/>
        <w:ind w:firstLine="480"/>
        <w:rPr>
          <w:rFonts w:ascii="Times New Roman" w:hAnsi="Times New Roman"/>
          <w:sz w:val="24"/>
          <w:szCs w:val="24"/>
        </w:rPr>
      </w:pPr>
      <w:r>
        <w:rPr>
          <w:rFonts w:hint="eastAsia"/>
          <w:sz w:val="24"/>
        </w:rPr>
        <w:t xml:space="preserve">上述标准和要求为一般性要求，在服务期内，如有更新，按最新标准执行。</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八、人员配备要求</w:t>
      </w:r>
      <w:r/>
    </w:p>
    <w:p>
      <w:pPr>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本项目配备项目组成员不低于5名，至少包含1名项目负责人，项目组成员不低于4名（含维护期内维护人员）需具有本项目相关领域的专业知识、工作经验，与项目实施内容和要求相适应。负责所有设备安装、网络调试，质保期内售后服务等工作，同时配合学校做好验收工作。</w:t>
      </w:r>
      <w:r/>
    </w:p>
    <w:p>
      <w:pPr>
        <w:ind w:firstLine="480"/>
        <w:jc w:val="left"/>
        <w:spacing w:line="360" w:lineRule="auto"/>
        <w:rPr>
          <w:rFonts w:hint="eastAsia" w:ascii="宋体" w:hAnsi="宋体" w:cs="宋体"/>
          <w:sz w:val="24"/>
          <w:szCs w:val="24"/>
        </w:rPr>
      </w:pPr>
      <w:r>
        <w:rPr>
          <w:rFonts w:hint="eastAsia" w:ascii="宋体" w:hAnsi="宋体" w:eastAsia="宋体" w:cs="Times New Roman"/>
          <w:sz w:val="24"/>
          <w:szCs w:val="24"/>
        </w:rPr>
        <w:t xml:space="preserve">项目负责人：</w:t>
      </w:r>
      <w:r>
        <w:rPr>
          <w:rFonts w:hint="eastAsia" w:ascii="宋体" w:hAnsi="宋体" w:eastAsia="宋体" w:cs="Times New Roman"/>
          <w:sz w:val="24"/>
          <w:szCs w:val="24"/>
          <w:lang w:eastAsia="zh-CN"/>
        </w:rPr>
        <w:t xml:space="preserve">负责</w:t>
      </w:r>
      <w:r>
        <w:rPr>
          <w:rFonts w:hint="eastAsia" w:ascii="宋体" w:hAnsi="宋体" w:eastAsia="宋体" w:cs="Times New Roman"/>
          <w:sz w:val="24"/>
          <w:szCs w:val="24"/>
        </w:rPr>
        <w:t xml:space="preserve">协调项目全过程的各项工作，把握项目进度、质量把控、产品验收、包装运输、指导安装、调试及验收等，并能够提供优质的技术支撑和服务水平，确保履约能力。</w:t>
      </w:r>
      <w:r>
        <w:rPr>
          <w:rFonts w:hint="eastAsia" w:ascii="宋体" w:hAnsi="宋体" w:eastAsia="宋体" w:cs="Times New Roman"/>
          <w:sz w:val="24"/>
          <w:szCs w:val="24"/>
          <w:lang w:eastAsia="zh-CN"/>
        </w:rPr>
        <w:t xml:space="preserve">还需</w:t>
      </w:r>
      <w:r>
        <w:rPr>
          <w:rFonts w:hint="eastAsia" w:ascii="宋体" w:hAnsi="宋体" w:cs="宋体"/>
          <w:sz w:val="24"/>
          <w:szCs w:val="24"/>
        </w:rPr>
        <w:t xml:space="preserve">具有电子信息或计算机相关专业知识，具有信息系统安全技术测试的基本知识，具有组织信息安全风险评估、</w:t>
      </w:r>
      <w:r>
        <w:rPr>
          <w:rFonts w:hint="eastAsia"/>
          <w:sz w:val="24"/>
        </w:rPr>
        <w:t xml:space="preserve">信息安全风险管理、</w:t>
      </w:r>
      <w:r>
        <w:rPr>
          <w:rFonts w:hint="eastAsia" w:ascii="宋体" w:hAnsi="宋体" w:cs="宋体"/>
          <w:sz w:val="24"/>
          <w:szCs w:val="24"/>
        </w:rPr>
        <w:t xml:space="preserve">网络安全策略制度制定和监督落实的基本知识和能力。</w:t>
      </w:r>
      <w:r/>
    </w:p>
    <w:p>
      <w:pPr>
        <w:ind w:firstLine="480"/>
        <w:jc w:val="left"/>
        <w:spacing w:line="360" w:lineRule="auto"/>
        <w:rPr>
          <w:rFonts w:hint="eastAsia" w:ascii="Times New Roman" w:hAnsi="Times New Roman"/>
          <w:sz w:val="24"/>
          <w:szCs w:val="24"/>
        </w:rPr>
      </w:pPr>
      <w:r>
        <w:rPr>
          <w:rFonts w:hint="eastAsia" w:ascii="宋体" w:hAnsi="宋体" w:eastAsia="宋体" w:cs="Times New Roman"/>
          <w:sz w:val="24"/>
          <w:szCs w:val="24"/>
        </w:rPr>
        <w:t xml:space="preserve">项目组成人员</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需为专业人员且具有参与类似项目的经验，以保证项目实施质量。</w:t>
      </w:r>
      <w:r>
        <w:rPr>
          <w:rFonts w:ascii="Times New Roman" w:hAnsi="Times New Roman"/>
          <w:sz w:val="24"/>
          <w:szCs w:val="24"/>
        </w:rPr>
        <w:t xml:space="preserve">负责系统设计、技术方案落实、</w:t>
      </w:r>
      <w:r>
        <w:rPr>
          <w:rFonts w:hint="eastAsia" w:ascii="Times New Roman" w:hAnsi="Times New Roman"/>
          <w:sz w:val="24"/>
          <w:szCs w:val="24"/>
          <w:lang w:eastAsia="zh-CN"/>
        </w:rPr>
        <w:t xml:space="preserve">网络机房系统</w:t>
      </w:r>
      <w:r>
        <w:rPr>
          <w:rFonts w:ascii="Times New Roman" w:hAnsi="Times New Roman"/>
          <w:sz w:val="24"/>
          <w:szCs w:val="24"/>
        </w:rPr>
        <w:t xml:space="preserve">设备安装、结构搭建、系统初步调试</w:t>
      </w:r>
      <w:r>
        <w:rPr>
          <w:rFonts w:hint="eastAsia" w:ascii="Times New Roman" w:hAnsi="Times New Roman"/>
          <w:sz w:val="24"/>
          <w:szCs w:val="24"/>
        </w:rPr>
        <w:t xml:space="preserve">、</w:t>
      </w:r>
      <w:r>
        <w:rPr>
          <w:rFonts w:ascii="Times New Roman" w:hAnsi="Times New Roman"/>
          <w:sz w:val="24"/>
          <w:szCs w:val="24"/>
        </w:rPr>
        <w:t xml:space="preserve">系统日常维护、故障响应、定期巡检</w:t>
      </w:r>
      <w:r>
        <w:rPr>
          <w:rFonts w:hint="eastAsia" w:ascii="Times New Roman" w:hAnsi="Times New Roman"/>
          <w:sz w:val="24"/>
          <w:szCs w:val="24"/>
          <w:lang w:eastAsia="zh-CN"/>
        </w:rPr>
        <w:t xml:space="preserve">。需</w:t>
      </w:r>
      <w:r>
        <w:rPr>
          <w:rFonts w:ascii="Arial" w:hAnsi="Arial" w:eastAsia="Arial" w:cs="Arial"/>
          <w:sz w:val="24"/>
          <w:szCs w:val="24"/>
          <w:shd w:val="clear" w:color="auto" w:fill="ffffff"/>
        </w:rPr>
        <w:t xml:space="preserve">掌握信息系统集成技术（如</w:t>
      </w:r>
      <w:r>
        <w:rPr>
          <w:rFonts w:hint="eastAsia" w:ascii="Arial" w:hAnsi="Arial" w:cs="Arial"/>
          <w:sz w:val="24"/>
          <w:szCs w:val="24"/>
          <w:shd w:val="clear" w:color="auto" w:fill="ffffff"/>
          <w:lang w:eastAsia="zh-CN"/>
        </w:rPr>
        <w:t xml:space="preserve">网络</w:t>
      </w:r>
      <w:r>
        <w:rPr>
          <w:rFonts w:ascii="Arial" w:hAnsi="Arial" w:eastAsia="Arial" w:cs="Arial"/>
          <w:sz w:val="24"/>
          <w:szCs w:val="24"/>
          <w:shd w:val="clear" w:color="auto" w:fill="ffffff"/>
        </w:rPr>
        <w:t xml:space="preserve">、</w:t>
      </w:r>
      <w:r>
        <w:rPr>
          <w:rFonts w:hint="eastAsia" w:ascii="Arial" w:hAnsi="Arial" w:cs="Arial"/>
          <w:sz w:val="24"/>
          <w:szCs w:val="24"/>
          <w:shd w:val="clear" w:color="auto" w:fill="ffffff"/>
          <w:lang w:eastAsia="zh-CN"/>
        </w:rPr>
        <w:t xml:space="preserve">软件</w:t>
      </w:r>
      <w:r>
        <w:rPr>
          <w:rFonts w:ascii="Arial" w:hAnsi="Arial" w:eastAsia="Arial" w:cs="Arial"/>
          <w:sz w:val="24"/>
          <w:szCs w:val="24"/>
          <w:shd w:val="clear" w:color="auto" w:fill="ffffff"/>
        </w:rPr>
        <w:t xml:space="preserve">等），熟悉项目</w:t>
      </w:r>
      <w:r>
        <w:rPr>
          <w:rFonts w:hint="eastAsia" w:ascii="Arial" w:hAnsi="Arial" w:cs="Arial"/>
          <w:sz w:val="24"/>
          <w:szCs w:val="24"/>
          <w:shd w:val="clear" w:color="auto" w:fill="ffffff"/>
          <w:lang w:eastAsia="zh-CN"/>
        </w:rPr>
        <w:t xml:space="preserve">质量</w:t>
      </w:r>
      <w:r>
        <w:rPr>
          <w:rFonts w:ascii="Arial" w:hAnsi="Arial" w:eastAsia="Arial" w:cs="Arial"/>
          <w:sz w:val="24"/>
          <w:szCs w:val="24"/>
          <w:shd w:val="clear" w:color="auto" w:fill="ffffff"/>
        </w:rPr>
        <w:t xml:space="preserve">管理体系</w:t>
      </w:r>
      <w:r>
        <w:rPr>
          <w:rFonts w:hint="eastAsia" w:ascii="Arial" w:hAnsi="Arial" w:cs="Arial"/>
          <w:sz w:val="24"/>
          <w:szCs w:val="24"/>
          <w:shd w:val="clear" w:color="auto" w:fill="ffffff"/>
        </w:rPr>
        <w:t xml:space="preserve">，</w:t>
      </w:r>
      <w:r>
        <w:rPr>
          <w:rFonts w:hint="eastAsia" w:ascii="Times New Roman" w:hAnsi="Times New Roman"/>
          <w:sz w:val="24"/>
          <w:szCs w:val="24"/>
          <w:lang w:eastAsia="zh-CN"/>
        </w:rPr>
        <w:t xml:space="preserve">还需</w:t>
      </w:r>
      <w:r>
        <w:rPr>
          <w:rFonts w:hint="eastAsia" w:ascii="Times New Roman" w:hAnsi="Times New Roman"/>
          <w:sz w:val="24"/>
          <w:szCs w:val="24"/>
        </w:rPr>
        <w:t xml:space="preserve">精通信息安全知识、风险管理框架，掌握漏洞挖掘、应急响应技术能力，保障网络和系统信息安全。</w:t>
      </w:r>
      <w:r/>
    </w:p>
    <w:p>
      <w:pPr>
        <w:ind w:firstLine="562"/>
        <w:jc w:val="left"/>
        <w:spacing w:line="360" w:lineRule="auto"/>
        <w:rPr>
          <w:rFonts w:ascii="宋体" w:hAnsi="宋体"/>
          <w:sz w:val="24"/>
          <w:szCs w:val="24"/>
        </w:rPr>
      </w:pPr>
      <w:r>
        <w:rPr>
          <w:rFonts w:hint="eastAsia" w:ascii="Times New Roman" w:hAnsi="Times New Roman"/>
          <w:b/>
          <w:sz w:val="28"/>
          <w:szCs w:val="28"/>
        </w:rPr>
        <w:t xml:space="preserve">九、履约验收要求</w:t>
      </w:r>
      <w:r/>
    </w:p>
    <w:p>
      <w:pPr>
        <w:ind w:firstLine="480"/>
        <w:jc w:val="left"/>
        <w:spacing w:line="360" w:lineRule="auto"/>
        <w:rPr>
          <w:rFonts w:ascii="宋体" w:hAnsi="宋体"/>
          <w:sz w:val="24"/>
          <w:szCs w:val="24"/>
        </w:rPr>
      </w:pPr>
      <w:r>
        <w:rPr>
          <w:rFonts w:hint="eastAsia" w:ascii="宋体" w:hAnsi="宋体"/>
          <w:sz w:val="24"/>
          <w:szCs w:val="24"/>
        </w:rPr>
        <w:t xml:space="preserve">1.中标人在完成供货后须提供一份货物清单作为采购人验收的依据。</w:t>
      </w:r>
      <w:r/>
    </w:p>
    <w:p>
      <w:pPr>
        <w:ind w:firstLine="480"/>
        <w:jc w:val="left"/>
        <w:spacing w:line="360" w:lineRule="auto"/>
        <w:rPr>
          <w:rFonts w:ascii="宋体" w:hAnsi="宋体"/>
          <w:sz w:val="24"/>
          <w:szCs w:val="24"/>
        </w:rPr>
      </w:pPr>
      <w:r>
        <w:rPr>
          <w:rFonts w:hint="eastAsia" w:ascii="宋体" w:hAnsi="宋体"/>
          <w:sz w:val="24"/>
          <w:szCs w:val="24"/>
        </w:rPr>
        <w:t xml:space="preserve">2.设备到达采购人现场前，应提前通知采购人做好接收准备，设备到达现场后由采购人会同有关单位和人员根据清单进行现场商检和验收。</w:t>
      </w:r>
      <w:r/>
    </w:p>
    <w:p>
      <w:pPr>
        <w:ind w:firstLine="480"/>
        <w:jc w:val="left"/>
        <w:spacing w:line="360" w:lineRule="auto"/>
        <w:rPr>
          <w:rFonts w:ascii="宋体" w:hAnsi="宋体" w:cs="宋体"/>
          <w:bCs/>
          <w:sz w:val="24"/>
          <w:szCs w:val="24"/>
        </w:rPr>
      </w:pPr>
      <w:r>
        <w:rPr>
          <w:rFonts w:hint="eastAsia" w:ascii="宋体" w:hAnsi="宋体"/>
          <w:sz w:val="24"/>
          <w:szCs w:val="24"/>
        </w:rPr>
        <w:t xml:space="preserve">3.货物安装调试完成后，中标人须提供产品合格证、主要货物厂家质保书、保修证明等书面资料，并报请采购方进行检测验收。</w:t>
      </w:r>
      <w:r>
        <w:rPr>
          <w:rFonts w:hint="eastAsia" w:ascii="宋体" w:hAnsi="宋体" w:cs="宋体"/>
          <w:bCs/>
          <w:sz w:val="24"/>
          <w:szCs w:val="24"/>
        </w:rPr>
        <w:t xml:space="preserve">按照采购文件、投标文件以及合同约定要求对全部设备的型号、规格、数量、外型、包装及资料、文件（如装箱单、保修单、随箱介质等）进行验收。</w:t>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4.验收由中标人和采购人共同完成，采购人和中标人按实施计划进行设备到货、点验、开机加电等，测试正常后进行验收。中标人按照要求调试完毕，</w:t>
      </w:r>
      <w:r>
        <w:rPr>
          <w:rFonts w:hint="eastAsia" w:ascii="宋体" w:hAnsi="宋体"/>
          <w:sz w:val="24"/>
          <w:szCs w:val="24"/>
        </w:rPr>
        <w:t xml:space="preserve">经验收，设备及系统的各类性能及指标完全符合合同约定的技术要求、用途及功能需求，</w:t>
      </w:r>
      <w:r>
        <w:rPr>
          <w:rFonts w:hint="eastAsia" w:ascii="宋体" w:hAnsi="宋体" w:cs="宋体"/>
          <w:bCs/>
          <w:sz w:val="24"/>
          <w:szCs w:val="24"/>
        </w:rPr>
        <w:t xml:space="preserve">功能满足采购清单及技术参数质量要求。</w:t>
      </w:r>
      <w:r>
        <w:rPr>
          <w:rFonts w:hint="eastAsia" w:ascii="宋体" w:hAnsi="宋体"/>
          <w:sz w:val="24"/>
          <w:szCs w:val="24"/>
        </w:rPr>
        <w:t xml:space="preserve">合同规定的技术文件，除验收文件外，其它已经如数提交给采购人</w:t>
      </w:r>
      <w:r>
        <w:rPr>
          <w:rFonts w:hint="eastAsia" w:ascii="宋体" w:hAnsi="宋体" w:cs="宋体"/>
          <w:bCs/>
          <w:sz w:val="24"/>
          <w:szCs w:val="24"/>
        </w:rPr>
        <w:t xml:space="preserve">即验收合格。进入质量保障期。</w:t>
      </w:r>
      <w:r/>
    </w:p>
    <w:p>
      <w:pPr>
        <w:ind w:firstLine="480"/>
        <w:jc w:val="left"/>
        <w:spacing w:line="360" w:lineRule="auto"/>
      </w:pPr>
      <w:r>
        <w:rPr>
          <w:rFonts w:hint="eastAsia" w:ascii="宋体" w:hAnsi="宋体" w:cs="宋体"/>
          <w:bCs/>
          <w:sz w:val="24"/>
          <w:szCs w:val="24"/>
        </w:rPr>
        <w:t xml:space="preserve">5.</w:t>
      </w:r>
      <w:r>
        <w:rPr>
          <w:rFonts w:hint="eastAsia" w:ascii="宋体" w:hAnsi="宋体"/>
          <w:sz w:val="24"/>
          <w:szCs w:val="24"/>
        </w:rPr>
        <w:t xml:space="preserve">本项目执行《财政部 生态环境部 工业和信息化部关于印发《绿色数据中心政府采购需求标准（试行）&gt;的通知》（财库〔2023〕7号）的相关要求。涉及本次采购标的的设备(交换机等)采购人有权在履约验收时对中标人提供的产品或服务进行抽查检测，必要时可委托取得相关资质的第三方机构对其进行检测、认证。</w:t>
      </w:r>
      <w:r/>
    </w:p>
    <w:p>
      <w:pPr>
        <w:ind w:firstLine="562"/>
        <w:jc w:val="left"/>
        <w:spacing w:line="360" w:lineRule="auto"/>
        <w:rPr>
          <w:rFonts w:ascii="Times New Roman" w:hAnsi="Times New Roman"/>
          <w:sz w:val="24"/>
          <w:szCs w:val="24"/>
        </w:rPr>
      </w:pPr>
      <w:r>
        <w:rPr>
          <w:rFonts w:hint="eastAsia" w:ascii="Times New Roman" w:hAnsi="Times New Roman"/>
          <w:b/>
          <w:sz w:val="28"/>
          <w:szCs w:val="28"/>
        </w:rPr>
        <w:t xml:space="preserve">十、培训要求</w:t>
      </w:r>
      <w:r/>
    </w:p>
    <w:p>
      <w:pPr>
        <w:ind w:firstLine="480"/>
        <w:spacing w:line="360" w:lineRule="auto"/>
        <w:rPr>
          <w:rFonts w:ascii="宋体" w:hAnsi="宋体"/>
          <w:sz w:val="24"/>
          <w:szCs w:val="24"/>
        </w:rPr>
      </w:pPr>
      <w:r>
        <w:rPr>
          <w:rFonts w:hint="eastAsia" w:ascii="宋体" w:hAnsi="宋体"/>
          <w:sz w:val="24"/>
          <w:szCs w:val="24"/>
        </w:rPr>
        <w:t xml:space="preserve">1.中标人须根据本项目实际建设详细内容及应用目标对采购人提供针对性的培训，通过培训使采购人系统管理员、技术人员及业务应用人员不仅对整个系统有足够的认识，且可以熟练掌握整体系统的管理与操作技能等，能够独立完成操作及简单故障处理；提供对核心管理员的培训，能够掌握并熟练运用相关工具进行系统各模块的配置、维护及故障分析处理。        </w:t>
      </w:r>
      <w:r/>
    </w:p>
    <w:p>
      <w:pPr>
        <w:ind w:firstLine="480"/>
        <w:spacing w:line="360" w:lineRule="auto"/>
        <w:rPr>
          <w:rFonts w:ascii="宋体" w:hAnsi="宋体"/>
          <w:sz w:val="24"/>
          <w:szCs w:val="24"/>
        </w:rPr>
      </w:pPr>
      <w:r>
        <w:rPr>
          <w:rFonts w:hint="eastAsia" w:ascii="宋体" w:hAnsi="宋体"/>
          <w:sz w:val="24"/>
          <w:szCs w:val="24"/>
        </w:rPr>
        <w:t xml:space="preserve">2.制定完善的培训计划，需明确培训目标、培训对象、培训方式、培训地点、培训内容、培训记录等。培训所需要的费用已包含在预算金额中。</w:t>
      </w:r>
      <w:r/>
    </w:p>
    <w:p>
      <w:pPr>
        <w:ind w:firstLine="480"/>
        <w:spacing w:line="360" w:lineRule="auto"/>
        <w:rPr>
          <w:rFonts w:ascii="宋体" w:hAnsi="宋体"/>
          <w:sz w:val="24"/>
          <w:szCs w:val="24"/>
        </w:rPr>
      </w:pPr>
      <w:r>
        <w:rPr>
          <w:rFonts w:hint="eastAsia" w:ascii="宋体" w:hAnsi="宋体"/>
          <w:sz w:val="24"/>
          <w:szCs w:val="24"/>
        </w:rPr>
        <w:t xml:space="preserve">3.培训目标：根据采购人要求，对采购人的管理人员、技术人员、操作人员、运维人员提供培训，以便对项目的实施和运营进行有效的管理。同时，工程验收移交后，能够胜任系统的大部分运行、操作、设备和线路维护、故障的分析处理、设备的保养和维修。</w:t>
      </w:r>
      <w:r/>
    </w:p>
    <w:p>
      <w:pPr>
        <w:ind w:firstLine="480"/>
        <w:spacing w:line="360" w:lineRule="auto"/>
        <w:rPr>
          <w:rFonts w:ascii="宋体" w:hAnsi="宋体"/>
          <w:sz w:val="24"/>
          <w:szCs w:val="24"/>
        </w:rPr>
      </w:pPr>
      <w:r>
        <w:rPr>
          <w:rFonts w:hint="eastAsia" w:ascii="宋体" w:hAnsi="宋体"/>
          <w:sz w:val="24"/>
          <w:szCs w:val="24"/>
        </w:rPr>
        <w:t xml:space="preserve">4.培训对象：包括但不限于以下人员：系统业务应用人员、系统运行维护管理人员等。</w:t>
      </w:r>
      <w:r/>
    </w:p>
    <w:p>
      <w:pPr>
        <w:ind w:firstLine="480"/>
        <w:spacing w:line="360" w:lineRule="auto"/>
        <w:rPr>
          <w:rFonts w:ascii="宋体" w:hAnsi="宋体"/>
          <w:sz w:val="24"/>
          <w:szCs w:val="24"/>
        </w:rPr>
      </w:pPr>
      <w:r>
        <w:rPr>
          <w:rFonts w:hint="eastAsia" w:ascii="宋体" w:hAnsi="宋体"/>
          <w:sz w:val="24"/>
          <w:szCs w:val="24"/>
        </w:rPr>
        <w:t xml:space="preserve">5.培训方式：集中授课、现场应用操作指导等。</w:t>
      </w:r>
      <w:r/>
    </w:p>
    <w:p>
      <w:pPr>
        <w:ind w:firstLine="480"/>
        <w:spacing w:line="360" w:lineRule="auto"/>
        <w:rPr>
          <w:rFonts w:hint="eastAsia" w:ascii="Times New Roman" w:hAnsi="Times New Roman"/>
          <w:b/>
          <w:sz w:val="28"/>
          <w:szCs w:val="28"/>
        </w:rPr>
      </w:pPr>
      <w:r>
        <w:rPr>
          <w:rFonts w:hint="eastAsia" w:ascii="宋体" w:hAnsi="宋体"/>
          <w:sz w:val="24"/>
          <w:szCs w:val="24"/>
        </w:rPr>
        <w:t xml:space="preserve">6.培训内容：由专业资深工程师、专业资格人员和行业专家进行培训，内容包含但不限于系统总体情况进行介绍、应用操作、常见故障分析、系统维护工作等。建设期及质量保证期内不少于1次/年。</w:t>
      </w:r>
      <w:r/>
    </w:p>
    <w:p>
      <w:pPr>
        <w:ind w:firstLine="562"/>
        <w:jc w:val="left"/>
        <w:spacing w:line="360" w:lineRule="auto"/>
        <w:rPr>
          <w:rFonts w:ascii="Times New Roman" w:hAnsi="Times New Roman"/>
          <w:sz w:val="24"/>
          <w:szCs w:val="24"/>
        </w:rPr>
      </w:pPr>
      <w:r>
        <w:rPr>
          <w:rFonts w:hint="eastAsia" w:ascii="Times New Roman" w:hAnsi="Times New Roman"/>
          <w:b/>
          <w:sz w:val="28"/>
          <w:szCs w:val="28"/>
        </w:rPr>
        <w:t xml:space="preserve">十一、售后服务要求</w:t>
      </w:r>
      <w:r/>
    </w:p>
    <w:p>
      <w:pPr>
        <w:ind w:firstLine="480"/>
        <w:jc w:val="left"/>
        <w:spacing w:line="360" w:lineRule="auto"/>
        <w:rPr>
          <w:rFonts w:ascii="宋体" w:hAnsi="宋体"/>
          <w:sz w:val="24"/>
          <w:szCs w:val="24"/>
        </w:rPr>
      </w:pPr>
      <w:r>
        <w:rPr>
          <w:rFonts w:hint="eastAsia" w:ascii="宋体" w:hAnsi="宋体"/>
          <w:sz w:val="24"/>
          <w:szCs w:val="24"/>
        </w:rPr>
        <w:t xml:space="preserve">1.质保期：不少于3年。质保期由设备最终调试验收合格后开始计算。质保期内中标人负责本次采购产品的维修、保养、安检、调换、故障处理等，相关费用包含在报价内，采购人不再支付任何费用；对于采购方人为原因造成的故障，中标人只收取维保成本费用。</w:t>
      </w:r>
      <w:r/>
    </w:p>
    <w:p>
      <w:pPr>
        <w:ind w:firstLine="480"/>
        <w:jc w:val="left"/>
        <w:spacing w:line="360" w:lineRule="auto"/>
        <w:rPr>
          <w:rFonts w:ascii="宋体" w:hAnsi="宋体"/>
          <w:sz w:val="24"/>
          <w:szCs w:val="24"/>
        </w:rPr>
      </w:pPr>
      <w:r>
        <w:rPr>
          <w:rFonts w:hint="eastAsia" w:ascii="宋体" w:hAnsi="宋体"/>
          <w:sz w:val="24"/>
          <w:szCs w:val="24"/>
        </w:rPr>
        <w:t xml:space="preserve">2.服务响应时间：提供上门服务，在1小时内响应，12小时内解决使用单位提出的维修要求。若超过15个工作日无法解决，由中标人提供性能不低于故障产品的备用产品供采购人使用直至设备维修完成。</w:t>
      </w:r>
      <w:r/>
    </w:p>
    <w:p>
      <w:pPr>
        <w:ind w:firstLine="480"/>
        <w:jc w:val="left"/>
        <w:spacing w:line="360" w:lineRule="auto"/>
      </w:pPr>
      <w:r>
        <w:rPr>
          <w:rFonts w:hint="eastAsia" w:ascii="宋体" w:hAnsi="宋体"/>
          <w:sz w:val="24"/>
          <w:szCs w:val="24"/>
        </w:rPr>
        <w:t xml:space="preserve">3.负责提供技术咨询和软件升级服务。</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十二、商品包装及快递包装要求</w:t>
      </w:r>
      <w:r/>
    </w:p>
    <w:p>
      <w:pPr>
        <w:ind w:firstLine="480"/>
        <w:jc w:val="left"/>
        <w:spacing w:line="360" w:lineRule="auto"/>
        <w:rPr>
          <w:rFonts w:ascii="Times New Roman" w:hAnsi="Times New Roman"/>
          <w:bCs/>
          <w:sz w:val="24"/>
          <w:szCs w:val="24"/>
        </w:rPr>
      </w:pPr>
      <w:r>
        <w:rPr>
          <w:rFonts w:ascii="Times New Roman" w:hAnsi="Times New Roman"/>
          <w:bCs/>
          <w:sz w:val="24"/>
          <w:szCs w:val="24"/>
        </w:rPr>
        <w:t xml:space="preserve">1.</w:t>
      </w:r>
      <w:r>
        <w:rPr>
          <w:rFonts w:hint="eastAsia" w:ascii="Times New Roman" w:hAnsi="Times New Roman"/>
          <w:bCs/>
          <w:sz w:val="24"/>
          <w:szCs w:val="24"/>
        </w:rPr>
        <w:t xml:space="preserve">商品包装环保要求：应当按《关于印发〈商品包装政府采购需求标准（试行）〉、〈快递包装政府采购需求标准（试行）〉的通知》（财办库〔</w:t>
      </w:r>
      <w:r>
        <w:rPr>
          <w:rFonts w:ascii="Times New Roman" w:hAnsi="Times New Roman"/>
          <w:bCs/>
          <w:sz w:val="24"/>
          <w:szCs w:val="24"/>
        </w:rPr>
        <w:t xml:space="preserve">2020</w:t>
      </w:r>
      <w:r>
        <w:rPr>
          <w:rFonts w:hint="eastAsia" w:ascii="Times New Roman" w:hAnsi="Times New Roman"/>
          <w:bCs/>
          <w:sz w:val="24"/>
          <w:szCs w:val="24"/>
        </w:rPr>
        <w:t xml:space="preserve">〕</w:t>
      </w:r>
      <w:r>
        <w:rPr>
          <w:rFonts w:ascii="Times New Roman" w:hAnsi="Times New Roman"/>
          <w:bCs/>
          <w:sz w:val="24"/>
          <w:szCs w:val="24"/>
        </w:rPr>
        <w:t xml:space="preserve">123</w:t>
      </w:r>
      <w:r>
        <w:rPr>
          <w:rFonts w:hint="eastAsia" w:ascii="Times New Roman" w:hAnsi="Times New Roman"/>
          <w:bCs/>
          <w:sz w:val="24"/>
          <w:szCs w:val="24"/>
        </w:rPr>
        <w:t xml:space="preserve">号）文件执行。</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）商品包装层数不得超过</w:t>
      </w:r>
      <w:r>
        <w:rPr>
          <w:rFonts w:ascii="Times New Roman" w:hAnsi="Times New Roman"/>
          <w:bCs/>
          <w:sz w:val="24"/>
          <w:szCs w:val="24"/>
        </w:rPr>
        <w:t xml:space="preserve"> 3 </w:t>
      </w:r>
      <w:r>
        <w:rPr>
          <w:rFonts w:hint="eastAsia" w:ascii="Times New Roman" w:hAnsi="Times New Roman"/>
          <w:bCs/>
          <w:sz w:val="24"/>
          <w:szCs w:val="24"/>
        </w:rPr>
        <w:t xml:space="preserve">层，空隙率不大于</w:t>
      </w:r>
      <w:r>
        <w:rPr>
          <w:rFonts w:ascii="Times New Roman" w:hAnsi="Times New Roman"/>
          <w:bCs/>
          <w:sz w:val="24"/>
          <w:szCs w:val="24"/>
        </w:rPr>
        <w:t xml:space="preserve"> 40%</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）商品包装尽可能使用单一材质的包装材料，如因功能需求必需使用不同材质，不同材质间应便于分离；</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）商品包装中铅、汞、镉、六价铬的总含量应不大于</w:t>
      </w:r>
      <w:r>
        <w:rPr>
          <w:rFonts w:ascii="Times New Roman" w:hAnsi="Times New Roman"/>
          <w:bCs/>
          <w:sz w:val="24"/>
          <w:szCs w:val="24"/>
        </w:rPr>
        <w:t xml:space="preserve">100mg/kg</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）商品包装印刷使用的油墨中挥发性有机化合物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 5%</w:t>
      </w:r>
      <w:r>
        <w:rPr>
          <w:rFonts w:hint="eastAsia" w:ascii="Times New Roman" w:hAnsi="Times New Roman"/>
          <w:bCs/>
          <w:sz w:val="24"/>
          <w:szCs w:val="24"/>
        </w:rPr>
        <w:t xml:space="preserve">（以重量计）；</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）塑料材质商品包装上呈现的印刷颜色不得超过</w:t>
      </w:r>
      <w:r>
        <w:rPr>
          <w:rFonts w:ascii="Times New Roman" w:hAnsi="Times New Roman"/>
          <w:bCs/>
          <w:sz w:val="24"/>
          <w:szCs w:val="24"/>
        </w:rPr>
        <w:t xml:space="preserve"> 6 </w:t>
      </w:r>
      <w:r>
        <w:rPr>
          <w:rFonts w:hint="eastAsia" w:ascii="Times New Roman" w:hAnsi="Times New Roman"/>
          <w:bCs/>
          <w:sz w:val="24"/>
          <w:szCs w:val="24"/>
        </w:rPr>
        <w:t xml:space="preserve">色；</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）纸质商品包装应使用</w:t>
      </w:r>
      <w:r>
        <w:rPr>
          <w:rFonts w:ascii="Times New Roman" w:hAnsi="Times New Roman"/>
          <w:bCs/>
          <w:sz w:val="24"/>
          <w:szCs w:val="24"/>
        </w:rPr>
        <w:t xml:space="preserve"> 75%</w:t>
      </w:r>
      <w:r>
        <w:rPr>
          <w:rFonts w:hint="eastAsia" w:ascii="Times New Roman" w:hAnsi="Times New Roman"/>
          <w:bCs/>
          <w:sz w:val="24"/>
          <w:szCs w:val="24"/>
        </w:rPr>
        <w:t xml:space="preserve">以上的可再生纤维原料生产；</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）木质商品包装的原料应来源于可持续性森林。</w:t>
      </w:r>
      <w:r/>
    </w:p>
    <w:p>
      <w:pPr>
        <w:ind w:firstLine="480"/>
        <w:jc w:val="left"/>
        <w:spacing w:line="360" w:lineRule="auto"/>
        <w:rPr>
          <w:rFonts w:ascii="Times New Roman" w:hAnsi="Times New Roman"/>
          <w:bCs/>
          <w:sz w:val="24"/>
          <w:szCs w:val="24"/>
        </w:rPr>
      </w:pPr>
      <w:r>
        <w:rPr>
          <w:rFonts w:ascii="Times New Roman" w:hAnsi="Times New Roman"/>
          <w:bCs/>
          <w:sz w:val="24"/>
          <w:szCs w:val="24"/>
        </w:rPr>
        <w:t xml:space="preserve">2.</w:t>
      </w:r>
      <w:r>
        <w:rPr>
          <w:rFonts w:hint="eastAsia" w:ascii="Times New Roman" w:hAnsi="Times New Roman"/>
          <w:bCs/>
          <w:sz w:val="24"/>
          <w:szCs w:val="24"/>
        </w:rPr>
        <w:t xml:space="preserve">快递包装环保要求：</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）快递包装中重金属（铅、汞、镉、六价铬）总量应不大于</w:t>
      </w:r>
      <w:r>
        <w:rPr>
          <w:rFonts w:ascii="Times New Roman" w:hAnsi="Times New Roman"/>
          <w:bCs/>
          <w:sz w:val="24"/>
          <w:szCs w:val="24"/>
        </w:rPr>
        <w:t xml:space="preserve"> 100mg/kg</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）快递包装印刷使用的油墨中不应添加邻苯二甲酸酯，其挥发性有机化合物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5%</w:t>
      </w:r>
      <w:r>
        <w:rPr>
          <w:rFonts w:hint="eastAsia" w:ascii="Times New Roman" w:hAnsi="Times New Roman"/>
          <w:bCs/>
          <w:sz w:val="24"/>
          <w:szCs w:val="24"/>
        </w:rPr>
        <w:t xml:space="preserve">（以重量计）；</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）快递包装中使用纸基材的包装材料，纸基材中的有机氯的含量应不大于</w:t>
      </w:r>
      <w:r>
        <w:rPr>
          <w:rFonts w:ascii="Times New Roman" w:hAnsi="Times New Roman"/>
          <w:bCs/>
          <w:sz w:val="24"/>
          <w:szCs w:val="24"/>
        </w:rPr>
        <w:t xml:space="preserve"> 150 mg/kg</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）快递包装中使用塑料基材的包装材料不得使用邻苯二甲酸二异壬酯、邻苯二甲酸二正辛酯、邻苯二甲酸二</w:t>
      </w:r>
      <w:r>
        <w:rPr>
          <w:rFonts w:ascii="Times New Roman" w:hAnsi="Times New Roman"/>
          <w:bCs/>
          <w:sz w:val="24"/>
          <w:szCs w:val="24"/>
        </w:rPr>
        <w:t xml:space="preserve">(2-</w:t>
      </w:r>
      <w:r>
        <w:rPr>
          <w:rFonts w:hint="eastAsia" w:ascii="Times New Roman" w:hAnsi="Times New Roman"/>
          <w:bCs/>
          <w:sz w:val="24"/>
          <w:szCs w:val="24"/>
        </w:rPr>
        <w:t xml:space="preserve">乙基</w:t>
      </w:r>
      <w:r>
        <w:rPr>
          <w:rFonts w:ascii="Times New Roman" w:hAnsi="Times New Roman"/>
          <w:bCs/>
          <w:sz w:val="24"/>
          <w:szCs w:val="24"/>
        </w:rPr>
        <w:t xml:space="preserve">)</w:t>
      </w:r>
      <w:r>
        <w:rPr>
          <w:rFonts w:hint="eastAsia" w:ascii="Times New Roman" w:hAnsi="Times New Roman"/>
          <w:bCs/>
          <w:sz w:val="24"/>
          <w:szCs w:val="24"/>
        </w:rPr>
        <w:t xml:space="preserve">己酯、邻苯二甲酸二异癸酯、邻苯二甲酸丁基苄基酯、邻苯二甲酸二丁酯等作为增塑剂；</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）快递中使用的塑料包装袋不得使用聚氯乙烯作为原料，且原料应为单一材质制成，生物分解率大于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）快递中使用的充气类填充物不得使用聚氯乙烯作为原料，且原料为单一材质制成，生物分解率大于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）快递中使用的集装袋应为单一材质制成，其重复使用次数应不小于</w:t>
      </w:r>
      <w:r>
        <w:rPr>
          <w:rFonts w:ascii="Times New Roman" w:hAnsi="Times New Roman"/>
          <w:bCs/>
          <w:sz w:val="24"/>
          <w:szCs w:val="24"/>
        </w:rPr>
        <w:t xml:space="preserve"> 80 </w:t>
      </w:r>
      <w:r>
        <w:rPr>
          <w:rFonts w:hint="eastAsia" w:ascii="Times New Roman" w:hAnsi="Times New Roman"/>
          <w:bCs/>
          <w:sz w:val="24"/>
          <w:szCs w:val="24"/>
        </w:rPr>
        <w:t xml:space="preserve">次；</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8</w:t>
      </w:r>
      <w:r>
        <w:rPr>
          <w:rFonts w:hint="eastAsia" w:ascii="Times New Roman" w:hAnsi="Times New Roman"/>
          <w:bCs/>
          <w:sz w:val="24"/>
          <w:szCs w:val="24"/>
        </w:rPr>
        <w:t xml:space="preserve">）快递中应使用幅宽不大于</w:t>
      </w:r>
      <w:r>
        <w:rPr>
          <w:rFonts w:ascii="Times New Roman" w:hAnsi="Times New Roman"/>
          <w:bCs/>
          <w:sz w:val="24"/>
          <w:szCs w:val="24"/>
        </w:rPr>
        <w:t xml:space="preserve">45mm </w:t>
      </w:r>
      <w:r>
        <w:rPr>
          <w:rFonts w:hint="eastAsia" w:ascii="Times New Roman" w:hAnsi="Times New Roman"/>
          <w:bCs/>
          <w:sz w:val="24"/>
          <w:szCs w:val="24"/>
        </w:rPr>
        <w:t xml:space="preserve">的生物降解胶带；</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9</w:t>
      </w:r>
      <w:r>
        <w:rPr>
          <w:rFonts w:hint="eastAsia" w:ascii="Times New Roman" w:hAnsi="Times New Roman"/>
          <w:bCs/>
          <w:sz w:val="24"/>
          <w:szCs w:val="24"/>
        </w:rPr>
        <w:t xml:space="preserve">）快递包装中不得使用溶剂型胶粘剂；</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10</w:t>
      </w:r>
      <w:r>
        <w:rPr>
          <w:rFonts w:hint="eastAsia" w:ascii="Times New Roman" w:hAnsi="Times New Roman"/>
          <w:bCs/>
          <w:sz w:val="24"/>
          <w:szCs w:val="24"/>
        </w:rPr>
        <w:t xml:space="preserve">）快递应使用电子面单；</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11</w:t>
      </w:r>
      <w:r>
        <w:rPr>
          <w:rFonts w:hint="eastAsia" w:ascii="Times New Roman" w:hAnsi="Times New Roman"/>
          <w:bCs/>
          <w:sz w:val="24"/>
          <w:szCs w:val="24"/>
        </w:rPr>
        <w:t xml:space="preserve">）直接使用商品包装作为快递包装的商品，其商品包装满足《商品包装政府采购需求标准（试行）》即可；</w:t>
      </w:r>
      <w:r/>
    </w:p>
    <w:p>
      <w:pPr>
        <w:ind w:firstLine="480"/>
        <w:jc w:val="left"/>
        <w:spacing w:line="360" w:lineRule="auto"/>
        <w:rPr>
          <w:rFonts w:ascii="Times New Roman" w:hAnsi="Times New Roman"/>
          <w:sz w:val="28"/>
          <w:szCs w:val="28"/>
        </w:rPr>
      </w:pPr>
      <w:r>
        <w:rPr>
          <w:rFonts w:hint="eastAsia" w:ascii="Times New Roman" w:hAnsi="Times New Roman"/>
          <w:bCs/>
          <w:sz w:val="24"/>
          <w:szCs w:val="24"/>
        </w:rPr>
        <w:t xml:space="preserve">（</w:t>
      </w:r>
      <w:r>
        <w:rPr>
          <w:rFonts w:ascii="Times New Roman" w:hAnsi="Times New Roman"/>
          <w:bCs/>
          <w:sz w:val="24"/>
          <w:szCs w:val="24"/>
        </w:rPr>
        <w:t xml:space="preserve">12</w:t>
      </w:r>
      <w:r>
        <w:rPr>
          <w:rFonts w:hint="eastAsia" w:ascii="Times New Roman" w:hAnsi="Times New Roman"/>
          <w:bCs/>
          <w:sz w:val="24"/>
          <w:szCs w:val="24"/>
        </w:rPr>
        <w:t xml:space="preserve">）快递包装产品质量和封装方式应符合相关国家或行业标准技术指标要求。</w:t>
      </w:r>
      <w:r/>
    </w:p>
    <w:p>
      <w:pPr>
        <w:ind w:firstLine="562"/>
        <w:jc w:val="left"/>
        <w:spacing w:line="360" w:lineRule="auto"/>
        <w:rPr>
          <w:rFonts w:ascii="Times New Roman" w:hAnsi="Times New Roman"/>
          <w:sz w:val="24"/>
          <w:szCs w:val="24"/>
        </w:rPr>
      </w:pPr>
      <w:r>
        <w:rPr>
          <w:rFonts w:hint="eastAsia" w:ascii="Times New Roman" w:hAnsi="Times New Roman"/>
          <w:b/>
          <w:sz w:val="28"/>
          <w:szCs w:val="28"/>
        </w:rPr>
        <w:t xml:space="preserve">十三、投标报价要求</w:t>
      </w:r>
      <w:r/>
    </w:p>
    <w:p>
      <w:pPr>
        <w:ind w:firstLine="480"/>
        <w:jc w:val="left"/>
        <w:spacing w:line="360" w:lineRule="auto"/>
        <w:rPr>
          <w:rFonts w:hint="eastAsia"/>
        </w:rPr>
      </w:pPr>
      <w:r>
        <w:rPr>
          <w:rFonts w:hint="eastAsia" w:ascii="Times New Roman" w:hAnsi="Times New Roman"/>
          <w:sz w:val="24"/>
          <w:szCs w:val="24"/>
        </w:rPr>
        <w:t xml:space="preserve">投标报价包括货物生产（含所有配件、备品备件、专用工具等）、包装、运输（运抵现场）、保险、检测检验、安装、管理费、产品保护、技术服务、税金、利润、相关部门验收。</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十四、付款方式与履约保证金</w:t>
      </w:r>
      <w:r/>
    </w:p>
    <w:p>
      <w:pPr>
        <w:ind w:firstLine="480"/>
        <w:jc w:val="left"/>
        <w:spacing w:line="360" w:lineRule="auto"/>
        <w:rPr>
          <w:rFonts w:ascii="宋体" w:hAnsi="宋体" w:cs="宋体"/>
          <w:bCs/>
          <w:iCs/>
          <w:color w:val="000000"/>
          <w:sz w:val="24"/>
          <w:szCs w:val="24"/>
        </w:rPr>
      </w:pPr>
      <w:r>
        <w:rPr>
          <w:rFonts w:hint="eastAsia" w:ascii="宋体" w:hAnsi="宋体" w:cs="宋体"/>
          <w:bCs/>
          <w:iCs/>
          <w:color w:val="000000"/>
          <w:sz w:val="24"/>
          <w:szCs w:val="24"/>
        </w:rPr>
        <w:t xml:space="preserve">1、付款方式：</w:t>
      </w:r>
      <w:r>
        <w:rPr>
          <w:rFonts w:hint="eastAsia" w:ascii="宋体" w:hAnsi="宋体"/>
          <w:sz w:val="24"/>
          <w:szCs w:val="24"/>
        </w:rPr>
        <w:t xml:space="preserve">供货安装完成并最终验收合格后支付合同总金额的100％。</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2、履约保证金：本项目不收取履约保证金。</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十五、其他</w:t>
      </w:r>
      <w:r/>
    </w:p>
    <w:p>
      <w:pPr>
        <w:ind w:firstLine="480"/>
        <w:spacing w:line="360" w:lineRule="auto"/>
        <w:rPr>
          <w:rFonts w:ascii="宋体" w:hAnsi="宋体"/>
          <w:sz w:val="24"/>
          <w:szCs w:val="24"/>
        </w:rPr>
      </w:pPr>
      <w:r>
        <w:rPr>
          <w:rFonts w:hint="eastAsia" w:ascii="宋体" w:hAnsi="宋体"/>
          <w:sz w:val="24"/>
          <w:szCs w:val="24"/>
        </w:rPr>
        <w:t xml:space="preserve">本项目报价不得超过预算价（最高限价）。</w:t>
      </w:r>
      <w:r/>
    </w:p>
    <w:p>
      <w:pPr>
        <w:ind w:firstLine="480"/>
        <w:jc w:val="left"/>
        <w:spacing w:line="360" w:lineRule="auto"/>
        <w:rPr>
          <w:rFonts w:hint="eastAsia" w:ascii="宋体" w:hAnsi="宋体"/>
          <w:sz w:val="24"/>
          <w:szCs w:val="24"/>
        </w:rPr>
      </w:pPr>
      <w:r>
        <w:rPr>
          <w:rFonts w:hint="eastAsia" w:ascii="宋体" w:hAnsi="宋体"/>
          <w:sz w:val="24"/>
          <w:szCs w:val="24"/>
        </w:rPr>
        <w:t xml:space="preserve">特别提醒投标人：应根据国家收费标准并结合市场实际进行报价，总价包干。工作中涉及的敏感资料、电子数据等相关信息，中标人应严格执行保密的相关规定，不得以任何方式向任何第三人披露、泄露或许可第三人使用，否则追究其相应法律责任。</w:t>
      </w:r>
      <w:r/>
    </w:p>
    <w:p>
      <w:pPr>
        <w:pStyle w:val="899"/>
        <w:jc w:val="center"/>
        <w:spacing w:before="156" w:after="156" w:line="360" w:lineRule="auto"/>
        <w:rPr>
          <w:rFonts w:ascii="黑体" w:hAnsi="黑体" w:eastAsia="黑体"/>
          <w:b w:val="0"/>
        </w:rPr>
      </w:pPr>
      <w:r>
        <w:rPr>
          <w:sz w:val="24"/>
          <w:szCs w:val="24"/>
        </w:rPr>
        <w:br w:type="page" w:clear="all"/>
      </w:r>
      <w:r>
        <w:rPr>
          <w:rFonts w:ascii="黑体" w:hAnsi="黑体" w:eastAsia="黑体"/>
          <w:b w:val="0"/>
        </w:rPr>
        <w:t xml:space="preserve">第五章</w:t>
      </w:r>
      <w:r>
        <w:rPr>
          <w:rFonts w:hint="eastAsia" w:ascii="黑体" w:hAnsi="黑体" w:eastAsia="黑体"/>
          <w:b w:val="0"/>
        </w:rPr>
        <w:t xml:space="preserve">  评标方法与评标标准</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sz w:val="24"/>
          <w:szCs w:val="24"/>
          <w:lang w:val="en-US" w:eastAsia="zh-CN"/>
        </w:rPr>
        <w:t xml:space="preserve">本项目选取1名中标候选人。</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（3）总得分=价格分+技术分+商务分。</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sz w:val="24"/>
          <w:szCs w:val="24"/>
        </w:rPr>
      </w:pPr>
      <w:r>
        <w:rPr>
          <w:rFonts w:hint="eastAsia"/>
          <w:sz w:val="24"/>
          <w:szCs w:val="24"/>
        </w:rPr>
        <w:t xml:space="preserve">（1）价格分（30分）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投标报价得分=（评标基准价／投标报价）×30分</w:t>
      </w:r>
      <w:r/>
    </w:p>
    <w:p>
      <w:pPr>
        <w:ind w:firstLine="480"/>
        <w:jc w:val="left"/>
        <w:spacing w:line="500" w:lineRule="exact"/>
        <w:rPr>
          <w:rFonts w:hint="eastAsia"/>
          <w:sz w:val="24"/>
          <w:szCs w:val="24"/>
        </w:rPr>
      </w:pPr>
      <w:r>
        <w:rPr>
          <w:rFonts w:hint="eastAsia"/>
          <w:sz w:val="24"/>
          <w:szCs w:val="24"/>
        </w:rPr>
        <w:t xml:space="preserve">因落实政府采购政策进行价格扣除的，用扣除后的价格参加评审。</w:t>
      </w:r>
      <w:r/>
    </w:p>
    <w:p>
      <w:pPr>
        <w:numPr>
          <w:ilvl w:val="0"/>
          <w:numId w:val="13"/>
        </w:numPr>
        <w:ind w:firstLine="480"/>
        <w:jc w:val="left"/>
        <w:spacing w:line="500" w:lineRule="exact"/>
        <w:rPr>
          <w:rFonts w:hint="eastAsia"/>
          <w:sz w:val="24"/>
          <w:szCs w:val="24"/>
        </w:rPr>
      </w:pPr>
      <w:r>
        <w:rPr>
          <w:rFonts w:hint="eastAsia"/>
          <w:sz w:val="24"/>
          <w:szCs w:val="24"/>
        </w:rPr>
        <w:t xml:space="preserve">技术分（</w:t>
      </w:r>
      <w:r>
        <w:rPr>
          <w:rFonts w:hint="eastAsia"/>
          <w:sz w:val="24"/>
          <w:szCs w:val="24"/>
          <w:lang w:val="en-US" w:eastAsia="zh-CN"/>
        </w:rPr>
        <w:t xml:space="preserve">52</w:t>
      </w:r>
      <w:r>
        <w:rPr>
          <w:rFonts w:hint="eastAsia"/>
          <w:sz w:val="24"/>
          <w:szCs w:val="24"/>
        </w:rPr>
        <w:t xml:space="preserve">分）</w:t>
      </w:r>
      <w:r/>
    </w:p>
    <w:tbl>
      <w:tblPr>
        <w:tblStyle w:val="655"/>
        <w:tblW w:w="91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4"/>
        <w:gridCol w:w="7857"/>
      </w:tblGrid>
      <w:tr>
        <w:trPr>
          <w:jc w:val="center"/>
          <w:trHeight w:val="621"/>
        </w:trPr>
        <w:tc>
          <w:tcPr>
            <w:tcW w:w="132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评审因素</w:t>
            </w:r>
            <w:r/>
          </w:p>
        </w:tc>
        <w:tc>
          <w:tcPr>
            <w:tcW w:w="7857"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评审标准</w:t>
            </w:r>
            <w:r/>
          </w:p>
        </w:tc>
      </w:tr>
      <w:tr>
        <w:trPr>
          <w:jc w:val="center"/>
          <w:trHeight w:val="621"/>
        </w:trPr>
        <w:tc>
          <w:tcPr>
            <w:tcW w:w="1324" w:type="dxa"/>
            <w:vAlign w:val="center"/>
            <w:textDirection w:val="lrTb"/>
            <w:noWrap w:val="false"/>
          </w:tcPr>
          <w:p>
            <w:pPr>
              <w:jc w:val="center"/>
              <w:spacing w:line="480" w:lineRule="exact"/>
              <w:widowControl/>
              <w:rPr>
                <w:rFonts w:ascii="宋体" w:hAnsi="宋体" w:cs="Times New Roman"/>
                <w:color w:val="000000"/>
                <w:sz w:val="24"/>
              </w:rPr>
            </w:pPr>
            <w:r>
              <w:rPr>
                <w:rFonts w:hint="eastAsia" w:ascii="宋体" w:hAnsi="宋体" w:cs="Times New Roman"/>
                <w:color w:val="000000"/>
                <w:sz w:val="24"/>
              </w:rPr>
              <w:t xml:space="preserve">技术参数响应</w:t>
            </w:r>
            <w:r/>
          </w:p>
          <w:p>
            <w:pPr>
              <w:jc w:val="center"/>
              <w:spacing w:line="480" w:lineRule="exact"/>
              <w:widowControl/>
              <w:rPr>
                <w:rFonts w:ascii="Calibri" w:hAnsi="Calibri" w:eastAsia="宋体" w:cs="Times New Roman"/>
                <w:sz w:val="21"/>
                <w:szCs w:val="22"/>
                <w:lang w:val="en-US" w:eastAsia="zh-CN" w:bidi="ar-SA"/>
              </w:rPr>
            </w:pPr>
            <w:r>
              <w:rPr>
                <w:rFonts w:hint="eastAsia" w:ascii="宋体" w:hAnsi="宋体" w:cs="Times New Roman"/>
                <w:color w:val="000000"/>
                <w:sz w:val="24"/>
              </w:rPr>
              <w:t xml:space="preserve">（30分）</w:t>
            </w:r>
            <w:r/>
          </w:p>
        </w:tc>
        <w:tc>
          <w:tcPr>
            <w:tcW w:w="7857" w:type="dxa"/>
            <w:vAlign w:val="top"/>
            <w:textDirection w:val="lrTb"/>
            <w:noWrap w:val="false"/>
          </w:tcPr>
          <w:p>
            <w:pPr>
              <w:spacing w:line="440" w:lineRule="exact"/>
              <w:rPr>
                <w:rFonts w:ascii="宋体" w:hAnsi="宋体"/>
                <w:sz w:val="24"/>
                <w:szCs w:val="24"/>
              </w:rPr>
            </w:pPr>
            <w:r>
              <w:rPr>
                <w:rFonts w:hint="eastAsia" w:ascii="宋体" w:hAnsi="宋体"/>
                <w:sz w:val="24"/>
                <w:szCs w:val="24"/>
              </w:rPr>
              <w:t xml:space="preserve">技术参数响应评审基准分30分，标注“▲”项的参数每有一项负偏离扣</w:t>
            </w:r>
            <w:r>
              <w:rPr>
                <w:rFonts w:hint="eastAsia" w:ascii="宋体" w:hAnsi="宋体"/>
                <w:sz w:val="24"/>
                <w:szCs w:val="24"/>
                <w:lang w:val="en-US" w:eastAsia="zh-CN"/>
              </w:rPr>
              <w:t xml:space="preserve">3</w:t>
            </w:r>
            <w:r>
              <w:rPr>
                <w:rFonts w:hint="eastAsia" w:ascii="宋体" w:hAnsi="宋体"/>
                <w:sz w:val="24"/>
                <w:szCs w:val="24"/>
              </w:rPr>
              <w:t xml:space="preserve">分，扣完为止。</w:t>
            </w:r>
            <w:r/>
          </w:p>
          <w:p>
            <w:pP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Calibri" w:hAnsi="Calibri" w:eastAsia="宋体" w:cs="Times New Roman"/>
                <w:sz w:val="21"/>
                <w:szCs w:val="22"/>
                <w:lang w:val="en-US" w:eastAsia="zh-CN" w:bidi="ar-SA"/>
              </w:rPr>
            </w:pPr>
            <w:r>
              <w:rPr>
                <w:rFonts w:hint="eastAsia" w:ascii="宋体" w:hAnsi="宋体"/>
                <w:b/>
                <w:sz w:val="24"/>
                <w:szCs w:val="24"/>
              </w:rPr>
              <w:t xml:space="preserve">（投标文件中详细填写技术要求响应及偏离表，须逐条响应。标注“▲”项要求提供证明材料的未提供、或提供不全、或所提供材料与招标文件要求不符的视为负偏离。投标人可在投标文件中标明证明材料所在页码或添加说明，以便评审）</w:t>
            </w:r>
            <w:r/>
          </w:p>
        </w:tc>
      </w:tr>
      <w:tr>
        <w:trPr>
          <w:jc w:val="center"/>
          <w:trHeight w:val="621"/>
        </w:trPr>
        <w:tc>
          <w:tcPr>
            <w:tcW w:w="1324" w:type="dxa"/>
            <w:vAlign w:val="center"/>
            <w:textDirection w:val="lrTb"/>
            <w:noWrap w:val="false"/>
          </w:tcPr>
          <w:p>
            <w:pPr>
              <w:jc w:val="center"/>
              <w:spacing w:line="288" w:lineRule="auto"/>
              <w:rPr>
                <w:rFonts w:hint="eastAsia" w:ascii="宋体" w:hAnsi="宋体" w:cs="宋体"/>
                <w:sz w:val="24"/>
                <w:szCs w:val="24"/>
                <w:lang w:val="zh-CN"/>
              </w:rPr>
            </w:pPr>
            <w:r>
              <w:rPr>
                <w:rFonts w:hint="eastAsia" w:ascii="宋体" w:hAnsi="宋体" w:cs="宋体"/>
                <w:sz w:val="24"/>
                <w:szCs w:val="24"/>
                <w:lang w:val="zh-CN"/>
              </w:rPr>
              <w:t xml:space="preserve">项目实施保障</w:t>
            </w:r>
            <w:r/>
          </w:p>
          <w:p>
            <w:pPr>
              <w:jc w:val="center"/>
              <w:spacing w:line="480" w:lineRule="atLeast"/>
            </w:pPr>
            <w:r>
              <w:rPr>
                <w:rFonts w:hint="eastAsia" w:ascii="宋体" w:hAnsi="宋体" w:cs="宋体"/>
                <w:sz w:val="24"/>
                <w:szCs w:val="24"/>
                <w:lang w:val="zh-CN"/>
              </w:rPr>
              <w:t xml:space="preserve">（</w:t>
            </w:r>
            <w:r>
              <w:rPr>
                <w:rFonts w:hint="eastAsia" w:ascii="宋体" w:hAnsi="宋体" w:cs="宋体"/>
                <w:sz w:val="24"/>
                <w:szCs w:val="24"/>
              </w:rPr>
              <w:t xml:space="preserve">6</w:t>
            </w:r>
            <w:r>
              <w:rPr>
                <w:rFonts w:hint="eastAsia" w:ascii="宋体" w:hAnsi="宋体" w:cs="宋体"/>
                <w:sz w:val="24"/>
                <w:szCs w:val="24"/>
                <w:lang w:val="zh-CN"/>
              </w:rPr>
              <w:t xml:space="preserve">分）</w:t>
            </w:r>
            <w:r/>
          </w:p>
        </w:tc>
        <w:tc>
          <w:tcPr>
            <w:tcW w:w="7857" w:type="dxa"/>
            <w:vAlign w:val="top"/>
            <w:textDirection w:val="lrTb"/>
            <w:noWrap w:val="false"/>
          </w:tcPr>
          <w:p>
            <w:pPr>
              <w:numPr>
                <w:ilvl w:val="0"/>
                <w:numId w:val="14"/>
              </w:numPr>
              <w:spacing w:line="480" w:lineRule="atLeast"/>
              <w:rPr>
                <w:rFonts w:hint="eastAsia" w:ascii="宋体" w:hAnsi="宋体"/>
                <w:sz w:val="24"/>
                <w:szCs w:val="24"/>
              </w:rPr>
            </w:pPr>
            <w:r>
              <w:rPr>
                <w:rFonts w:hint="eastAsia" w:ascii="宋体" w:hAnsi="宋体"/>
                <w:sz w:val="24"/>
                <w:szCs w:val="24"/>
              </w:rPr>
              <w:t xml:space="preserve">投标人具有信息安全管理体系认证证书的</w:t>
            </w:r>
            <w:r>
              <w:rPr>
                <w:rFonts w:hint="eastAsia" w:ascii="宋体" w:hAnsi="宋体"/>
                <w:b/>
                <w:bCs/>
                <w:sz w:val="24"/>
                <w:szCs w:val="24"/>
              </w:rPr>
              <w:t xml:space="preserve">得</w:t>
            </w:r>
            <w:r>
              <w:rPr>
                <w:rFonts w:ascii="宋体" w:hAnsi="宋体"/>
                <w:b/>
                <w:bCs/>
                <w:sz w:val="24"/>
                <w:szCs w:val="24"/>
              </w:rPr>
              <w:t xml:space="preserve">2分</w:t>
            </w:r>
            <w:r>
              <w:rPr>
                <w:rFonts w:hint="eastAsia" w:ascii="宋体" w:hAnsi="宋体"/>
                <w:sz w:val="24"/>
                <w:szCs w:val="24"/>
              </w:rPr>
              <w:t xml:space="preserve">。</w:t>
            </w:r>
            <w:r/>
          </w:p>
          <w:p>
            <w:pPr>
              <w:numPr>
                <w:ilvl w:val="0"/>
                <w:numId w:val="14"/>
              </w:numPr>
              <w:spacing w:line="480" w:lineRule="atLeast"/>
              <w:rPr>
                <w:rFonts w:hint="eastAsia" w:ascii="宋体" w:hAnsi="宋体"/>
                <w:sz w:val="24"/>
                <w:szCs w:val="24"/>
              </w:rPr>
            </w:pPr>
            <w:r>
              <w:rPr>
                <w:rFonts w:hint="eastAsia" w:ascii="宋体" w:hAnsi="宋体"/>
                <w:sz w:val="24"/>
                <w:szCs w:val="24"/>
              </w:rPr>
              <w:t xml:space="preserve">投标人具有</w:t>
            </w:r>
            <w:r>
              <w:rPr>
                <w:sz w:val="24"/>
                <w:szCs w:val="24"/>
              </w:rPr>
              <w:t xml:space="preserve">职业健康</w:t>
            </w:r>
            <w:r>
              <w:rPr>
                <w:rFonts w:hint="eastAsia" w:ascii="宋体" w:hAnsi="宋体"/>
                <w:sz w:val="24"/>
                <w:szCs w:val="24"/>
              </w:rPr>
              <w:t xml:space="preserve">管理体系认证证书的</w:t>
            </w:r>
            <w:r>
              <w:rPr>
                <w:rFonts w:hint="eastAsia" w:ascii="宋体" w:hAnsi="宋体"/>
                <w:b/>
                <w:bCs/>
                <w:sz w:val="24"/>
                <w:szCs w:val="24"/>
              </w:rPr>
              <w:t xml:space="preserve">得</w:t>
            </w:r>
            <w:r>
              <w:rPr>
                <w:rFonts w:hint="eastAsia" w:ascii="宋体" w:hAnsi="宋体"/>
                <w:b/>
                <w:bCs/>
                <w:sz w:val="24"/>
                <w:szCs w:val="24"/>
                <w:lang w:val="en-US" w:eastAsia="zh-CN"/>
              </w:rPr>
              <w:t xml:space="preserve">2</w:t>
            </w:r>
            <w:r>
              <w:rPr>
                <w:rFonts w:ascii="宋体" w:hAnsi="宋体"/>
                <w:b/>
                <w:bCs/>
                <w:sz w:val="24"/>
                <w:szCs w:val="24"/>
              </w:rPr>
              <w:t xml:space="preserve">分</w:t>
            </w:r>
            <w:r>
              <w:rPr>
                <w:rFonts w:hint="eastAsia" w:ascii="宋体" w:hAnsi="宋体"/>
                <w:b/>
                <w:bCs/>
                <w:sz w:val="24"/>
                <w:szCs w:val="24"/>
                <w:lang w:eastAsia="zh-CN"/>
              </w:rPr>
              <w:t xml:space="preserve">。</w:t>
            </w:r>
            <w:r/>
          </w:p>
          <w:p>
            <w:pPr>
              <w:numPr>
                <w:ilvl w:val="0"/>
                <w:numId w:val="14"/>
              </w:numPr>
              <w:spacing w:line="480" w:lineRule="atLeast"/>
              <w:rPr>
                <w:rFonts w:hint="eastAsia" w:ascii="宋体" w:hAnsi="宋体"/>
                <w:sz w:val="24"/>
                <w:szCs w:val="24"/>
              </w:rPr>
            </w:pPr>
            <w:r>
              <w:rPr>
                <w:rFonts w:hint="eastAsia" w:ascii="宋体" w:hAnsi="宋体"/>
                <w:sz w:val="24"/>
                <w:szCs w:val="24"/>
              </w:rPr>
              <w:t xml:space="preserve">投标人具有</w:t>
            </w:r>
            <w:r>
              <w:rPr>
                <w:sz w:val="24"/>
                <w:szCs w:val="24"/>
              </w:rPr>
              <w:t xml:space="preserve">环境</w:t>
            </w:r>
            <w:r>
              <w:rPr>
                <w:rFonts w:hint="eastAsia" w:ascii="宋体" w:hAnsi="宋体"/>
                <w:sz w:val="24"/>
                <w:szCs w:val="24"/>
              </w:rPr>
              <w:t xml:space="preserve">管理体系认证证书的</w:t>
            </w:r>
            <w:r>
              <w:rPr>
                <w:rFonts w:hint="eastAsia" w:ascii="宋体" w:hAnsi="宋体"/>
                <w:b/>
                <w:bCs/>
                <w:sz w:val="24"/>
                <w:szCs w:val="24"/>
              </w:rPr>
              <w:t xml:space="preserve">得</w:t>
            </w:r>
            <w:r>
              <w:rPr>
                <w:rFonts w:hint="eastAsia" w:ascii="宋体" w:hAnsi="宋体"/>
                <w:b/>
                <w:bCs/>
                <w:sz w:val="24"/>
                <w:szCs w:val="24"/>
                <w:lang w:val="en-US" w:eastAsia="zh-CN"/>
              </w:rPr>
              <w:t xml:space="preserve">1</w:t>
            </w:r>
            <w:r>
              <w:rPr>
                <w:rFonts w:ascii="宋体" w:hAnsi="宋体"/>
                <w:b/>
                <w:bCs/>
                <w:sz w:val="24"/>
                <w:szCs w:val="24"/>
              </w:rPr>
              <w:t xml:space="preserve">分</w:t>
            </w:r>
            <w:r>
              <w:rPr>
                <w:rFonts w:hint="eastAsia" w:ascii="宋体" w:hAnsi="宋体"/>
                <w:b/>
                <w:bCs/>
                <w:sz w:val="24"/>
                <w:szCs w:val="24"/>
                <w:lang w:eastAsia="zh-CN"/>
              </w:rPr>
              <w:t xml:space="preserve">。</w:t>
            </w:r>
            <w:r/>
          </w:p>
          <w:p>
            <w:pPr>
              <w:spacing w:line="480" w:lineRule="atLeast"/>
              <w:rPr>
                <w:rFonts w:ascii="宋体" w:hAnsi="宋体"/>
                <w:sz w:val="24"/>
                <w:szCs w:val="24"/>
              </w:rPr>
            </w:pPr>
            <w:r>
              <w:rPr>
                <w:rFonts w:hint="eastAsia" w:ascii="宋体" w:hAnsi="宋体"/>
                <w:sz w:val="24"/>
                <w:szCs w:val="24"/>
                <w:lang w:val="en-US" w:eastAsia="zh-CN"/>
              </w:rPr>
              <w:t xml:space="preserve">4</w:t>
            </w:r>
            <w:r>
              <w:rPr>
                <w:rFonts w:ascii="宋体" w:hAnsi="宋体"/>
                <w:sz w:val="24"/>
                <w:szCs w:val="24"/>
              </w:rPr>
              <w:t xml:space="preserve">.</w:t>
            </w:r>
            <w:r>
              <w:rPr>
                <w:rFonts w:hint="eastAsia" w:ascii="宋体" w:hAnsi="宋体"/>
                <w:sz w:val="24"/>
                <w:szCs w:val="24"/>
              </w:rPr>
              <w:t xml:space="preserve">投标人具有质量管理体系认证证书的</w:t>
            </w:r>
            <w:r>
              <w:rPr>
                <w:rFonts w:hint="eastAsia" w:ascii="宋体" w:hAnsi="宋体"/>
                <w:b/>
                <w:bCs/>
                <w:sz w:val="24"/>
                <w:szCs w:val="24"/>
              </w:rPr>
              <w:t xml:space="preserve">得</w:t>
            </w:r>
            <w:r>
              <w:rPr>
                <w:rFonts w:hint="eastAsia" w:ascii="宋体" w:hAnsi="宋体"/>
                <w:b/>
                <w:bCs/>
                <w:sz w:val="24"/>
                <w:szCs w:val="24"/>
                <w:lang w:val="en-US" w:eastAsia="zh-CN"/>
              </w:rPr>
              <w:t xml:space="preserve">1</w:t>
            </w:r>
            <w:r>
              <w:rPr>
                <w:rFonts w:hint="eastAsia" w:ascii="宋体" w:hAnsi="宋体"/>
                <w:b/>
                <w:bCs/>
                <w:sz w:val="24"/>
                <w:szCs w:val="24"/>
              </w:rPr>
              <w:t xml:space="preserve">分</w:t>
            </w:r>
            <w:r>
              <w:rPr>
                <w:rFonts w:hint="eastAsia" w:ascii="宋体" w:hAnsi="宋体"/>
                <w:sz w:val="24"/>
                <w:szCs w:val="24"/>
              </w:rPr>
              <w:t xml:space="preserve">。</w:t>
            </w:r>
            <w:r/>
          </w:p>
          <w:p>
            <w:pPr>
              <w:spacing w:line="480" w:lineRule="atLeast"/>
            </w:pPr>
            <w:r>
              <w:rPr>
                <w:rFonts w:hint="eastAsia" w:ascii="宋体" w:hAnsi="宋体"/>
                <w:b/>
                <w:bCs/>
                <w:sz w:val="24"/>
                <w:szCs w:val="24"/>
              </w:rPr>
              <w:t xml:space="preserve">（上述1-3</w:t>
            </w:r>
            <w:r>
              <w:rPr>
                <w:rFonts w:ascii="宋体" w:hAnsi="宋体"/>
                <w:b/>
                <w:bCs/>
                <w:sz w:val="24"/>
                <w:szCs w:val="24"/>
              </w:rPr>
              <w:t xml:space="preserve">项</w:t>
            </w:r>
            <w:r>
              <w:rPr>
                <w:rFonts w:hint="eastAsia" w:ascii="宋体" w:hAnsi="宋体"/>
                <w:b/>
                <w:bCs/>
                <w:sz w:val="24"/>
                <w:szCs w:val="24"/>
              </w:rPr>
              <w:t xml:space="preserve">投标</w:t>
            </w:r>
            <w:r>
              <w:rPr>
                <w:rFonts w:ascii="宋体" w:hAnsi="宋体"/>
                <w:b/>
                <w:bCs/>
                <w:sz w:val="24"/>
                <w:szCs w:val="24"/>
              </w:rPr>
              <w:t xml:space="preserve">文件中提供有效证书</w:t>
            </w:r>
            <w:r>
              <w:rPr>
                <w:rFonts w:hint="eastAsia" w:ascii="宋体" w:hAnsi="宋体"/>
                <w:b/>
                <w:bCs/>
                <w:sz w:val="24"/>
                <w:szCs w:val="24"/>
                <w:lang w:eastAsia="zh-CN"/>
              </w:rPr>
              <w:t xml:space="preserve">扫描件、复印件或电子件</w:t>
            </w:r>
            <w:r>
              <w:rPr>
                <w:rFonts w:ascii="宋体" w:hAnsi="宋体"/>
                <w:b/>
                <w:bCs/>
                <w:sz w:val="24"/>
                <w:szCs w:val="24"/>
              </w:rPr>
              <w:t xml:space="preserve">并加盖</w:t>
            </w:r>
            <w:r>
              <w:rPr>
                <w:rFonts w:hint="eastAsia" w:ascii="宋体" w:hAnsi="宋体"/>
                <w:b/>
                <w:bCs/>
                <w:sz w:val="24"/>
                <w:szCs w:val="24"/>
              </w:rPr>
              <w:t xml:space="preserve">投标人</w:t>
            </w:r>
            <w:r>
              <w:rPr>
                <w:rFonts w:ascii="宋体" w:hAnsi="宋体"/>
                <w:b/>
                <w:bCs/>
                <w:sz w:val="24"/>
                <w:szCs w:val="24"/>
              </w:rPr>
              <w:t xml:space="preserve">公章，否则不得分）</w:t>
            </w:r>
            <w:r/>
          </w:p>
        </w:tc>
      </w:tr>
      <w:tr>
        <w:trPr>
          <w:jc w:val="center"/>
          <w:trHeight w:val="621"/>
        </w:trPr>
        <w:tc>
          <w:tcPr>
            <w:tcW w:w="1324" w:type="dxa"/>
            <w:vAlign w:val="center"/>
            <w:textDirection w:val="lrTb"/>
            <w:noWrap w:val="false"/>
          </w:tcPr>
          <w:p>
            <w:pPr>
              <w:jc w:val="center"/>
              <w:spacing w:line="48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项目团队成员</w:t>
            </w:r>
            <w:r/>
          </w:p>
          <w:p>
            <w:pPr>
              <w:jc w:val="center"/>
              <w:spacing w:line="48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
              <w:rPr>
                <w:rFonts w:hint="eastAsia" w:ascii="宋体" w:hAnsi="宋体"/>
                <w:color w:val="000000"/>
                <w:sz w:val="24"/>
                <w:szCs w:val="24"/>
              </w:rPr>
              <w:t xml:space="preserve">（10分）</w:t>
            </w:r>
            <w:r/>
          </w:p>
        </w:tc>
        <w:tc>
          <w:tcPr>
            <w:tcW w:w="7857" w:type="dxa"/>
            <w:vAlign w:val="center"/>
            <w:textDirection w:val="lrTb"/>
            <w:noWrap w:val="false"/>
          </w:tcPr>
          <w:p>
            <w:pPr>
              <w:spacing w:line="480" w:lineRule="atLeast"/>
              <w:rPr>
                <w:rFonts w:ascii="宋体" w:hAnsi="宋体"/>
                <w:b/>
                <w:color w:val="000000"/>
                <w:sz w:val="24"/>
                <w:szCs w:val="21"/>
                <w:highlight w:val="none"/>
              </w:rPr>
            </w:pPr>
            <w:r>
              <w:rPr>
                <w:rFonts w:hint="eastAsia" w:ascii="宋体" w:hAnsi="宋体"/>
                <w:color w:val="000000"/>
                <w:sz w:val="24"/>
                <w:szCs w:val="21"/>
                <w:highlight w:val="none"/>
              </w:rPr>
              <w:t xml:space="preserve">1.投标人拟派项目负责人具有数据中心（机房）规划设计工程师、注册建造师（机电工程专业）</w:t>
            </w:r>
            <w:r>
              <w:rPr>
                <w:rFonts w:hint="eastAsia" w:ascii="宋体" w:hAnsi="宋体"/>
                <w:color w:val="000000"/>
                <w:sz w:val="24"/>
                <w:szCs w:val="21"/>
                <w:highlight w:val="none"/>
                <w:lang w:eastAsia="zh-CN"/>
              </w:rPr>
              <w:t xml:space="preserve">、IT服务项目经理（ITSS）、</w:t>
            </w:r>
            <w:r>
              <w:rPr>
                <w:rFonts w:hint="eastAsia" w:ascii="宋体" w:hAnsi="宋体"/>
                <w:color w:val="000000"/>
                <w:sz w:val="24"/>
                <w:szCs w:val="21"/>
                <w:highlight w:val="none"/>
              </w:rPr>
              <w:t xml:space="preserve">注册信息安全管理人员证书(CISP)</w:t>
            </w:r>
            <w:r>
              <w:rPr>
                <w:rFonts w:hint="eastAsia" w:ascii="宋体" w:hAnsi="宋体"/>
                <w:color w:val="000000"/>
                <w:sz w:val="24"/>
                <w:szCs w:val="21"/>
                <w:highlight w:val="none"/>
                <w:lang w:eastAsia="zh-CN"/>
              </w:rPr>
              <w:t xml:space="preserve">、弱电系统工程师</w:t>
            </w:r>
            <w:r>
              <w:rPr>
                <w:rFonts w:hint="eastAsia" w:ascii="宋体" w:hAnsi="宋体"/>
                <w:color w:val="000000"/>
                <w:sz w:val="24"/>
                <w:szCs w:val="21"/>
                <w:highlight w:val="none"/>
              </w:rPr>
              <w:t xml:space="preserve">的，每提供一个证书</w:t>
            </w:r>
            <w:r>
              <w:rPr>
                <w:rFonts w:hint="eastAsia" w:ascii="宋体" w:hAnsi="宋体" w:eastAsia="宋体" w:cs="Times New Roman"/>
                <w:color w:val="000000"/>
                <w:sz w:val="24"/>
                <w:szCs w:val="21"/>
                <w:highlight w:val="none"/>
              </w:rPr>
              <w:t xml:space="preserve">的得1分，最高得</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rPr>
              <w:t xml:space="preserve">分。</w:t>
            </w:r>
            <w:r/>
          </w:p>
          <w:p>
            <w:pPr>
              <w:spacing w:line="480" w:lineRule="atLeast"/>
              <w:rPr>
                <w:rFonts w:ascii="宋体" w:hAnsi="宋体"/>
                <w:b/>
                <w:bCs/>
                <w:color w:val="000000"/>
                <w:sz w:val="24"/>
                <w:szCs w:val="21"/>
                <w:highlight w:val="none"/>
              </w:rPr>
            </w:pPr>
            <w:r>
              <w:rPr>
                <w:rFonts w:hint="eastAsia" w:ascii="宋体" w:hAnsi="宋体"/>
                <w:color w:val="000000"/>
                <w:sz w:val="24"/>
                <w:szCs w:val="21"/>
                <w:highlight w:val="none"/>
              </w:rPr>
              <w:t xml:space="preserve">2.投标人拟派项目团队成员（不包含项目负责人）中具有网络工程师、IT服务工程师、注册信息安全专业人员（CISP）、系统集成项目管理工程师的，每提供一个证书得</w:t>
            </w:r>
            <w:r>
              <w:rPr>
                <w:rFonts w:hint="eastAsia" w:ascii="宋体" w:hAnsi="宋体"/>
                <w:color w:val="000000"/>
                <w:sz w:val="24"/>
                <w:szCs w:val="21"/>
                <w:highlight w:val="none"/>
                <w:lang w:val="en-US" w:eastAsia="zh-CN"/>
              </w:rPr>
              <w:t xml:space="preserve">1</w:t>
            </w:r>
            <w:r>
              <w:rPr>
                <w:rFonts w:hint="eastAsia" w:ascii="宋体" w:hAnsi="宋体"/>
                <w:color w:val="000000"/>
                <w:sz w:val="24"/>
                <w:szCs w:val="21"/>
                <w:highlight w:val="none"/>
              </w:rPr>
              <w:t xml:space="preserve">分，</w:t>
            </w:r>
            <w:r>
              <w:rPr>
                <w:rFonts w:hint="eastAsia" w:ascii="宋体" w:hAnsi="宋体"/>
                <w:b/>
                <w:color w:val="000000"/>
                <w:sz w:val="24"/>
                <w:szCs w:val="21"/>
                <w:highlight w:val="none"/>
              </w:rPr>
              <w:t xml:space="preserve">最高得</w:t>
            </w:r>
            <w:r>
              <w:rPr>
                <w:rFonts w:hint="eastAsia" w:ascii="宋体" w:hAnsi="宋体"/>
                <w:b/>
                <w:color w:val="000000"/>
                <w:sz w:val="24"/>
                <w:szCs w:val="21"/>
                <w:highlight w:val="none"/>
                <w:lang w:val="en-US" w:eastAsia="zh-CN"/>
              </w:rPr>
              <w:t xml:space="preserve">5</w:t>
            </w:r>
            <w:r>
              <w:rPr>
                <w:rFonts w:hint="eastAsia" w:ascii="宋体" w:hAnsi="宋体"/>
                <w:b/>
                <w:color w:val="000000"/>
                <w:sz w:val="24"/>
                <w:szCs w:val="21"/>
                <w:highlight w:val="none"/>
              </w:rPr>
              <w:t xml:space="preserve">分。</w:t>
            </w:r>
            <w:r/>
          </w:p>
          <w:p>
            <w:pPr>
              <w:spacing w:line="480" w:lineRule="atLeast"/>
              <w:rPr>
                <w:highlight w:val="none"/>
              </w:rPr>
            </w:pPr>
            <w:r>
              <w:rPr>
                <w:rFonts w:hint="eastAsia" w:ascii="宋体" w:hAnsi="宋体"/>
                <w:b/>
                <w:bCs/>
                <w:color w:val="000000"/>
                <w:sz w:val="24"/>
                <w:szCs w:val="21"/>
                <w:highlight w:val="none"/>
              </w:rPr>
              <w:t xml:space="preserve">（上述1-2项投标文件中提供有效证书及2025年1月（含）以来任意一个月由投标人为其缴纳的社保证明材料扫描件、复印件或电子件并加盖投标人公章，否则不得分。）</w:t>
            </w:r>
            <w:r/>
          </w:p>
        </w:tc>
      </w:tr>
      <w:tr>
        <w:trPr>
          <w:jc w:val="center"/>
          <w:trHeight w:val="621"/>
        </w:trPr>
        <w:tc>
          <w:tcPr>
            <w:tcW w:w="1324" w:type="dxa"/>
            <w:vAlign w:val="center"/>
            <w:textDirection w:val="lrTb"/>
            <w:noWrap w:val="false"/>
          </w:tcPr>
          <w:p>
            <w:pPr>
              <w:jc w:val="center"/>
              <w:spacing w:line="48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业绩</w:t>
            </w:r>
            <w:r/>
          </w:p>
          <w:p>
            <w:pPr>
              <w:jc w:val="center"/>
              <w:spacing w:line="48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分）</w:t>
            </w:r>
            <w:r/>
          </w:p>
        </w:tc>
        <w:tc>
          <w:tcPr>
            <w:tcW w:w="7857" w:type="dxa"/>
            <w:vAlign w:val="center"/>
            <w:textDirection w:val="lrTb"/>
            <w:noWrap w:val="false"/>
          </w:tcPr>
          <w:p>
            <w:pPr>
              <w:spacing w:line="480" w:lineRule="exact"/>
              <w:rPr>
                <w:rFonts w:ascii="宋体" w:hAnsi="宋体"/>
                <w:b/>
                <w:color w:val="000000"/>
                <w:sz w:val="24"/>
                <w:szCs w:val="21"/>
              </w:rPr>
            </w:pPr>
            <w:r>
              <w:rPr>
                <w:rFonts w:hint="eastAsia" w:ascii="宋体" w:hAnsi="宋体"/>
                <w:color w:val="000000"/>
                <w:sz w:val="24"/>
                <w:szCs w:val="21"/>
              </w:rPr>
              <w:t xml:space="preserve">自2022年1月1日（含）起以来，以合同签订时间为准，</w:t>
            </w:r>
            <w:r>
              <w:rPr>
                <w:rFonts w:hint="eastAsia" w:ascii="宋体" w:hAnsi="宋体"/>
                <w:color w:val="000000"/>
                <w:sz w:val="24"/>
                <w:szCs w:val="21"/>
                <w:highlight w:val="none"/>
              </w:rPr>
              <w:t xml:space="preserve">投标人具有</w:t>
            </w:r>
            <w:r>
              <w:rPr>
                <w:rFonts w:hint="eastAsia" w:ascii="宋体" w:hAnsi="宋体"/>
                <w:color w:val="000000"/>
                <w:sz w:val="24"/>
                <w:szCs w:val="21"/>
                <w:highlight w:val="none"/>
                <w:lang w:eastAsia="zh-CN"/>
              </w:rPr>
              <w:t xml:space="preserve">机房建设相关</w:t>
            </w:r>
            <w:r>
              <w:rPr>
                <w:rFonts w:hint="eastAsia" w:ascii="宋体" w:hAnsi="宋体"/>
                <w:color w:val="000000"/>
                <w:sz w:val="24"/>
                <w:szCs w:val="21"/>
                <w:highlight w:val="none"/>
              </w:rPr>
              <w:t xml:space="preserve">项目业绩的</w:t>
            </w:r>
            <w:r>
              <w:rPr>
                <w:rFonts w:hint="eastAsia" w:ascii="宋体" w:hAnsi="宋体"/>
                <w:color w:val="000000"/>
                <w:sz w:val="24"/>
                <w:szCs w:val="21"/>
              </w:rPr>
              <w:t xml:space="preserve">，每提供一个得2分，</w:t>
            </w:r>
            <w:r>
              <w:rPr>
                <w:rFonts w:hint="eastAsia" w:ascii="宋体" w:hAnsi="宋体"/>
                <w:b/>
                <w:color w:val="000000"/>
                <w:sz w:val="24"/>
                <w:szCs w:val="21"/>
              </w:rPr>
              <w:t xml:space="preserve">最高得</w:t>
            </w:r>
            <w:r>
              <w:rPr>
                <w:rFonts w:hint="eastAsia" w:ascii="宋体" w:hAnsi="宋体"/>
                <w:b/>
                <w:color w:val="000000"/>
                <w:sz w:val="24"/>
                <w:szCs w:val="21"/>
                <w:lang w:val="en-US" w:eastAsia="zh-CN"/>
              </w:rPr>
              <w:t xml:space="preserve">6</w:t>
            </w:r>
            <w:r>
              <w:rPr>
                <w:rFonts w:hint="eastAsia" w:ascii="宋体" w:hAnsi="宋体"/>
                <w:b/>
                <w:color w:val="000000"/>
                <w:sz w:val="24"/>
                <w:szCs w:val="21"/>
              </w:rPr>
              <w:t xml:space="preserve">分。</w:t>
            </w:r>
            <w:r/>
          </w:p>
          <w:p>
            <w:pPr>
              <w:spacing w:line="480" w:lineRule="exact"/>
            </w:pPr>
            <w:r>
              <w:rPr>
                <w:rFonts w:hint="eastAsia" w:ascii="宋体" w:hAnsi="宋体"/>
                <w:b/>
                <w:bCs/>
                <w:color w:val="000000"/>
                <w:sz w:val="24"/>
                <w:szCs w:val="21"/>
              </w:rPr>
              <w:t xml:space="preserve">（投标文件中提供合同</w:t>
            </w:r>
            <w:r>
              <w:rPr>
                <w:rFonts w:hint="eastAsia" w:ascii="宋体" w:hAnsi="宋体"/>
                <w:b/>
                <w:bCs/>
                <w:color w:val="000000"/>
                <w:sz w:val="24"/>
                <w:szCs w:val="21"/>
                <w:lang w:eastAsia="zh-CN"/>
              </w:rPr>
              <w:t xml:space="preserve">扫描件、复印件或电子件</w:t>
            </w:r>
            <w:r>
              <w:rPr>
                <w:rFonts w:hint="eastAsia" w:ascii="宋体" w:hAnsi="宋体"/>
                <w:b/>
                <w:bCs/>
                <w:color w:val="000000"/>
                <w:sz w:val="24"/>
                <w:szCs w:val="21"/>
              </w:rPr>
              <w:t xml:space="preserve">并加盖投标人公章，否则不得分。时间、内容以合同为准。合同中设备名称不完全一致的，由评审委员会统一认定）</w:t>
            </w:r>
            <w:r/>
          </w:p>
        </w:tc>
      </w:tr>
    </w:tbl>
    <w:p>
      <w:pPr>
        <w:numPr>
          <w:ilvl w:val="0"/>
          <w:numId w:val="0"/>
        </w:numPr>
        <w:jc w:val="left"/>
        <w:spacing w:line="500" w:lineRule="exact"/>
        <w:rPr>
          <w:rFonts w:hint="eastAsia"/>
          <w:sz w:val="24"/>
          <w:szCs w:val="24"/>
        </w:rPr>
      </w:pPr>
      <w:r>
        <w:rPr>
          <w:rFonts w:hint="eastAsia"/>
          <w:sz w:val="24"/>
          <w:szCs w:val="24"/>
        </w:rPr>
      </w:r>
      <w:r/>
    </w:p>
    <w:p>
      <w:pPr>
        <w:ind w:firstLine="480"/>
        <w:jc w:val="left"/>
        <w:spacing w:line="500" w:lineRule="exact"/>
        <w:rPr>
          <w:sz w:val="24"/>
          <w:szCs w:val="24"/>
        </w:rPr>
      </w:pPr>
      <w:r>
        <w:rPr>
          <w:rFonts w:hint="eastAsia"/>
          <w:sz w:val="24"/>
          <w:szCs w:val="24"/>
        </w:rPr>
        <w:t xml:space="preserve">（3）商务分（</w:t>
      </w:r>
      <w:r>
        <w:rPr>
          <w:rFonts w:hint="eastAsia"/>
          <w:sz w:val="24"/>
          <w:szCs w:val="24"/>
          <w:lang w:val="en-US" w:eastAsia="zh-CN"/>
        </w:rPr>
        <w:t xml:space="preserve">18</w:t>
      </w:r>
      <w:r>
        <w:rPr>
          <w:rFonts w:hint="eastAsia"/>
          <w:sz w:val="24"/>
          <w:szCs w:val="24"/>
        </w:rPr>
        <w:t xml:space="preserve">分）</w:t>
      </w:r>
      <w:r/>
    </w:p>
    <w:tbl>
      <w:tblPr>
        <w:tblStyle w:val="655"/>
        <w:tblW w:w="91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9"/>
        <w:gridCol w:w="7076"/>
      </w:tblGrid>
      <w:tr>
        <w:trPr>
          <w:jc w:val="center"/>
          <w:trHeight w:val="621"/>
        </w:trPr>
        <w:tc>
          <w:tcPr>
            <w:tcW w:w="1429" w:type="dxa"/>
            <w:vAlign w:val="center"/>
            <w:textDirection w:val="lrTb"/>
            <w:noWrap w:val="false"/>
          </w:tcPr>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olor w:val="000000"/>
                <w:sz w:val="24"/>
                <w:szCs w:val="24"/>
              </w:rPr>
            </w:pPr>
            <w:r>
              <w:rPr>
                <w:rFonts w:hint="eastAsia" w:ascii="宋体" w:hAnsi="宋体"/>
                <w:color w:val="000000"/>
                <w:sz w:val="24"/>
                <w:szCs w:val="24"/>
              </w:rPr>
              <w:t xml:space="preserve">实施方案</w:t>
            </w:r>
            <w:r/>
          </w:p>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color w:val="000000"/>
                <w:sz w:val="24"/>
                <w:szCs w:val="22"/>
                <w:lang w:val="en-US" w:eastAsia="zh-CN" w:bidi="ar-SA"/>
              </w:rPr>
            </w:pPr>
            <w:r>
              <w:rPr>
                <w:rFonts w:hint="eastAsia" w:ascii="宋体" w:hAnsi="宋体"/>
                <w:color w:val="000000"/>
                <w:sz w:val="24"/>
                <w:szCs w:val="24"/>
              </w:rPr>
              <w:t xml:space="preserve">（6分）</w:t>
            </w:r>
            <w:r/>
          </w:p>
        </w:tc>
        <w:tc>
          <w:tcPr>
            <w:tcW w:w="7076" w:type="dxa"/>
            <w:vAlign w:val="center"/>
            <w:textDirection w:val="lrTb"/>
            <w:noWrap w:val="false"/>
          </w:tcPr>
          <w:p>
            <w:pPr>
              <w:spacing w:line="440" w:lineRule="exact"/>
              <w:rPr>
                <w:rFonts w:hint="eastAsia" w:ascii="宋体" w:hAnsi="宋体" w:eastAsia="宋体"/>
                <w:b/>
                <w:bCs w:val="0"/>
                <w:color w:val="000000"/>
                <w:sz w:val="24"/>
                <w:szCs w:val="21"/>
                <w:lang w:eastAsia="zh-CN"/>
              </w:rPr>
            </w:pPr>
            <w:r>
              <w:rPr>
                <w:rFonts w:hint="eastAsia" w:ascii="宋体" w:hAnsi="宋体"/>
                <w:b/>
                <w:bCs w:val="0"/>
                <w:sz w:val="24"/>
                <w:szCs w:val="21"/>
                <w:lang w:val="zh-CN"/>
              </w:rPr>
              <w:t xml:space="preserve">投标人</w:t>
            </w:r>
            <w:r>
              <w:rPr>
                <w:rFonts w:hint="eastAsia" w:ascii="宋体" w:hAnsi="宋体"/>
                <w:b/>
                <w:bCs w:val="0"/>
                <w:sz w:val="24"/>
                <w:szCs w:val="21"/>
                <w:lang w:val="en-US" w:eastAsia="zh-CN"/>
              </w:rPr>
              <w:t xml:space="preserve">针对采购</w:t>
            </w:r>
            <w:r>
              <w:rPr>
                <w:rFonts w:hint="eastAsia" w:ascii="宋体" w:hAnsi="宋体"/>
                <w:b/>
                <w:bCs w:val="0"/>
                <w:sz w:val="24"/>
                <w:szCs w:val="21"/>
                <w:lang w:val="zh-CN"/>
              </w:rPr>
              <w:t xml:space="preserve">需求提供项目实施方案，</w:t>
            </w:r>
            <w:r>
              <w:rPr>
                <w:rFonts w:hint="eastAsia" w:ascii="宋体" w:hAnsi="宋体"/>
                <w:b/>
                <w:bCs w:val="0"/>
                <w:color w:val="000000"/>
                <w:sz w:val="24"/>
                <w:szCs w:val="21"/>
              </w:rPr>
              <w:t xml:space="preserve">内容包括但不限于组织和实施流程、设备安装方案、进度计划、质量保证措施、紧急预案等</w:t>
            </w:r>
            <w:r>
              <w:rPr>
                <w:rFonts w:hint="eastAsia" w:ascii="宋体" w:hAnsi="宋体"/>
                <w:b/>
                <w:bCs w:val="0"/>
                <w:color w:val="000000"/>
                <w:sz w:val="24"/>
                <w:szCs w:val="21"/>
                <w:lang w:eastAsia="zh-CN"/>
              </w:rPr>
              <w:t xml:space="preserve">：</w:t>
            </w:r>
            <w:r/>
          </w:p>
          <w:p>
            <w:pPr>
              <w:spacing w:line="440" w:lineRule="exact"/>
              <w:rPr>
                <w:rFonts w:ascii="宋体" w:hAnsi="宋体"/>
                <w:color w:val="000000"/>
                <w:sz w:val="24"/>
                <w:szCs w:val="21"/>
                <w:highlight w:val="none"/>
              </w:rPr>
            </w:pPr>
            <w:r>
              <w:rPr>
                <w:rFonts w:hint="eastAsia" w:ascii="宋体" w:hAnsi="宋体"/>
                <w:color w:val="000000"/>
                <w:sz w:val="24"/>
                <w:szCs w:val="21"/>
                <w:highlight w:val="none"/>
              </w:rPr>
              <w:t xml:space="preserve">方案包含上述全部内容，实施流程清晰，安装及进度计划内容详细，措施完善，预案可操作性强，</w:t>
            </w:r>
            <w:r>
              <w:rPr>
                <w:rFonts w:hint="eastAsia" w:ascii="宋体" w:hAnsi="宋体"/>
                <w:color w:val="000000"/>
                <w:sz w:val="24"/>
                <w:szCs w:val="21"/>
                <w:highlight w:val="none"/>
                <w:lang w:val="en-US" w:eastAsia="zh-CN"/>
              </w:rPr>
              <w:t xml:space="preserve">完全满足</w:t>
            </w:r>
            <w:r>
              <w:rPr>
                <w:rFonts w:hint="eastAsia" w:ascii="宋体" w:hAnsi="宋体"/>
                <w:color w:val="000000"/>
                <w:sz w:val="24"/>
                <w:szCs w:val="21"/>
                <w:highlight w:val="none"/>
              </w:rPr>
              <w:t xml:space="preserve">项目需求的</w:t>
            </w:r>
            <w:r>
              <w:rPr>
                <w:rFonts w:hint="eastAsia" w:ascii="宋体" w:hAnsi="宋体"/>
                <w:b/>
                <w:color w:val="000000"/>
                <w:sz w:val="24"/>
                <w:szCs w:val="21"/>
                <w:highlight w:val="none"/>
              </w:rPr>
              <w:t xml:space="preserve">得6分；</w:t>
            </w:r>
            <w:r/>
          </w:p>
          <w:p>
            <w:pPr>
              <w:spacing w:line="440" w:lineRule="exact"/>
              <w:rPr>
                <w:rFonts w:ascii="宋体" w:hAnsi="宋体"/>
                <w:b/>
                <w:color w:val="000000"/>
                <w:sz w:val="24"/>
                <w:szCs w:val="21"/>
                <w:highlight w:val="none"/>
              </w:rPr>
            </w:pPr>
            <w:r>
              <w:rPr>
                <w:rFonts w:hint="eastAsia" w:ascii="宋体" w:hAnsi="宋体"/>
                <w:color w:val="000000"/>
                <w:sz w:val="24"/>
                <w:szCs w:val="21"/>
                <w:highlight w:val="none"/>
              </w:rPr>
              <w:t xml:space="preserve">方案包含上述全部内容，流程较清晰，安装及进度计划内容较详细，有对应措施，预案可操作性较强，较能够满足本项目需求的</w:t>
            </w:r>
            <w:r>
              <w:rPr>
                <w:rFonts w:hint="eastAsia" w:ascii="宋体" w:hAnsi="宋体"/>
                <w:b/>
                <w:color w:val="000000"/>
                <w:sz w:val="24"/>
                <w:szCs w:val="21"/>
                <w:highlight w:val="none"/>
              </w:rPr>
              <w:t xml:space="preserve">得</w:t>
            </w:r>
            <w:r>
              <w:rPr>
                <w:rFonts w:hint="eastAsia" w:ascii="宋体" w:hAnsi="宋体"/>
                <w:b/>
                <w:color w:val="000000"/>
                <w:sz w:val="24"/>
                <w:szCs w:val="21"/>
                <w:highlight w:val="none"/>
                <w:lang w:val="en-US" w:eastAsia="zh-CN"/>
              </w:rPr>
              <w:t xml:space="preserve">4</w:t>
            </w:r>
            <w:r>
              <w:rPr>
                <w:rFonts w:hint="eastAsia" w:ascii="宋体" w:hAnsi="宋体"/>
                <w:b/>
                <w:color w:val="000000"/>
                <w:sz w:val="24"/>
                <w:szCs w:val="21"/>
                <w:highlight w:val="none"/>
              </w:rPr>
              <w:t xml:space="preserve">分；</w:t>
            </w:r>
            <w:r/>
          </w:p>
          <w:p>
            <w:pPr>
              <w:spacing w:line="440" w:lineRule="exact"/>
              <w:rPr>
                <w:rFonts w:ascii="宋体" w:hAnsi="宋体"/>
                <w:b/>
                <w:color w:val="000000"/>
                <w:sz w:val="24"/>
                <w:szCs w:val="21"/>
                <w:highlight w:val="none"/>
              </w:rPr>
            </w:pPr>
            <w:r>
              <w:rPr>
                <w:rFonts w:hint="eastAsia" w:ascii="宋体" w:hAnsi="宋体"/>
                <w:color w:val="000000"/>
                <w:sz w:val="24"/>
                <w:szCs w:val="21"/>
                <w:highlight w:val="none"/>
              </w:rPr>
              <w:t xml:space="preserve">方案基本包含上述部内容，阐述不详细，安装及进度计划内容简单，有对应措施，预案可操作性一般，基本够满足本项目需求的</w:t>
            </w:r>
            <w:r>
              <w:rPr>
                <w:rFonts w:hint="eastAsia" w:ascii="宋体" w:hAnsi="宋体"/>
                <w:b/>
                <w:color w:val="000000"/>
                <w:sz w:val="24"/>
                <w:szCs w:val="21"/>
                <w:highlight w:val="none"/>
              </w:rPr>
              <w:t xml:space="preserve">得</w:t>
            </w:r>
            <w:r>
              <w:rPr>
                <w:rFonts w:hint="eastAsia" w:ascii="宋体" w:hAnsi="宋体"/>
                <w:b/>
                <w:color w:val="000000"/>
                <w:sz w:val="24"/>
                <w:szCs w:val="21"/>
                <w:highlight w:val="none"/>
                <w:lang w:val="en-US" w:eastAsia="zh-CN"/>
              </w:rPr>
              <w:t xml:space="preserve">2</w:t>
            </w:r>
            <w:r>
              <w:rPr>
                <w:rFonts w:hint="eastAsia" w:ascii="宋体" w:hAnsi="宋体"/>
                <w:b/>
                <w:color w:val="000000"/>
                <w:sz w:val="24"/>
                <w:szCs w:val="21"/>
                <w:highlight w:val="none"/>
              </w:rPr>
              <w:t xml:space="preserve">分；</w:t>
            </w:r>
            <w:r/>
          </w:p>
          <w:p>
            <w:pPr>
              <w:spacing w:line="440" w:lineRule="exact"/>
              <w:rPr>
                <w:rFonts w:ascii="宋体" w:hAnsi="宋体"/>
                <w:b/>
                <w:color w:val="000000"/>
                <w:sz w:val="24"/>
                <w:szCs w:val="21"/>
                <w:highlight w:val="none"/>
              </w:rPr>
            </w:pPr>
            <w:r>
              <w:rPr>
                <w:rFonts w:hint="eastAsia" w:ascii="宋体" w:hAnsi="宋体"/>
                <w:color w:val="000000"/>
                <w:sz w:val="24"/>
                <w:szCs w:val="21"/>
                <w:highlight w:val="none"/>
              </w:rPr>
              <w:t xml:space="preserve">上述内容有缺项，内容合理性一般，措施简单粗糙，可操作性不强，基本能够满足本项目需求的</w:t>
            </w:r>
            <w:r>
              <w:rPr>
                <w:rFonts w:hint="eastAsia" w:ascii="宋体" w:hAnsi="宋体"/>
                <w:b/>
                <w:color w:val="000000"/>
                <w:sz w:val="24"/>
                <w:szCs w:val="21"/>
                <w:highlight w:val="none"/>
              </w:rPr>
              <w:t xml:space="preserve">得1分；</w:t>
            </w:r>
            <w:r/>
          </w:p>
          <w:p>
            <w:pPr>
              <w:spacing w:line="480" w:lineRule="exact"/>
              <w:rPr>
                <w:rFonts w:hint="eastAsia" w:ascii="宋体" w:hAnsi="宋体" w:eastAsia="宋体" w:cs="Times New Roman"/>
                <w:b/>
                <w:sz w:val="24"/>
                <w:szCs w:val="24"/>
                <w:lang w:val="en-US" w:eastAsia="zh-CN" w:bidi="ar-SA"/>
              </w:rPr>
            </w:pPr>
            <w:r>
              <w:rPr>
                <w:rFonts w:hint="eastAsia" w:ascii="宋体" w:hAnsi="宋体"/>
                <w:b/>
                <w:bCs/>
                <w:color w:val="000000"/>
                <w:sz w:val="24"/>
                <w:szCs w:val="21"/>
                <w:highlight w:val="none"/>
              </w:rPr>
              <w:t xml:space="preserve">该项未见阐述不得分。</w:t>
            </w:r>
            <w:r/>
          </w:p>
        </w:tc>
      </w:tr>
      <w:tr>
        <w:trPr>
          <w:jc w:val="center"/>
          <w:trHeight w:val="621"/>
        </w:trPr>
        <w:tc>
          <w:tcPr>
            <w:tcW w:w="1429" w:type="dxa"/>
            <w:vAlign w:val="center"/>
            <w:textDirection w:val="lrTb"/>
            <w:noWrap w:val="false"/>
          </w:tcPr>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售后服务方案</w:t>
            </w:r>
            <w:r/>
          </w:p>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color w:val="000000"/>
                <w:sz w:val="24"/>
                <w:szCs w:val="22"/>
                <w:lang w:val="en-US" w:eastAsia="zh-CN" w:bidi="ar-SA"/>
              </w:rPr>
            </w:pP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分）</w:t>
            </w:r>
            <w:r/>
          </w:p>
        </w:tc>
        <w:tc>
          <w:tcPr>
            <w:tcW w:w="7076" w:type="dxa"/>
            <w:vAlign w:val="center"/>
            <w:textDirection w:val="lrTb"/>
            <w:noWrap w:val="false"/>
          </w:tcPr>
          <w:p>
            <w:pPr>
              <w:spacing w:line="480" w:lineRule="exact"/>
              <w:rPr>
                <w:rFonts w:ascii="宋体" w:hAnsi="宋体"/>
                <w:b/>
                <w:bCs/>
                <w:color w:val="000000"/>
                <w:sz w:val="24"/>
                <w:szCs w:val="21"/>
              </w:rPr>
            </w:pPr>
            <w:r>
              <w:rPr>
                <w:rFonts w:hint="eastAsia" w:ascii="宋体" w:hAnsi="宋体"/>
                <w:b/>
                <w:bCs/>
                <w:color w:val="000000"/>
                <w:sz w:val="24"/>
                <w:szCs w:val="21"/>
              </w:rPr>
              <w:t xml:space="preserve">投标人针对采购需求提供售后服务方案，内容包括但不限于服务内容、响应时间、故障处理、恢复时效、人员力量、支撑保障、服务保障体系等：</w:t>
            </w:r>
            <w:r/>
          </w:p>
          <w:p>
            <w:pPr>
              <w:spacing w:line="480" w:lineRule="exact"/>
              <w:rPr>
                <w:rFonts w:ascii="宋体" w:hAnsi="宋体"/>
                <w:b/>
                <w:color w:val="000000"/>
                <w:sz w:val="24"/>
                <w:szCs w:val="21"/>
              </w:rPr>
            </w:pPr>
            <w:r>
              <w:rPr>
                <w:rFonts w:hint="eastAsia" w:ascii="宋体" w:hAnsi="宋体"/>
                <w:color w:val="000000"/>
                <w:sz w:val="24"/>
                <w:szCs w:val="21"/>
              </w:rPr>
              <w:t xml:space="preserve">方案阐述详细，响应时间及故障处理及时，人员配备合理，支撑保障措施完善，具备完善的服务保障体系的</w:t>
            </w:r>
            <w:r>
              <w:rPr>
                <w:rFonts w:hint="eastAsia" w:ascii="宋体" w:hAnsi="宋体"/>
                <w:b/>
                <w:color w:val="000000"/>
                <w:sz w:val="24"/>
                <w:szCs w:val="21"/>
              </w:rPr>
              <w:t xml:space="preserve">得</w:t>
            </w:r>
            <w:r>
              <w:rPr>
                <w:rFonts w:hint="eastAsia" w:ascii="宋体" w:hAnsi="宋体"/>
                <w:b/>
                <w:color w:val="000000"/>
                <w:sz w:val="24"/>
                <w:szCs w:val="21"/>
                <w:lang w:val="en-US" w:eastAsia="zh-CN"/>
              </w:rPr>
              <w:t xml:space="preserve">6</w:t>
            </w:r>
            <w:r>
              <w:rPr>
                <w:rFonts w:hint="eastAsia" w:ascii="宋体" w:hAnsi="宋体"/>
                <w:b/>
                <w:color w:val="000000"/>
                <w:sz w:val="24"/>
                <w:szCs w:val="21"/>
              </w:rPr>
              <w:t xml:space="preserve">分；</w:t>
            </w:r>
            <w:r/>
          </w:p>
          <w:p>
            <w:pPr>
              <w:spacing w:line="480" w:lineRule="exact"/>
              <w:rPr>
                <w:rFonts w:ascii="宋体" w:hAnsi="宋体"/>
                <w:color w:val="000000"/>
                <w:sz w:val="24"/>
                <w:szCs w:val="21"/>
              </w:rPr>
            </w:pPr>
            <w:r>
              <w:rPr>
                <w:rFonts w:hint="eastAsia" w:ascii="宋体" w:hAnsi="宋体"/>
                <w:color w:val="000000"/>
                <w:sz w:val="24"/>
                <w:szCs w:val="21"/>
              </w:rPr>
              <w:t xml:space="preserve">方案阐述较详细，响应时间及故障处理较及时，人员配备较合理，支撑保障措施较完善，具有一定的服务保障体系的</w:t>
            </w:r>
            <w:r>
              <w:rPr>
                <w:rFonts w:hint="eastAsia" w:ascii="宋体" w:hAnsi="宋体"/>
                <w:b/>
                <w:color w:val="000000"/>
                <w:sz w:val="24"/>
                <w:szCs w:val="21"/>
              </w:rPr>
              <w:t xml:space="preserve">得</w:t>
            </w:r>
            <w:r>
              <w:rPr>
                <w:rFonts w:hint="eastAsia" w:ascii="宋体" w:hAnsi="宋体"/>
                <w:b/>
                <w:color w:val="000000"/>
                <w:sz w:val="24"/>
                <w:szCs w:val="21"/>
                <w:lang w:val="en-US" w:eastAsia="zh-CN"/>
              </w:rPr>
              <w:t xml:space="preserve">4</w:t>
            </w:r>
            <w:r>
              <w:rPr>
                <w:rFonts w:hint="eastAsia" w:ascii="宋体" w:hAnsi="宋体"/>
                <w:b/>
                <w:color w:val="000000"/>
                <w:sz w:val="24"/>
                <w:szCs w:val="21"/>
              </w:rPr>
              <w:t xml:space="preserve">分；</w:t>
            </w:r>
            <w:r/>
          </w:p>
          <w:p>
            <w:pPr>
              <w:spacing w:line="480" w:lineRule="exact"/>
              <w:rPr>
                <w:rFonts w:hint="eastAsia" w:ascii="宋体" w:hAnsi="宋体"/>
                <w:b/>
                <w:color w:val="000000"/>
                <w:sz w:val="24"/>
                <w:szCs w:val="21"/>
              </w:rPr>
            </w:pPr>
            <w:r>
              <w:rPr>
                <w:rFonts w:hint="eastAsia" w:ascii="宋体" w:hAnsi="宋体"/>
                <w:color w:val="000000"/>
                <w:sz w:val="24"/>
                <w:szCs w:val="21"/>
              </w:rPr>
              <w:t xml:space="preserve">方案内容简单粗糙，上述内容有缺项，可实施性一般的</w:t>
            </w:r>
            <w:r>
              <w:rPr>
                <w:rFonts w:hint="eastAsia" w:ascii="宋体" w:hAnsi="宋体"/>
                <w:b/>
                <w:color w:val="000000"/>
                <w:sz w:val="24"/>
                <w:szCs w:val="21"/>
              </w:rPr>
              <w:t xml:space="preserve">得</w:t>
            </w:r>
            <w:r>
              <w:rPr>
                <w:rFonts w:hint="eastAsia" w:ascii="宋体" w:hAnsi="宋体"/>
                <w:b/>
                <w:color w:val="000000"/>
                <w:sz w:val="24"/>
                <w:szCs w:val="21"/>
                <w:lang w:val="en-US" w:eastAsia="zh-CN"/>
              </w:rPr>
              <w:t xml:space="preserve">2</w:t>
            </w:r>
            <w:r>
              <w:rPr>
                <w:rFonts w:hint="eastAsia" w:ascii="宋体" w:hAnsi="宋体"/>
                <w:b/>
                <w:color w:val="000000"/>
                <w:sz w:val="24"/>
                <w:szCs w:val="21"/>
              </w:rPr>
              <w:t xml:space="preserve">分；</w:t>
            </w:r>
            <w:r/>
          </w:p>
          <w:p>
            <w:pPr>
              <w:spacing w:line="480" w:lineRule="exact"/>
              <w:rPr>
                <w:rFonts w:hint="eastAsia" w:ascii="宋体" w:hAnsi="宋体"/>
                <w:b/>
                <w:color w:val="000000"/>
                <w:sz w:val="24"/>
                <w:szCs w:val="21"/>
              </w:rPr>
            </w:pPr>
            <w:r>
              <w:rPr>
                <w:rFonts w:hint="eastAsia" w:ascii="宋体" w:hAnsi="宋体"/>
                <w:color w:val="000000"/>
                <w:sz w:val="24"/>
                <w:szCs w:val="21"/>
                <w:highlight w:val="none"/>
                <w:lang w:eastAsia="zh-CN"/>
              </w:rPr>
              <w:t xml:space="preserve">方案内容太过简单</w:t>
            </w:r>
            <w:r>
              <w:rPr>
                <w:rFonts w:hint="eastAsia" w:ascii="宋体" w:hAnsi="宋体"/>
                <w:color w:val="000000"/>
                <w:sz w:val="24"/>
                <w:szCs w:val="21"/>
                <w:highlight w:val="none"/>
              </w:rPr>
              <w:t xml:space="preserve">，可操作性不强，基本能够满足本项目需求的</w:t>
            </w:r>
            <w:r>
              <w:rPr>
                <w:rFonts w:hint="eastAsia" w:ascii="宋体" w:hAnsi="宋体"/>
                <w:b/>
                <w:color w:val="000000"/>
                <w:sz w:val="24"/>
                <w:szCs w:val="21"/>
                <w:highlight w:val="none"/>
              </w:rPr>
              <w:t xml:space="preserve">得1分；</w:t>
            </w:r>
            <w:r/>
          </w:p>
          <w:p>
            <w:pPr>
              <w:spacing w:line="480" w:lineRule="exact"/>
              <w:rPr>
                <w:rFonts w:hint="eastAsia" w:ascii="宋体" w:hAnsi="宋体" w:eastAsia="宋体" w:cs="Times New Roman"/>
                <w:b/>
                <w:sz w:val="24"/>
                <w:szCs w:val="24"/>
                <w:lang w:val="en-US" w:eastAsia="zh-CN" w:bidi="ar-SA"/>
              </w:rPr>
            </w:pPr>
            <w:r>
              <w:rPr>
                <w:rFonts w:hint="eastAsia" w:ascii="宋体" w:hAnsi="宋体"/>
                <w:b/>
                <w:bCs/>
                <w:color w:val="000000"/>
                <w:sz w:val="24"/>
                <w:szCs w:val="21"/>
              </w:rPr>
              <w:t xml:space="preserve">该项未见阐述不得分。</w:t>
            </w:r>
            <w:r/>
          </w:p>
        </w:tc>
      </w:tr>
      <w:tr>
        <w:trPr>
          <w:jc w:val="center"/>
          <w:trHeight w:val="621"/>
        </w:trPr>
        <w:tc>
          <w:tcPr>
            <w:tcW w:w="1429" w:type="dxa"/>
            <w:vAlign w:val="center"/>
            <w:textDirection w:val="lrTb"/>
            <w:noWrap w:val="false"/>
          </w:tcPr>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培训方案</w:t>
            </w:r>
            <w:r/>
          </w:p>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color w:val="000000"/>
                <w:sz w:val="24"/>
                <w:szCs w:val="22"/>
                <w:lang w:val="en-US" w:eastAsia="zh-CN" w:bidi="ar-SA"/>
              </w:rPr>
            </w:pP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分）</w:t>
            </w:r>
            <w:r/>
          </w:p>
        </w:tc>
        <w:tc>
          <w:tcPr>
            <w:tcW w:w="7076" w:type="dxa"/>
            <w:vAlign w:val="center"/>
            <w:textDirection w:val="lrTb"/>
            <w:noWrap w:val="false"/>
          </w:tcPr>
          <w:p>
            <w:pPr>
              <w:spacing w:line="480" w:lineRule="exact"/>
              <w:rPr>
                <w:rFonts w:ascii="宋体" w:hAnsi="宋体"/>
                <w:b/>
                <w:bCs/>
                <w:color w:val="000000"/>
                <w:sz w:val="24"/>
                <w:szCs w:val="21"/>
              </w:rPr>
            </w:pPr>
            <w:r>
              <w:rPr>
                <w:rFonts w:hint="eastAsia" w:ascii="宋体" w:hAnsi="宋体"/>
                <w:b/>
                <w:bCs/>
                <w:color w:val="000000"/>
                <w:sz w:val="24"/>
                <w:szCs w:val="21"/>
              </w:rPr>
              <w:t xml:space="preserve">投标人</w:t>
            </w:r>
            <w:r>
              <w:rPr>
                <w:rFonts w:hint="eastAsia" w:ascii="宋体" w:hAnsi="宋体"/>
                <w:b/>
                <w:bCs/>
                <w:color w:val="000000"/>
                <w:sz w:val="24"/>
                <w:szCs w:val="21"/>
                <w:lang w:val="en-US" w:eastAsia="zh-CN"/>
              </w:rPr>
              <w:t xml:space="preserve">针对</w:t>
            </w:r>
            <w:r>
              <w:rPr>
                <w:rFonts w:hint="eastAsia" w:ascii="宋体" w:hAnsi="宋体"/>
                <w:b/>
                <w:bCs/>
                <w:color w:val="000000"/>
                <w:sz w:val="24"/>
                <w:szCs w:val="21"/>
              </w:rPr>
              <w:t xml:space="preserve">采购需求提供培训方案，内容包括但不限于培训计划、培训内容、培训对象等：</w:t>
            </w:r>
            <w:r/>
          </w:p>
          <w:p>
            <w:pPr>
              <w:spacing w:line="480" w:lineRule="exact"/>
              <w:rPr>
                <w:rFonts w:ascii="宋体" w:hAnsi="宋体"/>
                <w:color w:val="000000"/>
                <w:sz w:val="24"/>
                <w:szCs w:val="21"/>
              </w:rPr>
            </w:pPr>
            <w:r>
              <w:rPr>
                <w:rFonts w:hint="eastAsia" w:ascii="宋体" w:hAnsi="宋体"/>
                <w:color w:val="000000"/>
                <w:sz w:val="24"/>
                <w:szCs w:val="21"/>
              </w:rPr>
              <w:t xml:space="preserve">内容丰富，科学合理，培训形式多样，具有可操作性的</w:t>
            </w:r>
            <w:r>
              <w:rPr>
                <w:rFonts w:hint="eastAsia" w:ascii="宋体" w:hAnsi="宋体"/>
                <w:b/>
                <w:color w:val="000000"/>
                <w:sz w:val="24"/>
                <w:szCs w:val="21"/>
              </w:rPr>
              <w:t xml:space="preserve">得</w:t>
            </w:r>
            <w:r>
              <w:rPr>
                <w:rFonts w:hint="eastAsia" w:ascii="宋体" w:hAnsi="宋体"/>
                <w:b/>
                <w:color w:val="000000"/>
                <w:sz w:val="24"/>
                <w:szCs w:val="21"/>
                <w:lang w:val="en-US" w:eastAsia="zh-CN"/>
              </w:rPr>
              <w:t xml:space="preserve">6</w:t>
            </w:r>
            <w:r>
              <w:rPr>
                <w:rFonts w:hint="eastAsia" w:ascii="宋体" w:hAnsi="宋体"/>
                <w:b/>
                <w:color w:val="000000"/>
                <w:sz w:val="24"/>
                <w:szCs w:val="21"/>
              </w:rPr>
              <w:t xml:space="preserve">分；</w:t>
            </w:r>
            <w:r/>
          </w:p>
          <w:p>
            <w:pPr>
              <w:spacing w:line="480" w:lineRule="exact"/>
              <w:rPr>
                <w:rFonts w:ascii="宋体" w:hAnsi="宋体"/>
                <w:b/>
                <w:color w:val="000000"/>
                <w:sz w:val="24"/>
                <w:szCs w:val="21"/>
              </w:rPr>
            </w:pPr>
            <w:r>
              <w:rPr>
                <w:rFonts w:hint="eastAsia" w:ascii="宋体" w:hAnsi="宋体"/>
                <w:color w:val="000000"/>
                <w:sz w:val="24"/>
                <w:szCs w:val="21"/>
              </w:rPr>
              <w:t xml:space="preserve">内容较丰富，较合理，培训形式较多样，可操作性较强的</w:t>
            </w:r>
            <w:r>
              <w:rPr>
                <w:rFonts w:hint="eastAsia" w:ascii="宋体" w:hAnsi="宋体"/>
                <w:b/>
                <w:color w:val="000000"/>
                <w:sz w:val="24"/>
                <w:szCs w:val="21"/>
              </w:rPr>
              <w:t xml:space="preserve">得4分；</w:t>
            </w:r>
            <w:r/>
          </w:p>
          <w:p>
            <w:pPr>
              <w:spacing w:line="480" w:lineRule="exact"/>
              <w:rPr>
                <w:rFonts w:hint="eastAsia" w:ascii="宋体" w:hAnsi="宋体"/>
                <w:b/>
                <w:color w:val="000000"/>
                <w:sz w:val="24"/>
                <w:szCs w:val="21"/>
              </w:rPr>
            </w:pPr>
            <w:r>
              <w:rPr>
                <w:rFonts w:hint="eastAsia" w:ascii="宋体" w:hAnsi="宋体"/>
                <w:color w:val="000000"/>
                <w:sz w:val="24"/>
                <w:szCs w:val="21"/>
              </w:rPr>
              <w:t xml:space="preserve">内容简单，合理性一般，形式单一，可操作性一般的</w:t>
            </w:r>
            <w:r>
              <w:rPr>
                <w:rFonts w:hint="eastAsia" w:ascii="宋体" w:hAnsi="宋体"/>
                <w:b/>
                <w:color w:val="000000"/>
                <w:sz w:val="24"/>
                <w:szCs w:val="21"/>
              </w:rPr>
              <w:t xml:space="preserve">得2分；</w:t>
            </w:r>
            <w:r/>
          </w:p>
          <w:p>
            <w:pPr>
              <w:spacing w:line="480" w:lineRule="exact"/>
              <w:rPr>
                <w:rFonts w:hint="eastAsia" w:ascii="宋体" w:hAnsi="宋体"/>
                <w:b/>
                <w:color w:val="000000"/>
                <w:sz w:val="24"/>
                <w:szCs w:val="21"/>
              </w:rPr>
            </w:pPr>
            <w:r>
              <w:rPr>
                <w:rFonts w:hint="eastAsia" w:ascii="宋体" w:hAnsi="宋体"/>
                <w:color w:val="000000"/>
                <w:sz w:val="24"/>
                <w:szCs w:val="21"/>
              </w:rPr>
              <w:t xml:space="preserve">内容</w:t>
            </w:r>
            <w:r>
              <w:rPr>
                <w:rFonts w:hint="eastAsia" w:ascii="宋体" w:hAnsi="宋体"/>
                <w:color w:val="000000"/>
                <w:sz w:val="24"/>
                <w:szCs w:val="21"/>
                <w:lang w:eastAsia="zh-CN"/>
              </w:rPr>
              <w:t xml:space="preserve">不全</w:t>
            </w:r>
            <w:r>
              <w:rPr>
                <w:rFonts w:hint="eastAsia" w:ascii="宋体" w:hAnsi="宋体"/>
                <w:color w:val="000000"/>
                <w:sz w:val="24"/>
                <w:szCs w:val="21"/>
              </w:rPr>
              <w:t xml:space="preserve">，合理性</w:t>
            </w:r>
            <w:r>
              <w:rPr>
                <w:rFonts w:hint="eastAsia" w:ascii="宋体" w:hAnsi="宋体"/>
                <w:color w:val="000000"/>
                <w:sz w:val="24"/>
                <w:szCs w:val="21"/>
                <w:lang w:eastAsia="zh-CN"/>
              </w:rPr>
              <w:t xml:space="preserve">较差</w:t>
            </w:r>
            <w:r>
              <w:rPr>
                <w:rFonts w:hint="eastAsia" w:ascii="宋体" w:hAnsi="宋体"/>
                <w:color w:val="000000"/>
                <w:sz w:val="24"/>
                <w:szCs w:val="21"/>
              </w:rPr>
              <w:t xml:space="preserve">，形式单一，可操作性</w:t>
            </w:r>
            <w:r>
              <w:rPr>
                <w:rFonts w:hint="eastAsia" w:ascii="宋体" w:hAnsi="宋体"/>
                <w:color w:val="000000"/>
                <w:sz w:val="24"/>
                <w:szCs w:val="21"/>
                <w:lang w:eastAsia="zh-CN"/>
              </w:rPr>
              <w:t xml:space="preserve">不强</w:t>
            </w:r>
            <w:r>
              <w:rPr>
                <w:rFonts w:hint="eastAsia" w:ascii="宋体" w:hAnsi="宋体"/>
                <w:color w:val="000000"/>
                <w:sz w:val="24"/>
                <w:szCs w:val="21"/>
              </w:rPr>
              <w:t xml:space="preserve">的</w:t>
            </w:r>
            <w:r>
              <w:rPr>
                <w:rFonts w:hint="eastAsia" w:ascii="宋体" w:hAnsi="宋体"/>
                <w:b/>
                <w:color w:val="000000"/>
                <w:sz w:val="24"/>
                <w:szCs w:val="21"/>
              </w:rPr>
              <w:t xml:space="preserve">得</w:t>
            </w:r>
            <w:r>
              <w:rPr>
                <w:rFonts w:hint="eastAsia" w:ascii="宋体" w:hAnsi="宋体"/>
                <w:b/>
                <w:color w:val="000000"/>
                <w:sz w:val="24"/>
                <w:szCs w:val="21"/>
                <w:lang w:val="en-US" w:eastAsia="zh-CN"/>
              </w:rPr>
              <w:t xml:space="preserve">1</w:t>
            </w:r>
            <w:r>
              <w:rPr>
                <w:rFonts w:hint="eastAsia" w:ascii="宋体" w:hAnsi="宋体"/>
                <w:b/>
                <w:color w:val="000000"/>
                <w:sz w:val="24"/>
                <w:szCs w:val="21"/>
              </w:rPr>
              <w:t xml:space="preserve">分；</w:t>
            </w:r>
            <w:r/>
          </w:p>
          <w:p>
            <w:pPr>
              <w:spacing w:line="480" w:lineRule="exact"/>
              <w:rPr>
                <w:rFonts w:hint="eastAsia" w:ascii="宋体" w:hAnsi="宋体" w:eastAsia="宋体" w:cs="Times New Roman"/>
                <w:b/>
                <w:sz w:val="24"/>
                <w:szCs w:val="24"/>
                <w:lang w:val="en-US" w:eastAsia="zh-CN" w:bidi="ar-SA"/>
              </w:rPr>
            </w:pPr>
            <w:r>
              <w:rPr>
                <w:rFonts w:hint="eastAsia" w:ascii="宋体" w:hAnsi="宋体"/>
                <w:b/>
                <w:bCs/>
                <w:color w:val="000000"/>
                <w:sz w:val="24"/>
                <w:szCs w:val="21"/>
              </w:rPr>
              <w:t xml:space="preserve">该项未见阐述不得分。</w:t>
            </w:r>
            <w:r/>
          </w:p>
        </w:tc>
      </w:tr>
    </w:tbl>
    <w:p>
      <w:pPr>
        <w:jc w:val="left"/>
        <w:widowControl/>
        <w:rPr>
          <w:sz w:val="24"/>
          <w:szCs w:val="24"/>
        </w:rPr>
      </w:pPr>
      <w:r>
        <w:rPr>
          <w:sz w:val="24"/>
          <w:szCs w:val="24"/>
        </w:rPr>
      </w:r>
      <w:r/>
    </w:p>
    <w:p>
      <w:pPr>
        <w:pStyle w:val="860"/>
        <w:jc w:val="center"/>
        <w:spacing w:line="360" w:lineRule="auto"/>
        <w:rPr>
          <w:rFonts w:ascii="黑体" w:hAnsi="黑体" w:eastAsia="黑体"/>
          <w:b w:val="0"/>
        </w:rPr>
      </w:pPr>
      <w:r/>
      <w:bookmarkStart w:id="18" w:name="_Toc165205799"/>
      <w:r>
        <w:rPr>
          <w:rFonts w:hint="eastAsia" w:ascii="黑体" w:hAnsi="黑体" w:eastAsia="黑体"/>
          <w:b w:val="0"/>
        </w:rPr>
        <w:t xml:space="preserve">第六章  投标文件格式</w:t>
      </w:r>
      <w:bookmarkEnd w:id="18"/>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i/>
          <w:sz w:val="36"/>
          <w:szCs w:val="36"/>
          <w:u w:val="single"/>
        </w:rPr>
        <w:outlineLvl w:val="1"/>
      </w:pPr>
      <w:r>
        <w:rPr>
          <w:rFonts w:hint="eastAsia" w:ascii="宋体" w:hAnsi="宋体" w:eastAsia="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華康楷書體W5" w:hAnsi="Calibri" w:eastAsia="宋体" w:cs="Times New Roman"/>
          <w:color w:val="000000"/>
          <w:szCs w:val="24"/>
        </w:rPr>
      </w:pPr>
      <w:r>
        <w:rPr>
          <w:rFonts w:ascii="華康楷書體W5"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i/>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四、具备履行合同所必需的设备和专业技术能力的声明及证明材料</w:t>
      </w:r>
      <w:r/>
    </w:p>
    <w:p>
      <w:pPr>
        <w:jc w:val="center"/>
        <w:spacing w:line="460" w:lineRule="exact"/>
        <w:rPr>
          <w:rFonts w:ascii="Calibri" w:hAnsi="Calibri" w:eastAsia="宋体" w:cs="Times New Roman"/>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rPr>
          <w:rFonts w:ascii="華康楷書體W5" w:hAnsi="Calibri" w:eastAsia="宋体" w:cs="Times New Roman"/>
          <w:color w:val="000000"/>
          <w:szCs w:val="24"/>
        </w:rPr>
      </w:pPr>
      <w:r>
        <w:rPr>
          <w:rFonts w:ascii="華康楷書體W5" w:hAnsi="Calibri"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六、法律、行政法规规定的其他条件的证明文件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七、落实政府采购政策需满足的资格要求的证明文件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八、特定资格要求的证明文件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p>
    <w:p>
      <w:pPr>
        <w:ind w:firstLine="420"/>
        <w:jc w:val="left"/>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p>
    <w:p>
      <w:pPr>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55"/>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55"/>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4、</w:t>
      </w:r>
      <w:r>
        <w:rPr>
          <w:rFonts w:hint="eastAsia"/>
          <w:b/>
          <w:sz w:val="24"/>
          <w:szCs w:val="24"/>
        </w:rPr>
        <w:t xml:space="preserve">请供应商如实填写联系方式并在评审过程中保持联系方式畅通，评审过程中如联系不上，由供应商承担一切不利后果。</w:t>
      </w:r>
      <w:r/>
    </w:p>
    <w:p>
      <w:r/>
      <w:r/>
    </w:p>
    <w:p>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ascii="宋体" w:hAnsi="宋体" w:eastAsia="宋体" w:cs="Times New Roman"/>
          <w:sz w:val="24"/>
          <w:szCs w:val="24"/>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655"/>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spacing w:line="360" w:lineRule="auto"/>
        <w:tabs>
          <w:tab w:val="left" w:pos="5580" w:leader="none"/>
        </w:tabs>
        <w:rPr>
          <w:sz w:val="24"/>
          <w:szCs w:val="24"/>
        </w:rPr>
      </w:pPr>
      <w:r>
        <w:rPr>
          <w:rFonts w:hint="eastAsia"/>
          <w:sz w:val="24"/>
          <w:szCs w:val="24"/>
        </w:rPr>
        <w:t xml:space="preserve">注：</w:t>
      </w:r>
      <w:r>
        <w:rPr>
          <w:rFonts w:hint="eastAsia"/>
          <w:b/>
          <w:sz w:val="24"/>
          <w:szCs w:val="24"/>
        </w:rPr>
        <w:t xml:space="preserve">请供应商如实填写联系方式并在评审过程中保持联系方式畅通，评审过程中如联系不上，由供应商承担一切不利后果。</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pPr>
        <w:jc w:val="left"/>
        <w:keepLines/>
        <w:keepNext/>
        <w:spacing w:before="260" w:after="260" w:line="416" w:lineRule="auto"/>
        <w:rPr>
          <w:rFonts w:ascii="黑体" w:hAnsi="黑体" w:eastAsia="黑体" w:cs="Times New Roman"/>
          <w:b/>
          <w:i/>
          <w:color w:val="000000"/>
          <w:sz w:val="32"/>
          <w:szCs w:val="32"/>
          <w:u w:val="single"/>
        </w:rPr>
        <w:outlineLvl w:val="1"/>
      </w:pPr>
      <w:r>
        <w:rPr>
          <w:rFonts w:hint="eastAsia" w:ascii="Arial" w:hAnsi="Arial" w:eastAsia="宋体" w:cs="Arial"/>
          <w:i/>
          <w:iCs/>
          <w:sz w:val="36"/>
          <w:u w:val="single"/>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hint="eastAsia" w:ascii="宋体" w:hAnsi="宋体" w:eastAsia="宋体" w:cs="Times New Roman"/>
          <w:color w:val="000000"/>
          <w:sz w:val="24"/>
          <w:szCs w:val="21"/>
          <w:lang w:eastAsia="zh-CN"/>
        </w:rPr>
      </w:pPr>
      <w:r>
        <w:rPr>
          <w:rFonts w:hint="eastAsia" w:ascii="宋体" w:hAnsi="宋体" w:eastAsia="宋体" w:cs="Times New Roman"/>
          <w:color w:val="000000"/>
          <w:sz w:val="24"/>
          <w:szCs w:val="21"/>
        </w:rPr>
        <w:t xml:space="preserve">致：</w:t>
      </w:r>
      <w:r>
        <w:rPr>
          <w:rFonts w:hint="eastAsia" w:ascii="宋体" w:hAnsi="宋体" w:cs="Times New Roman"/>
          <w:color w:val="000000"/>
          <w:sz w:val="24"/>
          <w:szCs w:val="21"/>
          <w:lang w:eastAsia="zh-CN"/>
        </w:rPr>
        <w:t xml:space="preserve">东海县政府采购中心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1.按招标文件规定的各项要求，向买方提供所需货物（包含与货物相关的工程、服务）。</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十一、中小企业声明函（货物）（分包号：**）</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，从业人员人，营业收入为万元，资产总额为万元，属于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u w:val="single"/>
        </w:rPr>
        <w:t xml:space="preserve"> （标的名称）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，从业人员人，营业收入为万元，资产总额为万元，属于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2、请供应商如实填写，所填内容须与投标分项报价表一致，如填写不完整或不一致或填写有误，将承担一切不利后果。</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3、中标人的《中小企业声明函》随中标结果公开，接受社会监督。</w:t>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十二、残疾人福利性单位声明函（分包号：**）</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141号）的规定，本单位为符合条件的残疾人福利性单位，且本单位参加单位的项目（</w:t>
      </w:r>
      <w:r>
        <w:rPr>
          <w:rFonts w:hint="eastAsia" w:ascii="宋体" w:hAnsi="宋体" w:eastAsia="宋体" w:cs="Times New Roman"/>
          <w:color w:val="000000"/>
          <w:sz w:val="24"/>
          <w:szCs w:val="24"/>
        </w:rPr>
        <w:t xml:space="preserve">项目编号：，分包号：</w:t>
      </w:r>
      <w:r>
        <w:rPr>
          <w:rFonts w:hint="eastAsia" w:ascii="宋体" w:hAnsi="宋体" w:eastAsia="宋体" w:cs="Times New Roman"/>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 </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请供应商如实填写，所填内容须与投标分项报价表一致，如填写不完整或不一致或填写有误，将承担一切不利后果。</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rPr>
          <w:rFonts w:hint="eastAsia" w:ascii="宋体" w:hAnsi="宋体" w:eastAsia="宋体" w:cs="Times New Roman"/>
          <w:sz w:val="24"/>
          <w:szCs w:val="24"/>
        </w:rPr>
        <w:t xml:space="preserve">，接受社会监督</w:t>
      </w:r>
      <w:r>
        <w:rPr>
          <w:rFonts w:hint="eastAsia" w:ascii="宋体" w:hAnsi="宋体" w:eastAsia="宋体" w:cs="Times New Roman"/>
          <w:bCs/>
          <w:sz w:val="24"/>
          <w:szCs w:val="24"/>
        </w:rPr>
        <w:t xml:space="preserve">。</w:t>
      </w:r>
      <w:r/>
    </w:p>
    <w:p>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十三、联合体协议（参考格式）（分包号：**）</w:t>
      </w:r>
      <w:r/>
    </w:p>
    <w:p>
      <w:pPr>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cs="Times New Roman"/>
          <w:color w:val="000000"/>
          <w:sz w:val="24"/>
          <w:szCs w:val="24"/>
          <w:lang w:eastAsia="zh-CN"/>
        </w:rPr>
        <w:t xml:space="preserve">东海县政府采购中心</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（项目编号：，分包号：）</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供应商2全称（公章）：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pPr>
      <w:r>
        <w:rPr>
          <w:rFonts w:hint="eastAsia" w:ascii="宋体" w:hAnsi="宋体" w:eastAsia="宋体" w:cs="Times New Roman"/>
          <w:color w:val="000000"/>
          <w:sz w:val="24"/>
          <w:szCs w:val="21"/>
        </w:rPr>
        <w:t xml:space="preserve">备注：本招标文件中要求加盖公章的内容，仅需加盖牵头单位的公章。</w:t>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十四、投标分项报价表（分包号：**）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p>
    <w:p>
      <w:pPr>
        <w:jc w:val="right"/>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单位：元</w:t>
      </w:r>
      <w:r/>
    </w:p>
    <w:tbl>
      <w:tblPr>
        <w:tblStyle w:val="65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1"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序号</w:t>
            </w:r>
            <w:r/>
          </w:p>
        </w:tc>
        <w:tc>
          <w:tcPr>
            <w:tcW w:w="1204"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品牌</w:t>
            </w:r>
            <w:r/>
          </w:p>
        </w:tc>
        <w:tc>
          <w:tcPr>
            <w:tcW w:w="794"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规格型号</w:t>
            </w:r>
            <w:r/>
          </w:p>
        </w:tc>
        <w:tc>
          <w:tcPr>
            <w:tcW w:w="701"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制造商</w:t>
            </w:r>
            <w:r/>
          </w:p>
        </w:tc>
        <w:tc>
          <w:tcPr>
            <w:gridSpan w:val="2"/>
            <w:tcW w:w="1120"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单价</w:t>
            </w:r>
            <w:r/>
          </w:p>
        </w:tc>
        <w:tc>
          <w:tcPr>
            <w:tcW w:w="701"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数量</w:t>
            </w:r>
            <w:r/>
          </w:p>
        </w:tc>
        <w:tc>
          <w:tcPr>
            <w:tcW w:w="1120"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计量单位</w:t>
            </w:r>
            <w:r/>
          </w:p>
        </w:tc>
        <w:tc>
          <w:tcPr>
            <w:tcW w:w="980"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单项合计价</w:t>
            </w:r>
            <w:r/>
          </w:p>
        </w:tc>
      </w:tr>
      <w:tr>
        <w:trPr>
          <w:jc w:val="center"/>
          <w:trHeight w:val="581"/>
        </w:trPr>
        <w:tc>
          <w:tcPr>
            <w:tcW w:w="521" w:type="dxa"/>
            <w:vAlign w:val="center"/>
            <w:textDirection w:val="lrTb"/>
            <w:noWrap w:val="false"/>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1</w:t>
            </w:r>
            <w:r/>
          </w:p>
        </w:tc>
        <w:tc>
          <w:tcPr>
            <w:tcW w:w="1204"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63"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94"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20"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20"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80"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48"/>
        </w:trPr>
        <w:tc>
          <w:tcPr>
            <w:tcW w:w="521" w:type="dxa"/>
            <w:vAlign w:val="center"/>
            <w:textDirection w:val="lrTb"/>
            <w:noWrap w:val="false"/>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2</w:t>
            </w:r>
            <w:r/>
          </w:p>
        </w:tc>
        <w:tc>
          <w:tcPr>
            <w:tcW w:w="1204"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63"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94"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20"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20"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80"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51"/>
        </w:trPr>
        <w:tc>
          <w:tcPr>
            <w:tcW w:w="521" w:type="dxa"/>
            <w:vAlign w:val="center"/>
            <w:textDirection w:val="lrTb"/>
            <w:noWrap w:val="false"/>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3</w:t>
            </w:r>
            <w:r/>
          </w:p>
        </w:tc>
        <w:tc>
          <w:tcPr>
            <w:tcW w:w="1204"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63"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94"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20"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20"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80"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47"/>
        </w:trPr>
        <w:tc>
          <w:tcPr>
            <w:tcW w:w="521" w:type="dxa"/>
            <w:vAlign w:val="center"/>
            <w:textDirection w:val="lrTb"/>
            <w:noWrap w:val="false"/>
          </w:tcPr>
          <w:p>
            <w:pPr>
              <w:jc w:val="cente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t xml:space="preserve">…</w:t>
            </w:r>
            <w:r/>
          </w:p>
        </w:tc>
        <w:tc>
          <w:tcPr>
            <w:tcW w:w="1204"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63"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94"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20"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20"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80"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67"/>
        </w:trPr>
        <w:tc>
          <w:tcPr>
            <w:gridSpan w:val="6"/>
            <w:tcW w:w="4490" w:type="dxa"/>
            <w:vAlign w:val="center"/>
            <w:textDirection w:val="lrTb"/>
            <w:noWrap w:val="false"/>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总计（元）</w:t>
            </w:r>
            <w:r/>
          </w:p>
        </w:tc>
        <w:tc>
          <w:tcPr>
            <w:gridSpan w:val="5"/>
            <w:tcW w:w="4015"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投标人（盖章）：</w:t>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w:t>
      </w:r>
      <w:r>
        <w:rPr>
          <w:rFonts w:ascii="Times New Roman" w:hAnsi="Times New Roman" w:eastAsia="宋体" w:cs="Times New Roman"/>
          <w:color w:val="000000"/>
          <w:szCs w:val="24"/>
        </w:rPr>
        <w:t xml:space="preserve">（单位负责人）</w:t>
      </w:r>
      <w:r>
        <w:rPr>
          <w:rFonts w:hint="eastAsia" w:ascii="Times New Roman" w:hAnsi="Times New Roman" w:eastAsia="宋体" w:cs="Times New Roman"/>
          <w:color w:val="000000"/>
          <w:szCs w:val="24"/>
        </w:rPr>
        <w:t xml:space="preserve">或委托代理人（签字或盖章）：</w:t>
      </w:r>
      <w:r/>
    </w:p>
    <w:p>
      <w:pPr>
        <w:ind w:firstLine="420"/>
        <w:spacing w:line="360" w:lineRule="auto"/>
        <w:rPr>
          <w:rFonts w:ascii="宋体" w:hAnsi="宋体" w:eastAsia="宋体" w:cs="Times New Roman"/>
          <w:color w:val="000000"/>
          <w:szCs w:val="24"/>
        </w:rPr>
      </w:pPr>
      <w:r>
        <w:rPr>
          <w:rFonts w:hint="eastAsia" w:ascii="Times New Roman" w:hAnsi="Times New Roman" w:eastAsia="宋体" w:cs="Times New Roman"/>
          <w:color w:val="000000"/>
          <w:szCs w:val="24"/>
        </w:rPr>
        <w:t xml:space="preserve">日期：    年     月     日</w:t>
      </w:r>
      <w:r/>
    </w:p>
    <w:p>
      <w:pPr>
        <w:spacing w:line="360" w:lineRule="auto"/>
        <w:rPr>
          <w:rFonts w:ascii="宋体" w:hAnsi="宋体" w:eastAsia="宋体" w:cs="Times New Roman"/>
          <w:color w:val="000000"/>
          <w:szCs w:val="20"/>
        </w:rPr>
      </w:pPr>
      <w:r>
        <w:rPr>
          <w:rFonts w:ascii="宋体" w:hAnsi="宋体" w:eastAsia="宋体" w:cs="Times New Roman"/>
          <w:color w:val="000000"/>
          <w:szCs w:val="20"/>
        </w:rPr>
      </w:r>
      <w:r/>
    </w:p>
    <w:p>
      <w:pPr>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填报说明：</w:t>
      </w:r>
      <w:r/>
    </w:p>
    <w:p>
      <w:pPr>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1、“制造商企业类型”栏填写内容为“大型”“中型”“小型”“微型”“监狱企业”或“残疾人福利性单位”。</w:t>
      </w:r>
      <w:r/>
    </w:p>
    <w:p>
      <w:pPr>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2、以上报价包含货物费用、运杂费、安装施工费、集成费、税金和其他费用。</w:t>
      </w:r>
      <w:r/>
    </w:p>
    <w:p>
      <w:pPr>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3、请供应商如实、正确填写本表，所填内容将作为评审的依据，其内容应与对应的证明资料相符。</w:t>
      </w:r>
      <w:r/>
    </w:p>
    <w:p>
      <w:pPr>
        <w:ind w:firstLine="420"/>
        <w:spacing w:line="500" w:lineRule="exact"/>
        <w:rPr>
          <w:rFonts w:ascii="Times New Roman" w:hAnsi="宋体" w:eastAsia="宋体" w:cs="Times New Roman"/>
          <w:color w:val="000000"/>
          <w:szCs w:val="24"/>
        </w:rPr>
      </w:pPr>
      <w:r>
        <w:rPr>
          <w:rFonts w:hint="eastAsia" w:ascii="Times New Roman" w:hAnsi="宋体" w:eastAsia="宋体" w:cs="Times New Roman"/>
          <w:color w:val="000000"/>
          <w:szCs w:val="24"/>
        </w:rPr>
        <w:t xml:space="preserve">4、行数或事项不够，可自行增加。</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十五、技术要求响应及偏离表（分包号：**）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p>
    <w:tbl>
      <w:tblPr>
        <w:tblStyle w:val="65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2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w:t>
      </w:r>
      <w:r>
        <w:rPr>
          <w:rFonts w:hint="eastAsia" w:ascii="Arial" w:hAnsi="Arial" w:cs="Arial"/>
          <w:i/>
          <w:iCs/>
          <w:sz w:val="36"/>
          <w:u w:val="single"/>
          <w:lang w:val="en-US" w:eastAsia="zh-CN"/>
        </w:rPr>
        <w:t xml:space="preserve">六</w:t>
      </w:r>
      <w:r>
        <w:rPr>
          <w:rFonts w:hint="eastAsia" w:ascii="Arial" w:hAnsi="Arial" w:cs="Arial"/>
          <w:i/>
          <w:iCs/>
          <w:sz w:val="36"/>
          <w:u w:val="single"/>
        </w:rPr>
        <w:t xml:space="preserve">、技术要求响应及偏离表（分包号：**）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hint="eastAsia" w:ascii="宋体" w:hAnsi="宋体" w:cs="方正仿宋_GBK"/>
          <w:color w:val="000000"/>
          <w:sz w:val="24"/>
          <w:szCs w:val="24"/>
          <w:lang w:val="en-US" w:eastAsia="zh-CN"/>
        </w:rPr>
      </w:pPr>
      <w:r>
        <w:rPr>
          <w:rFonts w:hint="eastAsia" w:ascii="宋体" w:hAnsi="宋体" w:cs="方正仿宋_GBK"/>
          <w:color w:val="000000"/>
          <w:sz w:val="24"/>
          <w:szCs w:val="24"/>
        </w:rPr>
        <w:t xml:space="preserve">项目名称：</w:t>
      </w:r>
      <w:r>
        <w:rPr>
          <w:rFonts w:hint="eastAsia" w:ascii="宋体" w:hAnsi="宋体" w:cs="方正仿宋_GBK"/>
          <w:color w:val="000000"/>
          <w:sz w:val="24"/>
          <w:szCs w:val="24"/>
          <w:lang w:eastAsia="zh-CN"/>
        </w:rPr>
        <w:t xml:space="preserve">东海法院新诉讼服务中心弱电机房采购</w:t>
      </w:r>
      <w:r>
        <w:rPr>
          <w:rFonts w:hint="eastAsia" w:ascii="宋体" w:hAnsi="宋体" w:cs="方正仿宋_GBK"/>
          <w:color w:val="000000"/>
          <w:sz w:val="24"/>
          <w:szCs w:val="24"/>
        </w:rPr>
        <w:t xml:space="preserve">       </w:t>
      </w:r>
      <w:r>
        <w:rPr>
          <w:rFonts w:hint="eastAsia" w:ascii="宋体" w:hAnsi="宋体" w:cs="方正仿宋_GBK"/>
          <w:color w:val="000000"/>
          <w:sz w:val="24"/>
          <w:szCs w:val="24"/>
          <w:lang w:val="en-US" w:eastAsia="zh-CN"/>
        </w:rPr>
        <w:t xml:space="preserve">    </w:t>
      </w:r>
      <w:r/>
    </w:p>
    <w:p>
      <w:pPr>
        <w:jc w:val="left"/>
        <w:spacing w:line="360" w:lineRule="auto"/>
        <w:rPr>
          <w:rFonts w:ascii="Arial" w:hAnsi="Arial" w:cs="Arial"/>
          <w:sz w:val="36"/>
        </w:rPr>
      </w:pPr>
      <w:r>
        <w:rPr>
          <w:rFonts w:hint="eastAsia" w:ascii="宋体" w:hAnsi="宋体" w:cs="方正仿宋_GBK"/>
          <w:color w:val="000000"/>
          <w:sz w:val="24"/>
          <w:szCs w:val="24"/>
        </w:rPr>
        <w:t xml:space="preserve">项目编号：     </w:t>
      </w:r>
      <w:r>
        <w:rPr>
          <w:rFonts w:hint="eastAsia" w:ascii="宋体" w:hAnsi="宋体" w:cs="方正仿宋_GBK"/>
          <w:color w:val="000000"/>
          <w:sz w:val="24"/>
          <w:szCs w:val="24"/>
          <w:lang w:val="en-US" w:eastAsia="zh-CN"/>
        </w:rPr>
        <w:t xml:space="preserve">              </w:t>
      </w:r>
      <w:r>
        <w:rPr>
          <w:rFonts w:hint="eastAsia" w:ascii="宋体" w:hAnsi="宋体" w:cs="方正仿宋_GBK"/>
          <w:color w:val="000000"/>
          <w:sz w:val="24"/>
          <w:szCs w:val="24"/>
        </w:rPr>
        <w:t xml:space="preserve">分包号：</w:t>
      </w:r>
      <w:r/>
    </w:p>
    <w:tbl>
      <w:tblPr>
        <w:tblStyle w:val="65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327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302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9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3273" w:type="dxa"/>
            <w:vAlign w:val="center"/>
            <w:textDirection w:val="lrTb"/>
            <w:noWrap w:val="false"/>
          </w:tcPr>
          <w:p>
            <w:pPr>
              <w:jc w:val="left"/>
              <w:rPr>
                <w:rFonts w:ascii="宋体" w:hAnsi="宋体"/>
                <w:color w:val="000000"/>
                <w:sz w:val="24"/>
                <w:szCs w:val="24"/>
              </w:rPr>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cs="宋体"/>
                <w:i w:val="0"/>
                <w:iCs w:val="0"/>
                <w:color w:val="000000"/>
                <w:sz w:val="20"/>
                <w:szCs w:val="20"/>
                <w:u w:val="none"/>
                <w:lang w:val="en-US" w:eastAsia="zh-CN" w:bidi="ar"/>
              </w:rPr>
              <w:t xml:space="preserve">服务器机柜：</w:t>
            </w:r>
            <w:r>
              <w:rPr>
                <w:rFonts w:hint="eastAsia" w:ascii="宋体" w:hAnsi="宋体" w:eastAsia="宋体" w:cs="宋体"/>
                <w:i w:val="0"/>
                <w:iCs w:val="0"/>
                <w:color w:val="000000"/>
                <w:sz w:val="20"/>
                <w:szCs w:val="20"/>
                <w:u w:val="none"/>
                <w:lang w:val="en-US" w:eastAsia="zh-CN" w:bidi="ar"/>
              </w:rPr>
              <w:t xml:space="preserve">按照标准YD5083-2005《电信设备抗地震性能检测规范》要求，带载560kg测试连续通过8、9级烈度结构抗地震考核。提供“CNAS”</w:t>
            </w:r>
            <w:r>
              <w:rPr>
                <w:rFonts w:hint="eastAsia" w:ascii="宋体" w:hAnsi="宋体" w:cs="宋体"/>
                <w:i w:val="0"/>
                <w:iCs w:val="0"/>
                <w:color w:val="000000"/>
                <w:sz w:val="20"/>
                <w:szCs w:val="20"/>
                <w:u w:val="none"/>
                <w:lang w:val="en-US" w:eastAsia="zh-CN" w:bidi="ar"/>
              </w:rPr>
              <w:t xml:space="preserve">或“CMA”</w:t>
            </w:r>
            <w:r>
              <w:rPr>
                <w:rFonts w:hint="eastAsia" w:ascii="宋体" w:hAnsi="宋体" w:eastAsia="宋体" w:cs="宋体"/>
                <w:i w:val="0"/>
                <w:iCs w:val="0"/>
                <w:color w:val="000000"/>
                <w:sz w:val="20"/>
                <w:szCs w:val="20"/>
                <w:u w:val="none"/>
                <w:lang w:val="en-US" w:eastAsia="zh-CN" w:bidi="ar"/>
              </w:rPr>
              <w:t xml:space="preserve">标识的检验报告扫描件加盖投标人公章，在上传的检验报告中用红线标明所需项，否则无效佐证。</w:t>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3273" w:type="dxa"/>
            <w:vAlign w:val="center"/>
            <w:textDirection w:val="lrTb"/>
            <w:noWrap w:val="false"/>
          </w:tcPr>
          <w:p>
            <w:pPr>
              <w:jc w:val="left"/>
              <w:spacing w:line="360" w:lineRule="auto"/>
              <w:rPr>
                <w:rFonts w:ascii="宋体" w:hAnsi="宋体"/>
                <w:color w:val="000000"/>
                <w:sz w:val="24"/>
                <w:szCs w:val="24"/>
              </w:rPr>
            </w:pPr>
            <w:r>
              <w:rPr>
                <w:rFonts w:hint="eastAsia" w:ascii="宋体" w:hAnsi="宋体" w:eastAsia="宋体" w:cs="宋体"/>
                <w:i w:val="0"/>
                <w:iCs w:val="0"/>
                <w:color w:val="000000"/>
                <w:sz w:val="20"/>
                <w:szCs w:val="20"/>
                <w:u w:val="none"/>
                <w:lang w:val="en-US" w:eastAsia="zh-CN" w:bidi="ar"/>
              </w:rPr>
              <w:t xml:space="preserve">▲LED格栅灯带</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微模块应支持告警联动不同颜色展示,可根据不同的告警等级设置不同颜色的灯光告警指示,告警等级及指示灯光颜色应≥4种。</w:t>
            </w:r>
            <w:r>
              <w:rPr>
                <w:rFonts w:hint="eastAsia" w:ascii="宋体" w:hAnsi="宋体" w:eastAsia="宋体" w:cs="宋体"/>
                <w:b/>
                <w:bCs/>
                <w:i w:val="0"/>
                <w:iCs w:val="0"/>
                <w:color w:val="000000"/>
                <w:sz w:val="20"/>
                <w:szCs w:val="20"/>
                <w:u w:val="none"/>
                <w:lang w:val="en-US" w:eastAsia="zh-CN" w:bidi="ar"/>
              </w:rPr>
              <w:t xml:space="preserve">提供“CNAS”或“CMA”标识的检验报告扫描件加盖投标人公章，在上传的检验报告中用红线标明所需项，否则无效佐证。</w:t>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3273" w:type="dxa"/>
            <w:vAlign w:val="center"/>
            <w:textDirection w:val="lrTb"/>
            <w:noWrap w:val="false"/>
          </w:tcPr>
          <w:p>
            <w:pPr>
              <w:jc w:val="left"/>
              <w:rPr>
                <w:rFonts w:ascii="宋体" w:hAnsi="宋体"/>
                <w:color w:val="000000"/>
                <w:sz w:val="24"/>
                <w:szCs w:val="24"/>
              </w:rPr>
            </w:pPr>
            <w:r>
              <w:rPr>
                <w:rStyle w:val="690"/>
                <w:rFonts w:hint="eastAsia" w:ascii="宋体" w:hAnsi="宋体" w:eastAsia="宋体" w:cs="宋体"/>
                <w:sz w:val="20"/>
                <w:szCs w:val="20"/>
                <w:lang w:val="en-US" w:eastAsia="zh-CN" w:bidi="ar"/>
              </w:rPr>
              <w:t xml:space="preserve">▲UPS系统满足网络安全要求，通过网络安全认证。</w:t>
            </w:r>
            <w:r>
              <w:rPr>
                <w:rFonts w:hint="eastAsia" w:ascii="宋体" w:hAnsi="宋体" w:eastAsia="宋体" w:cs="宋体"/>
                <w:b/>
                <w:bCs/>
                <w:i w:val="0"/>
                <w:iCs w:val="0"/>
                <w:color w:val="000000"/>
                <w:sz w:val="20"/>
                <w:szCs w:val="20"/>
                <w:u w:val="none"/>
                <w:lang w:val="en-US" w:eastAsia="zh-CN" w:bidi="ar"/>
              </w:rPr>
              <w:t xml:space="preserve">提供</w:t>
            </w:r>
            <w:r>
              <w:rPr>
                <w:rFonts w:hint="eastAsia" w:ascii="宋体" w:hAnsi="宋体" w:cs="宋体"/>
                <w:b/>
                <w:bCs/>
                <w:i w:val="0"/>
                <w:iCs w:val="0"/>
                <w:color w:val="000000"/>
                <w:sz w:val="20"/>
                <w:szCs w:val="20"/>
                <w:u w:val="none"/>
                <w:lang w:val="en-US" w:eastAsia="zh-CN" w:bidi="ar"/>
              </w:rPr>
              <w:t xml:space="preserve">公安部相关检测机构</w:t>
            </w:r>
            <w:r>
              <w:rPr>
                <w:rFonts w:hint="eastAsia" w:ascii="宋体" w:hAnsi="宋体" w:eastAsia="宋体" w:cs="宋体"/>
                <w:b/>
                <w:bCs/>
                <w:i w:val="0"/>
                <w:iCs w:val="0"/>
                <w:color w:val="000000"/>
                <w:sz w:val="20"/>
                <w:szCs w:val="20"/>
                <w:u w:val="none"/>
                <w:lang w:val="en-US" w:eastAsia="zh-CN" w:bidi="ar"/>
              </w:rPr>
              <w:t xml:space="preserve">出具的安全认证证书扫描件加盖投标人公章，否则无效佐证。</w:t>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4</w:t>
            </w:r>
            <w:r/>
          </w:p>
        </w:tc>
        <w:tc>
          <w:tcPr>
            <w:tcW w:w="3273" w:type="dxa"/>
            <w:vAlign w:val="center"/>
            <w:textDirection w:val="lrTb"/>
            <w:noWrap w:val="false"/>
          </w:tcPr>
          <w:p>
            <w:pPr>
              <w:jc w:val="left"/>
              <w:rPr>
                <w:rFonts w:ascii="宋体" w:hAnsi="宋体"/>
                <w:color w:val="000000"/>
                <w:sz w:val="24"/>
                <w:szCs w:val="24"/>
              </w:rPr>
            </w:pPr>
            <w:r>
              <w:rPr>
                <w:rStyle w:val="690"/>
                <w:rFonts w:hint="eastAsia" w:ascii="宋体" w:hAnsi="宋体" w:eastAsia="宋体" w:cs="宋体"/>
                <w:sz w:val="20"/>
                <w:szCs w:val="20"/>
                <w:lang w:val="en-US" w:eastAsia="zh-CN" w:bidi="ar"/>
              </w:rPr>
              <w:t xml:space="preserve">▲功率模块的风扇有容错设计,并且风扇故障时应发出声光告警。</w:t>
            </w:r>
            <w:r>
              <w:rPr>
                <w:rStyle w:val="904"/>
                <w:rFonts w:hint="eastAsia" w:ascii="宋体" w:hAnsi="宋体" w:eastAsia="宋体" w:cs="宋体"/>
                <w:sz w:val="20"/>
                <w:szCs w:val="20"/>
                <w:lang w:val="en-US" w:eastAsia="zh-CN" w:bidi="ar"/>
              </w:rPr>
              <w:t xml:space="preserve">提供风扇告警截图</w:t>
            </w:r>
            <w:r>
              <w:rPr>
                <w:rStyle w:val="904"/>
                <w:rFonts w:hint="eastAsia" w:ascii="宋体" w:hAnsi="宋体" w:cs="宋体"/>
                <w:sz w:val="20"/>
                <w:szCs w:val="20"/>
                <w:lang w:val="en-US" w:eastAsia="zh-CN" w:bidi="ar"/>
              </w:rPr>
              <w:t xml:space="preserve">，</w:t>
            </w:r>
            <w:r>
              <w:rPr>
                <w:rStyle w:val="904"/>
                <w:rFonts w:hint="eastAsia" w:ascii="宋体" w:hAnsi="宋体" w:eastAsia="宋体" w:cs="宋体"/>
                <w:sz w:val="20"/>
                <w:szCs w:val="20"/>
                <w:lang w:val="en-US" w:eastAsia="zh-CN" w:bidi="ar"/>
              </w:rPr>
              <w:t xml:space="preserve">并加盖投标人公章；</w:t>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default" w:ascii="宋体" w:hAnsi="宋体"/>
                <w:color w:val="000000"/>
                <w:sz w:val="24"/>
                <w:szCs w:val="24"/>
                <w:lang w:val="en-US" w:eastAsia="zh-CN"/>
              </w:rPr>
            </w:pPr>
            <w:r>
              <w:rPr>
                <w:rFonts w:hint="eastAsia" w:ascii="宋体" w:hAnsi="宋体"/>
                <w:color w:val="000000"/>
                <w:sz w:val="24"/>
                <w:szCs w:val="24"/>
                <w:lang w:val="en-US" w:eastAsia="zh-CN"/>
              </w:rPr>
              <w:t xml:space="preserve">5</w:t>
            </w:r>
            <w:r/>
          </w:p>
        </w:tc>
        <w:tc>
          <w:tcPr>
            <w:tcW w:w="3273" w:type="dxa"/>
            <w:vAlign w:val="center"/>
            <w:textDirection w:val="lrTb"/>
            <w:noWrap w:val="false"/>
          </w:tcPr>
          <w:p>
            <w:pPr>
              <w:jc w:val="left"/>
              <w:rPr>
                <w:rFonts w:hint="eastAsia" w:ascii="宋体" w:hAnsi="宋体" w:eastAsia="宋体"/>
                <w:color w:val="000000"/>
                <w:sz w:val="24"/>
                <w:szCs w:val="24"/>
                <w:highlight w:val="yellow"/>
              </w:rPr>
            </w:pPr>
            <w:r>
              <w:rPr>
                <w:rStyle w:val="690"/>
                <w:rFonts w:hint="eastAsia" w:ascii="宋体" w:hAnsi="宋体" w:eastAsia="宋体" w:cs="宋体"/>
                <w:sz w:val="20"/>
                <w:szCs w:val="20"/>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一体化UPS</w:t>
            </w:r>
            <w:r>
              <w:rPr>
                <w:rFonts w:hint="eastAsia" w:ascii="宋体" w:hAnsi="宋体" w:cs="宋体"/>
                <w:i w:val="0"/>
                <w:iCs w:val="0"/>
                <w:color w:val="000000"/>
                <w:sz w:val="20"/>
                <w:szCs w:val="20"/>
                <w:u w:val="none"/>
                <w:lang w:val="en-US" w:eastAsia="zh-CN" w:bidi="ar"/>
              </w:rPr>
              <w:t xml:space="preserve">：</w:t>
            </w:r>
            <w:r>
              <w:rPr>
                <w:rStyle w:val="690"/>
                <w:rFonts w:hint="eastAsia" w:ascii="宋体" w:hAnsi="宋体" w:eastAsia="宋体" w:cs="宋体"/>
                <w:sz w:val="20"/>
                <w:szCs w:val="20"/>
                <w:lang w:val="en-US" w:eastAsia="zh-CN" w:bidi="ar"/>
              </w:rPr>
              <w:t xml:space="preserve">按照YD5083-2005《电信设备抗地震性能检测规范》要求，通过不低于9烈度抗震检验。提供“CNAS”</w:t>
            </w:r>
            <w:r>
              <w:rPr>
                <w:rFonts w:hint="eastAsia" w:ascii="宋体" w:hAnsi="宋体" w:cs="宋体"/>
                <w:i w:val="0"/>
                <w:iCs w:val="0"/>
                <w:color w:val="000000"/>
                <w:sz w:val="20"/>
                <w:szCs w:val="20"/>
                <w:u w:val="none"/>
                <w:lang w:val="en-US" w:eastAsia="zh-CN" w:bidi="ar"/>
              </w:rPr>
              <w:t xml:space="preserve">或“CMA”</w:t>
            </w:r>
            <w:r>
              <w:rPr>
                <w:rStyle w:val="690"/>
                <w:rFonts w:hint="eastAsia" w:ascii="宋体" w:hAnsi="宋体" w:eastAsia="宋体" w:cs="宋体"/>
                <w:sz w:val="20"/>
                <w:szCs w:val="20"/>
                <w:lang w:val="en-US" w:eastAsia="zh-CN" w:bidi="ar"/>
              </w:rPr>
              <w:t xml:space="preserve">标识的检验报告扫描件加盖投标人公章，在上传的检验报告中用红线标明所需项，否则无效佐证。</w:t>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default" w:ascii="宋体" w:hAnsi="宋体"/>
                <w:color w:val="000000"/>
                <w:sz w:val="24"/>
                <w:szCs w:val="24"/>
                <w:lang w:val="en-US" w:eastAsia="zh-CN"/>
              </w:rPr>
            </w:pPr>
            <w:r>
              <w:rPr>
                <w:rFonts w:hint="eastAsia" w:ascii="宋体" w:hAnsi="宋体"/>
                <w:color w:val="000000"/>
                <w:sz w:val="24"/>
                <w:szCs w:val="24"/>
                <w:lang w:val="en-US" w:eastAsia="zh-CN"/>
              </w:rPr>
              <w:t xml:space="preserve">6</w:t>
            </w:r>
            <w:r/>
          </w:p>
        </w:tc>
        <w:tc>
          <w:tcPr>
            <w:tcW w:w="3273" w:type="dxa"/>
            <w:vAlign w:val="center"/>
            <w:textDirection w:val="lrTb"/>
            <w:noWrap w:val="false"/>
          </w:tcPr>
          <w:p>
            <w:pPr>
              <w:jc w:val="left"/>
              <w:rPr>
                <w:rFonts w:hint="eastAsia" w:ascii="宋体" w:hAnsi="宋体" w:eastAsia="宋体"/>
                <w:color w:val="000000"/>
                <w:sz w:val="24"/>
                <w:szCs w:val="24"/>
                <w:highlight w:val="yellow"/>
              </w:rPr>
            </w:pPr>
            <w:r>
              <w:rPr>
                <w:rStyle w:val="690"/>
                <w:rFonts w:hint="eastAsia" w:ascii="宋体" w:hAnsi="宋体" w:eastAsia="宋体" w:cs="宋体"/>
                <w:sz w:val="20"/>
                <w:szCs w:val="20"/>
                <w:lang w:val="en-US" w:eastAsia="zh-CN" w:bidi="ar"/>
              </w:rPr>
              <w:t xml:space="preserve">▲行级空调需提供可靠准确的检测手段，对冷媒容量进行自动检测并能在冷媒泄漏量超过阈值时产生制冷剂不足告警，避免由于制冷剂不足导致空调宕机或者制冷能力下降使模块产生局部热点。提供“CNAS”</w:t>
            </w:r>
            <w:r>
              <w:rPr>
                <w:rFonts w:hint="eastAsia" w:ascii="宋体" w:hAnsi="宋体" w:cs="宋体"/>
                <w:i w:val="0"/>
                <w:iCs w:val="0"/>
                <w:color w:val="000000"/>
                <w:sz w:val="20"/>
                <w:szCs w:val="20"/>
                <w:u w:val="none"/>
                <w:lang w:val="en-US" w:eastAsia="zh-CN" w:bidi="ar"/>
              </w:rPr>
              <w:t xml:space="preserve">或“CMA”</w:t>
            </w:r>
            <w:r>
              <w:rPr>
                <w:rStyle w:val="690"/>
                <w:rFonts w:hint="eastAsia" w:ascii="宋体" w:hAnsi="宋体" w:eastAsia="宋体" w:cs="宋体"/>
                <w:sz w:val="20"/>
                <w:szCs w:val="20"/>
                <w:lang w:val="en-US" w:eastAsia="zh-CN" w:bidi="ar"/>
              </w:rPr>
              <w:t xml:space="preserve">标识的检验报告扫描件加盖投标人公章，在上传的检验报告中用红线标明所需项，否则无效佐证。</w:t>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default" w:ascii="宋体" w:hAnsi="宋体"/>
                <w:color w:val="000000"/>
                <w:sz w:val="24"/>
                <w:szCs w:val="24"/>
                <w:lang w:val="en-US" w:eastAsia="zh-CN"/>
              </w:rPr>
            </w:pPr>
            <w:r>
              <w:rPr>
                <w:rFonts w:hint="eastAsia" w:ascii="宋体" w:hAnsi="宋体"/>
                <w:color w:val="000000"/>
                <w:sz w:val="24"/>
                <w:szCs w:val="24"/>
                <w:lang w:val="en-US" w:eastAsia="zh-CN"/>
              </w:rPr>
              <w:t xml:space="preserve">7</w:t>
            </w:r>
            <w:r/>
          </w:p>
        </w:tc>
        <w:tc>
          <w:tcPr>
            <w:tcW w:w="3273" w:type="dxa"/>
            <w:vAlign w:val="center"/>
            <w:textDirection w:val="lrTb"/>
            <w:noWrap w:val="false"/>
          </w:tcPr>
          <w:p>
            <w:pPr>
              <w:numPr>
                <w:ilvl w:val="0"/>
                <w:numId w:val="0"/>
              </w:numPr>
              <w:jc w:val="left"/>
              <w:keepLines w:val="0"/>
              <w:keepNext w:val="0"/>
              <w:widowControl/>
              <w:rPr>
                <w:rFonts w:hint="eastAsia" w:ascii="宋体" w:hAnsi="宋体" w:eastAsia="宋体"/>
                <w:color w:val="000000"/>
                <w:sz w:val="24"/>
                <w:szCs w:val="24"/>
                <w:highlight w:val="yellow"/>
              </w:rPr>
              <w:suppressLineNumbers w:val="0"/>
            </w:pPr>
            <w:r>
              <w:rPr>
                <w:rStyle w:val="690"/>
                <w:rFonts w:hint="eastAsia" w:ascii="宋体" w:hAnsi="宋体" w:eastAsia="宋体" w:cs="宋体"/>
                <w:sz w:val="20"/>
                <w:szCs w:val="20"/>
                <w:lang w:val="en-US" w:eastAsia="zh-CN" w:bidi="ar"/>
              </w:rPr>
              <w:t xml:space="preserve">▲投标精密空调厂家具备自主研发测试能力，拥有获得CNAS或GMPI认可的全场景≥350KW专业焓差实验室</w:t>
            </w:r>
            <w:r>
              <w:rPr>
                <w:rStyle w:val="690"/>
                <w:rFonts w:hint="eastAsia" w:ascii="宋体" w:hAnsi="宋体" w:cs="宋体"/>
                <w:sz w:val="20"/>
                <w:szCs w:val="20"/>
                <w:lang w:val="en-US" w:eastAsia="zh-CN" w:bidi="ar"/>
              </w:rPr>
              <w:t xml:space="preserve">。</w:t>
            </w:r>
            <w:r>
              <w:rPr>
                <w:rStyle w:val="690"/>
                <w:rFonts w:hint="eastAsia" w:ascii="宋体" w:hAnsi="宋体" w:eastAsia="宋体" w:cs="宋体"/>
                <w:b/>
                <w:bCs/>
                <w:sz w:val="20"/>
                <w:szCs w:val="20"/>
                <w:lang w:val="en-US" w:eastAsia="zh-CN" w:bidi="ar"/>
              </w:rPr>
              <w:t xml:space="preserve">提供中国制冷空调行业试验装置评定合格证书扫描件，并加盖投标人公章。</w:t>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default" w:ascii="宋体" w:hAnsi="宋体"/>
                <w:color w:val="000000"/>
                <w:sz w:val="24"/>
                <w:szCs w:val="24"/>
                <w:lang w:val="en-US" w:eastAsia="zh-CN"/>
              </w:rPr>
            </w:pPr>
            <w:r>
              <w:rPr>
                <w:rFonts w:hint="eastAsia" w:ascii="宋体" w:hAnsi="宋体"/>
                <w:color w:val="000000"/>
                <w:sz w:val="24"/>
                <w:szCs w:val="24"/>
                <w:lang w:val="en-US" w:eastAsia="zh-CN"/>
              </w:rPr>
              <w:t xml:space="preserve">8</w:t>
            </w:r>
            <w:r/>
          </w:p>
        </w:tc>
        <w:tc>
          <w:tcPr>
            <w:tcW w:w="3273" w:type="dxa"/>
            <w:vAlign w:val="center"/>
            <w:textDirection w:val="lrTb"/>
            <w:noWrap w:val="false"/>
          </w:tcPr>
          <w:p>
            <w:pPr>
              <w:jc w:val="left"/>
              <w:rPr>
                <w:rFonts w:hint="eastAsia" w:ascii="宋体" w:hAnsi="宋体" w:eastAsia="宋体"/>
                <w:color w:val="000000"/>
                <w:sz w:val="24"/>
                <w:szCs w:val="24"/>
                <w:highlight w:val="yellow"/>
              </w:rPr>
            </w:pPr>
            <w:r>
              <w:rPr>
                <w:rStyle w:val="690"/>
                <w:rFonts w:hint="eastAsia" w:ascii="宋体" w:hAnsi="宋体" w:eastAsia="宋体" w:cs="宋体"/>
                <w:sz w:val="20"/>
                <w:szCs w:val="20"/>
                <w:lang w:val="en-US" w:eastAsia="zh-CN" w:bidi="ar"/>
              </w:rPr>
              <w:t xml:space="preserve">▲精密空调应满足网络安全要求，通过网络安全认证。</w:t>
            </w:r>
            <w:r>
              <w:rPr>
                <w:rFonts w:hint="eastAsia" w:ascii="宋体" w:hAnsi="宋体" w:eastAsia="宋体" w:cs="宋体"/>
                <w:b/>
                <w:bCs/>
                <w:i w:val="0"/>
                <w:iCs w:val="0"/>
                <w:color w:val="000000"/>
                <w:sz w:val="20"/>
                <w:szCs w:val="20"/>
                <w:u w:val="none"/>
                <w:lang w:val="en-US" w:eastAsia="zh-CN" w:bidi="ar"/>
              </w:rPr>
              <w:t xml:space="preserve">提供</w:t>
            </w:r>
            <w:r>
              <w:rPr>
                <w:rFonts w:hint="eastAsia" w:ascii="宋体" w:hAnsi="宋体" w:cs="宋体"/>
                <w:b/>
                <w:bCs/>
                <w:i w:val="0"/>
                <w:iCs w:val="0"/>
                <w:color w:val="000000"/>
                <w:sz w:val="20"/>
                <w:szCs w:val="20"/>
                <w:u w:val="none"/>
                <w:lang w:val="en-US" w:eastAsia="zh-CN" w:bidi="ar"/>
              </w:rPr>
              <w:t xml:space="preserve">公安部相关检测机构</w:t>
            </w:r>
            <w:r>
              <w:rPr>
                <w:rFonts w:hint="eastAsia" w:ascii="宋体" w:hAnsi="宋体" w:eastAsia="宋体" w:cs="宋体"/>
                <w:b/>
                <w:bCs/>
                <w:i w:val="0"/>
                <w:iCs w:val="0"/>
                <w:color w:val="000000"/>
                <w:sz w:val="20"/>
                <w:szCs w:val="20"/>
                <w:u w:val="none"/>
                <w:lang w:val="en-US" w:eastAsia="zh-CN" w:bidi="ar"/>
              </w:rPr>
              <w:t xml:space="preserve">出具的安全认证证书扫描件加盖投标人公章，否则无效佐证。</w:t>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default" w:ascii="宋体" w:hAnsi="宋体"/>
                <w:color w:val="000000"/>
                <w:sz w:val="24"/>
                <w:szCs w:val="24"/>
                <w:lang w:val="en-US" w:eastAsia="zh-CN"/>
              </w:rPr>
            </w:pPr>
            <w:r>
              <w:rPr>
                <w:rFonts w:hint="eastAsia" w:ascii="宋体" w:hAnsi="宋体"/>
                <w:color w:val="000000"/>
                <w:sz w:val="24"/>
                <w:szCs w:val="24"/>
                <w:lang w:val="en-US" w:eastAsia="zh-CN"/>
              </w:rPr>
              <w:t xml:space="preserve">9</w:t>
            </w:r>
            <w:r/>
          </w:p>
        </w:tc>
        <w:tc>
          <w:tcPr>
            <w:tcW w:w="3273" w:type="dxa"/>
            <w:vAlign w:val="center"/>
            <w:textDirection w:val="lrTb"/>
            <w:noWrap w:val="false"/>
          </w:tcPr>
          <w:p>
            <w:pPr>
              <w:jc w:val="left"/>
              <w:rPr>
                <w:rFonts w:hint="eastAsia" w:ascii="宋体" w:hAnsi="宋体" w:eastAsia="宋体"/>
                <w:color w:val="000000"/>
                <w:sz w:val="24"/>
                <w:szCs w:val="24"/>
                <w:highlight w:val="yellow"/>
              </w:rPr>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cs="宋体"/>
                <w:i w:val="0"/>
                <w:iCs w:val="0"/>
                <w:color w:val="000000"/>
                <w:sz w:val="20"/>
                <w:szCs w:val="20"/>
                <w:u w:val="none"/>
                <w:lang w:val="en-US" w:eastAsia="zh-CN" w:bidi="ar"/>
              </w:rPr>
              <w:t xml:space="preserve">监控系统的采集器硬件满足网络安全的相关要求，提供行业主流的病毒与漏洞软件的安全扫描，通过智能联网产品网络安全认证。</w:t>
            </w:r>
            <w:r>
              <w:rPr>
                <w:rFonts w:hint="eastAsia" w:ascii="宋体" w:hAnsi="宋体" w:eastAsia="宋体" w:cs="宋体"/>
                <w:b/>
                <w:bCs/>
                <w:i w:val="0"/>
                <w:iCs w:val="0"/>
                <w:color w:val="000000"/>
                <w:sz w:val="20"/>
                <w:szCs w:val="20"/>
                <w:u w:val="none"/>
                <w:lang w:val="en-US" w:eastAsia="zh-CN" w:bidi="ar"/>
              </w:rPr>
              <w:t xml:space="preserve">提供</w:t>
            </w:r>
            <w:r>
              <w:rPr>
                <w:rFonts w:hint="eastAsia" w:ascii="宋体" w:hAnsi="宋体" w:cs="宋体"/>
                <w:b/>
                <w:bCs/>
                <w:i w:val="0"/>
                <w:iCs w:val="0"/>
                <w:color w:val="000000"/>
                <w:sz w:val="20"/>
                <w:szCs w:val="20"/>
                <w:u w:val="none"/>
                <w:lang w:val="en-US" w:eastAsia="zh-CN" w:bidi="ar"/>
              </w:rPr>
              <w:t xml:space="preserve">公安部相关检测机构</w:t>
            </w:r>
            <w:r>
              <w:rPr>
                <w:rFonts w:hint="eastAsia" w:ascii="宋体" w:hAnsi="宋体" w:eastAsia="宋体" w:cs="宋体"/>
                <w:b/>
                <w:bCs/>
                <w:i w:val="0"/>
                <w:iCs w:val="0"/>
                <w:color w:val="000000"/>
                <w:sz w:val="20"/>
                <w:szCs w:val="20"/>
                <w:u w:val="none"/>
                <w:lang w:val="en-US" w:eastAsia="zh-CN" w:bidi="ar"/>
              </w:rPr>
              <w:t xml:space="preserve">出具的安全认证证书扫描件加盖投标人公章，否则无效佐证。</w:t>
            </w:r>
            <w:r>
              <w:rPr>
                <w:rStyle w:val="690"/>
                <w:rFonts w:hint="eastAsia" w:ascii="宋体" w:hAnsi="宋体" w:eastAsia="宋体" w:cs="宋体"/>
                <w:sz w:val="20"/>
                <w:szCs w:val="20"/>
                <w:lang w:val="en-US" w:eastAsia="zh-CN" w:bidi="ar"/>
              </w:rPr>
              <w:b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default" w:ascii="宋体" w:hAnsi="宋体"/>
                <w:color w:val="000000"/>
                <w:sz w:val="24"/>
                <w:szCs w:val="24"/>
                <w:lang w:val="en-US" w:eastAsia="zh-CN"/>
              </w:rPr>
            </w:pPr>
            <w:r>
              <w:rPr>
                <w:rFonts w:hint="eastAsia" w:ascii="宋体" w:hAnsi="宋体"/>
                <w:color w:val="000000"/>
                <w:sz w:val="24"/>
                <w:szCs w:val="24"/>
                <w:lang w:val="en-US" w:eastAsia="zh-CN"/>
              </w:rPr>
              <w:t xml:space="preserve">10</w:t>
            </w:r>
            <w:r/>
          </w:p>
        </w:tc>
        <w:tc>
          <w:tcPr>
            <w:tcW w:w="3273" w:type="dxa"/>
            <w:vAlign w:val="center"/>
            <w:textDirection w:val="lrTb"/>
            <w:noWrap w:val="false"/>
          </w:tcPr>
          <w:p>
            <w:pPr>
              <w:jc w:val="left"/>
              <w:rPr>
                <w:rFonts w:hint="eastAsia" w:ascii="宋体" w:hAnsi="宋体" w:eastAsia="宋体"/>
                <w:color w:val="000000"/>
                <w:sz w:val="24"/>
                <w:szCs w:val="24"/>
                <w:highlight w:val="yellow"/>
              </w:rPr>
            </w:pPr>
            <w:r>
              <w:rPr>
                <w:rFonts w:hint="eastAsia" w:ascii="宋体" w:hAnsi="宋体" w:eastAsia="宋体" w:cs="宋体"/>
                <w:i w:val="0"/>
                <w:iCs w:val="0"/>
                <w:color w:val="000000"/>
                <w:sz w:val="20"/>
                <w:szCs w:val="20"/>
                <w:u w:val="none"/>
                <w:lang w:val="en-US" w:eastAsia="zh-CN" w:bidi="ar"/>
              </w:rPr>
              <w:t xml:space="preserve">▲</w:t>
            </w:r>
            <w:r>
              <w:rPr>
                <w:rStyle w:val="690"/>
                <w:rFonts w:hint="eastAsia" w:ascii="宋体" w:hAnsi="宋体" w:eastAsia="宋体" w:cs="宋体"/>
                <w:sz w:val="20"/>
                <w:szCs w:val="20"/>
                <w:lang w:val="en-US" w:eastAsia="zh-CN" w:bidi="ar"/>
              </w:rPr>
              <w:t xml:space="preserve">管理系统通信总线具备容错能力，单点故障应不影响其他设备；管理系统电源总线应具有热备份，具备支持热插拔，在线更换功能。</w:t>
            </w:r>
            <w:r>
              <w:rPr>
                <w:rFonts w:hint="eastAsia" w:ascii="宋体" w:hAnsi="宋体" w:eastAsia="宋体" w:cs="宋体"/>
                <w:b/>
                <w:bCs/>
                <w:i w:val="0"/>
                <w:iCs w:val="0"/>
                <w:color w:val="000000"/>
                <w:sz w:val="20"/>
                <w:szCs w:val="20"/>
                <w:u w:val="none"/>
                <w:lang w:val="en-US" w:eastAsia="zh-CN" w:bidi="ar"/>
              </w:rPr>
              <w:t xml:space="preserve">提供“CNAS”或“CMA”标识的检验报告扫描件加盖投标人公章，在上传的检验报告中用红线标明所需项，否则无效佐证。</w:t>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r/>
      <w:r/>
    </w:p>
    <w:p>
      <w:r/>
      <w:r/>
    </w:p>
    <w:p>
      <w:pPr>
        <w:jc w:val="left"/>
        <w:keepLines/>
        <w:keepNext/>
        <w:spacing w:before="360" w:after="200" w:line="360" w:lineRule="auto"/>
        <w:rPr>
          <w:rFonts w:ascii="Arial" w:hAnsi="Arial" w:eastAsia="宋体" w:cs="Arial"/>
          <w:iCs/>
          <w:sz w:val="36"/>
        </w:rPr>
        <w:outlineLvl w:val="1"/>
      </w:pPr>
      <w:r/>
      <w:bookmarkStart w:id="19" w:name="_Hlt26955054"/>
      <w:r/>
      <w:bookmarkEnd w:id="19"/>
      <w:r>
        <w:rPr>
          <w:rFonts w:hint="eastAsia" w:ascii="Arial" w:hAnsi="Arial" w:eastAsia="宋体" w:cs="Arial"/>
          <w:iCs/>
          <w:sz w:val="36"/>
        </w:rPr>
        <w:t xml:space="preserve">十七、类似项目业绩一览表（分包号：**）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p>
    <w:tbl>
      <w:tblPr>
        <w:tblStyle w:val="65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5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9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3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vAlign w:val="top"/>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vAlign w:val="top"/>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vAlign w:val="top"/>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vAlign w:val="top"/>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十八、项目团队人员一览表（分包号：**）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p>
    <w:tbl>
      <w:tblPr>
        <w:tblStyle w:val="65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4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223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134" w:type="dxa"/>
            <w:vAlign w:val="center"/>
            <w:textDirection w:val="lrTb"/>
            <w:noWrap w:val="false"/>
          </w:tcPr>
          <w:p>
            <w:pPr>
              <w:jc w:val="center"/>
              <w:rPr>
                <w:rFonts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t xml:space="preserve">学历</w:t>
            </w:r>
            <w:r/>
          </w:p>
        </w:tc>
        <w:tc>
          <w:tcPr>
            <w:tcW w:w="1134" w:type="dxa"/>
            <w:vAlign w:val="center"/>
            <w:textDirection w:val="lrTb"/>
            <w:noWrap w:val="false"/>
          </w:tcPr>
          <w:p>
            <w:pPr>
              <w:jc w:val="center"/>
              <w:rPr>
                <w:rFonts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t xml:space="preserve">年龄</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vAlign w:val="top"/>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top"/>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vAlign w:val="top"/>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top"/>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vAlign w:val="top"/>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top"/>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vAlign w:val="top"/>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top"/>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spacing w:line="500" w:lineRule="exact"/>
        <w:rPr>
          <w:rFonts w:ascii="黑体" w:hAnsi="黑体" w:eastAsia="黑体" w:cs="Times New Roman"/>
          <w:b/>
          <w:color w:val="000000"/>
          <w:sz w:val="32"/>
          <w:szCs w:val="32"/>
        </w:rPr>
      </w:pPr>
      <w:r>
        <w:rPr>
          <w:rFonts w:ascii="黑体" w:hAnsi="黑体" w:eastAsia="黑体" w:cs="Times New Roman"/>
          <w:b/>
          <w:color w:val="000000"/>
          <w:sz w:val="32"/>
          <w:szCs w:val="32"/>
        </w:rPr>
      </w:r>
      <w:r/>
    </w:p>
    <w:p>
      <w:pPr>
        <w:jc w:val="left"/>
        <w:rPr>
          <w:rFonts w:ascii="Times New Roman" w:hAnsi="Times New Roman" w:eastAsia="方正仿宋_GB2312" w:cs="Times New Roman"/>
          <w:color w:val="000000"/>
          <w:sz w:val="24"/>
          <w:szCs w:val="20"/>
        </w:rPr>
      </w:pPr>
      <w:r>
        <w:rPr>
          <w:rFonts w:hint="eastAsia" w:ascii="宋体" w:hAnsi="宋体" w:eastAsia="宋体" w:cs="宋体"/>
          <w:bCs/>
          <w:i/>
          <w:color w:val="000000"/>
          <w:sz w:val="36"/>
          <w:szCs w:val="36"/>
          <w:u w:val="single"/>
        </w:rPr>
        <w:t xml:space="preserve">十九、开标一览表</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投标人全称（CA公章）：</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项目编号：                                   分包号：</w:t>
      </w:r>
      <w:r/>
    </w:p>
    <w:tbl>
      <w:tblPr>
        <w:tblStyle w:val="888"/>
        <w:tblW w:w="850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vAlign w:val="top"/>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投标货物名称</w:t>
            </w:r>
            <w:r/>
          </w:p>
        </w:tc>
        <w:tc>
          <w:tcPr>
            <w:tcW w:w="5703" w:type="dxa"/>
            <w:vAlign w:val="top"/>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总价（小写）</w:t>
            </w:r>
            <w:r/>
          </w:p>
        </w:tc>
      </w:tr>
      <w:tr>
        <w:trPr/>
        <w:tc>
          <w:tcPr>
            <w:tcW w:w="2802" w:type="dxa"/>
            <w:vAlign w:val="top"/>
            <w:textDirection w:val="lrTb"/>
            <w:noWrap w:val="false"/>
          </w:tcPr>
          <w:p>
            <w:pPr>
              <w:jc w:val="cente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5703" w:type="dxa"/>
            <w:vAlign w:val="top"/>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元</w:t>
            </w:r>
            <w:r/>
          </w:p>
        </w:tc>
      </w:tr>
      <w:tr>
        <w:trPr/>
        <w:tc>
          <w:tcPr>
            <w:tcW w:w="2802" w:type="dxa"/>
            <w:vAlign w:val="top"/>
            <w:textDirection w:val="lrTb"/>
            <w:noWrap w:val="false"/>
          </w:tcPr>
          <w:p>
            <w:pPr>
              <w:jc w:val="center"/>
              <w:spacing w:line="500" w:lineRule="exact"/>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rPr>
              <w:t xml:space="preserve">核心产品</w:t>
            </w:r>
            <w:r>
              <w:rPr>
                <w:rFonts w:hint="eastAsia" w:ascii="宋体" w:hAnsi="宋体" w:cs="Times New Roman"/>
                <w:color w:val="000000"/>
                <w:sz w:val="24"/>
                <w:szCs w:val="24"/>
                <w:lang w:val="en-US" w:eastAsia="zh-CN"/>
              </w:rPr>
              <w:t xml:space="preserve">名称及品牌</w:t>
            </w:r>
            <w:r/>
          </w:p>
        </w:tc>
        <w:tc>
          <w:tcPr>
            <w:tcW w:w="5703" w:type="dxa"/>
            <w:vAlign w:val="top"/>
            <w:textDirection w:val="lrTb"/>
            <w:noWrap w:val="false"/>
          </w:tcPr>
          <w:p>
            <w:pPr>
              <w:jc w:val="cente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jc w:val="right"/>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    年     月     日</w:t>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联系人：联系电话：</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质疑项目的编号：包号：</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p>
    <w:p>
      <w:pPr>
        <w:spacing w:line="500" w:lineRule="exact"/>
        <w:rPr>
          <w:rFonts w:ascii="宋体" w:hAnsi="宋体" w:eastAsia="宋体" w:cs="仿宋"/>
          <w:color w:val="000000"/>
          <w:sz w:val="24"/>
          <w:szCs w:val="24"/>
        </w:rPr>
      </w:pPr>
      <w:r>
        <w:rPr>
          <w:rFonts w:ascii="宋体" w:hAnsi="宋体" w:eastAsia="宋体" w:cs="仿宋"/>
          <w:color w:val="000000"/>
          <w:sz w:val="24"/>
          <w:szCs w:val="24"/>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p>
    <w:p>
      <w:pPr>
        <w:spacing w:line="500" w:lineRule="exact"/>
        <w:rPr>
          <w:rFonts w:ascii="宋体" w:hAnsi="宋体" w:eastAsia="宋体" w:cs="仿宋"/>
          <w:color w:val="000000"/>
          <w:sz w:val="24"/>
          <w:szCs w:val="24"/>
          <w:u w:val="single"/>
        </w:rPr>
      </w:pPr>
      <w:r>
        <w:rPr>
          <w:rFonts w:ascii="宋体" w:hAnsi="宋体" w:eastAsia="宋体" w:cs="仿宋"/>
          <w:color w:val="000000"/>
          <w:sz w:val="24"/>
          <w:szCs w:val="24"/>
          <w:u w:val="single"/>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hint="eastAsia" w:ascii="宋体" w:hAnsi="宋体" w:eastAsia="宋体" w:cs="Times New Roman"/>
          <w:b/>
          <w:color w:val="ff0000"/>
          <w:sz w:val="24"/>
          <w:szCs w:val="24"/>
        </w:rPr>
      </w:pPr>
      <w:r>
        <w:rPr>
          <w:rFonts w:hint="eastAsia" w:ascii="宋体" w:hAnsi="宋体" w:eastAsia="宋体" w:cs="Times New Roman"/>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汉仪书宋二S">
    <w:panose1 w:val="020B0503020202020204"/>
  </w:font>
  <w:font w:name="华文中宋">
    <w:panose1 w:val="02010600040101010101"/>
  </w:font>
  <w:font w:name="Symbol">
    <w:panose1 w:val="05050102010706020507"/>
  </w:font>
  <w:font w:name="新宋体">
    <w:panose1 w:val="02010609030101010101"/>
  </w:font>
  <w:font w:name="华文楷体">
    <w:panose1 w:val="02010600040101010101"/>
  </w:font>
  <w:font w:name="Wingdings">
    <w:panose1 w:val="05000000000000000000"/>
  </w:font>
  <w:font w:name="方正楷体_GB2312">
    <w:panose1 w:val="020B0503020202020204"/>
  </w:font>
  <w:font w:name="等线">
    <w:panose1 w:val="02010600030101010101"/>
  </w:font>
  <w:font w:name="仿宋">
    <w:panose1 w:val="02010609060101010101"/>
  </w:font>
  <w:font w:name="方正仿宋_GB2312">
    <w:panose1 w:val="020B0503020202020204"/>
  </w:font>
  <w:font w:name="黑体">
    <w:panose1 w:val="02010609060101010101"/>
  </w:font>
  <w:font w:name="Courier New">
    <w:panose1 w:val="02070309020205020404"/>
  </w:font>
  <w:font w:name="Cambria">
    <w:panose1 w:val="02040503050406030204"/>
  </w:font>
  <w:font w:name="Arial">
    <w:panose1 w:val="020B0604020202020204"/>
  </w:font>
  <w:font w:name="微软雅黑">
    <w:panose1 w:val="020B0503020204020204"/>
  </w:font>
  <w:font w:name="Calibri">
    <w:panose1 w:val="020F0502020204030204"/>
  </w:font>
  <w:font w:name="華康楷書體W5">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center"/>
    </w:pPr>
    <w:r>
      <w:fldChar w:fldCharType="begin"/>
    </w:r>
    <w:r>
      <w:instrText xml:space="preserve"> PAGE   \* MERGEFORMAT </w:instrText>
    </w:r>
    <w:r>
      <w:fldChar w:fldCharType="separate"/>
    </w:r>
    <w:r>
      <w:rPr>
        <w:lang w:val="zh-CN"/>
      </w:rPr>
      <w:t xml:space="preserve">49</w:t>
    </w:r>
    <w:r>
      <w:rPr>
        <w:lang w:val="zh-CN"/>
      </w:rPr>
      <w:fldChar w:fldCharType="end"/>
    </w:r>
    <w:r/>
  </w:p>
  <w:p>
    <w:pPr>
      <w:pStyle w:val="88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4"/>
  </w:num>
  <w:num w:numId="3">
    <w:abstractNumId w:val="11"/>
  </w:num>
  <w:num w:numId="4">
    <w:abstractNumId w:val="3"/>
  </w:num>
  <w:num w:numId="5">
    <w:abstractNumId w:val="2"/>
  </w:num>
  <w:num w:numId="6">
    <w:abstractNumId w:val="9"/>
  </w:num>
  <w:num w:numId="7">
    <w:abstractNumId w:val="6"/>
  </w:num>
  <w:num w:numId="8">
    <w:abstractNumId w:val="7"/>
  </w:num>
  <w:num w:numId="9">
    <w:abstractNumId w:val="0"/>
  </w:num>
  <w:num w:numId="10">
    <w:abstractNumId w:val="5"/>
  </w:num>
  <w:num w:numId="11">
    <w:abstractNumId w:val="10"/>
  </w:num>
  <w:num w:numId="12">
    <w:abstractNumId w:val="13"/>
  </w:num>
  <w:num w:numId="13">
    <w:abstractNumId w:val="12"/>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4" w:default="1">
    <w:name w:val="Normal"/>
    <w:link w:val="903"/>
    <w:uiPriority w:val="0"/>
    <w:qFormat/>
    <w:pPr>
      <w:jc w:val="both"/>
      <w:widowControl w:val="off"/>
    </w:pPr>
    <w:rPr>
      <w:rFonts w:hint="default" w:ascii="Calibri" w:hAnsi="Calibri" w:eastAsia="宋体" w:cs="Times New Roman"/>
      <w:sz w:val="21"/>
      <w:szCs w:val="22"/>
      <w:lang w:val="en-US" w:eastAsia="zh-CN" w:bidi="ar-SA"/>
    </w:rPr>
  </w:style>
  <w:style w:type="paragraph" w:styleId="645">
    <w:name w:val="Heading 1"/>
    <w:basedOn w:val="644"/>
    <w:next w:val="644"/>
    <w:uiPriority w:val="9"/>
    <w:qFormat/>
    <w:pPr>
      <w:keepLines/>
      <w:keepNext/>
      <w:spacing w:before="480" w:after="200"/>
      <w:outlineLvl w:val="0"/>
    </w:pPr>
    <w:rPr>
      <w:rFonts w:ascii="Arial" w:hAnsi="Arial" w:eastAsia="Arial" w:cs="Arial"/>
      <w:sz w:val="40"/>
      <w:szCs w:val="40"/>
    </w:rPr>
  </w:style>
  <w:style w:type="paragraph" w:styleId="646">
    <w:name w:val="Heading 2"/>
    <w:basedOn w:val="644"/>
    <w:next w:val="644"/>
    <w:uiPriority w:val="9"/>
    <w:unhideWhenUsed/>
    <w:qFormat/>
    <w:pPr>
      <w:keepLines/>
      <w:keepNext/>
      <w:spacing w:before="360" w:after="200"/>
      <w:outlineLvl w:val="1"/>
    </w:pPr>
    <w:rPr>
      <w:rFonts w:ascii="Arial" w:hAnsi="Arial" w:eastAsia="Arial" w:cs="Arial"/>
      <w:sz w:val="34"/>
    </w:rPr>
  </w:style>
  <w:style w:type="paragraph" w:styleId="647">
    <w:name w:val="Heading 3"/>
    <w:basedOn w:val="644"/>
    <w:next w:val="644"/>
    <w:uiPriority w:val="9"/>
    <w:unhideWhenUsed/>
    <w:qFormat/>
    <w:pPr>
      <w:keepLines/>
      <w:keepNext/>
      <w:spacing w:before="320" w:after="200"/>
      <w:outlineLvl w:val="2"/>
    </w:pPr>
    <w:rPr>
      <w:rFonts w:ascii="Arial" w:hAnsi="Arial" w:eastAsia="Arial" w:cs="Arial"/>
      <w:sz w:val="30"/>
      <w:szCs w:val="30"/>
    </w:rPr>
  </w:style>
  <w:style w:type="paragraph" w:styleId="648">
    <w:name w:val="Heading 4"/>
    <w:basedOn w:val="644"/>
    <w:next w:val="644"/>
    <w:uiPriority w:val="9"/>
    <w:unhideWhenUsed/>
    <w:qFormat/>
    <w:pPr>
      <w:keepLines/>
      <w:keepNext/>
      <w:spacing w:before="320" w:after="200"/>
      <w:outlineLvl w:val="3"/>
    </w:pPr>
    <w:rPr>
      <w:rFonts w:ascii="Arial" w:hAnsi="Arial" w:eastAsia="Arial" w:cs="Arial"/>
      <w:b/>
      <w:bCs/>
      <w:sz w:val="26"/>
      <w:szCs w:val="26"/>
    </w:rPr>
  </w:style>
  <w:style w:type="paragraph" w:styleId="649">
    <w:name w:val="Heading 5"/>
    <w:basedOn w:val="644"/>
    <w:next w:val="644"/>
    <w:uiPriority w:val="9"/>
    <w:unhideWhenUsed/>
    <w:qFormat/>
    <w:pPr>
      <w:keepLines/>
      <w:keepNext/>
      <w:spacing w:before="320" w:after="200"/>
      <w:outlineLvl w:val="4"/>
    </w:pPr>
    <w:rPr>
      <w:rFonts w:ascii="Arial" w:hAnsi="Arial" w:eastAsia="Arial" w:cs="Arial"/>
      <w:b/>
      <w:bCs/>
      <w:sz w:val="24"/>
      <w:szCs w:val="24"/>
    </w:rPr>
  </w:style>
  <w:style w:type="paragraph" w:styleId="650">
    <w:name w:val="Heading 6"/>
    <w:basedOn w:val="644"/>
    <w:next w:val="644"/>
    <w:uiPriority w:val="9"/>
    <w:unhideWhenUsed/>
    <w:qFormat/>
    <w:pPr>
      <w:keepLines/>
      <w:keepNext/>
      <w:spacing w:before="320" w:after="200"/>
      <w:outlineLvl w:val="5"/>
    </w:pPr>
    <w:rPr>
      <w:rFonts w:ascii="Arial" w:hAnsi="Arial" w:eastAsia="Arial" w:cs="Arial"/>
      <w:b/>
      <w:bCs/>
      <w:sz w:val="22"/>
      <w:szCs w:val="22"/>
    </w:rPr>
  </w:style>
  <w:style w:type="paragraph" w:styleId="651">
    <w:name w:val="Heading 7"/>
    <w:basedOn w:val="644"/>
    <w:next w:val="644"/>
    <w:uiPriority w:val="9"/>
    <w:unhideWhenUsed/>
    <w:qFormat/>
    <w:pPr>
      <w:keepLines/>
      <w:keepNext/>
      <w:spacing w:before="320" w:after="200"/>
      <w:outlineLvl w:val="6"/>
    </w:pPr>
    <w:rPr>
      <w:rFonts w:ascii="Arial" w:hAnsi="Arial" w:eastAsia="Arial" w:cs="Arial"/>
      <w:b/>
      <w:bCs/>
      <w:i/>
      <w:iCs/>
      <w:sz w:val="22"/>
      <w:szCs w:val="22"/>
    </w:rPr>
  </w:style>
  <w:style w:type="paragraph" w:styleId="652">
    <w:name w:val="Heading 8"/>
    <w:basedOn w:val="644"/>
    <w:next w:val="644"/>
    <w:uiPriority w:val="9"/>
    <w:unhideWhenUsed/>
    <w:qFormat/>
    <w:pPr>
      <w:keepLines/>
      <w:keepNext/>
      <w:spacing w:before="320" w:after="200"/>
      <w:outlineLvl w:val="7"/>
    </w:pPr>
    <w:rPr>
      <w:rFonts w:ascii="Arial" w:hAnsi="Arial" w:eastAsia="Arial" w:cs="Arial"/>
      <w:i/>
      <w:iCs/>
      <w:sz w:val="22"/>
      <w:szCs w:val="22"/>
    </w:rPr>
  </w:style>
  <w:style w:type="paragraph" w:styleId="653">
    <w:name w:val="Heading 9"/>
    <w:basedOn w:val="644"/>
    <w:next w:val="644"/>
    <w:uiPriority w:val="9"/>
    <w:unhideWhenUsed/>
    <w:qFormat/>
    <w:pPr>
      <w:keepLines/>
      <w:keepNext/>
      <w:spacing w:before="320" w:after="200"/>
      <w:outlineLvl w:val="8"/>
    </w:pPr>
    <w:rPr>
      <w:rFonts w:ascii="Arial" w:hAnsi="Arial" w:eastAsia="Arial" w:cs="Arial"/>
      <w:i/>
      <w:iCs/>
      <w:sz w:val="21"/>
      <w:szCs w:val="21"/>
    </w:rPr>
  </w:style>
  <w:style w:type="character" w:styleId="654" w:default="1">
    <w:name w:val="Default Paragraph Font"/>
    <w:uiPriority w:val="1"/>
    <w:semiHidden/>
    <w:unhideWhenUsed/>
    <w:qFormat/>
  </w:style>
  <w:style w:type="table" w:styleId="655" w:default="1">
    <w:name w:val="Normal Table"/>
    <w:uiPriority w:val="99"/>
    <w:semiHidden/>
    <w:unhideWhenUsed/>
    <w:qFormat/>
    <w:tblPr>
      <w:tblCellMar>
        <w:left w:w="108" w:type="dxa"/>
        <w:top w:w="0" w:type="dxa"/>
        <w:right w:w="108" w:type="dxa"/>
        <w:bottom w:w="0" w:type="dxa"/>
      </w:tblCellMar>
    </w:tblPr>
  </w:style>
  <w:style w:type="paragraph" w:styleId="656">
    <w:name w:val="toc 7"/>
    <w:basedOn w:val="644"/>
    <w:next w:val="644"/>
    <w:uiPriority w:val="39"/>
    <w:unhideWhenUsed/>
    <w:qFormat/>
    <w:pPr>
      <w:ind w:left="1701" w:right="0" w:firstLine="0"/>
      <w:spacing w:after="57"/>
    </w:pPr>
  </w:style>
  <w:style w:type="paragraph" w:styleId="657">
    <w:name w:val="Caption"/>
    <w:basedOn w:val="644"/>
    <w:next w:val="64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8">
    <w:name w:val="annotation text"/>
    <w:basedOn w:val="644"/>
    <w:uiPriority w:val="99"/>
    <w:semiHidden/>
    <w:unhideWhenUsed/>
    <w:qFormat/>
    <w:pPr>
      <w:jc w:val="left"/>
    </w:pPr>
  </w:style>
  <w:style w:type="paragraph" w:styleId="659">
    <w:name w:val="toc 5"/>
    <w:basedOn w:val="644"/>
    <w:next w:val="644"/>
    <w:uiPriority w:val="39"/>
    <w:unhideWhenUsed/>
    <w:qFormat/>
    <w:pPr>
      <w:ind w:left="1134" w:right="0" w:firstLine="0"/>
      <w:spacing w:after="57"/>
    </w:pPr>
  </w:style>
  <w:style w:type="paragraph" w:styleId="660">
    <w:name w:val="toc 3"/>
    <w:basedOn w:val="644"/>
    <w:next w:val="644"/>
    <w:uiPriority w:val="39"/>
    <w:unhideWhenUsed/>
    <w:qFormat/>
    <w:pPr>
      <w:ind w:left="567" w:right="0" w:firstLine="0"/>
      <w:spacing w:after="57"/>
    </w:pPr>
  </w:style>
  <w:style w:type="paragraph" w:styleId="661">
    <w:name w:val="toc 8"/>
    <w:basedOn w:val="644"/>
    <w:next w:val="644"/>
    <w:uiPriority w:val="39"/>
    <w:unhideWhenUsed/>
    <w:qFormat/>
    <w:pPr>
      <w:ind w:left="1984" w:right="0" w:firstLine="0"/>
      <w:spacing w:after="57"/>
    </w:pPr>
  </w:style>
  <w:style w:type="paragraph" w:styleId="662">
    <w:name w:val="endnote text"/>
    <w:basedOn w:val="644"/>
    <w:uiPriority w:val="99"/>
    <w:semiHidden/>
    <w:unhideWhenUsed/>
    <w:qFormat/>
    <w:pPr>
      <w:spacing w:after="0" w:line="240" w:lineRule="auto"/>
    </w:pPr>
    <w:rPr>
      <w:sz w:val="20"/>
    </w:rPr>
  </w:style>
  <w:style w:type="paragraph" w:styleId="663">
    <w:name w:val="Footer"/>
    <w:basedOn w:val="644"/>
    <w:uiPriority w:val="99"/>
    <w:unhideWhenUsed/>
    <w:qFormat/>
    <w:pPr>
      <w:spacing w:after="0" w:line="240" w:lineRule="auto"/>
      <w:tabs>
        <w:tab w:val="center" w:pos="7143" w:leader="none"/>
        <w:tab w:val="right" w:pos="14287" w:leader="none"/>
      </w:tabs>
    </w:pPr>
  </w:style>
  <w:style w:type="paragraph" w:styleId="664">
    <w:name w:val="Header"/>
    <w:basedOn w:val="644"/>
    <w:uiPriority w:val="99"/>
    <w:unhideWhenUsed/>
    <w:qFormat/>
    <w:pPr>
      <w:spacing w:after="0" w:line="240" w:lineRule="auto"/>
      <w:tabs>
        <w:tab w:val="center" w:pos="7143" w:leader="none"/>
        <w:tab w:val="right" w:pos="14287" w:leader="none"/>
      </w:tabs>
    </w:pPr>
  </w:style>
  <w:style w:type="paragraph" w:styleId="665">
    <w:name w:val="toc 1"/>
    <w:basedOn w:val="644"/>
    <w:next w:val="644"/>
    <w:uiPriority w:val="39"/>
    <w:unhideWhenUsed/>
    <w:qFormat/>
    <w:pPr>
      <w:ind w:left="0" w:right="0" w:firstLine="0"/>
      <w:spacing w:after="57"/>
    </w:pPr>
  </w:style>
  <w:style w:type="paragraph" w:styleId="666">
    <w:name w:val="toc 4"/>
    <w:basedOn w:val="644"/>
    <w:next w:val="644"/>
    <w:uiPriority w:val="39"/>
    <w:unhideWhenUsed/>
    <w:qFormat/>
    <w:pPr>
      <w:ind w:left="850" w:right="0" w:firstLine="0"/>
      <w:spacing w:after="57"/>
    </w:pPr>
  </w:style>
  <w:style w:type="paragraph" w:styleId="667">
    <w:name w:val="Subtitle"/>
    <w:basedOn w:val="644"/>
    <w:next w:val="644"/>
    <w:uiPriority w:val="11"/>
    <w:qFormat/>
    <w:pPr>
      <w:spacing w:before="200" w:after="200"/>
    </w:pPr>
    <w:rPr>
      <w:sz w:val="24"/>
      <w:szCs w:val="24"/>
    </w:rPr>
  </w:style>
  <w:style w:type="paragraph" w:styleId="668">
    <w:name w:val="footnote text"/>
    <w:basedOn w:val="644"/>
    <w:uiPriority w:val="99"/>
    <w:semiHidden/>
    <w:unhideWhenUsed/>
    <w:qFormat/>
    <w:pPr>
      <w:spacing w:after="40" w:line="240" w:lineRule="auto"/>
    </w:pPr>
    <w:rPr>
      <w:sz w:val="18"/>
    </w:rPr>
  </w:style>
  <w:style w:type="paragraph" w:styleId="669">
    <w:name w:val="toc 6"/>
    <w:basedOn w:val="644"/>
    <w:next w:val="644"/>
    <w:uiPriority w:val="39"/>
    <w:unhideWhenUsed/>
    <w:qFormat/>
    <w:pPr>
      <w:ind w:left="1417" w:right="0" w:firstLine="0"/>
      <w:spacing w:after="57"/>
    </w:pPr>
  </w:style>
  <w:style w:type="paragraph" w:styleId="670">
    <w:name w:val="table of figures"/>
    <w:basedOn w:val="644"/>
    <w:next w:val="644"/>
    <w:uiPriority w:val="99"/>
    <w:unhideWhenUsed/>
    <w:qFormat/>
    <w:pPr>
      <w:spacing w:after="0" w:afterAutospacing="0"/>
    </w:pPr>
  </w:style>
  <w:style w:type="paragraph" w:styleId="671">
    <w:name w:val="toc 2"/>
    <w:basedOn w:val="644"/>
    <w:next w:val="644"/>
    <w:uiPriority w:val="39"/>
    <w:unhideWhenUsed/>
    <w:qFormat/>
    <w:pPr>
      <w:ind w:left="283" w:right="0" w:firstLine="0"/>
      <w:spacing w:after="57"/>
    </w:pPr>
  </w:style>
  <w:style w:type="paragraph" w:styleId="672">
    <w:name w:val="toc 9"/>
    <w:basedOn w:val="644"/>
    <w:next w:val="644"/>
    <w:uiPriority w:val="39"/>
    <w:unhideWhenUsed/>
    <w:qFormat/>
    <w:pPr>
      <w:ind w:left="2268" w:right="0" w:firstLine="0"/>
      <w:spacing w:after="57"/>
    </w:pPr>
  </w:style>
  <w:style w:type="paragraph" w:styleId="673">
    <w:name w:val="Title"/>
    <w:basedOn w:val="644"/>
    <w:next w:val="644"/>
    <w:uiPriority w:val="10"/>
    <w:qFormat/>
    <w:pPr>
      <w:contextualSpacing/>
      <w:spacing w:before="300" w:after="200"/>
    </w:pPr>
    <w:rPr>
      <w:sz w:val="48"/>
      <w:szCs w:val="48"/>
    </w:rPr>
  </w:style>
  <w:style w:type="table" w:styleId="67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5">
    <w:name w:val="endnote reference"/>
    <w:uiPriority w:val="99"/>
    <w:semiHidden/>
    <w:unhideWhenUsed/>
    <w:qFormat/>
    <w:rPr>
      <w:vertAlign w:val="superscript"/>
    </w:rPr>
  </w:style>
  <w:style w:type="character" w:styleId="676">
    <w:name w:val="Hyperlink"/>
    <w:uiPriority w:val="99"/>
    <w:unhideWhenUsed/>
    <w:qFormat/>
    <w:rPr>
      <w:color w:val="0000ff" w:themeColor="hyperlink"/>
      <w:u w:val="single"/>
      <w14:textFill>
        <w14:solidFill>
          <w14:schemeClr w14:val="hlink"/>
        </w14:solidFill>
      </w14:textFill>
    </w:rPr>
  </w:style>
  <w:style w:type="character" w:styleId="677">
    <w:name w:val="footnote reference"/>
    <w:uiPriority w:val="99"/>
    <w:unhideWhenUsed/>
    <w:qFormat/>
    <w:rPr>
      <w:vertAlign w:val="superscript"/>
    </w:rPr>
  </w:style>
  <w:style w:type="paragraph" w:styleId="678" w:customStyle="1">
    <w:name w:val="Default"/>
    <w:uiPriority w:val="99"/>
    <w:qFormat/>
    <w:pPr>
      <w:widowControl w:val="off"/>
    </w:pPr>
    <w:rPr>
      <w:rFonts w:hint="default" w:ascii="華康楷書體W5" w:hAnsi="Calibri" w:eastAsia="宋体" w:cs="Times New Roman"/>
      <w:color w:val="000000"/>
      <w:sz w:val="21"/>
      <w:szCs w:val="24"/>
      <w:lang w:val="en-US" w:eastAsia="zh-CN" w:bidi="ar-SA"/>
    </w:rPr>
  </w:style>
  <w:style w:type="paragraph" w:styleId="679" w:customStyle="1">
    <w:name w:val="标题 112"/>
    <w:basedOn w:val="644"/>
    <w:next w:val="644"/>
    <w:link w:val="692"/>
    <w:uiPriority w:val="9"/>
    <w:qFormat/>
    <w:pPr>
      <w:keepLines/>
      <w:keepNext/>
      <w:spacing w:before="480" w:after="200"/>
      <w:outlineLvl w:val="0"/>
    </w:pPr>
    <w:rPr>
      <w:rFonts w:ascii="Arial" w:hAnsi="Arial" w:eastAsia="Arial" w:cs="Arial"/>
      <w:sz w:val="40"/>
      <w:szCs w:val="40"/>
    </w:rPr>
  </w:style>
  <w:style w:type="paragraph" w:styleId="680" w:customStyle="1">
    <w:name w:val="标题 211"/>
    <w:basedOn w:val="644"/>
    <w:next w:val="644"/>
    <w:link w:val="693"/>
    <w:uiPriority w:val="9"/>
    <w:unhideWhenUsed/>
    <w:qFormat/>
    <w:pPr>
      <w:keepLines/>
      <w:keepNext/>
      <w:spacing w:before="360" w:after="200"/>
      <w:outlineLvl w:val="1"/>
    </w:pPr>
    <w:rPr>
      <w:rFonts w:ascii="Arial" w:hAnsi="Arial" w:eastAsia="Arial" w:cs="Arial"/>
      <w:sz w:val="34"/>
    </w:rPr>
  </w:style>
  <w:style w:type="paragraph" w:styleId="681" w:customStyle="1">
    <w:name w:val="标题 311"/>
    <w:basedOn w:val="644"/>
    <w:next w:val="644"/>
    <w:link w:val="694"/>
    <w:uiPriority w:val="9"/>
    <w:unhideWhenUsed/>
    <w:qFormat/>
    <w:pPr>
      <w:keepLines/>
      <w:keepNext/>
      <w:spacing w:before="320" w:after="200"/>
      <w:outlineLvl w:val="2"/>
    </w:pPr>
    <w:rPr>
      <w:rFonts w:ascii="Arial" w:hAnsi="Arial" w:eastAsia="Arial" w:cs="Arial"/>
      <w:sz w:val="30"/>
      <w:szCs w:val="30"/>
    </w:rPr>
  </w:style>
  <w:style w:type="paragraph" w:styleId="682" w:customStyle="1">
    <w:name w:val="标题 41"/>
    <w:basedOn w:val="644"/>
    <w:next w:val="644"/>
    <w:link w:val="695"/>
    <w:uiPriority w:val="9"/>
    <w:unhideWhenUsed/>
    <w:qFormat/>
    <w:pPr>
      <w:keepLines/>
      <w:keepNext/>
      <w:spacing w:before="320" w:after="200"/>
      <w:outlineLvl w:val="3"/>
    </w:pPr>
    <w:rPr>
      <w:rFonts w:ascii="Arial" w:hAnsi="Arial" w:eastAsia="Arial" w:cs="Arial"/>
      <w:b/>
      <w:bCs/>
      <w:sz w:val="26"/>
      <w:szCs w:val="26"/>
    </w:rPr>
  </w:style>
  <w:style w:type="paragraph" w:styleId="683" w:customStyle="1">
    <w:name w:val="标题 51"/>
    <w:basedOn w:val="644"/>
    <w:next w:val="644"/>
    <w:link w:val="696"/>
    <w:uiPriority w:val="9"/>
    <w:unhideWhenUsed/>
    <w:qFormat/>
    <w:pPr>
      <w:keepLines/>
      <w:keepNext/>
      <w:spacing w:before="320" w:after="200"/>
      <w:outlineLvl w:val="4"/>
    </w:pPr>
    <w:rPr>
      <w:rFonts w:ascii="Arial" w:hAnsi="Arial" w:eastAsia="Arial" w:cs="Arial"/>
      <w:b/>
      <w:bCs/>
      <w:sz w:val="24"/>
      <w:szCs w:val="24"/>
    </w:rPr>
  </w:style>
  <w:style w:type="paragraph" w:styleId="684" w:customStyle="1">
    <w:name w:val="标题 61"/>
    <w:basedOn w:val="644"/>
    <w:next w:val="644"/>
    <w:link w:val="697"/>
    <w:uiPriority w:val="9"/>
    <w:unhideWhenUsed/>
    <w:qFormat/>
    <w:pPr>
      <w:keepLines/>
      <w:keepNext/>
      <w:spacing w:before="320" w:after="200"/>
      <w:outlineLvl w:val="5"/>
    </w:pPr>
    <w:rPr>
      <w:rFonts w:ascii="Arial" w:hAnsi="Arial" w:eastAsia="Arial" w:cs="Arial"/>
      <w:b/>
      <w:bCs/>
      <w:sz w:val="22"/>
      <w:szCs w:val="22"/>
    </w:rPr>
  </w:style>
  <w:style w:type="paragraph" w:styleId="685" w:customStyle="1">
    <w:name w:val="标题 71"/>
    <w:basedOn w:val="644"/>
    <w:next w:val="644"/>
    <w:link w:val="698"/>
    <w:uiPriority w:val="9"/>
    <w:unhideWhenUsed/>
    <w:qFormat/>
    <w:pPr>
      <w:keepLines/>
      <w:keepNext/>
      <w:spacing w:before="320" w:after="200"/>
      <w:outlineLvl w:val="6"/>
    </w:pPr>
    <w:rPr>
      <w:rFonts w:ascii="Arial" w:hAnsi="Arial" w:eastAsia="Arial" w:cs="Arial"/>
      <w:b/>
      <w:bCs/>
      <w:i/>
      <w:iCs/>
      <w:sz w:val="22"/>
      <w:szCs w:val="22"/>
    </w:rPr>
  </w:style>
  <w:style w:type="paragraph" w:styleId="686" w:customStyle="1">
    <w:name w:val="标题 81"/>
    <w:basedOn w:val="644"/>
    <w:next w:val="644"/>
    <w:link w:val="699"/>
    <w:uiPriority w:val="9"/>
    <w:unhideWhenUsed/>
    <w:qFormat/>
    <w:pPr>
      <w:keepLines/>
      <w:keepNext/>
      <w:spacing w:before="320" w:after="200"/>
      <w:outlineLvl w:val="7"/>
    </w:pPr>
    <w:rPr>
      <w:rFonts w:ascii="Arial" w:hAnsi="Arial" w:eastAsia="Arial" w:cs="Arial"/>
      <w:i/>
      <w:iCs/>
      <w:sz w:val="22"/>
      <w:szCs w:val="22"/>
    </w:rPr>
  </w:style>
  <w:style w:type="paragraph" w:styleId="687" w:customStyle="1">
    <w:name w:val="标题 91"/>
    <w:basedOn w:val="644"/>
    <w:next w:val="644"/>
    <w:link w:val="700"/>
    <w:uiPriority w:val="9"/>
    <w:unhideWhenUsed/>
    <w:qFormat/>
    <w:pPr>
      <w:keepLines/>
      <w:keepNext/>
      <w:spacing w:before="320" w:after="200"/>
      <w:outlineLvl w:val="8"/>
    </w:pPr>
    <w:rPr>
      <w:rFonts w:ascii="Arial" w:hAnsi="Arial" w:eastAsia="Arial" w:cs="Arial"/>
      <w:i/>
      <w:iCs/>
      <w:sz w:val="21"/>
      <w:szCs w:val="21"/>
    </w:rPr>
  </w:style>
  <w:style w:type="character" w:styleId="688" w:customStyle="1">
    <w:name w:val="默认段落字体11"/>
    <w:link w:val="644"/>
    <w:uiPriority w:val="1"/>
    <w:unhideWhenUsed/>
    <w:qFormat/>
  </w:style>
  <w:style w:type="table" w:styleId="689" w:customStyle="1">
    <w:name w:val="普通表格11"/>
    <w:uiPriority w:val="99"/>
    <w:unhideWhenUsed/>
    <w:qFormat/>
    <w:tblPr/>
  </w:style>
  <w:style w:type="character" w:styleId="690" w:customStyle="1">
    <w:name w:val="font11"/>
    <w:basedOn w:val="654"/>
    <w:link w:val="644"/>
    <w:uiPriority w:val="0"/>
    <w:qFormat/>
    <w:rPr>
      <w:rFonts w:hint="eastAsia" w:ascii="宋体" w:hAnsi="宋体" w:eastAsia="宋体" w:cs="宋体"/>
      <w:color w:val="000000"/>
      <w:sz w:val="20"/>
      <w:szCs w:val="20"/>
      <w:u w:val="none"/>
    </w:rPr>
  </w:style>
  <w:style w:type="character" w:styleId="691" w:customStyle="1">
    <w:name w:val="默认段落字体1"/>
    <w:link w:val="644"/>
    <w:uiPriority w:val="1"/>
    <w:unhideWhenUsed/>
    <w:qFormat/>
  </w:style>
  <w:style w:type="character" w:styleId="692" w:customStyle="1">
    <w:name w:val="Heading 1 Char"/>
    <w:link w:val="679"/>
    <w:uiPriority w:val="9"/>
    <w:qFormat/>
    <w:rPr>
      <w:rFonts w:ascii="Arial" w:hAnsi="Arial" w:eastAsia="Arial" w:cs="Arial"/>
      <w:sz w:val="40"/>
      <w:szCs w:val="40"/>
    </w:rPr>
  </w:style>
  <w:style w:type="character" w:styleId="693" w:customStyle="1">
    <w:name w:val="Heading 2 Char"/>
    <w:link w:val="680"/>
    <w:uiPriority w:val="9"/>
    <w:qFormat/>
    <w:rPr>
      <w:rFonts w:ascii="Arial" w:hAnsi="Arial" w:eastAsia="Arial" w:cs="Arial"/>
      <w:sz w:val="34"/>
    </w:rPr>
  </w:style>
  <w:style w:type="character" w:styleId="694" w:customStyle="1">
    <w:name w:val="Heading 3 Char"/>
    <w:link w:val="681"/>
    <w:uiPriority w:val="9"/>
    <w:qFormat/>
    <w:rPr>
      <w:rFonts w:ascii="Arial" w:hAnsi="Arial" w:eastAsia="Arial" w:cs="Arial"/>
      <w:sz w:val="30"/>
      <w:szCs w:val="30"/>
    </w:rPr>
  </w:style>
  <w:style w:type="character" w:styleId="695" w:customStyle="1">
    <w:name w:val="Heading 4 Char"/>
    <w:link w:val="682"/>
    <w:uiPriority w:val="9"/>
    <w:qFormat/>
    <w:rPr>
      <w:rFonts w:ascii="Arial" w:hAnsi="Arial" w:eastAsia="Arial" w:cs="Arial"/>
      <w:b/>
      <w:bCs/>
      <w:sz w:val="26"/>
      <w:szCs w:val="26"/>
    </w:rPr>
  </w:style>
  <w:style w:type="character" w:styleId="696" w:customStyle="1">
    <w:name w:val="Heading 5 Char"/>
    <w:link w:val="683"/>
    <w:uiPriority w:val="9"/>
    <w:qFormat/>
    <w:rPr>
      <w:rFonts w:ascii="Arial" w:hAnsi="Arial" w:eastAsia="Arial" w:cs="Arial"/>
      <w:b/>
      <w:bCs/>
      <w:sz w:val="24"/>
      <w:szCs w:val="24"/>
    </w:rPr>
  </w:style>
  <w:style w:type="character" w:styleId="697" w:customStyle="1">
    <w:name w:val="Heading 6 Char"/>
    <w:link w:val="684"/>
    <w:uiPriority w:val="9"/>
    <w:qFormat/>
    <w:rPr>
      <w:rFonts w:ascii="Arial" w:hAnsi="Arial" w:eastAsia="Arial" w:cs="Arial"/>
      <w:b/>
      <w:bCs/>
      <w:sz w:val="22"/>
      <w:szCs w:val="22"/>
    </w:rPr>
  </w:style>
  <w:style w:type="character" w:styleId="698" w:customStyle="1">
    <w:name w:val="Heading 7 Char"/>
    <w:link w:val="685"/>
    <w:uiPriority w:val="9"/>
    <w:qFormat/>
    <w:rPr>
      <w:rFonts w:ascii="Arial" w:hAnsi="Arial" w:eastAsia="Arial" w:cs="Arial"/>
      <w:b/>
      <w:bCs/>
      <w:i/>
      <w:iCs/>
      <w:sz w:val="22"/>
      <w:szCs w:val="22"/>
    </w:rPr>
  </w:style>
  <w:style w:type="character" w:styleId="699" w:customStyle="1">
    <w:name w:val="Heading 8 Char"/>
    <w:link w:val="686"/>
    <w:uiPriority w:val="9"/>
    <w:qFormat/>
    <w:rPr>
      <w:rFonts w:ascii="Arial" w:hAnsi="Arial" w:eastAsia="Arial" w:cs="Arial"/>
      <w:i/>
      <w:iCs/>
      <w:sz w:val="22"/>
      <w:szCs w:val="22"/>
    </w:rPr>
  </w:style>
  <w:style w:type="character" w:styleId="700" w:customStyle="1">
    <w:name w:val="Heading 9 Char"/>
    <w:link w:val="687"/>
    <w:uiPriority w:val="9"/>
    <w:qFormat/>
    <w:rPr>
      <w:rFonts w:ascii="Arial" w:hAnsi="Arial" w:eastAsia="Arial" w:cs="Arial"/>
      <w:i/>
      <w:iCs/>
      <w:sz w:val="21"/>
      <w:szCs w:val="21"/>
    </w:rPr>
  </w:style>
  <w:style w:type="paragraph" w:styleId="701" w:customStyle="1">
    <w:name w:val="目录 71"/>
    <w:basedOn w:val="644"/>
    <w:next w:val="644"/>
    <w:uiPriority w:val="39"/>
    <w:unhideWhenUsed/>
    <w:qFormat/>
    <w:pPr>
      <w:ind w:left="1701" w:right="0" w:firstLine="0"/>
      <w:spacing w:after="57"/>
    </w:pPr>
  </w:style>
  <w:style w:type="paragraph" w:styleId="702" w:customStyle="1">
    <w:name w:val="题注1"/>
    <w:basedOn w:val="644"/>
    <w:next w:val="644"/>
    <w:uiPriority w:val="35"/>
    <w:unhideWhenUsed/>
    <w:qFormat/>
    <w:pPr>
      <w:spacing w:line="276" w:lineRule="auto"/>
    </w:pPr>
    <w:rPr>
      <w:b/>
      <w:bCs/>
      <w:color w:val="4f81bd"/>
      <w:sz w:val="18"/>
      <w:szCs w:val="18"/>
    </w:rPr>
  </w:style>
  <w:style w:type="paragraph" w:styleId="703" w:customStyle="1">
    <w:name w:val="目录 51"/>
    <w:basedOn w:val="644"/>
    <w:next w:val="644"/>
    <w:uiPriority w:val="39"/>
    <w:unhideWhenUsed/>
    <w:qFormat/>
    <w:pPr>
      <w:ind w:left="1134" w:right="0" w:firstLine="0"/>
      <w:spacing w:after="57"/>
    </w:pPr>
  </w:style>
  <w:style w:type="paragraph" w:styleId="704" w:customStyle="1">
    <w:name w:val="目录 31"/>
    <w:basedOn w:val="644"/>
    <w:next w:val="644"/>
    <w:uiPriority w:val="39"/>
    <w:unhideWhenUsed/>
    <w:qFormat/>
    <w:pPr>
      <w:ind w:left="567" w:right="0" w:firstLine="0"/>
      <w:spacing w:after="57"/>
    </w:pPr>
  </w:style>
  <w:style w:type="paragraph" w:styleId="705" w:customStyle="1">
    <w:name w:val="目录 81"/>
    <w:basedOn w:val="644"/>
    <w:next w:val="644"/>
    <w:uiPriority w:val="39"/>
    <w:unhideWhenUsed/>
    <w:qFormat/>
    <w:pPr>
      <w:ind w:left="1984" w:right="0" w:firstLine="0"/>
      <w:spacing w:after="57"/>
    </w:pPr>
  </w:style>
  <w:style w:type="paragraph" w:styleId="706" w:customStyle="1">
    <w:name w:val="尾注文本1"/>
    <w:basedOn w:val="644"/>
    <w:link w:val="707"/>
    <w:uiPriority w:val="99"/>
    <w:unhideWhenUsed/>
    <w:qFormat/>
    <w:pPr>
      <w:spacing w:after="0" w:line="240" w:lineRule="auto"/>
    </w:pPr>
    <w:rPr>
      <w:sz w:val="20"/>
    </w:rPr>
  </w:style>
  <w:style w:type="character" w:styleId="707" w:customStyle="1">
    <w:name w:val="Endnote Text Char"/>
    <w:link w:val="706"/>
    <w:uiPriority w:val="99"/>
    <w:qFormat/>
    <w:rPr>
      <w:sz w:val="20"/>
    </w:rPr>
  </w:style>
  <w:style w:type="paragraph" w:styleId="708" w:customStyle="1">
    <w:name w:val="页脚11"/>
    <w:basedOn w:val="644"/>
    <w:link w:val="733"/>
    <w:uiPriority w:val="99"/>
    <w:unhideWhenUsed/>
    <w:qFormat/>
    <w:pPr>
      <w:spacing w:after="0" w:line="240" w:lineRule="auto"/>
      <w:tabs>
        <w:tab w:val="center" w:pos="7143" w:leader="none"/>
        <w:tab w:val="right" w:pos="14287" w:leader="none"/>
      </w:tabs>
    </w:pPr>
  </w:style>
  <w:style w:type="character" w:styleId="709" w:customStyle="1">
    <w:name w:val="Caption Char"/>
    <w:link w:val="708"/>
    <w:uiPriority w:val="99"/>
    <w:qFormat/>
  </w:style>
  <w:style w:type="paragraph" w:styleId="710" w:customStyle="1">
    <w:name w:val="页眉11"/>
    <w:basedOn w:val="644"/>
    <w:link w:val="711"/>
    <w:uiPriority w:val="99"/>
    <w:unhideWhenUsed/>
    <w:qFormat/>
    <w:pPr>
      <w:spacing w:after="0" w:line="240" w:lineRule="auto"/>
      <w:tabs>
        <w:tab w:val="center" w:pos="7143" w:leader="none"/>
        <w:tab w:val="right" w:pos="14287" w:leader="none"/>
      </w:tabs>
    </w:pPr>
  </w:style>
  <w:style w:type="character" w:styleId="711" w:customStyle="1">
    <w:name w:val="Header Char"/>
    <w:link w:val="710"/>
    <w:uiPriority w:val="99"/>
    <w:qFormat/>
  </w:style>
  <w:style w:type="paragraph" w:styleId="712" w:customStyle="1">
    <w:name w:val="目录 111"/>
    <w:basedOn w:val="644"/>
    <w:next w:val="644"/>
    <w:uiPriority w:val="39"/>
    <w:unhideWhenUsed/>
    <w:qFormat/>
    <w:pPr>
      <w:ind w:left="0" w:right="0" w:firstLine="0"/>
      <w:spacing w:after="57"/>
    </w:pPr>
  </w:style>
  <w:style w:type="paragraph" w:styleId="713" w:customStyle="1">
    <w:name w:val="目录 41"/>
    <w:basedOn w:val="644"/>
    <w:next w:val="644"/>
    <w:uiPriority w:val="39"/>
    <w:unhideWhenUsed/>
    <w:qFormat/>
    <w:pPr>
      <w:ind w:left="850" w:right="0" w:firstLine="0"/>
      <w:spacing w:after="57"/>
    </w:pPr>
  </w:style>
  <w:style w:type="paragraph" w:styleId="714" w:customStyle="1">
    <w:name w:val="副标题1"/>
    <w:basedOn w:val="644"/>
    <w:next w:val="644"/>
    <w:link w:val="715"/>
    <w:uiPriority w:val="11"/>
    <w:qFormat/>
    <w:pPr>
      <w:spacing w:before="200" w:after="200"/>
    </w:pPr>
    <w:rPr>
      <w:sz w:val="24"/>
      <w:szCs w:val="24"/>
    </w:rPr>
  </w:style>
  <w:style w:type="character" w:styleId="715" w:customStyle="1">
    <w:name w:val="Subtitle Char"/>
    <w:link w:val="714"/>
    <w:uiPriority w:val="11"/>
    <w:qFormat/>
    <w:rPr>
      <w:sz w:val="24"/>
      <w:szCs w:val="24"/>
    </w:rPr>
  </w:style>
  <w:style w:type="paragraph" w:styleId="716" w:customStyle="1">
    <w:name w:val="脚注文本1"/>
    <w:basedOn w:val="644"/>
    <w:link w:val="717"/>
    <w:uiPriority w:val="99"/>
    <w:unhideWhenUsed/>
    <w:qFormat/>
    <w:pPr>
      <w:spacing w:after="40" w:line="240" w:lineRule="auto"/>
    </w:pPr>
    <w:rPr>
      <w:sz w:val="18"/>
    </w:rPr>
  </w:style>
  <w:style w:type="character" w:styleId="717" w:customStyle="1">
    <w:name w:val="Footnote Text Char"/>
    <w:link w:val="716"/>
    <w:uiPriority w:val="99"/>
    <w:qFormat/>
    <w:rPr>
      <w:sz w:val="18"/>
    </w:rPr>
  </w:style>
  <w:style w:type="paragraph" w:styleId="718" w:customStyle="1">
    <w:name w:val="目录 61"/>
    <w:basedOn w:val="644"/>
    <w:next w:val="644"/>
    <w:uiPriority w:val="39"/>
    <w:unhideWhenUsed/>
    <w:qFormat/>
    <w:pPr>
      <w:ind w:left="1417" w:right="0" w:firstLine="0"/>
      <w:spacing w:after="57"/>
    </w:pPr>
  </w:style>
  <w:style w:type="paragraph" w:styleId="719" w:customStyle="1">
    <w:name w:val="图表目录1"/>
    <w:basedOn w:val="644"/>
    <w:next w:val="644"/>
    <w:uiPriority w:val="99"/>
    <w:unhideWhenUsed/>
    <w:qFormat/>
    <w:pPr>
      <w:spacing w:after="0" w:afterAutospacing="0"/>
    </w:pPr>
  </w:style>
  <w:style w:type="paragraph" w:styleId="720" w:customStyle="1">
    <w:name w:val="目录 21"/>
    <w:basedOn w:val="644"/>
    <w:next w:val="644"/>
    <w:uiPriority w:val="39"/>
    <w:unhideWhenUsed/>
    <w:qFormat/>
    <w:pPr>
      <w:ind w:left="283" w:right="0" w:firstLine="0"/>
      <w:spacing w:after="57"/>
    </w:pPr>
  </w:style>
  <w:style w:type="paragraph" w:styleId="721" w:customStyle="1">
    <w:name w:val="目录 91"/>
    <w:basedOn w:val="644"/>
    <w:next w:val="644"/>
    <w:uiPriority w:val="39"/>
    <w:unhideWhenUsed/>
    <w:qFormat/>
    <w:pPr>
      <w:ind w:left="2268" w:right="0" w:firstLine="0"/>
      <w:spacing w:after="57"/>
    </w:pPr>
  </w:style>
  <w:style w:type="paragraph" w:styleId="722" w:customStyle="1">
    <w:name w:val="标题1"/>
    <w:basedOn w:val="644"/>
    <w:next w:val="644"/>
    <w:link w:val="723"/>
    <w:uiPriority w:val="10"/>
    <w:qFormat/>
    <w:pPr>
      <w:contextualSpacing/>
      <w:spacing w:before="300" w:after="200"/>
    </w:pPr>
    <w:rPr>
      <w:sz w:val="48"/>
      <w:szCs w:val="48"/>
    </w:rPr>
  </w:style>
  <w:style w:type="character" w:styleId="723" w:customStyle="1">
    <w:name w:val="Title Char"/>
    <w:link w:val="722"/>
    <w:uiPriority w:val="10"/>
    <w:qFormat/>
    <w:rPr>
      <w:sz w:val="48"/>
      <w:szCs w:val="48"/>
    </w:rPr>
  </w:style>
  <w:style w:type="table" w:styleId="724" w:customStyle="1">
    <w:name w:val="网格型11"/>
    <w:uiPriority w:val="59"/>
    <w:qFormat/>
    <w:pPr>
      <w:spacing w:after="0" w:line="240" w:lineRule="auto"/>
    </w:pPr>
    <w:tblPr/>
  </w:style>
  <w:style w:type="character" w:styleId="725" w:customStyle="1">
    <w:name w:val="尾注引用1"/>
    <w:link w:val="644"/>
    <w:uiPriority w:val="99"/>
    <w:unhideWhenUsed/>
    <w:qFormat/>
    <w:rPr>
      <w:vertAlign w:val="superscript"/>
    </w:rPr>
  </w:style>
  <w:style w:type="character" w:styleId="726" w:customStyle="1">
    <w:name w:val="超链接11"/>
    <w:link w:val="644"/>
    <w:uiPriority w:val="99"/>
    <w:unhideWhenUsed/>
    <w:qFormat/>
    <w:rPr>
      <w:color w:val="0000ff"/>
      <w:u w:val="single"/>
    </w:rPr>
  </w:style>
  <w:style w:type="character" w:styleId="727" w:customStyle="1">
    <w:name w:val="脚注引用1"/>
    <w:link w:val="644"/>
    <w:uiPriority w:val="99"/>
    <w:unhideWhenUsed/>
    <w:qFormat/>
    <w:rPr>
      <w:vertAlign w:val="superscript"/>
    </w:rPr>
  </w:style>
  <w:style w:type="paragraph" w:styleId="728">
    <w:name w:val="No Spacing"/>
    <w:uiPriority w:val="1"/>
    <w:qFormat/>
    <w:pPr>
      <w:spacing w:before="0" w:after="0" w:line="240" w:lineRule="auto"/>
    </w:pPr>
    <w:rPr>
      <w:rFonts w:hint="default" w:ascii="Times New Roman" w:hAnsi="Times New Roman" w:eastAsia="宋体" w:cs="Times New Roman"/>
    </w:rPr>
  </w:style>
  <w:style w:type="paragraph" w:styleId="729">
    <w:name w:val="Quote"/>
    <w:basedOn w:val="644"/>
    <w:next w:val="644"/>
    <w:link w:val="730"/>
    <w:uiPriority w:val="29"/>
    <w:qFormat/>
    <w:pPr>
      <w:ind w:left="720" w:right="720"/>
    </w:pPr>
    <w:rPr>
      <w:i/>
    </w:rPr>
  </w:style>
  <w:style w:type="character" w:styleId="730" w:customStyle="1">
    <w:name w:val="Quote Char"/>
    <w:link w:val="729"/>
    <w:uiPriority w:val="29"/>
    <w:qFormat/>
    <w:rPr>
      <w:i/>
    </w:rPr>
  </w:style>
  <w:style w:type="paragraph" w:styleId="731">
    <w:name w:val="Intense Quote"/>
    <w:basedOn w:val="644"/>
    <w:next w:val="644"/>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customStyle="1">
    <w:name w:val="Intense Quote Char"/>
    <w:link w:val="731"/>
    <w:uiPriority w:val="30"/>
    <w:qFormat/>
    <w:rPr>
      <w:i/>
    </w:rPr>
  </w:style>
  <w:style w:type="character" w:styleId="733" w:customStyle="1">
    <w:name w:val="Footer Char"/>
    <w:link w:val="708"/>
    <w:uiPriority w:val="99"/>
    <w:qFormat/>
  </w:style>
  <w:style w:type="table" w:styleId="734" w:customStyle="1">
    <w:name w:val="Table Grid Light"/>
    <w:uiPriority w:val="59"/>
    <w:qFormat/>
    <w:pPr>
      <w:spacing w:after="0" w:line="240" w:lineRule="auto"/>
    </w:pPr>
    <w:tblPr/>
  </w:style>
  <w:style w:type="table" w:styleId="735" w:customStyle="1">
    <w:name w:val="Plain Table 1"/>
    <w:uiPriority w:val="59"/>
    <w:qFormat/>
    <w:pPr>
      <w:spacing w:after="0" w:line="240" w:lineRule="auto"/>
    </w:pPr>
    <w:tblPr/>
  </w:style>
  <w:style w:type="table" w:styleId="736" w:customStyle="1">
    <w:name w:val="Plain Table 2"/>
    <w:uiPriority w:val="59"/>
    <w:qFormat/>
    <w:pPr>
      <w:spacing w:after="0" w:line="240" w:lineRule="auto"/>
    </w:pPr>
    <w:tblPr/>
  </w:style>
  <w:style w:type="table" w:styleId="737" w:customStyle="1">
    <w:name w:val="Plain Table 3"/>
    <w:uiPriority w:val="99"/>
    <w:qFormat/>
    <w:pPr>
      <w:spacing w:after="0" w:line="240" w:lineRule="auto"/>
    </w:pPr>
    <w:tblPr/>
  </w:style>
  <w:style w:type="table" w:styleId="738" w:customStyle="1">
    <w:name w:val="Plain Table 4"/>
    <w:uiPriority w:val="99"/>
    <w:qFormat/>
    <w:pPr>
      <w:spacing w:after="0" w:line="240" w:lineRule="auto"/>
    </w:pPr>
    <w:tblPr/>
  </w:style>
  <w:style w:type="table" w:styleId="739" w:customStyle="1">
    <w:name w:val="Plain Table 5"/>
    <w:uiPriority w:val="99"/>
    <w:qFormat/>
    <w:pPr>
      <w:spacing w:after="0" w:line="240" w:lineRule="auto"/>
    </w:pPr>
    <w:tblPr/>
  </w:style>
  <w:style w:type="table" w:styleId="740" w:customStyle="1">
    <w:name w:val="Grid Table 1 Light"/>
    <w:uiPriority w:val="99"/>
    <w:qFormat/>
    <w:pPr>
      <w:spacing w:after="0" w:line="240" w:lineRule="auto"/>
    </w:pPr>
    <w:tblPr/>
  </w:style>
  <w:style w:type="table" w:styleId="741" w:customStyle="1">
    <w:name w:val="Grid Table 1 Light - Accent 1"/>
    <w:uiPriority w:val="99"/>
    <w:qFormat/>
    <w:pPr>
      <w:spacing w:after="0" w:line="240" w:lineRule="auto"/>
    </w:pPr>
    <w:tblPr/>
  </w:style>
  <w:style w:type="table" w:styleId="742" w:customStyle="1">
    <w:name w:val="Grid Table 1 Light - Accent 2"/>
    <w:uiPriority w:val="99"/>
    <w:qFormat/>
    <w:pPr>
      <w:spacing w:after="0" w:line="240" w:lineRule="auto"/>
    </w:pPr>
    <w:tblPr/>
  </w:style>
  <w:style w:type="table" w:styleId="743" w:customStyle="1">
    <w:name w:val="Grid Table 1 Light - Accent 3"/>
    <w:uiPriority w:val="99"/>
    <w:qFormat/>
    <w:pPr>
      <w:spacing w:after="0" w:line="240" w:lineRule="auto"/>
    </w:pPr>
    <w:tblPr/>
  </w:style>
  <w:style w:type="table" w:styleId="744" w:customStyle="1">
    <w:name w:val="Grid Table 1 Light - Accent 4"/>
    <w:uiPriority w:val="99"/>
    <w:qFormat/>
    <w:pPr>
      <w:spacing w:after="0" w:line="240" w:lineRule="auto"/>
    </w:pPr>
    <w:tblPr/>
  </w:style>
  <w:style w:type="table" w:styleId="745" w:customStyle="1">
    <w:name w:val="Grid Table 1 Light - Accent 5"/>
    <w:uiPriority w:val="99"/>
    <w:qFormat/>
    <w:pPr>
      <w:spacing w:after="0" w:line="240" w:lineRule="auto"/>
    </w:pPr>
    <w:tblPr/>
  </w:style>
  <w:style w:type="table" w:styleId="746" w:customStyle="1">
    <w:name w:val="Grid Table 1 Light - Accent 6"/>
    <w:uiPriority w:val="99"/>
    <w:qFormat/>
    <w:pPr>
      <w:spacing w:after="0" w:line="240" w:lineRule="auto"/>
    </w:pPr>
    <w:tblPr/>
  </w:style>
  <w:style w:type="table" w:styleId="747" w:customStyle="1">
    <w:name w:val="Grid Table 2"/>
    <w:uiPriority w:val="99"/>
    <w:qFormat/>
    <w:pPr>
      <w:spacing w:after="0" w:line="240" w:lineRule="auto"/>
    </w:pPr>
    <w:tblPr/>
  </w:style>
  <w:style w:type="table" w:styleId="748" w:customStyle="1">
    <w:name w:val="Grid Table 2 - Accent 1"/>
    <w:uiPriority w:val="99"/>
    <w:qFormat/>
    <w:pPr>
      <w:spacing w:after="0" w:line="240" w:lineRule="auto"/>
    </w:pPr>
    <w:tblPr/>
  </w:style>
  <w:style w:type="table" w:styleId="749" w:customStyle="1">
    <w:name w:val="Grid Table 2 - Accent 2"/>
    <w:uiPriority w:val="99"/>
    <w:qFormat/>
    <w:pPr>
      <w:spacing w:after="0" w:line="240" w:lineRule="auto"/>
    </w:pPr>
    <w:tblPr/>
  </w:style>
  <w:style w:type="table" w:styleId="750" w:customStyle="1">
    <w:name w:val="Grid Table 2 - Accent 3"/>
    <w:uiPriority w:val="99"/>
    <w:qFormat/>
    <w:pPr>
      <w:spacing w:after="0" w:line="240" w:lineRule="auto"/>
    </w:pPr>
    <w:tblPr/>
  </w:style>
  <w:style w:type="table" w:styleId="751" w:customStyle="1">
    <w:name w:val="Grid Table 2 - Accent 4"/>
    <w:uiPriority w:val="99"/>
    <w:qFormat/>
    <w:pPr>
      <w:spacing w:after="0" w:line="240" w:lineRule="auto"/>
    </w:pPr>
    <w:tblPr/>
  </w:style>
  <w:style w:type="table" w:styleId="752" w:customStyle="1">
    <w:name w:val="Grid Table 2 - Accent 5"/>
    <w:uiPriority w:val="99"/>
    <w:qFormat/>
    <w:pPr>
      <w:spacing w:after="0" w:line="240" w:lineRule="auto"/>
    </w:pPr>
    <w:tblPr/>
  </w:style>
  <w:style w:type="table" w:styleId="753" w:customStyle="1">
    <w:name w:val="Grid Table 2 - Accent 6"/>
    <w:uiPriority w:val="99"/>
    <w:qFormat/>
    <w:pPr>
      <w:spacing w:after="0" w:line="240" w:lineRule="auto"/>
    </w:pPr>
    <w:tblPr/>
  </w:style>
  <w:style w:type="table" w:styleId="754" w:customStyle="1">
    <w:name w:val="Grid Table 3"/>
    <w:uiPriority w:val="99"/>
    <w:qFormat/>
    <w:pPr>
      <w:spacing w:after="0" w:line="240" w:lineRule="auto"/>
    </w:pPr>
    <w:tblPr/>
  </w:style>
  <w:style w:type="table" w:styleId="755" w:customStyle="1">
    <w:name w:val="Grid Table 3 - Accent 1"/>
    <w:uiPriority w:val="99"/>
    <w:qFormat/>
    <w:pPr>
      <w:spacing w:after="0" w:line="240" w:lineRule="auto"/>
    </w:pPr>
    <w:tblPr/>
  </w:style>
  <w:style w:type="table" w:styleId="756" w:customStyle="1">
    <w:name w:val="Grid Table 3 - Accent 2"/>
    <w:uiPriority w:val="99"/>
    <w:qFormat/>
    <w:pPr>
      <w:spacing w:after="0" w:line="240" w:lineRule="auto"/>
    </w:pPr>
    <w:tblPr/>
  </w:style>
  <w:style w:type="table" w:styleId="757" w:customStyle="1">
    <w:name w:val="Grid Table 3 - Accent 3"/>
    <w:uiPriority w:val="99"/>
    <w:qFormat/>
    <w:pPr>
      <w:spacing w:after="0" w:line="240" w:lineRule="auto"/>
    </w:pPr>
    <w:tblPr/>
  </w:style>
  <w:style w:type="table" w:styleId="758" w:customStyle="1">
    <w:name w:val="Grid Table 3 - Accent 4"/>
    <w:uiPriority w:val="99"/>
    <w:qFormat/>
    <w:pPr>
      <w:spacing w:after="0" w:line="240" w:lineRule="auto"/>
    </w:pPr>
    <w:tblPr/>
  </w:style>
  <w:style w:type="table" w:styleId="759" w:customStyle="1">
    <w:name w:val="Grid Table 3 - Accent 5"/>
    <w:uiPriority w:val="99"/>
    <w:qFormat/>
    <w:pPr>
      <w:spacing w:after="0" w:line="240" w:lineRule="auto"/>
    </w:pPr>
    <w:tblPr/>
  </w:style>
  <w:style w:type="table" w:styleId="760" w:customStyle="1">
    <w:name w:val="Grid Table 3 - Accent 6"/>
    <w:uiPriority w:val="99"/>
    <w:qFormat/>
    <w:pPr>
      <w:spacing w:after="0" w:line="240" w:lineRule="auto"/>
    </w:pPr>
    <w:tblPr/>
  </w:style>
  <w:style w:type="table" w:styleId="761" w:customStyle="1">
    <w:name w:val="Grid Table 4"/>
    <w:uiPriority w:val="59"/>
    <w:qFormat/>
    <w:pPr>
      <w:spacing w:after="0" w:line="240" w:lineRule="auto"/>
    </w:pPr>
    <w:tblPr/>
  </w:style>
  <w:style w:type="table" w:styleId="762" w:customStyle="1">
    <w:name w:val="Grid Table 4 - Accent 1"/>
    <w:uiPriority w:val="59"/>
    <w:qFormat/>
    <w:pPr>
      <w:spacing w:after="0" w:line="240" w:lineRule="auto"/>
    </w:pPr>
    <w:tblPr/>
  </w:style>
  <w:style w:type="table" w:styleId="763" w:customStyle="1">
    <w:name w:val="Grid Table 4 - Accent 2"/>
    <w:uiPriority w:val="59"/>
    <w:qFormat/>
    <w:pPr>
      <w:spacing w:after="0" w:line="240" w:lineRule="auto"/>
    </w:pPr>
    <w:tblPr/>
  </w:style>
  <w:style w:type="table" w:styleId="764" w:customStyle="1">
    <w:name w:val="Grid Table 4 - Accent 3"/>
    <w:uiPriority w:val="59"/>
    <w:qFormat/>
    <w:pPr>
      <w:spacing w:after="0" w:line="240" w:lineRule="auto"/>
    </w:pPr>
    <w:tblPr/>
  </w:style>
  <w:style w:type="table" w:styleId="765" w:customStyle="1">
    <w:name w:val="Grid Table 4 - Accent 4"/>
    <w:uiPriority w:val="59"/>
    <w:qFormat/>
    <w:pPr>
      <w:spacing w:after="0" w:line="240" w:lineRule="auto"/>
    </w:pPr>
    <w:tblPr/>
  </w:style>
  <w:style w:type="table" w:styleId="766" w:customStyle="1">
    <w:name w:val="Grid Table 4 - Accent 5"/>
    <w:uiPriority w:val="59"/>
    <w:qFormat/>
    <w:pPr>
      <w:spacing w:after="0" w:line="240" w:lineRule="auto"/>
    </w:pPr>
    <w:tblPr/>
  </w:style>
  <w:style w:type="table" w:styleId="767" w:customStyle="1">
    <w:name w:val="Grid Table 4 - Accent 6"/>
    <w:uiPriority w:val="59"/>
    <w:qFormat/>
    <w:pPr>
      <w:spacing w:after="0" w:line="240" w:lineRule="auto"/>
    </w:pPr>
    <w:tblPr/>
  </w:style>
  <w:style w:type="table" w:styleId="768" w:customStyle="1">
    <w:name w:val="Grid Table 5 Dark"/>
    <w:uiPriority w:val="99"/>
    <w:qFormat/>
    <w:pPr>
      <w:spacing w:after="0" w:line="240" w:lineRule="auto"/>
    </w:pPr>
    <w:tblPr/>
  </w:style>
  <w:style w:type="table" w:styleId="769" w:customStyle="1">
    <w:name w:val="Grid Table 5 Dark- Accent 1"/>
    <w:uiPriority w:val="99"/>
    <w:qFormat/>
    <w:pPr>
      <w:spacing w:after="0" w:line="240" w:lineRule="auto"/>
    </w:pPr>
    <w:tblPr/>
  </w:style>
  <w:style w:type="table" w:styleId="770" w:customStyle="1">
    <w:name w:val="Grid Table 5 Dark - Accent 2"/>
    <w:uiPriority w:val="99"/>
    <w:qFormat/>
    <w:pPr>
      <w:spacing w:after="0" w:line="240" w:lineRule="auto"/>
    </w:pPr>
    <w:tblPr/>
  </w:style>
  <w:style w:type="table" w:styleId="771" w:customStyle="1">
    <w:name w:val="Grid Table 5 Dark - Accent 3"/>
    <w:uiPriority w:val="99"/>
    <w:qFormat/>
    <w:pPr>
      <w:spacing w:after="0" w:line="240" w:lineRule="auto"/>
    </w:pPr>
    <w:tblPr/>
  </w:style>
  <w:style w:type="table" w:styleId="772" w:customStyle="1">
    <w:name w:val="Grid Table 5 Dark- Accent 4"/>
    <w:uiPriority w:val="99"/>
    <w:qFormat/>
    <w:pPr>
      <w:spacing w:after="0" w:line="240" w:lineRule="auto"/>
    </w:pPr>
    <w:tblPr/>
  </w:style>
  <w:style w:type="table" w:styleId="773" w:customStyle="1">
    <w:name w:val="Grid Table 5 Dark - Accent 5"/>
    <w:uiPriority w:val="99"/>
    <w:qFormat/>
    <w:pPr>
      <w:spacing w:after="0" w:line="240" w:lineRule="auto"/>
    </w:pPr>
    <w:tblPr/>
  </w:style>
  <w:style w:type="table" w:styleId="774" w:customStyle="1">
    <w:name w:val="Grid Table 5 Dark - Accent 6"/>
    <w:uiPriority w:val="99"/>
    <w:qFormat/>
    <w:pPr>
      <w:spacing w:after="0" w:line="240" w:lineRule="auto"/>
    </w:pPr>
    <w:tblPr/>
  </w:style>
  <w:style w:type="table" w:styleId="775" w:customStyle="1">
    <w:name w:val="Grid Table 6 Colorful"/>
    <w:uiPriority w:val="99"/>
    <w:qFormat/>
    <w:pPr>
      <w:spacing w:after="0" w:line="240" w:lineRule="auto"/>
    </w:pPr>
    <w:tblPr/>
  </w:style>
  <w:style w:type="table" w:styleId="776" w:customStyle="1">
    <w:name w:val="Grid Table 6 Colorful - Accent 1"/>
    <w:uiPriority w:val="99"/>
    <w:qFormat/>
    <w:pPr>
      <w:spacing w:after="0" w:line="240" w:lineRule="auto"/>
    </w:pPr>
    <w:tblPr/>
  </w:style>
  <w:style w:type="table" w:styleId="777" w:customStyle="1">
    <w:name w:val="Grid Table 6 Colorful - Accent 2"/>
    <w:uiPriority w:val="99"/>
    <w:qFormat/>
    <w:pPr>
      <w:spacing w:after="0" w:line="240" w:lineRule="auto"/>
    </w:pPr>
    <w:tblPr/>
  </w:style>
  <w:style w:type="table" w:styleId="778" w:customStyle="1">
    <w:name w:val="Grid Table 6 Colorful - Accent 3"/>
    <w:uiPriority w:val="99"/>
    <w:qFormat/>
    <w:pPr>
      <w:spacing w:after="0" w:line="240" w:lineRule="auto"/>
    </w:pPr>
    <w:tblPr/>
  </w:style>
  <w:style w:type="table" w:styleId="779" w:customStyle="1">
    <w:name w:val="Grid Table 6 Colorful - Accent 4"/>
    <w:uiPriority w:val="99"/>
    <w:qFormat/>
    <w:pPr>
      <w:spacing w:after="0" w:line="240" w:lineRule="auto"/>
    </w:pPr>
    <w:tblPr/>
  </w:style>
  <w:style w:type="table" w:styleId="780" w:customStyle="1">
    <w:name w:val="Grid Table 6 Colorful - Accent 5"/>
    <w:uiPriority w:val="99"/>
    <w:qFormat/>
    <w:pPr>
      <w:spacing w:after="0" w:line="240" w:lineRule="auto"/>
    </w:pPr>
    <w:tblPr/>
  </w:style>
  <w:style w:type="table" w:styleId="781" w:customStyle="1">
    <w:name w:val="Grid Table 6 Colorful - Accent 6"/>
    <w:uiPriority w:val="99"/>
    <w:qFormat/>
    <w:pPr>
      <w:spacing w:after="0" w:line="240" w:lineRule="auto"/>
    </w:pPr>
    <w:tblPr/>
  </w:style>
  <w:style w:type="table" w:styleId="782" w:customStyle="1">
    <w:name w:val="Grid Table 7 Colorful"/>
    <w:uiPriority w:val="99"/>
    <w:qFormat/>
    <w:pPr>
      <w:spacing w:after="0" w:line="240" w:lineRule="auto"/>
    </w:pPr>
    <w:tblPr/>
  </w:style>
  <w:style w:type="table" w:styleId="783" w:customStyle="1">
    <w:name w:val="Grid Table 7 Colorful - Accent 1"/>
    <w:uiPriority w:val="99"/>
    <w:qFormat/>
    <w:pPr>
      <w:spacing w:after="0" w:line="240" w:lineRule="auto"/>
    </w:pPr>
    <w:tblPr/>
  </w:style>
  <w:style w:type="table" w:styleId="784" w:customStyle="1">
    <w:name w:val="Grid Table 7 Colorful - Accent 2"/>
    <w:uiPriority w:val="99"/>
    <w:qFormat/>
    <w:pPr>
      <w:spacing w:after="0" w:line="240" w:lineRule="auto"/>
    </w:pPr>
    <w:tblPr/>
  </w:style>
  <w:style w:type="table" w:styleId="785" w:customStyle="1">
    <w:name w:val="Grid Table 7 Colorful - Accent 3"/>
    <w:uiPriority w:val="99"/>
    <w:qFormat/>
    <w:pPr>
      <w:spacing w:after="0" w:line="240" w:lineRule="auto"/>
    </w:pPr>
    <w:tblPr/>
  </w:style>
  <w:style w:type="table" w:styleId="786" w:customStyle="1">
    <w:name w:val="Grid Table 7 Colorful - Accent 4"/>
    <w:uiPriority w:val="99"/>
    <w:qFormat/>
    <w:pPr>
      <w:spacing w:after="0" w:line="240" w:lineRule="auto"/>
    </w:pPr>
    <w:tblPr/>
  </w:style>
  <w:style w:type="table" w:styleId="787" w:customStyle="1">
    <w:name w:val="Grid Table 7 Colorful - Accent 5"/>
    <w:uiPriority w:val="99"/>
    <w:qFormat/>
    <w:pPr>
      <w:spacing w:after="0" w:line="240" w:lineRule="auto"/>
    </w:pPr>
    <w:tblPr/>
  </w:style>
  <w:style w:type="table" w:styleId="788" w:customStyle="1">
    <w:name w:val="Grid Table 7 Colorful - Accent 6"/>
    <w:uiPriority w:val="99"/>
    <w:qFormat/>
    <w:pPr>
      <w:spacing w:after="0" w:line="240" w:lineRule="auto"/>
    </w:pPr>
    <w:tblPr/>
  </w:style>
  <w:style w:type="table" w:styleId="789" w:customStyle="1">
    <w:name w:val="List Table 1 Light"/>
    <w:uiPriority w:val="99"/>
    <w:qFormat/>
    <w:pPr>
      <w:spacing w:after="0" w:line="240" w:lineRule="auto"/>
    </w:pPr>
    <w:tblPr/>
  </w:style>
  <w:style w:type="table" w:styleId="790" w:customStyle="1">
    <w:name w:val="List Table 1 Light - Accent 1"/>
    <w:uiPriority w:val="99"/>
    <w:qFormat/>
    <w:pPr>
      <w:spacing w:after="0" w:line="240" w:lineRule="auto"/>
    </w:pPr>
    <w:tblPr/>
  </w:style>
  <w:style w:type="table" w:styleId="791" w:customStyle="1">
    <w:name w:val="List Table 1 Light - Accent 2"/>
    <w:uiPriority w:val="99"/>
    <w:qFormat/>
    <w:pPr>
      <w:spacing w:after="0" w:line="240" w:lineRule="auto"/>
    </w:pPr>
    <w:tblPr/>
  </w:style>
  <w:style w:type="table" w:styleId="792" w:customStyle="1">
    <w:name w:val="List Table 1 Light - Accent 3"/>
    <w:uiPriority w:val="99"/>
    <w:qFormat/>
    <w:pPr>
      <w:spacing w:after="0" w:line="240" w:lineRule="auto"/>
    </w:pPr>
    <w:tblPr/>
  </w:style>
  <w:style w:type="table" w:styleId="793" w:customStyle="1">
    <w:name w:val="List Table 1 Light - Accent 4"/>
    <w:uiPriority w:val="99"/>
    <w:qFormat/>
    <w:pPr>
      <w:spacing w:after="0" w:line="240" w:lineRule="auto"/>
    </w:pPr>
    <w:tblPr/>
  </w:style>
  <w:style w:type="table" w:styleId="794" w:customStyle="1">
    <w:name w:val="List Table 1 Light - Accent 5"/>
    <w:uiPriority w:val="99"/>
    <w:qFormat/>
    <w:pPr>
      <w:spacing w:after="0" w:line="240" w:lineRule="auto"/>
    </w:pPr>
    <w:tblPr/>
  </w:style>
  <w:style w:type="table" w:styleId="795" w:customStyle="1">
    <w:name w:val="List Table 1 Light - Accent 6"/>
    <w:uiPriority w:val="99"/>
    <w:qFormat/>
    <w:pPr>
      <w:spacing w:after="0" w:line="240" w:lineRule="auto"/>
    </w:pPr>
    <w:tblPr/>
  </w:style>
  <w:style w:type="table" w:styleId="796" w:customStyle="1">
    <w:name w:val="List Table 2"/>
    <w:uiPriority w:val="99"/>
    <w:qFormat/>
    <w:pPr>
      <w:spacing w:after="0" w:line="240" w:lineRule="auto"/>
    </w:pPr>
    <w:tblPr/>
  </w:style>
  <w:style w:type="table" w:styleId="797" w:customStyle="1">
    <w:name w:val="List Table 2 - Accent 1"/>
    <w:uiPriority w:val="99"/>
    <w:qFormat/>
    <w:pPr>
      <w:spacing w:after="0" w:line="240" w:lineRule="auto"/>
    </w:pPr>
    <w:tblPr/>
  </w:style>
  <w:style w:type="table" w:styleId="798" w:customStyle="1">
    <w:name w:val="List Table 2 - Accent 2"/>
    <w:uiPriority w:val="99"/>
    <w:qFormat/>
    <w:pPr>
      <w:spacing w:after="0" w:line="240" w:lineRule="auto"/>
    </w:pPr>
    <w:tblPr/>
  </w:style>
  <w:style w:type="table" w:styleId="799" w:customStyle="1">
    <w:name w:val="List Table 2 - Accent 3"/>
    <w:uiPriority w:val="99"/>
    <w:qFormat/>
    <w:pPr>
      <w:spacing w:after="0" w:line="240" w:lineRule="auto"/>
    </w:pPr>
    <w:tblPr/>
  </w:style>
  <w:style w:type="table" w:styleId="800" w:customStyle="1">
    <w:name w:val="List Table 2 - Accent 4"/>
    <w:uiPriority w:val="99"/>
    <w:qFormat/>
    <w:pPr>
      <w:spacing w:after="0" w:line="240" w:lineRule="auto"/>
    </w:pPr>
    <w:tblPr/>
  </w:style>
  <w:style w:type="table" w:styleId="801" w:customStyle="1">
    <w:name w:val="List Table 2 - Accent 5"/>
    <w:uiPriority w:val="99"/>
    <w:qFormat/>
    <w:pPr>
      <w:spacing w:after="0" w:line="240" w:lineRule="auto"/>
    </w:pPr>
    <w:tblPr/>
  </w:style>
  <w:style w:type="table" w:styleId="802" w:customStyle="1">
    <w:name w:val="List Table 2 - Accent 6"/>
    <w:uiPriority w:val="99"/>
    <w:qFormat/>
    <w:pPr>
      <w:spacing w:after="0" w:line="240" w:lineRule="auto"/>
    </w:pPr>
    <w:tblPr/>
  </w:style>
  <w:style w:type="table" w:styleId="803" w:customStyle="1">
    <w:name w:val="List Table 3"/>
    <w:uiPriority w:val="99"/>
    <w:qFormat/>
    <w:pPr>
      <w:spacing w:after="0" w:line="240" w:lineRule="auto"/>
    </w:pPr>
    <w:tblPr/>
  </w:style>
  <w:style w:type="table" w:styleId="804" w:customStyle="1">
    <w:name w:val="List Table 3 - Accent 1"/>
    <w:uiPriority w:val="99"/>
    <w:qFormat/>
    <w:pPr>
      <w:spacing w:after="0" w:line="240" w:lineRule="auto"/>
    </w:pPr>
    <w:tblPr/>
  </w:style>
  <w:style w:type="table" w:styleId="805" w:customStyle="1">
    <w:name w:val="List Table 3 - Accent 2"/>
    <w:uiPriority w:val="99"/>
    <w:qFormat/>
    <w:pPr>
      <w:spacing w:after="0" w:line="240" w:lineRule="auto"/>
    </w:pPr>
    <w:tblPr/>
  </w:style>
  <w:style w:type="table" w:styleId="806" w:customStyle="1">
    <w:name w:val="List Table 3 - Accent 3"/>
    <w:uiPriority w:val="99"/>
    <w:qFormat/>
    <w:pPr>
      <w:spacing w:after="0" w:line="240" w:lineRule="auto"/>
    </w:pPr>
    <w:tblPr/>
  </w:style>
  <w:style w:type="table" w:styleId="807" w:customStyle="1">
    <w:name w:val="List Table 3 - Accent 4"/>
    <w:uiPriority w:val="99"/>
    <w:qFormat/>
    <w:pPr>
      <w:spacing w:after="0" w:line="240" w:lineRule="auto"/>
    </w:pPr>
    <w:tblPr/>
  </w:style>
  <w:style w:type="table" w:styleId="808" w:customStyle="1">
    <w:name w:val="List Table 3 - Accent 5"/>
    <w:uiPriority w:val="99"/>
    <w:qFormat/>
    <w:pPr>
      <w:spacing w:after="0" w:line="240" w:lineRule="auto"/>
    </w:pPr>
    <w:tblPr/>
  </w:style>
  <w:style w:type="table" w:styleId="809" w:customStyle="1">
    <w:name w:val="List Table 3 - Accent 6"/>
    <w:uiPriority w:val="99"/>
    <w:qFormat/>
    <w:pPr>
      <w:spacing w:after="0" w:line="240" w:lineRule="auto"/>
    </w:pPr>
    <w:tblPr/>
  </w:style>
  <w:style w:type="table" w:styleId="810" w:customStyle="1">
    <w:name w:val="List Table 4"/>
    <w:uiPriority w:val="99"/>
    <w:qFormat/>
    <w:pPr>
      <w:spacing w:after="0" w:line="240" w:lineRule="auto"/>
    </w:pPr>
    <w:tblPr/>
  </w:style>
  <w:style w:type="table" w:styleId="811" w:customStyle="1">
    <w:name w:val="List Table 4 - Accent 1"/>
    <w:uiPriority w:val="99"/>
    <w:qFormat/>
    <w:pPr>
      <w:spacing w:after="0" w:line="240" w:lineRule="auto"/>
    </w:pPr>
    <w:tblPr/>
  </w:style>
  <w:style w:type="table" w:styleId="812" w:customStyle="1">
    <w:name w:val="List Table 4 - Accent 2"/>
    <w:uiPriority w:val="99"/>
    <w:qFormat/>
    <w:pPr>
      <w:spacing w:after="0" w:line="240" w:lineRule="auto"/>
    </w:pPr>
    <w:tblPr/>
  </w:style>
  <w:style w:type="table" w:styleId="813" w:customStyle="1">
    <w:name w:val="List Table 4 - Accent 3"/>
    <w:uiPriority w:val="99"/>
    <w:qFormat/>
    <w:pPr>
      <w:spacing w:after="0" w:line="240" w:lineRule="auto"/>
    </w:pPr>
    <w:tblPr/>
  </w:style>
  <w:style w:type="table" w:styleId="814" w:customStyle="1">
    <w:name w:val="List Table 4 - Accent 4"/>
    <w:uiPriority w:val="99"/>
    <w:qFormat/>
    <w:pPr>
      <w:spacing w:after="0" w:line="240" w:lineRule="auto"/>
    </w:pPr>
    <w:tblPr/>
  </w:style>
  <w:style w:type="table" w:styleId="815" w:customStyle="1">
    <w:name w:val="List Table 4 - Accent 5"/>
    <w:uiPriority w:val="99"/>
    <w:qFormat/>
    <w:pPr>
      <w:spacing w:after="0" w:line="240" w:lineRule="auto"/>
    </w:pPr>
    <w:tblPr/>
  </w:style>
  <w:style w:type="table" w:styleId="816" w:customStyle="1">
    <w:name w:val="List Table 4 - Accent 6"/>
    <w:uiPriority w:val="99"/>
    <w:qFormat/>
    <w:pPr>
      <w:spacing w:after="0" w:line="240" w:lineRule="auto"/>
    </w:pPr>
    <w:tblPr/>
  </w:style>
  <w:style w:type="table" w:styleId="817" w:customStyle="1">
    <w:name w:val="List Table 5 Dark"/>
    <w:uiPriority w:val="99"/>
    <w:qFormat/>
    <w:pPr>
      <w:spacing w:after="0" w:line="240" w:lineRule="auto"/>
    </w:pPr>
    <w:tblPr/>
  </w:style>
  <w:style w:type="table" w:styleId="818" w:customStyle="1">
    <w:name w:val="List Table 5 Dark - Accent 1"/>
    <w:uiPriority w:val="99"/>
    <w:qFormat/>
    <w:pPr>
      <w:spacing w:after="0" w:line="240" w:lineRule="auto"/>
    </w:pPr>
    <w:tblPr/>
  </w:style>
  <w:style w:type="table" w:styleId="819" w:customStyle="1">
    <w:name w:val="List Table 5 Dark - Accent 2"/>
    <w:uiPriority w:val="99"/>
    <w:qFormat/>
    <w:pPr>
      <w:spacing w:after="0" w:line="240" w:lineRule="auto"/>
    </w:pPr>
    <w:tblPr/>
  </w:style>
  <w:style w:type="table" w:styleId="820" w:customStyle="1">
    <w:name w:val="List Table 5 Dark - Accent 3"/>
    <w:uiPriority w:val="99"/>
    <w:qFormat/>
    <w:pPr>
      <w:spacing w:after="0" w:line="240" w:lineRule="auto"/>
    </w:pPr>
    <w:tblPr/>
  </w:style>
  <w:style w:type="table" w:styleId="821" w:customStyle="1">
    <w:name w:val="List Table 5 Dark - Accent 4"/>
    <w:uiPriority w:val="99"/>
    <w:qFormat/>
    <w:pPr>
      <w:spacing w:after="0" w:line="240" w:lineRule="auto"/>
    </w:pPr>
    <w:tblPr/>
  </w:style>
  <w:style w:type="table" w:styleId="822" w:customStyle="1">
    <w:name w:val="List Table 5 Dark - Accent 5"/>
    <w:uiPriority w:val="99"/>
    <w:qFormat/>
    <w:pPr>
      <w:spacing w:after="0" w:line="240" w:lineRule="auto"/>
    </w:pPr>
    <w:tblPr/>
  </w:style>
  <w:style w:type="table" w:styleId="823" w:customStyle="1">
    <w:name w:val="List Table 5 Dark - Accent 6"/>
    <w:uiPriority w:val="99"/>
    <w:qFormat/>
    <w:pPr>
      <w:spacing w:after="0" w:line="240" w:lineRule="auto"/>
    </w:pPr>
    <w:tblPr/>
  </w:style>
  <w:style w:type="table" w:styleId="824" w:customStyle="1">
    <w:name w:val="List Table 6 Colorful"/>
    <w:uiPriority w:val="99"/>
    <w:qFormat/>
    <w:pPr>
      <w:spacing w:after="0" w:line="240" w:lineRule="auto"/>
    </w:pPr>
    <w:tblPr/>
  </w:style>
  <w:style w:type="table" w:styleId="825" w:customStyle="1">
    <w:name w:val="List Table 6 Colorful - Accent 1"/>
    <w:uiPriority w:val="99"/>
    <w:qFormat/>
    <w:pPr>
      <w:spacing w:after="0" w:line="240" w:lineRule="auto"/>
    </w:pPr>
    <w:tblPr/>
  </w:style>
  <w:style w:type="table" w:styleId="826" w:customStyle="1">
    <w:name w:val="List Table 6 Colorful - Accent 2"/>
    <w:uiPriority w:val="99"/>
    <w:qFormat/>
    <w:pPr>
      <w:spacing w:after="0" w:line="240" w:lineRule="auto"/>
    </w:pPr>
    <w:tblPr/>
  </w:style>
  <w:style w:type="table" w:styleId="827" w:customStyle="1">
    <w:name w:val="List Table 6 Colorful - Accent 3"/>
    <w:uiPriority w:val="99"/>
    <w:qFormat/>
    <w:pPr>
      <w:spacing w:after="0" w:line="240" w:lineRule="auto"/>
    </w:pPr>
    <w:tblPr/>
  </w:style>
  <w:style w:type="table" w:styleId="828" w:customStyle="1">
    <w:name w:val="List Table 6 Colorful - Accent 4"/>
    <w:uiPriority w:val="99"/>
    <w:qFormat/>
    <w:pPr>
      <w:spacing w:after="0" w:line="240" w:lineRule="auto"/>
    </w:pPr>
    <w:tblPr/>
  </w:style>
  <w:style w:type="table" w:styleId="829" w:customStyle="1">
    <w:name w:val="List Table 6 Colorful - Accent 5"/>
    <w:uiPriority w:val="99"/>
    <w:qFormat/>
    <w:pPr>
      <w:spacing w:after="0" w:line="240" w:lineRule="auto"/>
    </w:pPr>
    <w:tblPr/>
  </w:style>
  <w:style w:type="table" w:styleId="830" w:customStyle="1">
    <w:name w:val="List Table 6 Colorful - Accent 6"/>
    <w:uiPriority w:val="99"/>
    <w:qFormat/>
    <w:pPr>
      <w:spacing w:after="0" w:line="240" w:lineRule="auto"/>
    </w:pPr>
    <w:tblPr/>
  </w:style>
  <w:style w:type="table" w:styleId="831" w:customStyle="1">
    <w:name w:val="List Table 7 Colorful"/>
    <w:uiPriority w:val="99"/>
    <w:qFormat/>
    <w:pPr>
      <w:spacing w:after="0" w:line="240" w:lineRule="auto"/>
    </w:pPr>
    <w:tblPr/>
  </w:style>
  <w:style w:type="table" w:styleId="832" w:customStyle="1">
    <w:name w:val="List Table 7 Colorful - Accent 1"/>
    <w:uiPriority w:val="99"/>
    <w:qFormat/>
    <w:pPr>
      <w:spacing w:after="0" w:line="240" w:lineRule="auto"/>
    </w:pPr>
    <w:tblPr/>
  </w:style>
  <w:style w:type="table" w:styleId="833" w:customStyle="1">
    <w:name w:val="List Table 7 Colorful - Accent 2"/>
    <w:uiPriority w:val="99"/>
    <w:qFormat/>
    <w:pPr>
      <w:spacing w:after="0" w:line="240" w:lineRule="auto"/>
    </w:pPr>
    <w:tblPr/>
  </w:style>
  <w:style w:type="table" w:styleId="834" w:customStyle="1">
    <w:name w:val="List Table 7 Colorful - Accent 3"/>
    <w:uiPriority w:val="99"/>
    <w:qFormat/>
    <w:pPr>
      <w:spacing w:after="0" w:line="240" w:lineRule="auto"/>
    </w:pPr>
    <w:tblPr/>
  </w:style>
  <w:style w:type="table" w:styleId="835" w:customStyle="1">
    <w:name w:val="List Table 7 Colorful - Accent 4"/>
    <w:uiPriority w:val="99"/>
    <w:qFormat/>
    <w:pPr>
      <w:spacing w:after="0" w:line="240" w:lineRule="auto"/>
    </w:pPr>
    <w:tblPr/>
  </w:style>
  <w:style w:type="table" w:styleId="836" w:customStyle="1">
    <w:name w:val="List Table 7 Colorful - Accent 5"/>
    <w:uiPriority w:val="99"/>
    <w:qFormat/>
    <w:pPr>
      <w:spacing w:after="0" w:line="240" w:lineRule="auto"/>
    </w:pPr>
    <w:tblPr/>
  </w:style>
  <w:style w:type="table" w:styleId="837" w:customStyle="1">
    <w:name w:val="List Table 7 Colorful - Accent 6"/>
    <w:uiPriority w:val="99"/>
    <w:qFormat/>
    <w:pPr>
      <w:spacing w:after="0" w:line="240" w:lineRule="auto"/>
    </w:pPr>
    <w:tblPr/>
  </w:style>
  <w:style w:type="table" w:styleId="838" w:customStyle="1">
    <w:name w:val="Lined - Accent"/>
    <w:uiPriority w:val="99"/>
    <w:qFormat/>
    <w:pPr>
      <w:spacing w:after="0" w:line="240" w:lineRule="auto"/>
    </w:pPr>
    <w:rPr>
      <w:color w:val="404040"/>
    </w:rPr>
    <w:tblPr/>
  </w:style>
  <w:style w:type="table" w:styleId="839" w:customStyle="1">
    <w:name w:val="Lined - Accent 1"/>
    <w:uiPriority w:val="99"/>
    <w:qFormat/>
    <w:pPr>
      <w:spacing w:after="0" w:line="240" w:lineRule="auto"/>
    </w:pPr>
    <w:rPr>
      <w:color w:val="404040"/>
    </w:rPr>
    <w:tblPr/>
  </w:style>
  <w:style w:type="table" w:styleId="840" w:customStyle="1">
    <w:name w:val="Lined - Accent 2"/>
    <w:uiPriority w:val="99"/>
    <w:qFormat/>
    <w:pPr>
      <w:spacing w:after="0" w:line="240" w:lineRule="auto"/>
    </w:pPr>
    <w:rPr>
      <w:color w:val="404040"/>
    </w:rPr>
    <w:tblPr/>
  </w:style>
  <w:style w:type="table" w:styleId="841" w:customStyle="1">
    <w:name w:val="Lined - Accent 3"/>
    <w:uiPriority w:val="99"/>
    <w:qFormat/>
    <w:pPr>
      <w:spacing w:after="0" w:line="240" w:lineRule="auto"/>
    </w:pPr>
    <w:rPr>
      <w:color w:val="404040"/>
    </w:rPr>
    <w:tblPr/>
  </w:style>
  <w:style w:type="table" w:styleId="842" w:customStyle="1">
    <w:name w:val="Lined - Accent 4"/>
    <w:uiPriority w:val="99"/>
    <w:qFormat/>
    <w:pPr>
      <w:spacing w:after="0" w:line="240" w:lineRule="auto"/>
    </w:pPr>
    <w:rPr>
      <w:color w:val="404040"/>
    </w:rPr>
    <w:tblPr/>
  </w:style>
  <w:style w:type="table" w:styleId="843" w:customStyle="1">
    <w:name w:val="Lined - Accent 5"/>
    <w:uiPriority w:val="99"/>
    <w:qFormat/>
    <w:pPr>
      <w:spacing w:after="0" w:line="240" w:lineRule="auto"/>
    </w:pPr>
    <w:rPr>
      <w:color w:val="404040"/>
    </w:rPr>
    <w:tblPr/>
  </w:style>
  <w:style w:type="table" w:styleId="844" w:customStyle="1">
    <w:name w:val="Lined - Accent 6"/>
    <w:uiPriority w:val="99"/>
    <w:qFormat/>
    <w:pPr>
      <w:spacing w:after="0" w:line="240" w:lineRule="auto"/>
    </w:pPr>
    <w:rPr>
      <w:color w:val="404040"/>
    </w:rPr>
    <w:tblPr/>
  </w:style>
  <w:style w:type="table" w:styleId="845" w:customStyle="1">
    <w:name w:val="Bordered &amp; Lined - Accent"/>
    <w:uiPriority w:val="99"/>
    <w:qFormat/>
    <w:pPr>
      <w:spacing w:after="0" w:line="240" w:lineRule="auto"/>
    </w:pPr>
    <w:rPr>
      <w:color w:val="404040"/>
    </w:rPr>
    <w:tblPr/>
  </w:style>
  <w:style w:type="table" w:styleId="846" w:customStyle="1">
    <w:name w:val="Bordered &amp; Lined - Accent 1"/>
    <w:uiPriority w:val="99"/>
    <w:qFormat/>
    <w:pPr>
      <w:spacing w:after="0" w:line="240" w:lineRule="auto"/>
    </w:pPr>
    <w:rPr>
      <w:color w:val="404040"/>
    </w:rPr>
    <w:tblPr/>
  </w:style>
  <w:style w:type="table" w:styleId="847" w:customStyle="1">
    <w:name w:val="Bordered &amp; Lined - Accent 2"/>
    <w:uiPriority w:val="99"/>
    <w:qFormat/>
    <w:pPr>
      <w:spacing w:after="0" w:line="240" w:lineRule="auto"/>
    </w:pPr>
    <w:rPr>
      <w:color w:val="404040"/>
    </w:rPr>
    <w:tblPr/>
  </w:style>
  <w:style w:type="table" w:styleId="848" w:customStyle="1">
    <w:name w:val="Bordered &amp; Lined - Accent 3"/>
    <w:uiPriority w:val="99"/>
    <w:qFormat/>
    <w:pPr>
      <w:spacing w:after="0" w:line="240" w:lineRule="auto"/>
    </w:pPr>
    <w:rPr>
      <w:color w:val="404040"/>
    </w:rPr>
    <w:tblPr/>
  </w:style>
  <w:style w:type="table" w:styleId="849" w:customStyle="1">
    <w:name w:val="Bordered &amp; Lined - Accent 4"/>
    <w:uiPriority w:val="99"/>
    <w:qFormat/>
    <w:pPr>
      <w:spacing w:after="0" w:line="240" w:lineRule="auto"/>
    </w:pPr>
    <w:rPr>
      <w:color w:val="404040"/>
    </w:rPr>
    <w:tblPr/>
  </w:style>
  <w:style w:type="table" w:styleId="850" w:customStyle="1">
    <w:name w:val="Bordered &amp; Lined - Accent 5"/>
    <w:uiPriority w:val="99"/>
    <w:qFormat/>
    <w:pPr>
      <w:spacing w:after="0" w:line="240" w:lineRule="auto"/>
    </w:pPr>
    <w:rPr>
      <w:color w:val="404040"/>
    </w:rPr>
    <w:tblPr/>
  </w:style>
  <w:style w:type="table" w:styleId="851" w:customStyle="1">
    <w:name w:val="Bordered &amp; Lined - Accent 6"/>
    <w:uiPriority w:val="99"/>
    <w:qFormat/>
    <w:pPr>
      <w:spacing w:after="0" w:line="240" w:lineRule="auto"/>
    </w:pPr>
    <w:rPr>
      <w:color w:val="404040"/>
    </w:rPr>
    <w:tblPr/>
  </w:style>
  <w:style w:type="table" w:styleId="852" w:customStyle="1">
    <w:name w:val="Bordered"/>
    <w:uiPriority w:val="99"/>
    <w:qFormat/>
    <w:pPr>
      <w:spacing w:after="0" w:line="240" w:lineRule="auto"/>
    </w:pPr>
    <w:tblPr/>
  </w:style>
  <w:style w:type="table" w:styleId="853" w:customStyle="1">
    <w:name w:val="Bordered - Accent 1"/>
    <w:uiPriority w:val="99"/>
    <w:qFormat/>
    <w:pPr>
      <w:spacing w:after="0" w:line="240" w:lineRule="auto"/>
    </w:pPr>
    <w:tblPr/>
  </w:style>
  <w:style w:type="table" w:styleId="854" w:customStyle="1">
    <w:name w:val="Bordered - Accent 2"/>
    <w:uiPriority w:val="99"/>
    <w:qFormat/>
    <w:pPr>
      <w:spacing w:after="0" w:line="240" w:lineRule="auto"/>
    </w:pPr>
    <w:tblPr/>
  </w:style>
  <w:style w:type="table" w:styleId="855" w:customStyle="1">
    <w:name w:val="Bordered - Accent 3"/>
    <w:uiPriority w:val="99"/>
    <w:qFormat/>
    <w:pPr>
      <w:spacing w:after="0" w:line="240" w:lineRule="auto"/>
    </w:pPr>
    <w:tblPr/>
  </w:style>
  <w:style w:type="table" w:styleId="856" w:customStyle="1">
    <w:name w:val="Bordered - Accent 4"/>
    <w:uiPriority w:val="99"/>
    <w:qFormat/>
    <w:pPr>
      <w:spacing w:after="0" w:line="240" w:lineRule="auto"/>
    </w:pPr>
    <w:tblPr/>
  </w:style>
  <w:style w:type="table" w:styleId="857" w:customStyle="1">
    <w:name w:val="Bordered - Accent 5"/>
    <w:uiPriority w:val="99"/>
    <w:qFormat/>
    <w:pPr>
      <w:spacing w:after="0" w:line="240" w:lineRule="auto"/>
    </w:pPr>
    <w:tblPr/>
  </w:style>
  <w:style w:type="table" w:styleId="858" w:customStyle="1">
    <w:name w:val="Bordered - Accent 6"/>
    <w:uiPriority w:val="99"/>
    <w:qFormat/>
    <w:pPr>
      <w:spacing w:after="0" w:line="240" w:lineRule="auto"/>
    </w:pPr>
    <w:tblPr/>
  </w:style>
  <w:style w:type="paragraph" w:styleId="859" w:customStyle="1">
    <w:name w:val="TOC Heading"/>
    <w:uiPriority w:val="39"/>
    <w:unhideWhenUsed/>
    <w:qFormat/>
    <w:rPr>
      <w:rFonts w:hint="default" w:ascii="Times New Roman" w:hAnsi="Times New Roman" w:eastAsia="宋体" w:cs="Times New Roman"/>
    </w:rPr>
  </w:style>
  <w:style w:type="paragraph" w:styleId="860" w:customStyle="1">
    <w:name w:val="标题 111"/>
    <w:basedOn w:val="644"/>
    <w:next w:val="644"/>
    <w:link w:val="861"/>
    <w:uiPriority w:val="9"/>
    <w:qFormat/>
    <w:pPr>
      <w:keepLines/>
      <w:keepNext/>
      <w:spacing w:before="340" w:after="330" w:line="578" w:lineRule="auto"/>
      <w:outlineLvl w:val="0"/>
    </w:pPr>
    <w:rPr>
      <w:b/>
      <w:bCs/>
      <w:sz w:val="44"/>
      <w:szCs w:val="44"/>
    </w:rPr>
  </w:style>
  <w:style w:type="character" w:styleId="861" w:customStyle="1">
    <w:name w:val="标题 1 Char"/>
    <w:basedOn w:val="691"/>
    <w:link w:val="860"/>
    <w:uiPriority w:val="9"/>
    <w:qFormat/>
    <w:rPr>
      <w:b/>
      <w:bCs/>
      <w:sz w:val="44"/>
      <w:szCs w:val="44"/>
    </w:rPr>
  </w:style>
  <w:style w:type="paragraph" w:styleId="862" w:customStyle="1">
    <w:name w:val="标题 21"/>
    <w:basedOn w:val="644"/>
    <w:next w:val="644"/>
    <w:link w:val="863"/>
    <w:uiPriority w:val="9"/>
    <w:unhideWhenUsed/>
    <w:qFormat/>
    <w:pPr>
      <w:keepLines/>
      <w:keepNext/>
      <w:spacing w:before="260" w:after="260" w:line="416" w:lineRule="auto"/>
      <w:outlineLvl w:val="1"/>
    </w:pPr>
    <w:rPr>
      <w:rFonts w:ascii="Cambria" w:hAnsi="Cambria" w:eastAsia="宋体" w:cs="Times New Roman"/>
      <w:b/>
      <w:bCs/>
      <w:sz w:val="32"/>
      <w:szCs w:val="32"/>
    </w:rPr>
  </w:style>
  <w:style w:type="character" w:styleId="863" w:customStyle="1">
    <w:name w:val="标题 2 Char"/>
    <w:basedOn w:val="691"/>
    <w:link w:val="862"/>
    <w:uiPriority w:val="9"/>
    <w:qFormat/>
    <w:rPr>
      <w:rFonts w:ascii="Cambria" w:hAnsi="Cambria" w:eastAsia="宋体" w:cs="Times New Roman"/>
      <w:b/>
      <w:bCs/>
      <w:sz w:val="32"/>
      <w:szCs w:val="32"/>
    </w:rPr>
  </w:style>
  <w:style w:type="paragraph" w:styleId="864" w:customStyle="1">
    <w:name w:val="标题 31"/>
    <w:basedOn w:val="644"/>
    <w:next w:val="644"/>
    <w:link w:val="865"/>
    <w:uiPriority w:val="9"/>
    <w:unhideWhenUsed/>
    <w:qFormat/>
    <w:pPr>
      <w:keepLines/>
      <w:keepNext/>
      <w:spacing w:before="260" w:after="260" w:line="416" w:lineRule="auto"/>
      <w:outlineLvl w:val="2"/>
    </w:pPr>
    <w:rPr>
      <w:b/>
      <w:bCs/>
      <w:sz w:val="32"/>
      <w:szCs w:val="32"/>
    </w:rPr>
  </w:style>
  <w:style w:type="character" w:styleId="865" w:customStyle="1">
    <w:name w:val="标题 3 Char"/>
    <w:basedOn w:val="691"/>
    <w:link w:val="864"/>
    <w:uiPriority w:val="9"/>
    <w:qFormat/>
    <w:rPr>
      <w:b/>
      <w:bCs/>
      <w:sz w:val="32"/>
      <w:szCs w:val="32"/>
    </w:rPr>
  </w:style>
  <w:style w:type="table" w:styleId="866" w:customStyle="1">
    <w:name w:val="普通表格1"/>
    <w:uiPriority w:val="99"/>
    <w:unhideWhenUsed/>
    <w:qFormat/>
    <w:tblPr/>
  </w:style>
  <w:style w:type="paragraph" w:styleId="867" w:customStyle="1">
    <w:name w:val="文档结构图1"/>
    <w:basedOn w:val="644"/>
    <w:link w:val="868"/>
    <w:uiPriority w:val="99"/>
    <w:unhideWhenUsed/>
    <w:qFormat/>
    <w:rPr>
      <w:rFonts w:ascii="宋体" w:eastAsia="宋体"/>
      <w:sz w:val="18"/>
      <w:szCs w:val="18"/>
    </w:rPr>
  </w:style>
  <w:style w:type="character" w:styleId="868" w:customStyle="1">
    <w:name w:val="文档结构图 Char"/>
    <w:basedOn w:val="691"/>
    <w:link w:val="867"/>
    <w:uiPriority w:val="99"/>
    <w:semiHidden/>
    <w:qFormat/>
    <w:rPr>
      <w:rFonts w:ascii="宋体" w:eastAsia="宋体"/>
      <w:sz w:val="18"/>
      <w:szCs w:val="18"/>
    </w:rPr>
  </w:style>
  <w:style w:type="paragraph" w:styleId="869" w:customStyle="1">
    <w:name w:val="批注文字1"/>
    <w:basedOn w:val="644"/>
    <w:link w:val="870"/>
    <w:uiPriority w:val="0"/>
    <w:qFormat/>
    <w:pPr>
      <w:ind w:firstLine="922"/>
      <w:jc w:val="left"/>
      <w:spacing w:line="360" w:lineRule="auto"/>
    </w:pPr>
    <w:rPr>
      <w:rFonts w:ascii="Times New Roman" w:hAnsi="Times New Roman" w:eastAsia="宋体" w:cs="Times New Roman"/>
      <w:szCs w:val="24"/>
    </w:rPr>
  </w:style>
  <w:style w:type="character" w:styleId="870" w:customStyle="1">
    <w:name w:val="批注文字 Char"/>
    <w:basedOn w:val="691"/>
    <w:link w:val="869"/>
    <w:uiPriority w:val="0"/>
    <w:qFormat/>
    <w:rPr>
      <w:rFonts w:ascii="Times New Roman" w:hAnsi="Times New Roman" w:eastAsia="宋体" w:cs="Times New Roman"/>
      <w:szCs w:val="24"/>
    </w:rPr>
  </w:style>
  <w:style w:type="paragraph" w:styleId="871" w:customStyle="1">
    <w:name w:val="正文文本1"/>
    <w:basedOn w:val="644"/>
    <w:next w:val="644"/>
    <w:link w:val="872"/>
    <w:uiPriority w:val="0"/>
    <w:unhideWhenUsed/>
    <w:qFormat/>
    <w:pPr>
      <w:spacing w:after="120"/>
    </w:pPr>
    <w:rPr>
      <w:rFonts w:ascii="Calibri" w:hAnsi="Calibri" w:eastAsia="宋体" w:cs="Times New Roman"/>
    </w:rPr>
  </w:style>
  <w:style w:type="character" w:styleId="872" w:customStyle="1">
    <w:name w:val="正文文本 Char"/>
    <w:basedOn w:val="691"/>
    <w:link w:val="871"/>
    <w:uiPriority w:val="0"/>
    <w:qFormat/>
    <w:rPr>
      <w:rFonts w:ascii="Calibri" w:hAnsi="Calibri" w:eastAsia="宋体" w:cs="Times New Roman"/>
    </w:rPr>
  </w:style>
  <w:style w:type="paragraph" w:styleId="873" w:customStyle="1">
    <w:name w:val="正文文本缩进1"/>
    <w:basedOn w:val="644"/>
    <w:link w:val="874"/>
    <w:uiPriority w:val="0"/>
    <w:qFormat/>
    <w:pPr>
      <w:ind w:left="420"/>
      <w:spacing w:after="120"/>
    </w:pPr>
    <w:rPr>
      <w:rFonts w:ascii="Times New Roman" w:hAnsi="Times New Roman" w:eastAsia="宋体" w:cs="Times New Roman"/>
      <w:szCs w:val="24"/>
    </w:rPr>
  </w:style>
  <w:style w:type="character" w:styleId="874" w:customStyle="1">
    <w:name w:val="正文文本缩进 Char"/>
    <w:basedOn w:val="691"/>
    <w:link w:val="873"/>
    <w:uiPriority w:val="0"/>
    <w:qFormat/>
    <w:rPr>
      <w:rFonts w:ascii="Times New Roman" w:hAnsi="Times New Roman" w:eastAsia="宋体" w:cs="Times New Roman"/>
      <w:szCs w:val="24"/>
    </w:rPr>
  </w:style>
  <w:style w:type="paragraph" w:styleId="875" w:customStyle="1">
    <w:name w:val="纯文本1"/>
    <w:basedOn w:val="644"/>
    <w:link w:val="876"/>
    <w:uiPriority w:val="0"/>
    <w:qFormat/>
    <w:rPr>
      <w:rFonts w:ascii="宋体" w:hAnsi="Courier New" w:eastAsia="宋体" w:cs="Courier New"/>
      <w:szCs w:val="21"/>
    </w:rPr>
  </w:style>
  <w:style w:type="character" w:styleId="876" w:customStyle="1">
    <w:name w:val="纯文本 Char"/>
    <w:basedOn w:val="691"/>
    <w:link w:val="875"/>
    <w:uiPriority w:val="0"/>
    <w:qFormat/>
    <w:rPr>
      <w:rFonts w:ascii="宋体" w:hAnsi="Courier New" w:eastAsia="宋体" w:cs="Courier New"/>
      <w:szCs w:val="21"/>
    </w:rPr>
  </w:style>
  <w:style w:type="paragraph" w:styleId="877" w:customStyle="1">
    <w:name w:val="日期1"/>
    <w:basedOn w:val="644"/>
    <w:next w:val="644"/>
    <w:link w:val="878"/>
    <w:uiPriority w:val="99"/>
    <w:unhideWhenUsed/>
    <w:qFormat/>
    <w:pPr>
      <w:ind w:left="100"/>
    </w:pPr>
  </w:style>
  <w:style w:type="character" w:styleId="878" w:customStyle="1">
    <w:name w:val="日期 Char"/>
    <w:basedOn w:val="691"/>
    <w:link w:val="877"/>
    <w:uiPriority w:val="99"/>
    <w:semiHidden/>
    <w:qFormat/>
  </w:style>
  <w:style w:type="paragraph" w:styleId="879" w:customStyle="1">
    <w:name w:val="批注框文本1"/>
    <w:basedOn w:val="644"/>
    <w:link w:val="880"/>
    <w:uiPriority w:val="99"/>
    <w:unhideWhenUsed/>
    <w:qFormat/>
    <w:rPr>
      <w:sz w:val="18"/>
      <w:szCs w:val="18"/>
    </w:rPr>
  </w:style>
  <w:style w:type="character" w:styleId="880" w:customStyle="1">
    <w:name w:val="批注框文本 Char"/>
    <w:basedOn w:val="691"/>
    <w:link w:val="879"/>
    <w:uiPriority w:val="99"/>
    <w:semiHidden/>
    <w:qFormat/>
    <w:rPr>
      <w:sz w:val="18"/>
      <w:szCs w:val="18"/>
    </w:rPr>
  </w:style>
  <w:style w:type="paragraph" w:styleId="881" w:customStyle="1">
    <w:name w:val="页脚1"/>
    <w:basedOn w:val="644"/>
    <w:link w:val="882"/>
    <w:uiPriority w:val="99"/>
    <w:unhideWhenUsed/>
    <w:qFormat/>
    <w:pPr>
      <w:jc w:val="left"/>
      <w:tabs>
        <w:tab w:val="center" w:pos="4153" w:leader="none"/>
        <w:tab w:val="right" w:pos="8306" w:leader="none"/>
      </w:tabs>
    </w:pPr>
    <w:rPr>
      <w:sz w:val="18"/>
      <w:szCs w:val="18"/>
    </w:rPr>
  </w:style>
  <w:style w:type="character" w:styleId="882" w:customStyle="1">
    <w:name w:val="页脚 Char"/>
    <w:basedOn w:val="691"/>
    <w:link w:val="881"/>
    <w:uiPriority w:val="99"/>
    <w:qFormat/>
    <w:rPr>
      <w:sz w:val="18"/>
      <w:szCs w:val="18"/>
    </w:rPr>
  </w:style>
  <w:style w:type="paragraph" w:styleId="883" w:customStyle="1">
    <w:name w:val="页眉1"/>
    <w:basedOn w:val="644"/>
    <w:link w:val="884"/>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84" w:customStyle="1">
    <w:name w:val="页眉 Char"/>
    <w:basedOn w:val="691"/>
    <w:link w:val="883"/>
    <w:uiPriority w:val="99"/>
    <w:semiHidden/>
    <w:qFormat/>
    <w:rPr>
      <w:sz w:val="18"/>
      <w:szCs w:val="18"/>
    </w:rPr>
  </w:style>
  <w:style w:type="paragraph" w:styleId="885" w:customStyle="1">
    <w:name w:val="目录 11"/>
    <w:basedOn w:val="644"/>
    <w:next w:val="644"/>
    <w:uiPriority w:val="39"/>
    <w:unhideWhenUsed/>
    <w:qFormat/>
    <w:pPr>
      <w:jc w:val="center"/>
      <w:tabs>
        <w:tab w:val="right" w:pos="8296" w:leader="dot"/>
      </w:tabs>
    </w:pPr>
    <w:rPr>
      <w:rFonts w:ascii="黑体" w:hAnsi="黑体" w:eastAsia="黑体"/>
      <w:sz w:val="44"/>
      <w:szCs w:val="44"/>
    </w:rPr>
  </w:style>
  <w:style w:type="paragraph" w:styleId="886" w:customStyle="1">
    <w:name w:val="普通(网站)1"/>
    <w:basedOn w:val="644"/>
    <w:uiPriority w:val="99"/>
    <w:unhideWhenUsed/>
    <w:qFormat/>
    <w:rPr>
      <w:sz w:val="24"/>
    </w:rPr>
  </w:style>
  <w:style w:type="paragraph" w:styleId="887" w:customStyle="1">
    <w:name w:val="正文首行缩进 21"/>
    <w:basedOn w:val="873"/>
    <w:uiPriority w:val="99"/>
    <w:unhideWhenUsed/>
    <w:qFormat/>
    <w:pPr>
      <w:ind w:firstLine="420"/>
    </w:pPr>
  </w:style>
  <w:style w:type="table" w:styleId="888" w:customStyle="1">
    <w:name w:val="网格型1"/>
    <w:basedOn w:val="866"/>
    <w:uiPriority w:val="59"/>
    <w:qFormat/>
    <w:tblPr/>
  </w:style>
  <w:style w:type="character" w:styleId="889" w:customStyle="1">
    <w:name w:val="超链接1"/>
    <w:link w:val="644"/>
    <w:uiPriority w:val="99"/>
    <w:qFormat/>
    <w:rPr>
      <w:color w:val="0000ff"/>
      <w:u w:val="none"/>
    </w:rPr>
  </w:style>
  <w:style w:type="character" w:styleId="890" w:customStyle="1">
    <w:name w:val="批注引用1"/>
    <w:link w:val="644"/>
    <w:uiPriority w:val="0"/>
    <w:qFormat/>
    <w:rPr>
      <w:sz w:val="21"/>
      <w:szCs w:val="21"/>
    </w:rPr>
  </w:style>
  <w:style w:type="paragraph" w:styleId="891" w:customStyle="1">
    <w:name w:val="正文首行缩进11"/>
    <w:basedOn w:val="892"/>
    <w:uiPriority w:val="0"/>
    <w:qFormat/>
    <w:pPr>
      <w:ind w:firstLine="200"/>
      <w:spacing w:line="360" w:lineRule="auto"/>
    </w:pPr>
    <w:rPr>
      <w:rFonts w:ascii="方正仿宋_GB2312" w:hAnsi="Times New Roman" w:eastAsia="方正仿宋_GB2312"/>
      <w:sz w:val="30"/>
      <w:szCs w:val="30"/>
    </w:rPr>
  </w:style>
  <w:style w:type="paragraph" w:styleId="892" w:customStyle="1">
    <w:name w:val="正文文本11"/>
    <w:basedOn w:val="644"/>
    <w:next w:val="644"/>
    <w:uiPriority w:val="0"/>
    <w:qFormat/>
    <w:rPr>
      <w:rFonts w:ascii="方正楷体_GB2312" w:hAnsi="Arial" w:eastAsia="方正楷体_GB2312"/>
      <w:sz w:val="28"/>
      <w:szCs w:val="28"/>
      <w:lang w:eastAsia="en-US"/>
    </w:rPr>
  </w:style>
  <w:style w:type="paragraph" w:styleId="89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94" w:customStyle="1">
    <w:name w:val="列出段落1"/>
    <w:basedOn w:val="644"/>
    <w:uiPriority w:val="0"/>
    <w:qFormat/>
    <w:pPr>
      <w:ind w:firstLine="420"/>
    </w:pPr>
    <w:rPr>
      <w:rFonts w:ascii="Times New Roman" w:hAnsi="Times New Roman" w:eastAsia="宋体" w:cs="Times New Roman"/>
      <w:szCs w:val="21"/>
    </w:rPr>
  </w:style>
  <w:style w:type="paragraph" w:styleId="895" w:customStyle="1">
    <w:name w:val="_Style 13"/>
    <w:uiPriority w:val="0"/>
    <w:qFormat/>
    <w:pPr>
      <w:spacing w:before="120" w:after="120" w:line="288" w:lineRule="auto"/>
    </w:pPr>
    <w:rPr>
      <w:rFonts w:hint="default" w:ascii="Arial" w:hAnsi="Arial" w:eastAsia="等线" w:cs="Arial"/>
      <w:sz w:val="22"/>
      <w:szCs w:val="22"/>
      <w:lang w:val="en-US" w:eastAsia="zh-CN" w:bidi="ar-SA"/>
    </w:rPr>
  </w:style>
  <w:style w:type="character" w:styleId="896" w:customStyle="1">
    <w:name w:val="font31"/>
    <w:basedOn w:val="691"/>
    <w:link w:val="644"/>
    <w:uiPriority w:val="0"/>
    <w:qFormat/>
    <w:rPr>
      <w:rFonts w:hint="eastAsia" w:ascii="宋体" w:hAnsi="宋体" w:eastAsia="宋体" w:cs="宋体"/>
      <w:color w:val="000000"/>
      <w:sz w:val="22"/>
      <w:szCs w:val="22"/>
      <w:u w:val="none"/>
    </w:rPr>
  </w:style>
  <w:style w:type="character" w:styleId="897" w:customStyle="1">
    <w:name w:val="font01"/>
    <w:basedOn w:val="654"/>
    <w:link w:val="644"/>
    <w:uiPriority w:val="0"/>
    <w:qFormat/>
    <w:rPr>
      <w:rFonts w:hint="eastAsia" w:ascii="宋体" w:hAnsi="宋体" w:eastAsia="宋体" w:cs="宋体"/>
      <w:color w:val="000000"/>
      <w:sz w:val="20"/>
      <w:szCs w:val="20"/>
      <w:u w:val="none"/>
    </w:rPr>
  </w:style>
  <w:style w:type="paragraph" w:styleId="898">
    <w:name w:val="List Paragraph"/>
    <w:basedOn w:val="644"/>
    <w:uiPriority w:val="34"/>
    <w:qFormat/>
    <w:pPr>
      <w:ind w:firstLine="420"/>
    </w:pPr>
  </w:style>
  <w:style w:type="paragraph" w:styleId="899" w:customStyle="1">
    <w:name w:val="标题 11"/>
    <w:basedOn w:val="644"/>
    <w:next w:val="644"/>
    <w:uiPriority w:val="9"/>
    <w:qFormat/>
    <w:pPr>
      <w:keepLines/>
      <w:keepNext/>
      <w:spacing w:before="340" w:after="330" w:line="578" w:lineRule="auto"/>
      <w:outlineLvl w:val="0"/>
    </w:pPr>
    <w:rPr>
      <w:b/>
      <w:bCs/>
      <w:sz w:val="44"/>
      <w:szCs w:val="44"/>
    </w:rPr>
  </w:style>
  <w:style w:type="character" w:styleId="900" w:customStyle="1">
    <w:name w:val="font41"/>
    <w:basedOn w:val="691"/>
    <w:link w:val="644"/>
    <w:uiPriority w:val="0"/>
    <w:qFormat/>
    <w:rPr>
      <w:rFonts w:hint="eastAsia" w:ascii="宋体" w:hAnsi="宋体" w:eastAsia="宋体" w:cs="宋体"/>
      <w:b/>
      <w:bCs/>
      <w:color w:val="000000"/>
      <w:sz w:val="20"/>
      <w:szCs w:val="20"/>
      <w:u w:val="none"/>
    </w:rPr>
  </w:style>
  <w:style w:type="character" w:styleId="901" w:customStyle="1">
    <w:name w:val="font71"/>
    <w:basedOn w:val="654"/>
    <w:link w:val="644"/>
    <w:uiPriority w:val="0"/>
    <w:qFormat/>
    <w:rPr>
      <w:rFonts w:hint="eastAsia" w:ascii="宋体" w:hAnsi="宋体" w:eastAsia="宋体" w:cs="宋体"/>
      <w:color w:val="000000"/>
      <w:sz w:val="20"/>
      <w:szCs w:val="20"/>
      <w:u w:val="none"/>
    </w:rPr>
  </w:style>
  <w:style w:type="character" w:styleId="902" w:customStyle="1">
    <w:name w:val="font81"/>
    <w:basedOn w:val="691"/>
    <w:link w:val="644"/>
    <w:uiPriority w:val="0"/>
    <w:qFormat/>
    <w:rPr>
      <w:rFonts w:hint="eastAsia" w:ascii="宋体" w:hAnsi="宋体" w:eastAsia="宋体" w:cs="宋体"/>
      <w:color w:val="000000"/>
      <w:sz w:val="20"/>
      <w:szCs w:val="20"/>
      <w:u w:val="none"/>
    </w:rPr>
  </w:style>
  <w:style w:type="character" w:styleId="903" w:customStyle="1">
    <w:name w:val="font101"/>
    <w:basedOn w:val="691"/>
    <w:link w:val="644"/>
    <w:uiPriority w:val="0"/>
    <w:qFormat/>
    <w:rPr>
      <w:rFonts w:hint="eastAsia" w:ascii="宋体" w:hAnsi="宋体" w:eastAsia="宋体" w:cs="宋体"/>
      <w:color w:val="ff0000"/>
      <w:sz w:val="20"/>
      <w:szCs w:val="20"/>
      <w:u w:val="none"/>
    </w:rPr>
  </w:style>
  <w:style w:type="character" w:styleId="904" w:customStyle="1">
    <w:name w:val="font61"/>
    <w:basedOn w:val="654"/>
    <w:uiPriority w:val="0"/>
    <w:qFormat/>
    <w:rPr>
      <w:rFonts w:hint="eastAsia" w:ascii="宋体" w:hAnsi="宋体" w:eastAsia="宋体" w:cs="宋体"/>
      <w:b/>
      <w:bCs/>
      <w:color w:val="000000"/>
      <w:sz w:val="22"/>
      <w:szCs w:val="22"/>
      <w:u w:val="none"/>
    </w:rPr>
  </w:style>
  <w:style w:type="numbering" w:styleId="182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1531</dc:creator>
  <cp:lastModifiedBy>陈业佳</cp:lastModifiedBy>
  <cp:revision>11</cp:revision>
  <dcterms:created xsi:type="dcterms:W3CDTF">2024-07-16T00:29:00Z</dcterms:created>
  <dcterms:modified xsi:type="dcterms:W3CDTF">2026-09-04T01:54:12Z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BBF9A995602F49CF92779423A5FC3265_13</vt:lpwstr>
  </property>
  <property fmtid="{D5CDD505-2E9C-101B-9397-08002B2CF9AE}" pid="4" name="KSOTemplateDocerSaveRecord">
    <vt:lpwstr>eyJoZGlkIjoiOTVmOWQ0N2I5ZDEzYTA0NTEyYjkyNzQxY2NiNTViMWMiLCJ1c2VySWQiOiI0NDUyMjA1MDYifQ==</vt:lpwstr>
  </property>
</Properties>
</file>