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t xml:space="preserve"> </w:t>
      </w:r>
      <w:r/>
    </w:p>
    <w:p>
      <w:pPr>
        <w:pStyle w:val="944"/>
      </w:pPr>
      <w:r/>
      <w:r/>
    </w:p>
    <w:p>
      <w:pPr>
        <w:pStyle w:val="945"/>
      </w:pPr>
      <w:r/>
      <w:r/>
    </w:p>
    <w:p>
      <w:pPr>
        <w:jc w:val="center"/>
        <w:spacing w:line="560" w:lineRule="exact"/>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苏州市政府采购封闭式框架协议征集文件</w:t>
      </w:r>
      <w:r/>
    </w:p>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4"/>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5"/>
      </w:pPr>
      <w:r/>
      <w:r/>
    </w:p>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left="1934"/>
        <w:jc w:val="left"/>
        <w:spacing w:line="560" w:lineRule="exact"/>
        <w:widowControl/>
        <w:rPr>
          <w:rFonts w:ascii="仿宋_GB2312" w:hAnsi="仿宋_GB2312" w:eastAsia="仿宋_GB2312" w:cs="仿宋_GB2312"/>
          <w:b/>
          <w:sz w:val="32"/>
          <w:szCs w:val="32"/>
        </w:rPr>
      </w:pPr>
      <w:r>
        <w:rPr>
          <w:rFonts w:hint="eastAsia" w:ascii="黑体" w:hAnsi="黑体" w:eastAsia="黑体" w:cs="黑体"/>
          <w:bCs/>
          <w:sz w:val="32"/>
          <w:szCs w:val="32"/>
        </w:rPr>
        <w:t xml:space="preserve">项目编号</w:t>
      </w:r>
      <w:r>
        <w:rPr>
          <w:rFonts w:hint="eastAsia" w:ascii="仿宋_GB2312" w:hAnsi="仿宋_GB2312" w:eastAsia="仿宋_GB2312" w:cs="仿宋_GB2312"/>
          <w:b/>
          <w:sz w:val="32"/>
          <w:szCs w:val="32"/>
        </w:rPr>
        <w:t xml:space="preserve">：</w:t>
      </w:r>
      <w:r>
        <w:rPr>
          <w:rFonts w:ascii="仿宋_GB2312" w:hAnsi="仿宋_GB2312" w:eastAsia="仿宋_GB2312" w:cs="仿宋_GB2312"/>
          <w:b/>
          <w:sz w:val="32"/>
          <w:szCs w:val="32"/>
        </w:rPr>
        <w:t xml:space="preserve">JSZC-320500-JZCG-K2026-0239</w:t>
      </w:r>
      <w:r/>
    </w:p>
    <w:p>
      <w:pPr>
        <w:ind w:left="1934"/>
        <w:jc w:val="left"/>
        <w:spacing w:line="560" w:lineRule="exact"/>
        <w:widowControl/>
        <w:rPr>
          <w:rFonts w:ascii="仿宋_GB2312" w:hAnsi="仿宋_GB2312" w:eastAsia="仿宋_GB2312" w:cs="仿宋_GB2312"/>
          <w:b/>
          <w:sz w:val="32"/>
          <w:szCs w:val="32"/>
        </w:rPr>
      </w:pPr>
      <w:r>
        <w:rPr>
          <w:rFonts w:hint="eastAsia" w:ascii="黑体" w:hAnsi="黑体" w:eastAsia="黑体" w:cs="黑体"/>
          <w:bCs/>
          <w:sz w:val="32"/>
          <w:szCs w:val="32"/>
        </w:rPr>
        <w:t xml:space="preserve">征 集 人：</w:t>
      </w:r>
      <w:r>
        <w:rPr>
          <w:rFonts w:hint="eastAsia" w:ascii="仿宋_GB2312" w:hAnsi="仿宋_GB2312" w:eastAsia="仿宋_GB2312" w:cs="仿宋_GB2312"/>
          <w:bCs/>
          <w:sz w:val="32"/>
          <w:szCs w:val="32"/>
        </w:rPr>
        <w:t xml:space="preserve">苏州市财政局</w:t>
      </w:r>
      <w:r/>
    </w:p>
    <w:p>
      <w:pPr>
        <w:ind w:left="1934"/>
        <w:jc w:val="left"/>
        <w:spacing w:line="560" w:lineRule="exact"/>
        <w:widowControl/>
        <w:rPr>
          <w:rFonts w:ascii="仿宋_GB2312" w:hAnsi="仿宋_GB2312" w:eastAsia="仿宋_GB2312" w:cs="仿宋_GB2312"/>
          <w:bCs/>
          <w:sz w:val="32"/>
          <w:szCs w:val="32"/>
        </w:rPr>
      </w:pPr>
      <w:r>
        <w:rPr>
          <w:rFonts w:hint="eastAsia" w:ascii="黑体" w:hAnsi="黑体" w:eastAsia="黑体" w:cs="黑体"/>
          <w:bCs/>
          <w:sz w:val="32"/>
          <w:szCs w:val="32"/>
        </w:rPr>
        <w:t xml:space="preserve">项目名称：</w:t>
      </w:r>
      <w:r>
        <w:rPr>
          <w:rFonts w:hint="eastAsia" w:ascii="仿宋_GB2312" w:hAnsi="仿宋_GB2312" w:eastAsia="仿宋_GB2312" w:cs="仿宋_GB2312"/>
          <w:bCs/>
          <w:sz w:val="32"/>
          <w:szCs w:val="32"/>
        </w:rPr>
        <w:t xml:space="preserve">苏州市政策性农业保险承保机构遴选</w:t>
      </w:r>
      <w:r/>
    </w:p>
    <w:p>
      <w:pPr>
        <w:ind w:left="1934"/>
        <w:jc w:val="left"/>
        <w:spacing w:line="560" w:lineRule="exact"/>
        <w:widowControl/>
        <w:tabs>
          <w:tab w:val="center" w:pos="5786" w:leader="none"/>
        </w:tabs>
        <w:rPr>
          <w:rFonts w:ascii="仿宋_GB2312" w:hAnsi="仿宋_GB2312" w:eastAsia="仿宋_GB2312" w:cs="仿宋_GB2312"/>
          <w:b/>
          <w:sz w:val="32"/>
          <w:szCs w:val="32"/>
        </w:rPr>
      </w:pPr>
      <w:r>
        <w:rPr>
          <w:rFonts w:hint="eastAsia" w:ascii="黑体" w:hAnsi="黑体" w:eastAsia="黑体" w:cs="黑体"/>
          <w:bCs/>
          <w:sz w:val="32"/>
          <w:szCs w:val="32"/>
        </w:rPr>
        <w:t xml:space="preserve">项目类别：</w:t>
      </w:r>
      <w:r>
        <w:rPr>
          <w:rFonts w:hint="eastAsia" w:ascii="仿宋_GB2312" w:hAnsi="仿宋_GB2312" w:eastAsia="仿宋_GB2312" w:cs="仿宋_GB2312"/>
          <w:bCs/>
          <w:sz w:val="32"/>
          <w:szCs w:val="32"/>
        </w:rPr>
        <w:t xml:space="preserve">服务类</w:t>
      </w:r>
      <w:r>
        <w:rPr>
          <w:rFonts w:hint="eastAsia" w:ascii="仿宋_GB2312" w:hAnsi="仿宋_GB2312" w:eastAsia="仿宋_GB2312" w:cs="仿宋_GB2312"/>
          <w:b/>
          <w:sz w:val="32"/>
          <w:szCs w:val="32"/>
        </w:rPr>
        <w:tab/>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4"/>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5"/>
      </w:pPr>
      <w:r/>
      <w:r/>
    </w:p>
    <w:p>
      <w:r/>
      <w:r/>
    </w:p>
    <w:p>
      <w:pPr>
        <w:pStyle w:val="944"/>
      </w:pPr>
      <w:r/>
      <w:r/>
    </w:p>
    <w:p>
      <w:pPr>
        <w:pStyle w:val="945"/>
      </w:pPr>
      <w:r/>
      <w:r/>
    </w:p>
    <w:p>
      <w:r/>
      <w:r/>
    </w:p>
    <w:p>
      <w:pPr>
        <w:pStyle w:val="944"/>
      </w:pPr>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spacing w:line="560" w:lineRule="exact"/>
        <w:tabs>
          <w:tab w:val="center" w:pos="5901" w:leader="none"/>
        </w:tabs>
        <w:rPr>
          <w:rFonts w:ascii="仿宋_GB2312" w:hAnsi="仿宋_GB2312" w:eastAsia="仿宋_GB2312" w:cs="仿宋_GB2312"/>
          <w:bCs/>
          <w:spacing w:val="-6"/>
          <w:sz w:val="32"/>
          <w:szCs w:val="32"/>
        </w:rPr>
      </w:pPr>
      <w:r>
        <w:rPr>
          <w:rFonts w:hint="eastAsia" w:ascii="仿宋_GB2312" w:hAnsi="仿宋_GB2312" w:eastAsia="仿宋_GB2312" w:cs="仿宋_GB2312"/>
          <w:bCs/>
          <w:spacing w:val="-6"/>
          <w:sz w:val="32"/>
          <w:szCs w:val="32"/>
        </w:rPr>
        <w:t xml:space="preserve">苏州市政府集中采购中心</w:t>
      </w:r>
      <w:r/>
    </w:p>
    <w:p>
      <w:pPr>
        <w:jc w:val="center"/>
        <w:spacing w:line="560" w:lineRule="exact"/>
        <w:rPr>
          <w:rFonts w:ascii="仿宋_GB2312" w:hAnsi="仿宋_GB2312" w:eastAsia="仿宋_GB2312" w:cs="仿宋_GB2312"/>
          <w:bCs/>
          <w:spacing w:val="-6"/>
          <w:sz w:val="32"/>
          <w:szCs w:val="32"/>
        </w:rPr>
      </w:pPr>
      <w:r>
        <w:rPr>
          <w:rFonts w:hint="eastAsia" w:ascii="仿宋_GB2312" w:hAnsi="仿宋_GB2312" w:eastAsia="仿宋_GB2312" w:cs="仿宋_GB2312"/>
          <w:bCs/>
          <w:spacing w:val="-6"/>
          <w:sz w:val="32"/>
          <w:szCs w:val="32"/>
        </w:rPr>
        <w:t xml:space="preserve">2026年8月</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spacing w:line="560" w:lineRule="exact"/>
        <w:widowControl/>
        <w:tabs>
          <w:tab w:val="center" w:pos="5444" w:leader="none"/>
          <w:tab w:val="left" w:pos="8076" w:leader="none"/>
        </w:tabs>
        <w:rPr>
          <w:rFonts w:ascii="黑体" w:hAnsi="黑体" w:eastAsia="黑体" w:cs="黑体"/>
          <w:bCs/>
          <w:sz w:val="32"/>
          <w:szCs w:val="32"/>
        </w:rPr>
      </w:pPr>
      <w:r>
        <w:rPr>
          <w:rFonts w:hint="eastAsia" w:ascii="黑体" w:hAnsi="黑体" w:eastAsia="黑体" w:cs="黑体"/>
          <w:bCs/>
          <w:sz w:val="32"/>
          <w:szCs w:val="32"/>
        </w:rPr>
        <w:t xml:space="preserve">总目录</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50"/>
        <w:spacing w:line="560" w:lineRule="exact"/>
        <w:tabs>
          <w:tab w:val="right" w:pos="9628" w:leader="dot"/>
        </w:tabs>
        <w:rPr>
          <w:rFonts w:ascii="仿宋_GB2312" w:hAnsi="仿宋_GB2312" w:eastAsia="仿宋_GB2312" w:cs="仿宋_GB2312"/>
          <w:sz w:val="32"/>
          <w:szCs w:val="32"/>
        </w:rPr>
      </w:pPr>
      <w:r>
        <w:rPr>
          <w:rFonts w:hint="eastAsia" w:ascii="仿宋_GB2312" w:hAnsi="仿宋_GB2312" w:eastAsia="仿宋_GB2312" w:cs="仿宋_GB2312"/>
          <w:caps/>
          <w:sz w:val="32"/>
          <w:szCs w:val="32"/>
        </w:rPr>
        <w:fldChar w:fldCharType="begin"/>
      </w:r>
      <w:r>
        <w:rPr>
          <w:rFonts w:hint="eastAsia" w:ascii="仿宋_GB2312" w:hAnsi="仿宋_GB2312" w:eastAsia="仿宋_GB2312" w:cs="仿宋_GB2312"/>
          <w:caps/>
          <w:sz w:val="32"/>
          <w:szCs w:val="32"/>
        </w:rPr>
        <w:instrText xml:space="preserve"> TOC \o "1-2" \h \z \u </w:instrText>
      </w:r>
      <w:r>
        <w:rPr>
          <w:rFonts w:hint="eastAsia" w:ascii="仿宋_GB2312" w:hAnsi="仿宋_GB2312" w:eastAsia="仿宋_GB2312" w:cs="仿宋_GB2312"/>
          <w:caps/>
          <w:sz w:val="32"/>
          <w:szCs w:val="32"/>
        </w:rPr>
        <w:fldChar w:fldCharType="separate"/>
      </w:r>
      <w:hyperlink w:tooltip="#_Toc212815964" w:anchor="_Toc212815964" w:history="1">
        <w:r>
          <w:rPr>
            <w:rStyle w:val="959"/>
            <w:rFonts w:hint="eastAsia" w:ascii="仿宋_GB2312" w:hAnsi="仿宋_GB2312" w:eastAsia="仿宋_GB2312" w:cs="仿宋_GB2312"/>
            <w:color w:val="auto"/>
            <w:sz w:val="32"/>
            <w:szCs w:val="32"/>
          </w:rPr>
          <w:t xml:space="preserve">第一章 征集邀请函</w:t>
        </w:r>
        <w:r>
          <w:rPr>
            <w:rFonts w:hint="eastAsia" w:ascii="仿宋_GB2312" w:hAnsi="仿宋_GB2312" w:eastAsia="仿宋_GB2312" w:cs="仿宋_GB2312"/>
            <w:sz w:val="32"/>
            <w:szCs w:val="32"/>
          </w:rPr>
          <w:tab/>
          <w:t xml:space="preserve">1</w:t>
        </w:r>
      </w:hyperlink>
      <w:r/>
      <w:r/>
    </w:p>
    <w:p>
      <w:pPr>
        <w:pStyle w:val="950"/>
        <w:spacing w:line="560" w:lineRule="exact"/>
        <w:tabs>
          <w:tab w:val="right" w:pos="9628" w:leader="dot"/>
        </w:tabs>
        <w:rPr>
          <w:rFonts w:ascii="仿宋_GB2312" w:hAnsi="仿宋_GB2312" w:eastAsia="仿宋_GB2312" w:cs="仿宋_GB2312"/>
          <w:sz w:val="32"/>
          <w:szCs w:val="32"/>
        </w:rPr>
      </w:pPr>
      <w:r/>
      <w:hyperlink w:tooltip="#_Toc212815965" w:anchor="_Toc212815965" w:history="1">
        <w:r>
          <w:rPr>
            <w:rStyle w:val="959"/>
            <w:rFonts w:hint="eastAsia" w:ascii="仿宋_GB2312" w:hAnsi="仿宋_GB2312" w:eastAsia="仿宋_GB2312" w:cs="仿宋_GB2312"/>
            <w:color w:val="auto"/>
            <w:sz w:val="32"/>
            <w:szCs w:val="32"/>
          </w:rPr>
          <w:t xml:space="preserve">第二章 供应商须知</w:t>
        </w:r>
        <w:r>
          <w:rPr>
            <w:rFonts w:hint="eastAsia" w:ascii="仿宋_GB2312" w:hAnsi="仿宋_GB2312" w:eastAsia="仿宋_GB2312" w:cs="仿宋_GB2312"/>
            <w:sz w:val="32"/>
            <w:szCs w:val="32"/>
          </w:rPr>
          <w:tab/>
          <w:t xml:space="preserve">7</w:t>
        </w:r>
      </w:hyperlink>
      <w:r/>
      <w:r/>
    </w:p>
    <w:p>
      <w:pPr>
        <w:pStyle w:val="950"/>
        <w:spacing w:line="560" w:lineRule="exact"/>
        <w:tabs>
          <w:tab w:val="right" w:pos="9628" w:leader="dot"/>
        </w:tabs>
        <w:rPr>
          <w:rFonts w:ascii="仿宋_GB2312" w:hAnsi="仿宋_GB2312" w:eastAsia="仿宋_GB2312" w:cs="仿宋_GB2312"/>
          <w:sz w:val="32"/>
          <w:szCs w:val="32"/>
        </w:rPr>
      </w:pPr>
      <w:r/>
      <w:hyperlink w:tooltip="#_Toc212815966" w:anchor="_Toc212815966" w:history="1">
        <w:r>
          <w:rPr>
            <w:rStyle w:val="959"/>
            <w:rFonts w:hint="eastAsia" w:ascii="仿宋_GB2312" w:hAnsi="仿宋_GB2312" w:eastAsia="仿宋_GB2312" w:cs="仿宋_GB2312"/>
            <w:color w:val="auto"/>
            <w:sz w:val="32"/>
            <w:szCs w:val="32"/>
          </w:rPr>
          <w:t xml:space="preserve">第三章 响应文件格式</w:t>
        </w:r>
        <w:r>
          <w:rPr>
            <w:rFonts w:hint="eastAsia" w:ascii="仿宋_GB2312" w:hAnsi="仿宋_GB2312" w:eastAsia="仿宋_GB2312" w:cs="仿宋_GB2312"/>
            <w:sz w:val="32"/>
            <w:szCs w:val="32"/>
          </w:rPr>
          <w:tab/>
          <w:t xml:space="preserve">2</w:t>
        </w:r>
      </w:hyperlink>
      <w:r>
        <w:rPr>
          <w:rFonts w:hint="eastAsia" w:ascii="仿宋_GB2312" w:hAnsi="仿宋_GB2312" w:eastAsia="仿宋_GB2312" w:cs="仿宋_GB2312"/>
          <w:sz w:val="32"/>
          <w:szCs w:val="32"/>
        </w:rPr>
        <w:t xml:space="preserve">2</w:t>
      </w:r>
      <w:r/>
    </w:p>
    <w:p>
      <w:pPr>
        <w:pStyle w:val="950"/>
        <w:spacing w:line="560" w:lineRule="exact"/>
        <w:tabs>
          <w:tab w:val="right" w:pos="9628" w:leader="dot"/>
        </w:tabs>
        <w:rPr>
          <w:rFonts w:ascii="仿宋_GB2312" w:hAnsi="仿宋_GB2312" w:eastAsia="仿宋_GB2312" w:cs="仿宋_GB2312"/>
          <w:sz w:val="32"/>
          <w:szCs w:val="32"/>
        </w:rPr>
      </w:pPr>
      <w:r/>
      <w:hyperlink w:tooltip="#_Toc212815975" w:anchor="_Toc212815975" w:history="1">
        <w:r>
          <w:rPr>
            <w:rStyle w:val="959"/>
            <w:rFonts w:hint="eastAsia" w:ascii="仿宋_GB2312" w:hAnsi="仿宋_GB2312" w:eastAsia="仿宋_GB2312" w:cs="仿宋_GB2312"/>
            <w:color w:val="auto"/>
            <w:sz w:val="32"/>
            <w:szCs w:val="32"/>
          </w:rPr>
          <w:t xml:space="preserve">第四章 采购需求</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_Toc212815975 \h </w:instrText>
        </w:r>
        <w:r>
          <w:rPr>
            <w:rFonts w:hint="eastAsia" w:ascii="仿宋_GB2312" w:hAnsi="仿宋_GB2312" w:eastAsia="仿宋_GB2312" w:cs="仿宋_GB2312"/>
            <w:sz w:val="32"/>
            <w:szCs w:val="32"/>
          </w:rPr>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xml:space="preserve">40</w:t>
        </w:r>
        <w:r>
          <w:rPr>
            <w:rFonts w:hint="eastAsia" w:ascii="仿宋_GB2312" w:hAnsi="仿宋_GB2312" w:eastAsia="仿宋_GB2312" w:cs="仿宋_GB2312"/>
            <w:sz w:val="32"/>
            <w:szCs w:val="32"/>
          </w:rPr>
          <w:fldChar w:fldCharType="end"/>
        </w:r>
      </w:hyperlink>
      <w:r/>
      <w:r/>
    </w:p>
    <w:p>
      <w:pPr>
        <w:pStyle w:val="950"/>
        <w:spacing w:line="560" w:lineRule="exact"/>
        <w:tabs>
          <w:tab w:val="right" w:pos="9628" w:leader="dot"/>
        </w:tabs>
        <w:rPr>
          <w:rFonts w:ascii="仿宋_GB2312" w:hAnsi="仿宋_GB2312" w:eastAsia="仿宋_GB2312" w:cs="仿宋_GB2312"/>
          <w:sz w:val="32"/>
          <w:szCs w:val="32"/>
        </w:rPr>
      </w:pPr>
      <w:r/>
      <w:hyperlink w:tooltip="#_Toc212815976" w:anchor="_Toc212815976" w:history="1">
        <w:r>
          <w:rPr>
            <w:rStyle w:val="959"/>
            <w:rFonts w:hint="eastAsia" w:ascii="仿宋_GB2312" w:hAnsi="仿宋_GB2312" w:eastAsia="仿宋_GB2312" w:cs="仿宋_GB2312"/>
            <w:color w:val="auto"/>
            <w:sz w:val="32"/>
            <w:szCs w:val="32"/>
          </w:rPr>
          <w:t xml:space="preserve">第五章 框架协议文本</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_Toc212815976 \h </w:instrText>
        </w:r>
        <w:r>
          <w:rPr>
            <w:rFonts w:hint="eastAsia" w:ascii="仿宋_GB2312" w:hAnsi="仿宋_GB2312" w:eastAsia="仿宋_GB2312" w:cs="仿宋_GB2312"/>
            <w:sz w:val="32"/>
            <w:szCs w:val="32"/>
          </w:rPr>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4</w:t>
        </w:r>
        <w:r>
          <w:rPr>
            <w:rFonts w:ascii="仿宋_GB2312" w:hAnsi="仿宋_GB2312" w:eastAsia="仿宋_GB2312" w:cs="仿宋_GB2312"/>
            <w:sz w:val="32"/>
            <w:szCs w:val="32"/>
          </w:rPr>
          <w:t xml:space="preserve">7</w:t>
        </w:r>
        <w:r>
          <w:rPr>
            <w:rFonts w:hint="eastAsia" w:ascii="仿宋_GB2312" w:hAnsi="仿宋_GB2312" w:eastAsia="仿宋_GB2312" w:cs="仿宋_GB2312"/>
            <w:sz w:val="32"/>
            <w:szCs w:val="32"/>
          </w:rPr>
          <w:fldChar w:fldCharType="end"/>
        </w:r>
      </w:hyperlink>
      <w:r/>
      <w:r/>
    </w:p>
    <w:p>
      <w:pPr>
        <w:pStyle w:val="950"/>
        <w:spacing w:line="560" w:lineRule="exact"/>
        <w:tabs>
          <w:tab w:val="right" w:pos="9628" w:leader="dot"/>
        </w:tabs>
        <w:rPr>
          <w:rFonts w:ascii="仿宋_GB2312" w:hAnsi="仿宋_GB2312" w:eastAsia="仿宋_GB2312" w:cs="仿宋_GB2312"/>
          <w:sz w:val="32"/>
          <w:szCs w:val="32"/>
        </w:rPr>
      </w:pPr>
      <w:r/>
      <w:hyperlink w:tooltip="#_Toc212815977" w:anchor="_Toc212815977" w:history="1">
        <w:r>
          <w:rPr>
            <w:rStyle w:val="959"/>
            <w:rFonts w:hint="eastAsia" w:ascii="仿宋_GB2312" w:hAnsi="仿宋_GB2312" w:eastAsia="仿宋_GB2312" w:cs="仿宋_GB2312"/>
            <w:color w:val="auto"/>
            <w:sz w:val="32"/>
            <w:szCs w:val="32"/>
          </w:rPr>
          <w:t xml:space="preserve">第六章 确定入围及成交供应商</w:t>
        </w:r>
        <w:r>
          <w:rPr>
            <w:rFonts w:hint="eastAsia" w:ascii="仿宋_GB2312" w:hAnsi="仿宋_GB2312" w:eastAsia="仿宋_GB2312" w:cs="仿宋_GB2312"/>
            <w:sz w:val="32"/>
            <w:szCs w:val="32"/>
          </w:rPr>
          <w:tab/>
        </w:r>
        <w:r>
          <w:rPr>
            <w:rFonts w:ascii="仿宋_GB2312" w:hAnsi="仿宋_GB2312" w:eastAsia="仿宋_GB2312" w:cs="仿宋_GB2312"/>
            <w:sz w:val="32"/>
            <w:szCs w:val="32"/>
          </w:rPr>
          <w:t xml:space="preserve">5</w:t>
        </w:r>
      </w:hyperlink>
      <w:r>
        <w:rPr>
          <w:rFonts w:ascii="仿宋_GB2312" w:hAnsi="仿宋_GB2312" w:eastAsia="仿宋_GB2312" w:cs="仿宋_GB2312"/>
          <w:sz w:val="32"/>
          <w:szCs w:val="32"/>
        </w:rPr>
        <w:t xml:space="preserve">8</w:t>
      </w:r>
      <w:r/>
    </w:p>
    <w:p>
      <w:pPr>
        <w:pStyle w:val="950"/>
        <w:spacing w:line="560" w:lineRule="exact"/>
        <w:tabs>
          <w:tab w:val="right" w:pos="9628" w:leader="dot"/>
        </w:tabs>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pageBreakBefore/>
        <w:spacing w:line="560" w:lineRule="exact"/>
        <w:rPr>
          <w:rFonts w:ascii="仿宋_GB2312" w:hAnsi="仿宋_GB2312" w:eastAsia="仿宋_GB2312" w:cs="仿宋_GB2312"/>
          <w:sz w:val="32"/>
          <w:szCs w:val="32"/>
        </w:rPr>
        <w:sectPr>
          <w:footerReference w:type="default" r:id="rId8"/>
          <w:footnotePr/>
          <w:endnotePr/>
          <w:type w:val="nextPage"/>
          <w:pgSz w:w="11906" w:h="16838" w:orient="portrait"/>
          <w:pgMar w:top="2098" w:right="1474" w:bottom="1984" w:left="1587" w:header="851" w:footer="992" w:gutter="0"/>
          <w:pgNumType w:start="1"/>
          <w:cols w:num="1" w:sep="0" w:space="425" w:equalWidth="1"/>
          <w:docGrid w:linePitch="360"/>
        </w:sectPr>
        <w:outlineLvl w:val="0"/>
      </w:pPr>
      <w:r>
        <w:rPr>
          <w:rFonts w:ascii="仿宋_GB2312" w:hAnsi="仿宋_GB2312" w:eastAsia="仿宋_GB2312" w:cs="仿宋_GB2312"/>
          <w:sz w:val="32"/>
          <w:szCs w:val="32"/>
        </w:rPr>
      </w:r>
      <w:r/>
    </w:p>
    <w:p>
      <w:pPr>
        <w:jc w:val="center"/>
        <w:pageBreakBefore/>
        <w:spacing w:line="560" w:lineRule="exact"/>
        <w:rPr>
          <w:rFonts w:ascii="仿宋_GB2312" w:hAnsi="仿宋_GB2312" w:eastAsia="仿宋_GB2312" w:cs="仿宋_GB2312"/>
          <w:sz w:val="32"/>
          <w:szCs w:val="32"/>
        </w:rPr>
        <w:outlineLvl w:val="0"/>
      </w:pPr>
      <w:r>
        <w:rPr>
          <w:rFonts w:hint="eastAsia" w:ascii="仿宋_GB2312" w:hAnsi="仿宋_GB2312" w:eastAsia="仿宋_GB2312" w:cs="仿宋_GB2312"/>
          <w:sz w:val="32"/>
          <w:szCs w:val="32"/>
        </w:rPr>
        <w:fldChar w:fldCharType="end"/>
      </w:r>
      <w:bookmarkStart w:id="0" w:name="_Toc16571"/>
      <w:r/>
      <w:bookmarkStart w:id="1" w:name="_Toc65593807"/>
      <w:r/>
      <w:bookmarkStart w:id="2" w:name="_Toc212815964"/>
      <w:r/>
      <w:bookmarkStart w:id="3" w:name="_Toc74050519"/>
      <w:r/>
      <w:bookmarkStart w:id="4" w:name="_Toc3644"/>
      <w:r>
        <w:rPr>
          <w:rFonts w:hint="eastAsia" w:ascii="黑体" w:hAnsi="黑体" w:eastAsia="黑体" w:cs="黑体"/>
          <w:bCs/>
          <w:sz w:val="32"/>
          <w:szCs w:val="32"/>
        </w:rPr>
        <w:t xml:space="preserve">第一章 征集邀请函</w:t>
      </w:r>
      <w:bookmarkEnd w:id="0"/>
      <w:r/>
      <w:bookmarkEnd w:id="1"/>
      <w:r/>
      <w:bookmarkEnd w:id="2"/>
      <w:r/>
      <w:bookmarkEnd w:id="3"/>
      <w:r/>
      <w:bookmarkEnd w:id="4"/>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项目概况：</w:t>
      </w:r>
      <w:r>
        <w:rPr>
          <w:rFonts w:hint="eastAsia" w:ascii="仿宋_GB2312" w:hAnsi="仿宋_GB2312" w:eastAsia="仿宋_GB2312" w:cs="仿宋_GB2312"/>
          <w:sz w:val="32"/>
          <w:szCs w:val="32"/>
          <w:u w:val="single"/>
        </w:rPr>
        <w:t xml:space="preserve">苏州市政策性农业保险承保机构遴选</w:t>
      </w:r>
      <w:r>
        <w:rPr>
          <w:rFonts w:hint="eastAsia" w:ascii="仿宋_GB2312" w:hAnsi="仿宋_GB2312" w:eastAsia="仿宋_GB2312" w:cs="仿宋_GB2312"/>
          <w:sz w:val="32"/>
          <w:szCs w:val="32"/>
        </w:rPr>
        <w:t xml:space="preserve">项目的潜在供应商应在</w:t>
      </w:r>
      <w:r>
        <w:rPr>
          <w:rFonts w:hint="eastAsia" w:ascii="仿宋_GB2312" w:hAnsi="仿宋_GB2312" w:eastAsia="仿宋_GB2312" w:cs="仿宋_GB2312"/>
          <w:sz w:val="32"/>
          <w:szCs w:val="32"/>
          <w:u w:val="single"/>
        </w:rPr>
        <w:t xml:space="preserve">“苏采云”系统（网址：</w:t>
      </w:r>
      <w:hyperlink r:id="rId12" w:tooltip="http://jszfcg.jsczt.cn/））获取征集文件，并于2026年" w:history="1">
        <w:r>
          <w:rPr>
            <w:rStyle w:val="959"/>
            <w:rFonts w:hint="eastAsia" w:ascii="仿宋_GB2312" w:hAnsi="仿宋_GB2312" w:eastAsia="仿宋_GB2312" w:cs="仿宋_GB2312"/>
            <w:sz w:val="32"/>
            <w:szCs w:val="32"/>
            <w:u w:val="single"/>
          </w:rPr>
          <w:t xml:space="preserve">http://jszfcg.jsczt.cn/）</w:t>
        </w:r>
        <w:r>
          <w:rPr>
            <w:rStyle w:val="959"/>
            <w:rFonts w:hint="eastAsia" w:ascii="仿宋_GB2312" w:hAnsi="仿宋_GB2312" w:eastAsia="仿宋_GB2312" w:cs="仿宋_GB2312"/>
            <w:sz w:val="32"/>
            <w:szCs w:val="32"/>
          </w:rPr>
          <w:t xml:space="preserve">获取征集文件，并于2026年</w:t>
        </w:r>
      </w:hyperlink>
      <w:r>
        <w:rPr>
          <w:rFonts w:hint="eastAsia" w:ascii="仿宋_GB2312" w:hAnsi="仿宋_GB2312" w:eastAsia="仿宋_GB2312" w:cs="仿宋_GB2312"/>
          <w:sz w:val="32"/>
          <w:szCs w:val="32"/>
          <w:u w:val="single"/>
        </w:rPr>
        <w:t xml:space="preserve">9月  8日9点30分</w:t>
      </w:r>
      <w:r>
        <w:rPr>
          <w:rFonts w:hint="eastAsia" w:ascii="仿宋_GB2312" w:hAnsi="仿宋_GB2312" w:eastAsia="仿宋_GB2312" w:cs="仿宋_GB2312"/>
          <w:sz w:val="32"/>
          <w:szCs w:val="32"/>
        </w:rPr>
        <w:t xml:space="preserve">（北京时间）前递交响应文件。</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一、项目基本情况</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1.项目编号：</w:t>
      </w:r>
      <w:r>
        <w:rPr>
          <w:rFonts w:ascii="仿宋_GB2312" w:hAnsi="仿宋_GB2312" w:eastAsia="仿宋_GB2312" w:cs="仿宋_GB2312"/>
          <w:b/>
          <w:sz w:val="32"/>
          <w:szCs w:val="32"/>
        </w:rPr>
        <w:t xml:space="preserve">JSZC-320500-JZCG-K2026-0239</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2.项目名称：</w:t>
      </w:r>
      <w:bookmarkStart w:id="5" w:name="_GoBack"/>
      <w:r>
        <w:rPr>
          <w:rFonts w:hint="eastAsia" w:ascii="仿宋_GB2312" w:hAnsi="仿宋_GB2312" w:eastAsia="仿宋_GB2312" w:cs="仿宋_GB2312"/>
          <w:sz w:val="32"/>
          <w:szCs w:val="32"/>
        </w:rPr>
        <w:t xml:space="preserve">苏州市政策性农业保险承保机构遴选</w:t>
      </w:r>
      <w:bookmarkEnd w:id="5"/>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3.采购方式：</w:t>
      </w:r>
      <w:r>
        <w:rPr>
          <w:rFonts w:hint="eastAsia" w:ascii="仿宋_GB2312" w:hAnsi="仿宋_GB2312" w:eastAsia="仿宋_GB2312" w:cs="仿宋_GB2312"/>
          <w:sz w:val="32"/>
          <w:szCs w:val="32"/>
        </w:rPr>
        <w:t xml:space="preserve">封闭式框架协议</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4.预算金额：</w:t>
      </w:r>
      <w:r>
        <w:rPr>
          <w:rFonts w:hint="eastAsia" w:ascii="仿宋_GB2312" w:hAnsi="仿宋_GB2312" w:eastAsia="仿宋_GB2312" w:cs="仿宋_GB2312"/>
          <w:sz w:val="32"/>
          <w:szCs w:val="32"/>
        </w:rPr>
        <w:t xml:space="preserve">人民币壹元整（¥1.00）</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5.框架协议期限：</w:t>
      </w:r>
      <w:r>
        <w:rPr>
          <w:rFonts w:hint="eastAsia" w:ascii="仿宋_GB2312" w:hAnsi="仿宋_GB2312" w:eastAsia="仿宋_GB2312" w:cs="仿宋_GB2312"/>
          <w:sz w:val="32"/>
          <w:szCs w:val="32"/>
        </w:rPr>
        <w:t xml:space="preserve">自2027年1月1日起，承保服务期限为3年，理赔服务期限至全部保险合同的保险责任终止。</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6.采购需求：</w:t>
      </w:r>
      <w:r>
        <w:rPr>
          <w:rFonts w:hint="eastAsia" w:ascii="仿宋_GB2312" w:hAnsi="仿宋_GB2312" w:eastAsia="仿宋_GB2312" w:cs="仿宋_GB2312"/>
          <w:sz w:val="32"/>
          <w:szCs w:val="32"/>
        </w:rPr>
        <w:t xml:space="preserve">详见征集文件第四章。</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二、供应商的资格要求</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1.满足《中华人民共和国政府采购法》第二十二条规定；</w:t>
      </w:r>
      <w:r/>
    </w:p>
    <w:p>
      <w:pPr>
        <w:ind w:firstLine="42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供应商应当具备下列条件：</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（1）具有独立承担民事责任的能力；</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（2）具有良好的商业信誉和健全的财务会计制度；</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（3）具有履行合同所必需的设备和专业技术能力；</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（4）有依法缴纳税收和社会保障资金的良好记录；</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（5）参加政府采购活动前三年内，在经营活动中没有重大违法记录；</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（6）法律、行政法规规定的其他条件。</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2.落实政府采购政策需满足的资格要求：</w:t>
      </w:r>
      <w:r>
        <w:rPr>
          <w:rFonts w:hint="eastAsia" w:ascii="仿宋_GB2312" w:hAnsi="仿宋_GB2312" w:eastAsia="仿宋_GB2312" w:cs="仿宋_GB2312"/>
          <w:sz w:val="32"/>
          <w:szCs w:val="32"/>
        </w:rPr>
        <w:t xml:space="preserve">无</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3.本项目的特定资格要求：</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（1）具备保险监督管理机构颁发的保险许可证，且符合农业保险经营条件；</w:t>
      </w:r>
      <w:r/>
    </w:p>
    <w:p>
      <w:pPr>
        <w:pStyle w:val="945"/>
        <w:ind w:left="0"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本项目接受分支机构投标，分支机构参加投标的需提供保险总公司或符合农业保险经营条件的上级公司的授权，保险总公司或符合农业保险经营条件的上级公司和分支机构不能同时参与投标；同一保险总公司或符合农业保险经营条件的上级公司只允许自身或授权一家分支机构参与本项目投标。</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4.联合体及转包、分包：</w:t>
      </w:r>
      <w:r>
        <w:rPr>
          <w:rFonts w:hint="eastAsia" w:ascii="仿宋_GB2312" w:hAnsi="仿宋_GB2312" w:eastAsia="仿宋_GB2312" w:cs="仿宋_GB2312"/>
          <w:sz w:val="32"/>
          <w:szCs w:val="32"/>
        </w:rPr>
        <w:t xml:space="preserve">本项目不接受联合体，不得转包、分包本项目。</w:t>
      </w:r>
      <w:r/>
    </w:p>
    <w:p>
      <w:pPr>
        <w:ind w:firstLine="641"/>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5.拒绝下述供应商参加本次征集活动：</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（1）单位负责人为同一人或者存在直接控股、管理关系的不同供应商，不得参加同一合同项下的政府采购活动。</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w:t>
      </w:r>
      <w:r>
        <w:rPr>
          <w:rFonts w:hint="eastAsia" w:ascii="仿宋_GB2312" w:hAnsi="仿宋_GB2312" w:eastAsia="仿宋_GB2312" w:cs="仿宋_GB2312"/>
          <w:sz w:val="32"/>
          <w:szCs w:val="32"/>
        </w:rPr>
        <w:t xml:space="preserve">对列入失信被执行人、重大税收违法案件当事人名单、政府采购严重违法失信行为记录名单及其他不符合《中华人民共和国政府采购法》第二十二条规定条件的供应商，拒绝其参与政府采购活动。</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三、获取征集文件</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1.时间：</w:t>
      </w:r>
      <w:r>
        <w:rPr>
          <w:rFonts w:hint="eastAsia" w:ascii="仿宋_GB2312" w:hAnsi="仿宋_GB2312" w:eastAsia="仿宋_GB2312" w:cs="仿宋_GB2312"/>
          <w:sz w:val="32"/>
          <w:szCs w:val="32"/>
        </w:rPr>
        <w:t xml:space="preserve">自公告发布之日起5个工作日</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2.地点：</w:t>
      </w:r>
      <w:r>
        <w:rPr>
          <w:rFonts w:hint="eastAsia" w:ascii="仿宋_GB2312" w:hAnsi="仿宋_GB2312" w:eastAsia="仿宋_GB2312" w:cs="仿宋_GB2312"/>
          <w:sz w:val="32"/>
          <w:szCs w:val="32"/>
        </w:rPr>
        <w:t xml:space="preserve">“苏采云”系统自行下载征集文件</w:t>
      </w:r>
      <w:r/>
    </w:p>
    <w:p>
      <w:pPr>
        <w:ind w:firstLine="641"/>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3.方式：</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（1）CA证书办理</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（2）依法获取征集文件</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（3）在系统操作过程中如有疑问，请按以下方式联系：</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注册咨询：13914088964；</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CA技术咨询电话：400-608-6099；</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签章使用问题：025-83633811、025-83633812、15380932027、15371015030；</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系统使用指导与咨询：联系电话：13914088964、0512-69820854；智能客服：登录苏采云系统后，联系系统右下方智能客服图标进行咨询。</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4.售价：</w:t>
      </w:r>
      <w:r>
        <w:rPr>
          <w:rFonts w:hint="eastAsia" w:ascii="仿宋_GB2312" w:hAnsi="仿宋_GB2312" w:eastAsia="仿宋_GB2312" w:cs="仿宋_GB2312"/>
          <w:sz w:val="32"/>
          <w:szCs w:val="32"/>
        </w:rPr>
        <w:t xml:space="preserve">免费</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四、响应文件提交及开启</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1.提交响应文件截止时间：</w:t>
      </w:r>
      <w:r>
        <w:rPr>
          <w:rFonts w:hint="eastAsia" w:ascii="仿宋_GB2312" w:hAnsi="仿宋_GB2312" w:eastAsia="仿宋_GB2312" w:cs="仿宋_GB2312"/>
          <w:sz w:val="32"/>
          <w:szCs w:val="32"/>
        </w:rPr>
        <w:t xml:space="preserve">2026年9月8日9点30分（北京时间）；</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2.开启时间：</w:t>
      </w:r>
      <w:r>
        <w:rPr>
          <w:rFonts w:hint="eastAsia" w:ascii="仿宋_GB2312" w:hAnsi="仿宋_GB2312" w:eastAsia="仿宋_GB2312" w:cs="仿宋_GB2312"/>
          <w:sz w:val="32"/>
          <w:szCs w:val="32"/>
        </w:rPr>
        <w:t xml:space="preserve">2026年9月8日9点30分（北京时间）；</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3.地点：“苏采云”系统</w:t>
      </w:r>
      <w:r>
        <w:rPr>
          <w:rFonts w:hint="eastAsia" w:ascii="仿宋_GB2312" w:hAnsi="仿宋_GB2312" w:eastAsia="仿宋_GB2312" w:cs="仿宋_GB2312"/>
          <w:sz w:val="32"/>
          <w:szCs w:val="32"/>
        </w:rPr>
        <w:t xml:space="preserve">（网址：</w:t>
      </w:r>
      <w:hyperlink r:id="rId13" w:tooltip="http://jszfcg.jsczt.cn/" w:history="1">
        <w:r>
          <w:rPr>
            <w:rFonts w:hint="eastAsia" w:ascii="仿宋_GB2312" w:hAnsi="仿宋_GB2312" w:eastAsia="仿宋_GB2312" w:cs="仿宋_GB2312"/>
            <w:sz w:val="32"/>
            <w:szCs w:val="32"/>
            <w:u w:val="single"/>
          </w:rPr>
          <w:t xml:space="preserve">http://jszfcg.jsczt.cn/</w:t>
        </w:r>
      </w:hyperlink>
      <w:r>
        <w:rPr>
          <w:rFonts w:hint="eastAsia" w:ascii="仿宋_GB2312" w:hAnsi="仿宋_GB2312" w:eastAsia="仿宋_GB2312" w:cs="仿宋_GB2312"/>
          <w:sz w:val="32"/>
          <w:szCs w:val="32"/>
        </w:rPr>
        <w:t xml:space="preserve">）</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4.本项目采用电子招投标形式，</w:t>
      </w:r>
      <w:r>
        <w:rPr>
          <w:rFonts w:hint="eastAsia" w:ascii="仿宋_GB2312" w:hAnsi="仿宋_GB2312" w:eastAsia="仿宋_GB2312" w:cs="仿宋_GB2312"/>
          <w:sz w:val="32"/>
          <w:szCs w:val="32"/>
        </w:rPr>
        <w:t xml:space="preserve">请供应商插入CA 证书登陆“苏采云”系统在线编制电子响应文件，操作步骤详见“苏采云”系统页面提示。电子响应文件制作完成后请于响应文件递交截止时间前上传成功，否则视为放弃参加该采购项目。</w:t>
      </w:r>
      <w:r>
        <w:rPr>
          <w:rFonts w:hint="eastAsia" w:ascii="仿宋_GB2312" w:hAnsi="仿宋_GB2312" w:eastAsia="仿宋_GB2312" w:cs="仿宋_GB2312"/>
          <w:b/>
          <w:sz w:val="32"/>
          <w:szCs w:val="32"/>
        </w:rPr>
        <w:t xml:space="preserve">供应商应充分考虑到网络环境、网络带宽等风险因素，如因供应商自身原因造成的电子响应文件上传不成功由供应商自行承担全部责任。</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5.线上参加开标（开启）会方式：</w:t>
      </w:r>
      <w:r>
        <w:rPr>
          <w:rFonts w:hint="eastAsia" w:ascii="仿宋_GB2312" w:hAnsi="仿宋_GB2312" w:eastAsia="仿宋_GB2312" w:cs="仿宋_GB2312"/>
          <w:sz w:val="32"/>
          <w:szCs w:val="32"/>
        </w:rPr>
        <w:t xml:space="preserve">供应商登录“苏采云”系统在平台首页点击“开标大厅”，进入江苏省政府采购一体化不见面开标（采购）大厅，在今日项目列表，点击项目，进入不见</w:t>
      </w:r>
      <w:r>
        <w:rPr>
          <w:rFonts w:hint="eastAsia" w:ascii="仿宋_GB2312" w:hAnsi="仿宋_GB2312" w:eastAsia="仿宋_GB2312" w:cs="仿宋_GB2312"/>
          <w:sz w:val="32"/>
          <w:szCs w:val="32"/>
        </w:rPr>
        <w:t xml:space="preserve">面开标系统。</w:t>
      </w:r>
      <w:r>
        <w:rPr>
          <w:rFonts w:hint="eastAsia" w:ascii="仿宋_GB2312" w:hAnsi="仿宋_GB2312" w:eastAsia="仿宋_GB2312" w:cs="仿宋_GB2312"/>
          <w:b/>
          <w:sz w:val="32"/>
          <w:szCs w:val="32"/>
        </w:rPr>
        <w:t xml:space="preserve">本项目为不见面交易项目，开启阶段供应商在【供应商解密】环节必须使用 CA证书解密电子响应文件，如在系统规定的解密时间（响应文件提交截止时间后 30 分钟)内未能完成解密的视为放弃参与本项目。</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五、公告期限</w:t>
      </w:r>
      <w:r/>
    </w:p>
    <w:p>
      <w:pPr>
        <w:ind w:firstLine="42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自本公告发布之日起 5 个工作日</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六、其他补充事宜</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政府采购合同信用融资政策告知函</w:t>
            </w:r>
            <w:r/>
          </w:p>
          <w:p>
            <w:pP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各政府采购供应商：</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欢迎贵公司参加苏州市政府采购活动！</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七、对本次征集提出询问，请按以下方式联系</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征集人信息</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名称：苏州市财政局</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地址：苏州三香路998号</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项目联系人：贡先生</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电话：0512-68616639</w:t>
      </w:r>
      <w:r/>
    </w:p>
    <w:p>
      <w:pPr>
        <w:jc w:val="center"/>
        <w:pageBreakBefore/>
        <w:spacing w:line="560" w:lineRule="exact"/>
        <w:rPr>
          <w:rFonts w:ascii="黑体" w:hAnsi="黑体" w:eastAsia="黑体" w:cs="黑体"/>
          <w:bCs/>
          <w:sz w:val="32"/>
          <w:szCs w:val="32"/>
        </w:rPr>
        <w:outlineLvl w:val="0"/>
      </w:pPr>
      <w:r/>
      <w:bookmarkStart w:id="6" w:name="_Toc25840"/>
      <w:r/>
      <w:bookmarkStart w:id="7" w:name="_Toc41641136"/>
      <w:r/>
      <w:bookmarkStart w:id="8" w:name="_Toc74050520"/>
      <w:r/>
      <w:bookmarkStart w:id="9" w:name="_Toc65593808"/>
      <w:r/>
      <w:bookmarkStart w:id="10" w:name="_Toc212815965"/>
      <w:r>
        <w:rPr>
          <w:rFonts w:hint="eastAsia" w:ascii="黑体" w:hAnsi="黑体" w:eastAsia="黑体" w:cs="黑体"/>
          <w:bCs/>
          <w:sz w:val="32"/>
          <w:szCs w:val="32"/>
        </w:rPr>
        <w:t xml:space="preserve">第二章 供应商须知</w:t>
      </w:r>
      <w:bookmarkEnd w:id="6"/>
      <w:r/>
      <w:bookmarkEnd w:id="7"/>
      <w:r/>
      <w:bookmarkEnd w:id="8"/>
      <w:r/>
      <w:bookmarkEnd w:id="9"/>
      <w:r/>
      <w:bookmarkEnd w:id="10"/>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一、总则</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1.采购方式</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1.1本次项目采用封闭式框架协议采购方式，本征集文件仅适用于征集公告中所述项目。</w:t>
      </w:r>
      <w:r/>
    </w:p>
    <w:p>
      <w:pPr>
        <w:ind w:firstLine="640"/>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2.合格的供应商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2.1满足征集公告中供应商资格要求的规定。</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2.2满足本征集文件实质性条款的规定。</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3.适用法律</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3.1本次封闭式框架协议采购活动（以下简称采购活动）及由此产生的框架协议文本和采购合同文本受中华人民共和国有关的法律法规制约和保护。</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4.参加采购活动的费用</w:t>
      </w:r>
      <w:r/>
    </w:p>
    <w:p>
      <w:pPr>
        <w:ind w:firstLine="640"/>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4.1无论采购过程中的做法和结果如何，供应商自行承担所有与参加采购活动有关的全部费用。</w:t>
      </w:r>
      <w:r/>
    </w:p>
    <w:p>
      <w:pPr>
        <w:ind w:firstLine="640"/>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4.2本次采购活动苏州市政府集中采购中心不收取代理服务费。</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二、征集文件</w:t>
      </w:r>
      <w:r/>
    </w:p>
    <w:p>
      <w:pPr>
        <w:ind w:firstLine="641"/>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1.征集文件的说明</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1.1征集文件包括本文件目录所列全部内容及相关补充、澄清和修正文件，供应商应仔细阅读，并在响应文件中充分反映征集文件的所有要求。</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1.2供应商应领取征集文件及有关资料，按征集文件要求提交资料并对征集文件各项内容做出实质性响应，供应商应自行承担责任，并可能导致其响应被拒绝。</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1.3供应商一旦参加本项目，即被认为接受了本征集文件中的所有条件和规定。</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1.4征集文件仅作为本次采购使用。</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2.征集文件的澄清和修正</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2.1在响应文件提交截止时间前无论出于何种原因征集人可对已发出的征集文件用补充通知（包括更正公告）的方式进行澄清或者修改，并通过苏州市政府采购网对外进行发布。澄清或者修改的内容为征集文件的组成部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2.2澄清或者修改的内容可能影响响应文件编制的，可酌情延长响应文件提交截止时间。</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2.3对于补充通知（包括更正公告），报名成功的供应商通过“苏州市政府采购网”的“采购公告”自行查看所报项目的补充通知（包括更正公告）。补充通知（包括更正公告）将作为征集文件的组成部分，对所有供应商有约束力。</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2.4征集文件的澄清、修改、补充等内容均以苏州市政府采购网上发布的内容为准。</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三、响应文件的组成（所有标段通用）</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1.封面</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2.开标一览表</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3.资格审查文件</w:t>
      </w:r>
      <w:r/>
    </w:p>
    <w:p>
      <w:pPr>
        <w:ind w:firstLine="640"/>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3.1合格投标人资格证明材料：</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（1）具有独立承担民事责任的能力证明。包括法人或者其他组织的营业执照等证明文件，自然人的身份证明；</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 xml:space="preserve">根据《&lt;政府采购实施条例&gt;释义》，银行、保险、石油石化、电力、电信等有行业特殊情况的，取得营业执照的分支机构可以以分公司名义参与投标，采购文件中涉及的“法定代表人”在前述特殊行业中即对应为“分支机构负责人”；本项目允许有行业特殊情况的法人分支机构参加投标。如分支机构投标的，同属一个保险集团的，只能由一个分支机构参加，同一保险公司的不同分公司或支（子）公司，不得同时参加本项目投标。</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（2）具有良好的商业信誉和健全的财务会计制度证明</w:t>
      </w:r>
      <w:r>
        <w:rPr>
          <w:rFonts w:hint="eastAsia" w:ascii="仿宋_GB2312" w:hAnsi="仿宋_GB2312" w:eastAsia="仿宋_GB2312" w:cs="仿宋_GB2312"/>
          <w:b/>
          <w:sz w:val="32"/>
          <w:szCs w:val="32"/>
        </w:rPr>
        <w:t xml:space="preserve">（法人应提供最近一期经会计师事务所审计的财务报告，其他组织、自然人及成立未满一年的法人应提供银行出具的资信证明）</w:t>
      </w:r>
      <w:r>
        <w:rPr>
          <w:rFonts w:hint="eastAsia" w:ascii="仿宋_GB2312" w:hAnsi="仿宋_GB2312" w:eastAsia="仿宋_GB2312" w:cs="仿宋_GB2312"/>
          <w:sz w:val="32"/>
          <w:szCs w:val="32"/>
        </w:rPr>
        <w:t xml:space="preserve">；</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（3）具备履行合同所必需的设备和专业技术能力的证明材料或承诺；</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（4）依法缴纳税收和社会保障资金的相关资料</w:t>
      </w:r>
      <w:r>
        <w:rPr>
          <w:rFonts w:hint="eastAsia" w:ascii="仿宋_GB2312" w:hAnsi="仿宋_GB2312" w:eastAsia="仿宋_GB2312" w:cs="仿宋_GB2312"/>
          <w:b/>
          <w:sz w:val="32"/>
          <w:szCs w:val="32"/>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仿宋_GB2312" w:hAnsi="仿宋_GB2312" w:eastAsia="仿宋_GB2312" w:cs="仿宋_GB2312"/>
          <w:sz w:val="32"/>
          <w:szCs w:val="32"/>
        </w:rPr>
        <w:t xml:space="preserve">；</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（5）参加政府采购活动前三年内在经营活动中没有重大违</w:t>
      </w:r>
      <w:r>
        <w:rPr>
          <w:rFonts w:hint="eastAsia" w:ascii="仿宋_GB2312" w:hAnsi="仿宋_GB2312" w:eastAsia="仿宋_GB2312" w:cs="仿宋_GB2312"/>
          <w:sz w:val="32"/>
          <w:szCs w:val="32"/>
        </w:rPr>
        <w:t xml:space="preserve">法记录的书面声明函。</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3.2供应商法定代表人身份证复印件；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3.3法人或者其他组织的营业执照等证明文件复印件；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3.4法定代表人授权委托书（如有授权，格式见第三章）；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3.5供应商代理人身份证复印件（如有授权）；</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3.6本项目的特定资格要求：</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（1）具备保险监督管理机构颁发的保险许可证，且符合农业保险经营条件；</w:t>
      </w:r>
      <w:r/>
    </w:p>
    <w:p>
      <w:pPr>
        <w:ind w:firstLine="641"/>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2）本项目接受分支机构投标，分支机构参加投标的需提供保险总公司或符合农业保险经营条件的上级公司的授权，保险总公司或符合农业保险经营条件的上级公司和分支机构不能同时参与投标；同一保险总公司或符合农业保险经营条件的上级公司只允许自身或授权一家分支机构参与本项目投标。</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3.7其它有关资格证明的文件；</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4、符合性审查文件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4.1响应函（格式见第三章）；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4.2报价一览表（格式见第三章）；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4.3投标分项报价表（格式见第三章）；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4.4服务人员规范用工承诺函（格式见第三章）；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4.5业务联系人配置（格式见第三章）；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4.6报价的合理性说明（格式自拟，自行声明报价未低于经营成本)；</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4.7</w:t>
      </w:r>
      <w:r>
        <w:rPr>
          <w:rFonts w:hint="eastAsia" w:ascii="仿宋_GB2312" w:hAnsi="仿宋_GB2312" w:eastAsia="仿宋_GB2312" w:cs="仿宋_GB2312"/>
          <w:b/>
          <w:sz w:val="32"/>
          <w:szCs w:val="32"/>
        </w:rPr>
        <w:t xml:space="preserve">实质性响应内容（供应商根据采购文件中实质性响应内容制作）</w:t>
      </w:r>
      <w:r>
        <w:rPr>
          <w:rFonts w:hint="eastAsia" w:ascii="仿宋_GB2312" w:hAnsi="仿宋_GB2312" w:eastAsia="仿宋_GB2312" w:cs="仿宋_GB2312"/>
          <w:sz w:val="32"/>
          <w:szCs w:val="32"/>
        </w:rPr>
        <w:t xml:space="preserve">；</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4.8其他有关符合性证明的文件；</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5.</w:t>
      </w:r>
      <w:r>
        <w:rPr>
          <w:rFonts w:hint="eastAsia" w:ascii="仿宋_GB2312" w:hAnsi="仿宋_GB2312" w:eastAsia="仿宋_GB2312" w:cs="仿宋_GB2312"/>
          <w:b/>
          <w:sz w:val="32"/>
          <w:szCs w:val="32"/>
        </w:rPr>
        <w:t xml:space="preserve">综合评审文件（供应商根据评分标准制作）</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6.对属于《节能产品政府采购品目清单》政府强制采购产品的，需提供该产品有效期内的认证等相关证明材料（如有）。</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注：（1）以上3.1-3.7为资格审查要求提供的材料，是作为对供应商资格审查、质疑身份认定的依据，响应供应商必须提供并加盖电子公章。否则，响应文件将被认定为不符合资格审查要求。</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（2）以上4.1-4.8为符合性审查须提供的资料，响应供应商必须提供并加盖电子公章。否则，响应文件将被认定为未实质性响应。</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（3）制作电子响应文件时必须与响应文件制作软件目录一一对应，将相关资料上传至相应模块。</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bCs/>
          <w:sz w:val="32"/>
          <w:szCs w:val="32"/>
        </w:rPr>
        <w:t xml:space="preserve">（4）响应文件编制要求：</w:t>
      </w:r>
      <w:r>
        <w:rPr>
          <w:rFonts w:hint="eastAsia" w:ascii="仿宋_GB2312" w:hAnsi="仿宋_GB2312" w:eastAsia="仿宋_GB2312" w:cs="仿宋_GB2312"/>
          <w:sz w:val="32"/>
          <w:szCs w:val="32"/>
          <w:lang w:val="zh-CN"/>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w:t>
      </w:r>
      <w:r>
        <w:rPr>
          <w:rFonts w:hint="eastAsia" w:ascii="仿宋_GB2312" w:hAnsi="仿宋_GB2312" w:eastAsia="仿宋_GB2312" w:cs="仿宋_GB2312"/>
          <w:b/>
          <w:sz w:val="32"/>
          <w:szCs w:val="32"/>
          <w:lang w:val="zh-CN"/>
        </w:rPr>
        <w:t xml:space="preserve">供应商应充分考虑到网络环境、网络带宽等风险因素，如因供应商自身原因造成的电子响应文件上传不成功由供应商自行承担全部责任。</w:t>
      </w:r>
      <w:r/>
    </w:p>
    <w:p>
      <w:pPr>
        <w:ind w:firstLine="640"/>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sz w:val="32"/>
          <w:szCs w:val="32"/>
          <w:lang w:val="zh-CN"/>
        </w:rPr>
        <w:t xml:space="preserve">（5）在评审过程中如有问题采购代理机构工作人员会及时通过《响应供应商信息确认函》留存的手机号与供应商联系。</w:t>
      </w:r>
      <w:r>
        <w:rPr>
          <w:rFonts w:hint="eastAsia" w:ascii="仿宋_GB2312" w:hAnsi="仿宋_GB2312" w:eastAsia="仿宋_GB2312" w:cs="仿宋_GB2312"/>
          <w:b/>
          <w:sz w:val="32"/>
          <w:szCs w:val="32"/>
          <w:lang w:val="zh-CN"/>
        </w:rPr>
        <w:t xml:space="preserve">请供应商确保该手机号通讯畅通，否则导致的不利后果由供应商自行承担。</w:t>
      </w:r>
      <w:r/>
    </w:p>
    <w:p>
      <w:pPr>
        <w:ind w:firstLine="641"/>
        <w:spacing w:line="560" w:lineRule="exact"/>
        <w:rPr>
          <w:rFonts w:ascii="仿宋_GB2312" w:hAnsi="仿宋_GB2312" w:eastAsia="仿宋_GB2312" w:cs="仿宋_GB2312"/>
          <w:bCs/>
          <w:sz w:val="32"/>
          <w:szCs w:val="32"/>
        </w:rPr>
      </w:pPr>
      <w:r>
        <w:rPr>
          <w:rFonts w:hint="eastAsia" w:ascii="仿宋_GB2312" w:hAnsi="仿宋_GB2312" w:eastAsia="仿宋_GB2312" w:cs="仿宋_GB2312"/>
          <w:b/>
          <w:bCs/>
          <w:sz w:val="32"/>
          <w:szCs w:val="32"/>
        </w:rPr>
        <w:t xml:space="preserve">6.落实政府采购政策需满足的资格要求</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bCs/>
          <w:sz w:val="32"/>
          <w:szCs w:val="32"/>
        </w:rPr>
        <w:t xml:space="preserve">无。</w:t>
      </w:r>
      <w:r/>
    </w:p>
    <w:p>
      <w:pPr>
        <w:ind w:firstLine="641"/>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7.本项目的特定资格要求：</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（1）具备保险监督管理机构颁发的保险许可证，且符合农业保险经营条件；</w:t>
      </w:r>
      <w:r/>
    </w:p>
    <w:p>
      <w:pPr>
        <w:pStyle w:val="945"/>
        <w:ind w:left="0"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本项目接受分支机构投标，分支机构参加投标的需提供保险总公司或符合农业保险经营条件的上级公司的授权，保险总公司或符合农业保险经营条件的上级公司和分支机构不能同时参与投标；同一保险总公司或符合农业保险经营条件的上级公司只允许自身或授权一家分支机构参与本项目投标。</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8.联合体及转包、分包：</w:t>
      </w:r>
      <w:r>
        <w:rPr>
          <w:rFonts w:hint="eastAsia" w:ascii="仿宋_GB2312" w:hAnsi="仿宋_GB2312" w:eastAsia="仿宋_GB2312" w:cs="仿宋_GB2312"/>
          <w:sz w:val="32"/>
          <w:szCs w:val="32"/>
        </w:rPr>
        <w:t xml:space="preserve">本项目不接受联合体，不得转包、分包本项目。</w:t>
      </w:r>
      <w:r/>
    </w:p>
    <w:p>
      <w:pPr>
        <w:ind w:firstLine="640"/>
        <w:spacing w:line="560" w:lineRule="exact"/>
        <w:rPr>
          <w:rFonts w:ascii="楷体_GB2312" w:hAnsi="楷体_GB2312" w:eastAsia="楷体_GB2312" w:cs="楷体_GB2312"/>
          <w:bCs/>
          <w:sz w:val="32"/>
          <w:szCs w:val="32"/>
          <w:lang w:val="zh-CN"/>
        </w:rPr>
      </w:pPr>
      <w:r>
        <w:rPr>
          <w:rFonts w:hint="eastAsia" w:ascii="楷体_GB2312" w:hAnsi="楷体_GB2312" w:eastAsia="楷体_GB2312" w:cs="楷体_GB2312"/>
          <w:bCs/>
          <w:sz w:val="32"/>
          <w:szCs w:val="32"/>
          <w:lang w:val="zh-CN"/>
        </w:rPr>
        <w:t xml:space="preserve">四、响应文件的开启与评审</w:t>
      </w:r>
      <w:r/>
    </w:p>
    <w:p>
      <w:pPr>
        <w:ind w:firstLine="641"/>
        <w:spacing w:line="560" w:lineRule="exact"/>
        <w:rPr>
          <w:rFonts w:ascii="仿宋_GB2312" w:hAnsi="仿宋_GB2312" w:eastAsia="仿宋_GB2312" w:cs="仿宋_GB2312"/>
          <w:b/>
          <w:bCs/>
          <w:sz w:val="32"/>
          <w:szCs w:val="32"/>
          <w:lang w:val="zh-CN"/>
        </w:rPr>
      </w:pPr>
      <w:r>
        <w:rPr>
          <w:rFonts w:hint="eastAsia" w:ascii="仿宋_GB2312" w:hAnsi="仿宋_GB2312" w:eastAsia="仿宋_GB2312" w:cs="仿宋_GB2312"/>
          <w:b/>
          <w:bCs/>
          <w:sz w:val="32"/>
          <w:szCs w:val="32"/>
          <w:lang w:val="zh-CN"/>
        </w:rPr>
        <w:t xml:space="preserve">1.响应文件的开启</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1.1采购代理机构将在征集公告中规定的时间和地点组织开启响应文件。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1.2供应商通过“苏采云”系统在线参加开启活动。供应商应当按照《苏采云系统供应商操作手册》规定在“苏采云”系统规定的时间内对响应文件进行解密。</w:t>
      </w:r>
      <w:r/>
    </w:p>
    <w:p>
      <w:pPr>
        <w:ind w:firstLine="641"/>
        <w:spacing w:line="560" w:lineRule="exact"/>
        <w:rPr>
          <w:rFonts w:ascii="仿宋_GB2312" w:hAnsi="仿宋_GB2312" w:eastAsia="仿宋_GB2312" w:cs="仿宋_GB2312"/>
          <w:b/>
          <w:bCs/>
          <w:sz w:val="32"/>
          <w:szCs w:val="32"/>
          <w:lang w:val="zh-CN"/>
        </w:rPr>
      </w:pPr>
      <w:r>
        <w:rPr>
          <w:rFonts w:hint="eastAsia" w:ascii="仿宋_GB2312" w:hAnsi="仿宋_GB2312" w:eastAsia="仿宋_GB2312" w:cs="仿宋_GB2312"/>
          <w:b/>
          <w:bCs/>
          <w:sz w:val="32"/>
          <w:szCs w:val="32"/>
          <w:lang w:val="zh-CN"/>
        </w:rPr>
        <w:t xml:space="preserve">2.响应文件的评审</w:t>
      </w:r>
      <w:r/>
    </w:p>
    <w:p>
      <w:pPr>
        <w:ind w:firstLine="640"/>
        <w:spacing w:line="560" w:lineRule="exact"/>
        <w:rPr>
          <w:rFonts w:ascii="仿宋_GB2312" w:hAnsi="仿宋_GB2312" w:eastAsia="仿宋_GB2312" w:cs="仿宋_GB2312"/>
          <w:bCs/>
          <w:sz w:val="32"/>
          <w:szCs w:val="32"/>
          <w:lang w:val="zh-CN"/>
        </w:rPr>
      </w:pPr>
      <w:r>
        <w:rPr>
          <w:rFonts w:hint="eastAsia" w:ascii="仿宋_GB2312" w:hAnsi="仿宋_GB2312" w:eastAsia="仿宋_GB2312" w:cs="仿宋_GB2312"/>
          <w:bCs/>
          <w:sz w:val="32"/>
          <w:szCs w:val="32"/>
          <w:lang w:val="zh-CN"/>
        </w:rPr>
        <w:t xml:space="preserve">2.1响应文件开启后，采购代理机构将立即组织评审小组进行项目评审。</w:t>
      </w:r>
      <w:r/>
    </w:p>
    <w:p>
      <w:pPr>
        <w:ind w:firstLine="640"/>
        <w:spacing w:line="560" w:lineRule="exact"/>
        <w:rPr>
          <w:rFonts w:ascii="仿宋_GB2312" w:hAnsi="仿宋_GB2312" w:eastAsia="仿宋_GB2312" w:cs="仿宋_GB2312"/>
          <w:bCs/>
          <w:sz w:val="32"/>
          <w:szCs w:val="32"/>
          <w:lang w:val="zh-CN"/>
        </w:rPr>
      </w:pPr>
      <w:r>
        <w:rPr>
          <w:rFonts w:hint="eastAsia" w:ascii="仿宋_GB2312" w:hAnsi="仿宋_GB2312" w:eastAsia="仿宋_GB2312" w:cs="仿宋_GB2312"/>
          <w:sz w:val="32"/>
          <w:szCs w:val="32"/>
        </w:rPr>
        <w:t xml:space="preserve">2.2采购代理机构组织评审小</w:t>
      </w:r>
      <w:r>
        <w:rPr>
          <w:rFonts w:hint="eastAsia" w:ascii="仿宋_GB2312" w:hAnsi="仿宋_GB2312" w:eastAsia="仿宋_GB2312" w:cs="仿宋_GB2312"/>
          <w:bCs/>
          <w:sz w:val="32"/>
          <w:szCs w:val="32"/>
          <w:lang w:val="zh-CN"/>
        </w:rPr>
        <w:t xml:space="preserve">组对供应商递交的响应文件进行资格审查和符合性审查。</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2.3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640"/>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sz w:val="32"/>
          <w:szCs w:val="32"/>
          <w:lang w:val="zh-CN"/>
        </w:rPr>
        <w:t xml:space="preserve">2.4评审小组要求供应商澄清、说明或者更正响应文件应当以书面形式做出。供应商的澄清、说明或者更正应当由法定代表人或其授权代表签字或者加盖公章。</w:t>
      </w:r>
      <w:r>
        <w:rPr>
          <w:rFonts w:hint="eastAsia" w:ascii="仿宋_GB2312" w:hAnsi="仿宋_GB2312" w:eastAsia="仿宋_GB2312" w:cs="仿宋_GB2312"/>
          <w:b/>
          <w:sz w:val="32"/>
          <w:szCs w:val="32"/>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2.5响应文件报价出现前后不一致的，除征集文件另有规定外，按照下列规定修正：</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2.5.1响应文件中开标一览表内容与响应文件中相应内容不一致的，以开标一览表为准；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2.5.2大写金额和小写金额不一致的，以大写金额为准；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2.5.3单价金额小数点或者百分比有明显错位的，以开标一览表的总价为准，并修改单价；</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2.5.4总价金额与按单价汇总金额不一致的，以单价金额计算结果为准。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同时出现两种以上不一致的，按照前款规定的顺序修正。修正后的报价按照征集文件规定经供应商确认后产生约束力，供应商不确认的，其响应无效。</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2.6异常低价响应审查</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2.6.1评审过程中出现下列情形之一的，评审小组应当启动异常低价响应审查程序：</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（1）响应报价低于全部通过符合性审查供应商投标报价平均值50%的，即投标报价&lt;全部通过符合性审查供应商投标报价平均值×50%；</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（2）响应报价低于通过符合性审查的次低报价供应商投标报价50%的，即投标报价&lt;通过符合性审查的次低报价供应商投标报价×50%；</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（3）响应报价低于采购项目最高限价45%的，即投标报价&lt;采购项目最高限价×45%；</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（4）评审小组基于专业判断，认为供应商报价过低，有可</w:t>
      </w:r>
      <w:r>
        <w:rPr>
          <w:rFonts w:hint="eastAsia" w:ascii="仿宋_GB2312" w:hAnsi="仿宋_GB2312" w:eastAsia="仿宋_GB2312" w:cs="仿宋_GB2312"/>
          <w:b/>
          <w:sz w:val="32"/>
          <w:szCs w:val="32"/>
          <w:lang w:val="zh-CN"/>
        </w:rPr>
        <w:t xml:space="preserve">能影响产品质量或者不能诚信履约的其他情形。</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2.6.2启动异常低价响应审查后，评审小组应当要求相关供应商在评审现场合理的时间内，提供项目具体成本测算等与报价合理性相关的书面说明及相关证明材料，对响应价格作出解释，由评审小组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审查相关情况应当在评审报告中进行记录。</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2.7评审小组根据成交原则确定入围供应商，并将结果通知所有参加采购活动未入围的供应商。</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2.8</w:t>
      </w:r>
      <w:r>
        <w:rPr>
          <w:rFonts w:hint="eastAsia" w:ascii="仿宋_GB2312" w:hAnsi="仿宋_GB2312" w:eastAsia="仿宋_GB2312" w:cs="仿宋_GB2312"/>
          <w:sz w:val="32"/>
          <w:szCs w:val="32"/>
          <w:lang w:val="zh-CN"/>
        </w:rPr>
        <w:t xml:space="preserve">如审核过程中出现本征集文件未尽事宜，由评审小组根据有关法律、法规讨论决定。</w:t>
      </w:r>
      <w:r/>
    </w:p>
    <w:p>
      <w:pPr>
        <w:ind w:firstLine="641"/>
        <w:spacing w:line="560" w:lineRule="exact"/>
        <w:rPr>
          <w:rFonts w:ascii="仿宋_GB2312" w:hAnsi="仿宋_GB2312" w:eastAsia="仿宋_GB2312" w:cs="仿宋_GB2312"/>
          <w:b/>
          <w:bCs/>
          <w:sz w:val="32"/>
          <w:szCs w:val="32"/>
          <w:lang w:val="zh-CN"/>
        </w:rPr>
      </w:pPr>
      <w:r>
        <w:rPr>
          <w:rFonts w:hint="eastAsia" w:ascii="仿宋_GB2312" w:hAnsi="仿宋_GB2312" w:eastAsia="仿宋_GB2312" w:cs="仿宋_GB2312"/>
          <w:b/>
          <w:bCs/>
          <w:sz w:val="32"/>
          <w:szCs w:val="32"/>
          <w:lang w:val="zh-CN"/>
        </w:rPr>
        <w:t xml:space="preserve">3.响应文件无效的情形</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出现下列情形之一的，供应商的响应文件无效：</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3.1供应商在苏采云系统规定的时间内未成功解密电子响应文件的；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3.2供应商不具备征集文件中规定的资格要求的；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3.3报价超过征集文件中规定的预算金额或者最高限价的；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3.4响应文件未按征集文件要求签署、盖章的；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3.5响应文件含有征集人不能接受的附加条件的；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3.6机器码检查中，出现不同供应商响应文件机器码一致情</w:t>
      </w:r>
      <w:r>
        <w:rPr>
          <w:rFonts w:hint="eastAsia" w:ascii="仿宋_GB2312" w:hAnsi="仿宋_GB2312" w:eastAsia="仿宋_GB2312" w:cs="仿宋_GB2312"/>
          <w:sz w:val="32"/>
          <w:szCs w:val="32"/>
        </w:rPr>
        <w:t xml:space="preserve">形的；</w:t>
      </w:r>
      <w:r/>
    </w:p>
    <w:p>
      <w:pPr>
        <w:ind w:firstLine="640"/>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sz w:val="32"/>
          <w:szCs w:val="32"/>
        </w:rPr>
        <w:t xml:space="preserve">3.7不符合国家法律法规及征集文件中规定的其他实质性要求的。</w:t>
      </w:r>
      <w:r/>
    </w:p>
    <w:p>
      <w:pPr>
        <w:ind w:firstLine="640"/>
        <w:spacing w:line="560" w:lineRule="exact"/>
        <w:rPr>
          <w:rFonts w:ascii="楷体_GB2312" w:hAnsi="楷体_GB2312" w:eastAsia="楷体_GB2312" w:cs="楷体_GB2312"/>
          <w:bCs/>
          <w:sz w:val="32"/>
          <w:szCs w:val="32"/>
          <w:lang w:val="zh-CN"/>
        </w:rPr>
      </w:pPr>
      <w:r>
        <w:rPr>
          <w:rFonts w:hint="eastAsia" w:ascii="楷体_GB2312" w:hAnsi="楷体_GB2312" w:eastAsia="楷体_GB2312" w:cs="楷体_GB2312"/>
          <w:bCs/>
          <w:sz w:val="32"/>
          <w:szCs w:val="32"/>
          <w:lang w:val="zh-CN"/>
        </w:rPr>
        <w:t xml:space="preserve">五、质疑</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2.本次采购文件要求供应商在法定质疑期内一次性提出针对同一采购程序环节的质疑，否则不予受理。</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3.供应商提出质疑应当提交质疑函和必要的证明材料，质疑函应当包括下列内容：</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3.1供应商的姓名或者名称（以提供的营业执照副本复印件为准）、地址、邮编、联系人及联系电话；</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3.2质疑项目的名称、编号；</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3.3具体、明确的质疑事项和与质疑事项相关的请求；</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3.4事实依据；</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3.1必要的法律依据；</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3.1提出质疑的日期。</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仿宋_GB2312" w:hAnsi="仿宋_GB2312" w:eastAsia="仿宋_GB2312" w:cs="仿宋_GB2312"/>
          <w:b/>
          <w:sz w:val="32"/>
          <w:szCs w:val="32"/>
          <w:lang w:val="zh-CN"/>
        </w:rPr>
        <w:t xml:space="preserve">授权</w:t>
      </w:r>
      <w:r>
        <w:rPr>
          <w:rFonts w:hint="eastAsia" w:ascii="仿宋_GB2312" w:hAnsi="仿宋_GB2312" w:eastAsia="仿宋_GB2312" w:cs="仿宋_GB2312"/>
          <w:b/>
          <w:sz w:val="32"/>
          <w:szCs w:val="32"/>
          <w:lang w:val="zh-CN"/>
        </w:rPr>
        <w:t xml:space="preserve">委托书</w:t>
      </w:r>
      <w:r>
        <w:rPr>
          <w:rFonts w:hint="eastAsia" w:ascii="仿宋_GB2312" w:hAnsi="仿宋_GB2312" w:eastAsia="仿宋_GB2312" w:cs="仿宋_GB2312"/>
          <w:sz w:val="32"/>
          <w:szCs w:val="32"/>
          <w:lang w:val="zh-CN"/>
        </w:rPr>
        <w:t xml:space="preserve">上应当载明代理人的姓名或者名称、代理事项、具体权限、期限和相关事项。</w:t>
      </w:r>
      <w:r/>
    </w:p>
    <w:p>
      <w:pPr>
        <w:ind w:firstLine="641"/>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b/>
          <w:sz w:val="32"/>
          <w:szCs w:val="32"/>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仿宋_GB2312" w:hAnsi="仿宋_GB2312" w:eastAsia="仿宋_GB2312" w:cs="仿宋_GB2312"/>
          <w:sz w:val="32"/>
          <w:szCs w:val="32"/>
          <w:lang w:val="zh-CN"/>
        </w:rPr>
        <w:t xml:space="preserve">。</w:t>
      </w:r>
      <w:r/>
    </w:p>
    <w:p>
      <w:pPr>
        <w:ind w:firstLine="640"/>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sz w:val="32"/>
          <w:szCs w:val="32"/>
          <w:lang w:val="zh-CN"/>
        </w:rPr>
        <w:t xml:space="preserve">4.</w:t>
      </w:r>
      <w:r>
        <w:rPr>
          <w:rFonts w:hint="eastAsia"/>
        </w:rPr>
        <w:t xml:space="preserve"> </w:t>
      </w:r>
      <w:r>
        <w:rPr>
          <w:rFonts w:hint="eastAsia" w:ascii="仿宋_GB2312" w:hAnsi="仿宋_GB2312" w:eastAsia="仿宋_GB2312" w:cs="仿宋_GB2312"/>
          <w:sz w:val="32"/>
          <w:szCs w:val="32"/>
          <w:lang w:val="zh-CN"/>
        </w:rPr>
        <w:t xml:space="preserve">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仿宋_GB2312" w:hAnsi="仿宋_GB2312" w:eastAsia="仿宋_GB2312" w:cs="仿宋_GB2312"/>
          <w:b/>
          <w:sz w:val="32"/>
          <w:szCs w:val="32"/>
          <w:lang w:val="zh-CN"/>
        </w:rPr>
        <w:t xml:space="preserve">请将合法获取招标文件的证明材料（即《投标供应商确认函》）、供应商营业执照复印件、法定代表人身份证正反面复印件、授权代表身份证正反面复印件（如有）、授权委托书（如有）与质疑函一起递交，否则不予受理</w:t>
      </w:r>
      <w:r>
        <w:rPr>
          <w:rFonts w:hint="eastAsia" w:ascii="仿宋_GB2312" w:hAnsi="仿宋_GB2312" w:eastAsia="仿宋_GB2312" w:cs="仿宋_GB2312"/>
          <w:sz w:val="32"/>
          <w:szCs w:val="32"/>
          <w:lang w:val="zh-CN"/>
        </w:rPr>
        <w:t xml:space="preserve">。</w:t>
      </w:r>
      <w:r/>
    </w:p>
    <w:p>
      <w:pPr>
        <w:pStyle w:val="945"/>
        <w:ind w:left="0"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 xml:space="preserve">5.</w:t>
      </w:r>
      <w:r>
        <w:rPr>
          <w:rFonts w:hint="eastAsia" w:ascii="仿宋_GB2312" w:hAnsi="仿宋_GB2312" w:eastAsia="仿宋_GB2312" w:cs="仿宋_GB2312"/>
          <w:sz w:val="32"/>
          <w:szCs w:val="32"/>
        </w:rPr>
        <w:t xml:space="preserve">接收质疑函的方式：书面形式（当场送达或邮寄方式）。</w:t>
      </w:r>
      <w:r/>
    </w:p>
    <w:p>
      <w:pPr>
        <w:pStyle w:val="945"/>
        <w:ind w:left="0" w:firstLine="640"/>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质疑联系人：金工</w:t>
      </w:r>
      <w:r/>
    </w:p>
    <w:p>
      <w:pPr>
        <w:pStyle w:val="945"/>
        <w:ind w:left="0" w:firstLine="640"/>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联系电话：0512-69826795</w:t>
      </w:r>
      <w:r/>
    </w:p>
    <w:p>
      <w:pPr>
        <w:pStyle w:val="945"/>
        <w:ind w:left="638" w:firstLine="0"/>
        <w:spacing w:line="560" w:lineRule="exact"/>
        <w:rPr>
          <w:rFonts w:ascii="仿宋_GB2312" w:hAnsi="仿宋_GB2312" w:eastAsia="仿宋_GB2312" w:cs="仿宋_GB2312"/>
          <w:b/>
          <w:sz w:val="32"/>
          <w:szCs w:val="32"/>
        </w:rPr>
      </w:pPr>
      <w:r>
        <w:rPr>
          <w:rFonts w:hint="eastAsia" w:ascii="仿宋_GB2312" w:hAnsi="仿宋_GB2312" w:eastAsia="仿宋_GB2312" w:cs="仿宋_GB2312"/>
          <w:bCs/>
          <w:sz w:val="32"/>
          <w:szCs w:val="32"/>
        </w:rPr>
        <w:t xml:space="preserve">联系地址：苏州高新区邓尉路105号狮山科技馆7楼717室</w:t>
      </w:r>
      <w:r>
        <w:rPr>
          <w:rFonts w:hint="eastAsia" w:ascii="楷体_GB2312" w:hAnsi="楷体_GB2312" w:eastAsia="楷体_GB2312" w:cs="楷体_GB2312"/>
          <w:bCs/>
          <w:sz w:val="32"/>
          <w:szCs w:val="32"/>
        </w:rPr>
        <w:t xml:space="preserve">六、项目的终止</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 xml:space="preserve">出现下列情形之一的，征集人将发布项目终止公告并说明原因，重新开展采购活动：</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1.出现影响采购公正的违法、违规行为的；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2.因重大变故，采购任务取消的；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3.提交响应文件和通过资格审查、符合性审查的供应商数量少于2家。</w:t>
      </w:r>
      <w:r/>
    </w:p>
    <w:p>
      <w:pPr>
        <w:ind w:firstLine="640"/>
        <w:spacing w:line="560" w:lineRule="exact"/>
        <w:rPr>
          <w:rFonts w:ascii="楷体_GB2312" w:hAnsi="楷体_GB2312" w:eastAsia="楷体_GB2312" w:cs="楷体_GB2312"/>
          <w:bCs/>
          <w:sz w:val="32"/>
          <w:szCs w:val="32"/>
        </w:rPr>
      </w:pPr>
      <w:r/>
      <w:bookmarkStart w:id="11" w:name="_Toc436599782"/>
      <w:r/>
      <w:bookmarkStart w:id="12" w:name="_Toc453509220"/>
      <w:r>
        <w:rPr>
          <w:rFonts w:hint="eastAsia" w:ascii="楷体_GB2312" w:hAnsi="楷体_GB2312" w:eastAsia="楷体_GB2312" w:cs="楷体_GB2312"/>
          <w:bCs/>
          <w:sz w:val="32"/>
          <w:szCs w:val="32"/>
        </w:rPr>
        <w:t xml:space="preserve">七、确定</w:t>
      </w:r>
      <w:bookmarkEnd w:id="11"/>
      <w:r/>
      <w:bookmarkEnd w:id="12"/>
      <w:r>
        <w:rPr>
          <w:rFonts w:hint="eastAsia" w:ascii="楷体_GB2312" w:hAnsi="楷体_GB2312" w:eastAsia="楷体_GB2312" w:cs="楷体_GB2312"/>
          <w:bCs/>
          <w:sz w:val="32"/>
          <w:szCs w:val="32"/>
        </w:rPr>
        <w:t xml:space="preserve">入围供应商</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1.确定入围供应商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确定第一阶段、第二阶段入围供应商选取原则及标准，详见第六章。</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2.入围结果公告</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征集人应当自入围供应商确定之日起2个工作日内，在相关媒体上公告入围结果，入围通知书将同时发出，入围结果公告期限为1个工作日。</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3.入围通知书</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4.框架协议的签订</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4.1征集人在入围通知书发出之日起30日内和入围供应商</w:t>
      </w:r>
      <w:r>
        <w:rPr>
          <w:rFonts w:hint="eastAsia" w:ascii="仿宋_GB2312" w:hAnsi="仿宋_GB2312" w:eastAsia="仿宋_GB2312" w:cs="仿宋_GB2312"/>
          <w:sz w:val="32"/>
          <w:szCs w:val="32"/>
        </w:rPr>
        <w:t xml:space="preserve">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4.2征集公告、入围供应商的响应文件及评审过程中有关澄清、承诺文件均应作为框架协议的附件。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4.3入围供应商非因不可抗力未履行征集公告、响应文件和合同规定的义务，一经查实，征集人将根据具体情况提请市政府采购监督管理部门作出相应处理。</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5.入围的取消和协议的解除</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根据中华人民共和国财政部令第110号《政府采购框架协议采购方式管理暂行办法》</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第十九条入围供应商有下列情形之一，尚未签订框架协议的，取消其入围资格；已经签订框架协议的，解除与其签订的框架协议：</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（一）恶意串通谋取入围或者合同成交的；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（二）提供虚假材料谋取入围或者合同成交的；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（三）无正当理由拒不接受合同授予的；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（四）不履行合同义务或者履行合同义务不符合约定，经采购人请求履行后仍不履行或者仍未按约定履行的；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（五）框架协议有效期内，因违法行为被禁止或限制参加政府采购活动的；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（六）框架协议约定的其他情形（即未按要求与）。</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被取消入围资格或者被解除框架协议的供应商不得参加同一封闭式框架协议补充征集，或者重新申请加入同一开放式框架协议。</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八、用户反馈和评价机制</w:t>
      </w:r>
      <w:r/>
    </w:p>
    <w:p>
      <w:pPr>
        <w:ind w:firstLine="640"/>
        <w:spacing w:line="560" w:lineRule="exact"/>
        <w:rPr>
          <w:rFonts w:ascii="仿宋_GB2312" w:hAnsi="仿宋_GB2312" w:eastAsia="仿宋_GB2312" w:cs="仿宋_GB2312"/>
          <w:color w:val="ff0000"/>
          <w:sz w:val="32"/>
          <w:szCs w:val="32"/>
        </w:rPr>
      </w:pPr>
      <w:r>
        <w:rPr>
          <w:rFonts w:hint="eastAsia" w:ascii="仿宋_GB2312" w:hAnsi="仿宋_GB2312" w:eastAsia="仿宋_GB2312" w:cs="仿宋_GB2312"/>
          <w:sz w:val="32"/>
          <w:szCs w:val="32"/>
        </w:rPr>
        <w:t xml:space="preserve">1.征集人将建立用户反馈和评价机制，接受采购人和服务对象对入围供应商履行框架协议和采购合同情况的反馈与评价。</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2.入围供应商按照框架协议约定接受征集人合同授予，并履行采购合同。</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九、入围供应商的清退和补充规则</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1.清退规则</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入围供应商有下列情形之一，尚未签订框架协议的，取消其入围资格；已经签订框架协议的，解除与其签订的框架协议：</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（1）恶意串通谋取入围或者合同成交的；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（2）提供虚假材料谋取入围或者合同成交的；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（3）无正当理由拒不接受合同授予的；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（4）不履行合同义务或者履行合同义务不符合约定，经采购人请求履行后仍不履行或者仍未按约定履行的；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（5）框架协议有效期内，因违法行为被禁止或限制参加政府采购活动的；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（6）框架协议约定的其他情形。</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被取消入围资格或者被解除框架协议的供应商不得参加同一封闭式框架协议补充征集，或者重新申请加入同一开放式框架协议。供应商有上述第（1）至（3）项情形之一的，依照政府采购法等有关法律、行政法规处理，其他按相关规定处理。</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2.补充规则</w:t>
      </w:r>
      <w:r/>
    </w:p>
    <w:p>
      <w:pPr>
        <w:ind w:firstLine="640"/>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如出现剩余入围供应商不足入围供应商总数80%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十、确定第二阶段成交供应商的方式</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确定第二阶段成交供应商的方式采用按得分高低直接选定服务供应商。</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lang w:val="zh-CN"/>
        </w:rPr>
        <w:t xml:space="preserve">十一、</w:t>
      </w:r>
      <w:r>
        <w:rPr>
          <w:rFonts w:hint="eastAsia" w:ascii="楷体_GB2312" w:hAnsi="楷体_GB2312" w:eastAsia="楷体_GB2312" w:cs="楷体_GB2312"/>
          <w:bCs/>
          <w:sz w:val="32"/>
          <w:szCs w:val="32"/>
        </w:rPr>
        <w:t xml:space="preserve">未尽事宜</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按《中华人民共和国政府采购法》及其他有关的法律法规的规定执行。</w:t>
      </w:r>
      <w:r/>
    </w:p>
    <w:p>
      <w:pPr>
        <w:jc w:val="center"/>
        <w:pageBreakBefore/>
        <w:spacing w:line="560" w:lineRule="exact"/>
        <w:rPr>
          <w:rFonts w:ascii="黑体" w:hAnsi="黑体" w:eastAsia="黑体" w:cs="黑体"/>
          <w:bCs/>
          <w:sz w:val="32"/>
          <w:szCs w:val="32"/>
        </w:rPr>
        <w:outlineLvl w:val="0"/>
      </w:pPr>
      <w:r/>
      <w:bookmarkStart w:id="13" w:name="_Toc385"/>
      <w:r/>
      <w:bookmarkStart w:id="14" w:name="_Toc65593809"/>
      <w:r/>
      <w:bookmarkStart w:id="15" w:name="_Toc74050521"/>
      <w:r/>
      <w:bookmarkStart w:id="16" w:name="_Toc41641137"/>
      <w:r/>
      <w:bookmarkStart w:id="17" w:name="_Toc212815966"/>
      <w:r>
        <w:rPr>
          <w:rFonts w:hint="eastAsia" w:ascii="黑体" w:hAnsi="黑体" w:eastAsia="黑体" w:cs="黑体"/>
          <w:bCs/>
          <w:sz w:val="32"/>
          <w:szCs w:val="32"/>
        </w:rPr>
        <w:t xml:space="preserve">第三章 响应文件格式</w:t>
      </w:r>
      <w:bookmarkEnd w:id="13"/>
      <w:r/>
      <w:bookmarkEnd w:id="14"/>
      <w:r/>
      <w:bookmarkEnd w:id="15"/>
      <w:r/>
      <w:bookmarkEnd w:id="16"/>
      <w:r/>
      <w:bookmarkEnd w:id="17"/>
      <w:r/>
      <w:r/>
    </w:p>
    <w:p>
      <w:pPr>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说明：</w:t>
      </w:r>
      <w:r/>
    </w:p>
    <w:p>
      <w:pPr>
        <w:ind w:firstLine="490"/>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对本章所有的格式，供应商可根据自身情况进行补充和修改，但补充和修改不得造成与本格式内容有实质性的违背。</w:t>
      </w:r>
      <w:r/>
    </w:p>
    <w:p>
      <w:pPr>
        <w:ind w:firstLine="490"/>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outlineLvl w:val="1"/>
      </w:pPr>
      <w:r/>
      <w:bookmarkStart w:id="18" w:name="_Toc180678073"/>
      <w:r/>
      <w:bookmarkStart w:id="19" w:name="_Toc150436635"/>
      <w:r/>
      <w:bookmarkStart w:id="20" w:name="_Toc212815967"/>
      <w:r/>
      <w:bookmarkStart w:id="21" w:name="_Toc141368801"/>
      <w:r>
        <w:rPr>
          <w:rFonts w:hint="eastAsia" w:ascii="仿宋_GB2312" w:hAnsi="仿宋_GB2312" w:eastAsia="仿宋_GB2312" w:cs="仿宋_GB2312"/>
          <w:b/>
          <w:sz w:val="32"/>
          <w:szCs w:val="32"/>
        </w:rPr>
        <w:t xml:space="preserve">附件1  报价一览表</w:t>
      </w:r>
      <w:bookmarkEnd w:id="18"/>
      <w:r/>
      <w:bookmarkEnd w:id="19"/>
      <w:r/>
      <w:bookmarkEnd w:id="20"/>
      <w:r/>
      <w:bookmarkEnd w:id="21"/>
      <w:r/>
      <w:r/>
    </w:p>
    <w:p>
      <w:pPr>
        <w:ind w:firstLine="482"/>
        <w:spacing w:line="560" w:lineRule="exact"/>
        <w:rPr>
          <w:rFonts w:ascii="仿宋_GB2312" w:hAnsi="仿宋_GB2312" w:eastAsia="仿宋_GB2312" w:cs="仿宋_GB2312"/>
          <w:sz w:val="32"/>
          <w:szCs w:val="32"/>
        </w:rPr>
      </w:pPr>
      <w:r/>
      <w:bookmarkStart w:id="22" w:name="_Toc74050548"/>
      <w:r/>
      <w:bookmarkStart w:id="23" w:name="_Toc65593817"/>
      <w:r>
        <w:rPr>
          <w:rFonts w:hint="eastAsia" w:ascii="仿宋_GB2312" w:hAnsi="仿宋_GB2312" w:eastAsia="仿宋_GB2312" w:cs="仿宋_GB2312"/>
          <w:sz w:val="32"/>
          <w:szCs w:val="32"/>
        </w:rPr>
        <w:t xml:space="preserve">供应商全称（加盖公章）：</w:t>
      </w:r>
      <w:r/>
    </w:p>
    <w:p>
      <w:pPr>
        <w:ind w:firstLine="482"/>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项目编号：</w:t>
      </w:r>
      <w:r/>
    </w:p>
    <w:p>
      <w:pPr>
        <w:ind w:firstLine="482"/>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采购包号：</w:t>
      </w:r>
      <w:r/>
    </w:p>
    <w:tbl>
      <w:tblPr>
        <w:tblStyle w:val="965"/>
        <w:tblW w:w="8866" w:type="dxa"/>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1"/>
        <w:gridCol w:w="6635"/>
      </w:tblGrid>
      <w:tr>
        <w:trPr>
          <w:trHeight w:val="10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jc w:val="center"/>
              <w:spacing w:line="560" w:lineRule="exact"/>
              <w:widowControl/>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jc w:val="center"/>
              <w:spacing w:line="560" w:lineRule="exact"/>
              <w:widowControl/>
              <w:tabs>
                <w:tab w:val="left" w:pos="3095" w:leader="none"/>
              </w:tabs>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综合报价</w:t>
            </w:r>
            <w:r/>
          </w:p>
        </w:tc>
      </w:tr>
      <w:tr>
        <w:trPr>
          <w:trHeight w:val="1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firstLine="420"/>
              <w:spacing w:line="560" w:lineRule="exact"/>
              <w:widowControl/>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sz w:val="32"/>
                <w:szCs w:val="3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jc w:val="left"/>
              <w:spacing w:line="560" w:lineRule="exact"/>
              <w:widowControl/>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sz w:val="32"/>
                <w:szCs w:val="32"/>
              </w:rPr>
            </w:r>
            <w:r/>
          </w:p>
        </w:tc>
      </w:tr>
    </w:tbl>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备注：</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1.本项目价格不列为评审因素。</w:t>
      </w:r>
      <w:r/>
    </w:p>
    <w:p>
      <w:pPr>
        <w:ind w:firstLine="641"/>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2.综合报价直接填写</w:t>
      </w:r>
      <w:r>
        <w:rPr>
          <w:rFonts w:hint="eastAsia" w:ascii="仿宋_GB2312" w:hAnsi="仿宋_GB2312" w:eastAsia="仿宋_GB2312" w:cs="仿宋_GB2312"/>
          <w:b/>
          <w:sz w:val="32"/>
          <w:szCs w:val="32"/>
        </w:rPr>
        <w:t xml:space="preserve">预算</w:t>
      </w:r>
      <w:r>
        <w:rPr>
          <w:rFonts w:hint="eastAsia" w:ascii="仿宋_GB2312" w:hAnsi="仿宋_GB2312" w:eastAsia="仿宋_GB2312" w:cs="仿宋_GB2312"/>
          <w:b/>
          <w:sz w:val="32"/>
          <w:szCs w:val="32"/>
          <w:lang w:val="zh-CN"/>
        </w:rPr>
        <w:t xml:space="preserve">金额，否则视为无效投标响应。</w:t>
      </w:r>
      <w:r/>
    </w:p>
    <w:p>
      <w:pPr>
        <w:spacing w:line="560" w:lineRule="exact"/>
        <w:rPr>
          <w:rFonts w:ascii="仿宋_GB2312" w:hAnsi="仿宋_GB2312" w:eastAsia="仿宋_GB2312" w:cs="仿宋_GB2312"/>
          <w:b/>
          <w:sz w:val="32"/>
          <w:szCs w:val="32"/>
        </w:rPr>
      </w:pPr>
      <w:r/>
      <w:bookmarkStart w:id="24" w:name="_Toc180678074"/>
      <w:r/>
      <w:bookmarkStart w:id="25" w:name="_Toc141368803"/>
      <w:r/>
      <w:bookmarkStart w:id="26" w:name="_Toc150436637"/>
      <w:r>
        <w:rPr>
          <w:rFonts w:hint="eastAsia" w:ascii="仿宋_GB2312" w:hAnsi="仿宋_GB2312" w:eastAsia="仿宋_GB2312" w:cs="仿宋_GB2312"/>
          <w:b/>
          <w:sz w:val="32"/>
          <w:szCs w:val="32"/>
        </w:rPr>
        <w:br w:type="page" w:clear="all"/>
      </w:r>
      <w:r/>
    </w:p>
    <w:p>
      <w:pPr>
        <w:jc w:val="left"/>
        <w:spacing w:line="560" w:lineRule="exact"/>
        <w:rPr>
          <w:rFonts w:ascii="仿宋_GB2312" w:hAnsi="仿宋_GB2312" w:eastAsia="仿宋_GB2312" w:cs="仿宋_GB2312"/>
          <w:b/>
          <w:sz w:val="32"/>
          <w:szCs w:val="32"/>
        </w:rPr>
        <w:outlineLvl w:val="1"/>
      </w:pPr>
      <w:r/>
      <w:bookmarkStart w:id="27" w:name="_Toc212815968"/>
      <w:r>
        <w:rPr>
          <w:rFonts w:hint="eastAsia" w:ascii="仿宋_GB2312" w:hAnsi="仿宋_GB2312" w:eastAsia="仿宋_GB2312" w:cs="仿宋_GB2312"/>
          <w:b/>
          <w:sz w:val="32"/>
          <w:szCs w:val="32"/>
        </w:rPr>
        <w:t xml:space="preserve">附件2</w:t>
      </w:r>
      <w:bookmarkEnd w:id="24"/>
      <w:r/>
      <w:bookmarkEnd w:id="27"/>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rPr>
        <w:t xml:space="preserve">法定代表人授权委托书</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法定代表人授权委托书</w:t>
      </w:r>
      <w:r/>
    </w:p>
    <w:p>
      <w:pPr>
        <w:ind w:firstLine="420"/>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本授权委托书声明：我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（姓名）系</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（供应商名称）的法定代表人，现授权委托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（姓名）为我公司授权代表（即代理人），以本公司的名义参加</w:t>
      </w:r>
      <w:r>
        <w:rPr>
          <w:rFonts w:hint="eastAsia" w:ascii="仿宋_GB2312" w:hAnsi="仿宋_GB2312" w:eastAsia="仿宋_GB2312" w:cs="仿宋_GB2312"/>
          <w:sz w:val="32"/>
          <w:szCs w:val="32"/>
          <w:u w:val="single"/>
        </w:rPr>
        <w:t xml:space="preserve">苏州市政府集中采购中心</w:t>
      </w:r>
      <w:r>
        <w:rPr>
          <w:rFonts w:hint="eastAsia" w:ascii="仿宋_GB2312" w:hAnsi="仿宋_GB2312" w:eastAsia="仿宋_GB2312" w:cs="仿宋_GB2312"/>
          <w:sz w:val="32"/>
          <w:szCs w:val="32"/>
        </w:rPr>
        <w:t xml:space="preserve">组织实施的编号为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号（项目编号）的采购活动。</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代理人无转委托权。特此委托。</w:t>
      </w:r>
      <w:r/>
    </w:p>
    <w:p>
      <w:pPr>
        <w:ind w:firstLine="480"/>
        <w:jc w:val="righ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80"/>
        <w:jc w:val="righ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4"/>
      </w:pPr>
      <w:r/>
      <w:r/>
    </w:p>
    <w:p>
      <w:pPr>
        <w:ind w:right="840" w:firstLine="480"/>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w:t>
      </w:r>
      <w:r>
        <w:rPr>
          <w:rFonts w:hint="eastAsia" w:ascii="仿宋_GB2312" w:hAnsi="仿宋_GB2312" w:eastAsia="仿宋_GB2312" w:cs="仿宋_GB2312"/>
          <w:sz w:val="32"/>
          <w:szCs w:val="32"/>
          <w:lang w:val="zh-CN"/>
        </w:rPr>
        <w:t xml:space="preserve">电子签章</w:t>
      </w:r>
      <w:r>
        <w:rPr>
          <w:rFonts w:hint="eastAsia" w:ascii="仿宋_GB2312" w:hAnsi="仿宋_GB2312" w:eastAsia="仿宋_GB2312" w:cs="仿宋_GB2312"/>
          <w:sz w:val="32"/>
          <w:szCs w:val="32"/>
        </w:rPr>
        <w:t xml:space="preserve">）：</w:t>
      </w:r>
      <w:r/>
    </w:p>
    <w:p>
      <w:pPr>
        <w:ind w:right="840" w:firstLine="480"/>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zh-CN"/>
        </w:rPr>
        <w:t xml:space="preserve">法定代表人</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lang w:val="zh-CN"/>
        </w:rPr>
        <w:t xml:space="preserve">（电子签章）：</w:t>
      </w:r>
      <w:r/>
    </w:p>
    <w:p>
      <w:pPr>
        <w:ind w:right="1260" w:firstLine="480"/>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日期：　　　　年　　月　　日</w:t>
      </w:r>
      <w:r/>
    </w:p>
    <w:p>
      <w:pPr>
        <w:jc w:val="left"/>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br w:type="page" w:clear="all"/>
      </w:r>
      <w:r/>
    </w:p>
    <w:p>
      <w:pPr>
        <w:spacing w:line="560" w:lineRule="exact"/>
        <w:rPr>
          <w:rFonts w:ascii="仿宋_GB2312" w:hAnsi="仿宋_GB2312" w:eastAsia="仿宋_GB2312" w:cs="仿宋_GB2312"/>
          <w:b/>
          <w:sz w:val="32"/>
          <w:szCs w:val="32"/>
        </w:rPr>
        <w:outlineLvl w:val="1"/>
      </w:pPr>
      <w:r/>
      <w:bookmarkStart w:id="28" w:name="OLE_LINK3"/>
      <w:r/>
      <w:bookmarkStart w:id="29" w:name="_Toc150436640"/>
      <w:r/>
      <w:bookmarkStart w:id="30" w:name="_Toc212815969"/>
      <w:r/>
      <w:bookmarkStart w:id="31" w:name="_Toc180678075"/>
      <w:r>
        <w:rPr>
          <w:rFonts w:hint="eastAsia" w:ascii="仿宋_GB2312" w:hAnsi="仿宋_GB2312" w:eastAsia="仿宋_GB2312" w:cs="仿宋_GB2312"/>
          <w:b/>
          <w:sz w:val="32"/>
          <w:szCs w:val="32"/>
        </w:rPr>
        <w:t xml:space="preserve">附件3</w:t>
      </w:r>
      <w:bookmarkStart w:id="32" w:name="_Toc141368805"/>
      <w:r/>
      <w:bookmarkStart w:id="33" w:name="_Toc74050542"/>
      <w:r/>
      <w:bookmarkStart w:id="34" w:name="_Toc212815970"/>
      <w:r/>
      <w:bookmarkStart w:id="35" w:name="_Toc65593811"/>
      <w:r/>
      <w:bookmarkStart w:id="36" w:name="_Toc150436639"/>
      <w:r/>
      <w:bookmarkStart w:id="37" w:name="_Toc180678076"/>
      <w:r/>
      <w:bookmarkEnd w:id="22"/>
      <w:r/>
      <w:bookmarkEnd w:id="23"/>
      <w:r/>
      <w:bookmarkEnd w:id="25"/>
      <w:r/>
      <w:bookmarkEnd w:id="26"/>
      <w:r/>
      <w:bookmarkEnd w:id="28"/>
      <w:r/>
      <w:bookmarkEnd w:id="29"/>
      <w:r/>
      <w:bookmarkEnd w:id="30"/>
      <w:r/>
      <w:bookmarkEnd w:id="31"/>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rPr>
        <w:t xml:space="preserve"> 响应函</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响应函</w:t>
      </w:r>
      <w:r/>
    </w:p>
    <w:p>
      <w:pPr>
        <w:jc w:val="cente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致：</w:t>
      </w:r>
      <w:r>
        <w:rPr>
          <w:rFonts w:hint="eastAsia" w:ascii="仿宋_GB2312" w:hAnsi="仿宋_GB2312" w:eastAsia="仿宋_GB2312" w:cs="仿宋_GB2312"/>
          <w:sz w:val="32"/>
          <w:szCs w:val="32"/>
          <w:u w:val="single"/>
          <w:lang w:val="zh-CN"/>
        </w:rPr>
        <w:t xml:space="preserve">苏州市政府集中采购中心</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我方收到贵中心</w:t>
      </w:r>
      <w:r>
        <w:rPr>
          <w:rFonts w:hint="eastAsia" w:ascii="仿宋_GB2312" w:hAnsi="仿宋_GB2312" w:eastAsia="仿宋_GB2312" w:cs="仿宋_GB2312"/>
          <w:sz w:val="32"/>
          <w:szCs w:val="32"/>
          <w:u w:val="single"/>
          <w:lang w:val="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zh-CN"/>
        </w:rPr>
        <w:t xml:space="preserve"> </w:t>
      </w:r>
      <w:r>
        <w:rPr>
          <w:rFonts w:hint="eastAsia" w:ascii="仿宋_GB2312" w:hAnsi="仿宋_GB2312" w:eastAsia="仿宋_GB2312" w:cs="仿宋_GB2312"/>
          <w:sz w:val="32"/>
          <w:szCs w:val="32"/>
          <w:lang w:val="zh-CN"/>
        </w:rPr>
        <w:t xml:space="preserve">（项目编号）征集文件，经仔细阅读和研究，我方决定参加</w:t>
      </w:r>
      <w:r>
        <w:rPr>
          <w:rFonts w:hint="eastAsia" w:ascii="仿宋_GB2312" w:hAnsi="仿宋_GB2312" w:eastAsia="仿宋_GB2312" w:cs="仿宋_GB2312"/>
          <w:sz w:val="32"/>
          <w:szCs w:val="32"/>
        </w:rPr>
        <w:t xml:space="preserve">采购</w:t>
      </w:r>
      <w:r>
        <w:rPr>
          <w:rFonts w:hint="eastAsia" w:ascii="仿宋_GB2312" w:hAnsi="仿宋_GB2312" w:eastAsia="仿宋_GB2312" w:cs="仿宋_GB2312"/>
          <w:sz w:val="32"/>
          <w:szCs w:val="32"/>
          <w:lang w:val="zh-CN"/>
        </w:rPr>
        <w:t xml:space="preserve">活动，并向贵中心作出如下承诺：</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lang w:val="zh-CN"/>
        </w:rPr>
        <w:t xml:space="preserve">我方愿意按照征集文件的一切要求，提供本项目的所有内容，我方的报价包括完成本项工作所需的一切应有费用。</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2.</w:t>
      </w:r>
      <w:r>
        <w:rPr>
          <w:rFonts w:hint="eastAsia" w:ascii="仿宋_GB2312" w:hAnsi="仿宋_GB2312" w:eastAsia="仿宋_GB2312" w:cs="仿宋_GB2312"/>
          <w:sz w:val="32"/>
          <w:szCs w:val="32"/>
          <w:lang w:val="zh-CN"/>
        </w:rPr>
        <w:t xml:space="preserve">如果我方的响应文件被接受，我方将严格履行征集文件中规定的每一项要求，严格履行合同的责任和义务，保证按期、按质履行合同，完成合同所规定的全部内容。</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3.</w:t>
      </w:r>
      <w:r>
        <w:rPr>
          <w:rFonts w:hint="eastAsia" w:ascii="仿宋_GB2312" w:hAnsi="仿宋_GB2312" w:eastAsia="仿宋_GB2312" w:cs="仿宋_GB2312"/>
          <w:sz w:val="32"/>
          <w:szCs w:val="32"/>
          <w:lang w:val="zh-CN"/>
        </w:rPr>
        <w:t xml:space="preserve">我方已详细审查并同意征集文件及更正文件（若有）中的规定。我方完全理解并同意放弃对这方面有不明及误解的权利。</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4.</w:t>
      </w:r>
      <w:r>
        <w:rPr>
          <w:rFonts w:hint="eastAsia" w:ascii="仿宋_GB2312" w:hAnsi="仿宋_GB2312" w:eastAsia="仿宋_GB2312" w:cs="仿宋_GB2312"/>
          <w:sz w:val="32"/>
          <w:szCs w:val="32"/>
          <w:lang w:val="zh-CN"/>
        </w:rPr>
        <w:t xml:space="preserve">本响应文件的有效期限为</w:t>
      </w:r>
      <w:r>
        <w:rPr>
          <w:rFonts w:hint="eastAsia" w:ascii="仿宋_GB2312" w:hAnsi="仿宋_GB2312" w:eastAsia="仿宋_GB2312" w:cs="仿宋_GB2312"/>
          <w:sz w:val="32"/>
          <w:szCs w:val="32"/>
        </w:rPr>
        <w:t xml:space="preserve">响应文件</w:t>
      </w:r>
      <w:r>
        <w:rPr>
          <w:rFonts w:hint="eastAsia" w:ascii="仿宋_GB2312" w:hAnsi="仿宋_GB2312" w:eastAsia="仿宋_GB2312" w:cs="仿宋_GB2312"/>
          <w:sz w:val="32"/>
          <w:szCs w:val="32"/>
          <w:lang w:val="zh-CN"/>
        </w:rPr>
        <w:t xml:space="preserve">接收截止时间之日起90天。</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5.</w:t>
      </w:r>
      <w:r>
        <w:rPr>
          <w:rFonts w:hint="eastAsia" w:ascii="仿宋_GB2312" w:hAnsi="仿宋_GB2312" w:eastAsia="仿宋_GB2312" w:cs="仿宋_GB2312"/>
          <w:sz w:val="32"/>
          <w:szCs w:val="32"/>
          <w:lang w:val="zh-CN"/>
        </w:rPr>
        <w:t xml:space="preserve">我方保证所提交的响应文件中所有资料均是真实的、准确的。若与真实情况不符，我方愿意承担由此而产生的一切后果。</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6.</w:t>
      </w:r>
      <w:r>
        <w:rPr>
          <w:rFonts w:hint="eastAsia" w:ascii="仿宋_GB2312" w:hAnsi="仿宋_GB2312" w:eastAsia="仿宋_GB2312" w:cs="仿宋_GB2312"/>
          <w:sz w:val="32"/>
          <w:szCs w:val="32"/>
          <w:lang w:val="zh-CN"/>
        </w:rPr>
        <w:t xml:space="preserve">我方承诺响应文件在开始后的全过程中保持有效，不作任何更改和变动。</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7.</w:t>
      </w:r>
      <w:r>
        <w:rPr>
          <w:rFonts w:hint="eastAsia" w:ascii="仿宋_GB2312" w:hAnsi="仿宋_GB2312" w:eastAsia="仿宋_GB2312" w:cs="仿宋_GB2312"/>
          <w:sz w:val="32"/>
          <w:szCs w:val="32"/>
          <w:lang w:val="zh-CN"/>
        </w:rPr>
        <w:t xml:space="preserve">我方承诺满足《中华人民共和国政府采购法》第二十二条规定的所有条件。</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8.</w:t>
      </w:r>
      <w:r>
        <w:rPr>
          <w:rFonts w:hint="eastAsia" w:ascii="仿宋_GB2312" w:hAnsi="仿宋_GB2312" w:eastAsia="仿宋_GB2312" w:cs="仿宋_GB2312"/>
          <w:sz w:val="32"/>
          <w:szCs w:val="32"/>
          <w:lang w:val="zh-CN"/>
        </w:rPr>
        <w:t xml:space="preserve">与本相应文件有关的通讯地址：</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单   位：               联 系 人：</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地   址：               邮政编码：</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联系电话：              电子邮箱：</w:t>
      </w:r>
      <w:r/>
    </w:p>
    <w:p>
      <w:pPr>
        <w:ind w:right="840" w:firstLine="210"/>
        <w:jc w:val="center"/>
        <w:spacing w:line="560" w:lineRule="exact"/>
        <w:rPr>
          <w:rFonts w:ascii="仿宋_GB2312" w:hAnsi="仿宋_GB2312" w:eastAsia="仿宋_GB2312" w:cs="仿宋_GB2312"/>
          <w:sz w:val="32"/>
          <w:szCs w:val="32"/>
          <w:lang w:val="zh-CN"/>
        </w:rPr>
      </w:pPr>
      <w:r>
        <w:rPr>
          <w:rFonts w:ascii="仿宋_GB2312" w:hAnsi="仿宋_GB2312" w:eastAsia="仿宋_GB2312" w:cs="仿宋_GB2312"/>
          <w:sz w:val="32"/>
          <w:szCs w:val="32"/>
          <w:lang w:val="zh-CN"/>
        </w:rPr>
      </w:r>
      <w:r/>
    </w:p>
    <w:p>
      <w:pPr>
        <w:ind w:right="-210"/>
        <w:jc w:val="right"/>
        <w:spacing w:line="560" w:lineRule="exact"/>
        <w:rPr>
          <w:rFonts w:ascii="仿宋_GB2312" w:hAnsi="仿宋_GB2312" w:eastAsia="仿宋_GB2312" w:cs="仿宋_GB2312"/>
          <w:sz w:val="32"/>
          <w:szCs w:val="32"/>
          <w:lang w:val="zh-CN"/>
        </w:rPr>
      </w:pPr>
      <w:r>
        <w:rPr>
          <w:rFonts w:ascii="仿宋_GB2312" w:hAnsi="仿宋_GB2312" w:eastAsia="仿宋_GB2312" w:cs="仿宋_GB2312"/>
          <w:sz w:val="32"/>
          <w:szCs w:val="32"/>
          <w:lang w:val="zh-CN"/>
        </w:rPr>
      </w:r>
      <w:r/>
    </w:p>
    <w:p>
      <w:pPr>
        <w:ind w:right="-210"/>
        <w:jc w:val="right"/>
        <w:spacing w:line="560" w:lineRule="exact"/>
        <w:rPr>
          <w:rFonts w:ascii="仿宋_GB2312" w:hAnsi="仿宋_GB2312" w:eastAsia="仿宋_GB2312" w:cs="仿宋_GB2312"/>
          <w:sz w:val="32"/>
          <w:szCs w:val="32"/>
          <w:lang w:val="zh-CN"/>
        </w:rPr>
      </w:pPr>
      <w:r>
        <w:rPr>
          <w:rFonts w:ascii="仿宋_GB2312" w:hAnsi="仿宋_GB2312" w:eastAsia="仿宋_GB2312" w:cs="仿宋_GB2312"/>
          <w:sz w:val="32"/>
          <w:szCs w:val="32"/>
          <w:lang w:val="zh-CN"/>
        </w:rPr>
      </w:r>
      <w:r/>
    </w:p>
    <w:p>
      <w:pPr>
        <w:ind w:right="840" w:firstLine="480"/>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供应商名称（</w:t>
      </w:r>
      <w:r>
        <w:rPr>
          <w:rFonts w:hint="eastAsia" w:ascii="仿宋_GB2312" w:hAnsi="仿宋_GB2312" w:eastAsia="仿宋_GB2312" w:cs="仿宋_GB2312"/>
          <w:sz w:val="32"/>
          <w:szCs w:val="32"/>
          <w:lang w:val="zh-CN"/>
        </w:rPr>
        <w:t xml:space="preserve">电子签章</w:t>
      </w:r>
      <w:r>
        <w:rPr>
          <w:rFonts w:hint="eastAsia" w:ascii="仿宋_GB2312" w:hAnsi="仿宋_GB2312" w:eastAsia="仿宋_GB2312" w:cs="仿宋_GB2312"/>
          <w:sz w:val="32"/>
          <w:szCs w:val="32"/>
        </w:rPr>
        <w:t xml:space="preserve">）：</w:t>
      </w:r>
      <w:r/>
    </w:p>
    <w:p>
      <w:pPr>
        <w:ind w:right="840" w:firstLine="480"/>
        <w:jc w:val="center"/>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法定代表人</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lang w:val="zh-CN"/>
        </w:rPr>
        <w:t xml:space="preserve">或</w:t>
      </w:r>
      <w:r>
        <w:rPr>
          <w:rFonts w:hint="eastAsia" w:ascii="仿宋_GB2312" w:hAnsi="仿宋_GB2312" w:eastAsia="仿宋_GB2312" w:cs="仿宋_GB2312"/>
          <w:sz w:val="32"/>
          <w:szCs w:val="32"/>
        </w:rPr>
        <w:t xml:space="preserve">代理人</w:t>
      </w:r>
      <w:r>
        <w:rPr>
          <w:rFonts w:hint="eastAsia" w:ascii="仿宋_GB2312" w:hAnsi="仿宋_GB2312" w:eastAsia="仿宋_GB2312" w:cs="仿宋_GB2312"/>
          <w:sz w:val="32"/>
          <w:szCs w:val="32"/>
          <w:lang w:val="zh-CN"/>
        </w:rPr>
        <w:t xml:space="preserve">（电子签章）：</w:t>
      </w:r>
      <w:r/>
    </w:p>
    <w:p>
      <w:pPr>
        <w:ind w:right="1575" w:firstLine="480"/>
        <w:jc w:val="right"/>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日期：　　　　年　　月　　日</w:t>
      </w:r>
      <w:r>
        <w:rPr>
          <w:rFonts w:hint="eastAsia" w:ascii="仿宋_GB2312" w:hAnsi="仿宋_GB2312" w:eastAsia="仿宋_GB2312" w:cs="仿宋_GB2312"/>
          <w:b/>
          <w:sz w:val="32"/>
          <w:szCs w:val="32"/>
        </w:rPr>
        <w:br w:type="page" w:clear="all"/>
      </w:r>
      <w:r/>
    </w:p>
    <w:p>
      <w:pPr>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b/>
          <w:sz w:val="32"/>
          <w:szCs w:val="32"/>
        </w:rPr>
        <w:t xml:space="preserve">附件4</w:t>
      </w:r>
      <w:bookmarkStart w:id="38" w:name="_Toc150436644"/>
      <w:r/>
      <w:bookmarkStart w:id="39" w:name="_Toc65593819"/>
      <w:r/>
      <w:bookmarkStart w:id="40" w:name="_Toc74050550"/>
      <w:r/>
      <w:bookmarkStart w:id="41" w:name="_Toc141368809"/>
      <w:r/>
      <w:bookmarkStart w:id="42" w:name="_Toc180678079"/>
      <w:r/>
      <w:bookmarkStart w:id="43" w:name="_Toc212815973"/>
      <w:r/>
      <w:bookmarkStart w:id="44" w:name="_Toc103258858"/>
      <w:r/>
      <w:bookmarkStart w:id="45" w:name="_Toc150436643"/>
      <w:r/>
      <w:bookmarkStart w:id="46" w:name="_Toc74050544"/>
      <w:r/>
      <w:bookmarkStart w:id="47" w:name="_Toc65593813"/>
      <w:r/>
      <w:bookmarkStart w:id="48" w:name="_Toc141368808"/>
      <w:r/>
      <w:bookmarkEnd w:id="32"/>
      <w:r/>
      <w:bookmarkEnd w:id="33"/>
      <w:r/>
      <w:bookmarkEnd w:id="34"/>
      <w:r/>
      <w:bookmarkEnd w:id="35"/>
      <w:r/>
      <w:bookmarkEnd w:id="36"/>
      <w:r/>
      <w:bookmarkEnd w:id="37"/>
      <w:r>
        <w:rPr>
          <w:rFonts w:hint="eastAsia" w:ascii="仿宋_GB2312" w:hAnsi="仿宋_GB2312" w:eastAsia="仿宋_GB2312" w:cs="仿宋_GB2312"/>
          <w:b/>
          <w:sz w:val="32"/>
          <w:szCs w:val="32"/>
        </w:rPr>
        <w:t xml:space="preserve">  中小企业声明函</w:t>
      </w:r>
      <w:bookmarkEnd w:id="38"/>
      <w:r/>
      <w:bookmarkEnd w:id="39"/>
      <w:r/>
      <w:bookmarkEnd w:id="40"/>
      <w:r/>
      <w:bookmarkEnd w:id="41"/>
      <w:r/>
      <w:bookmarkEnd w:id="42"/>
      <w:r/>
      <w:bookmarkEnd w:id="43"/>
      <w:r/>
      <w:r/>
    </w:p>
    <w:p>
      <w:pPr>
        <w:jc w:val="center"/>
        <w:spacing w:line="560" w:lineRule="exact"/>
        <w:widowControl/>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center"/>
        <w:spacing w:line="560" w:lineRule="exact"/>
        <w:widowControl/>
        <w:rPr>
          <w:rFonts w:ascii="仿宋_GB2312" w:hAnsi="仿宋_GB2312" w:eastAsia="仿宋_GB2312" w:cs="仿宋_GB2312"/>
          <w:sz w:val="32"/>
          <w:szCs w:val="32"/>
          <w:u w:val="single"/>
        </w:rPr>
      </w:pPr>
      <w:r>
        <w:rPr>
          <w:rFonts w:hint="eastAsia" w:ascii="仿宋_GB2312" w:hAnsi="仿宋_GB2312" w:eastAsia="仿宋_GB2312" w:cs="仿宋_GB2312"/>
          <w:b/>
          <w:sz w:val="32"/>
          <w:szCs w:val="32"/>
        </w:rPr>
        <w:t xml:space="preserve">中小企业声明函（服务）</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苏州市政府集中采购中心：</w:t>
      </w:r>
      <w:r/>
    </w:p>
    <w:p>
      <w:pPr>
        <w:ind w:firstLine="420"/>
        <w:jc w:val="left"/>
        <w:spacing w:line="560" w:lineRule="exact"/>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 xml:space="preserve">本公司郑重声明，根据《政府采购促进中小企业发展管理办法》（财库[2020]46号）的规定，本公司参加</w:t>
      </w:r>
      <w:r>
        <w:rPr>
          <w:rFonts w:hint="eastAsia" w:ascii="仿宋_GB2312" w:hAnsi="仿宋_GB2312" w:eastAsia="仿宋_GB2312" w:cs="仿宋_GB2312"/>
          <w:sz w:val="32"/>
          <w:szCs w:val="32"/>
          <w:u w:val="single"/>
        </w:rPr>
        <w:t xml:space="preserve">（苏州市政府集中采购中心）</w:t>
      </w:r>
      <w:r>
        <w:rPr>
          <w:rFonts w:hint="eastAsia" w:ascii="仿宋_GB2312" w:hAnsi="仿宋_GB2312" w:eastAsia="仿宋_GB2312" w:cs="仿宋_GB2312"/>
          <w:sz w:val="32"/>
          <w:szCs w:val="32"/>
        </w:rPr>
        <w:t xml:space="preserve">的</w:t>
      </w:r>
      <w:r>
        <w:rPr>
          <w:rFonts w:hint="eastAsia" w:ascii="仿宋_GB2312" w:hAnsi="仿宋_GB2312" w:eastAsia="仿宋_GB2312" w:cs="仿宋_GB2312"/>
          <w:sz w:val="32"/>
          <w:szCs w:val="32"/>
          <w:u w:val="single"/>
        </w:rPr>
        <w:t xml:space="preserve">（苏州市政策性农业保险承保机构遴选）</w:t>
      </w:r>
      <w:r>
        <w:rPr>
          <w:rFonts w:hint="eastAsia" w:ascii="仿宋_GB2312" w:hAnsi="仿宋_GB2312" w:eastAsia="仿宋_GB2312" w:cs="仿宋_GB2312"/>
          <w:sz w:val="32"/>
          <w:szCs w:val="32"/>
        </w:rPr>
        <w:t xml:space="preserve">采购活动，服务全部由符合政策要求的中小企业承接。相关企业的具体情况如下：</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u w:val="single"/>
        </w:rPr>
        <w:t xml:space="preserve">（苏州市政策性农业保险承保机构遴选）</w:t>
      </w:r>
      <w:r>
        <w:rPr>
          <w:rFonts w:hint="eastAsia" w:ascii="仿宋_GB2312" w:hAnsi="仿宋_GB2312" w:eastAsia="仿宋_GB2312" w:cs="仿宋_GB2312"/>
          <w:sz w:val="32"/>
          <w:szCs w:val="32"/>
        </w:rPr>
        <w:t xml:space="preserve">，属于</w:t>
      </w:r>
      <w:r>
        <w:rPr>
          <w:rFonts w:hint="eastAsia" w:ascii="仿宋_GB2312" w:hAnsi="仿宋_GB2312" w:eastAsia="仿宋_GB2312" w:cs="仿宋_GB2312"/>
          <w:sz w:val="32"/>
          <w:szCs w:val="32"/>
          <w:u w:val="single"/>
        </w:rPr>
        <w:t xml:space="preserve">租赁和商务服务业</w:t>
      </w:r>
      <w:r>
        <w:rPr>
          <w:rFonts w:hint="eastAsia" w:ascii="仿宋_GB2312" w:hAnsi="仿宋_GB2312" w:eastAsia="仿宋_GB2312" w:cs="仿宋_GB2312"/>
          <w:sz w:val="32"/>
          <w:szCs w:val="32"/>
        </w:rPr>
        <w:t xml:space="preserve">；承接企业为</w:t>
      </w:r>
      <w:r>
        <w:rPr>
          <w:rFonts w:hint="eastAsia" w:ascii="仿宋_GB2312" w:hAnsi="仿宋_GB2312" w:eastAsia="仿宋_GB2312" w:cs="仿宋_GB2312"/>
          <w:sz w:val="32"/>
          <w:szCs w:val="32"/>
          <w:u w:val="single"/>
        </w:rPr>
        <w:t xml:space="preserve">（企业名称）</w:t>
      </w:r>
      <w:r>
        <w:rPr>
          <w:rFonts w:hint="eastAsia" w:ascii="仿宋_GB2312" w:hAnsi="仿宋_GB2312" w:eastAsia="仿宋_GB2312" w:cs="仿宋_GB2312"/>
          <w:sz w:val="32"/>
          <w:szCs w:val="32"/>
        </w:rPr>
        <w:t xml:space="preserve">，从业人员</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人，营业收入为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万元，资产总额为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万元</w:t>
      </w:r>
      <w:r>
        <w:rPr>
          <w:rFonts w:hint="eastAsia" w:ascii="仿宋_GB2312" w:hAnsi="仿宋_GB2312" w:eastAsia="仿宋_GB2312" w:cs="仿宋_GB2312"/>
          <w:sz w:val="32"/>
          <w:szCs w:val="32"/>
          <w:vertAlign w:val="superscript"/>
        </w:rPr>
        <w:footnoteReference w:id="2"/>
      </w:r>
      <w:r>
        <w:rPr>
          <w:rFonts w:hint="eastAsia" w:ascii="仿宋_GB2312" w:hAnsi="仿宋_GB2312" w:eastAsia="仿宋_GB2312" w:cs="仿宋_GB2312"/>
          <w:sz w:val="32"/>
          <w:szCs w:val="32"/>
        </w:rPr>
        <w:t xml:space="preserve">，属于</w:t>
      </w:r>
      <w:r>
        <w:rPr>
          <w:rFonts w:hint="eastAsia" w:ascii="仿宋_GB2312" w:hAnsi="仿宋_GB2312" w:eastAsia="仿宋_GB2312" w:cs="仿宋_GB2312"/>
          <w:sz w:val="32"/>
          <w:szCs w:val="32"/>
          <w:u w:val="single"/>
        </w:rPr>
        <w:t xml:space="preserve">（□中型企业、□小型企业、□微型企业）</w:t>
      </w:r>
      <w:r>
        <w:rPr>
          <w:rFonts w:hint="eastAsia" w:ascii="仿宋_GB2312" w:hAnsi="仿宋_GB2312" w:eastAsia="仿宋_GB2312" w:cs="仿宋_GB2312"/>
          <w:sz w:val="32"/>
          <w:szCs w:val="32"/>
        </w:rPr>
        <w:t xml:space="preserve">；</w:t>
      </w:r>
      <w:r/>
    </w:p>
    <w:p>
      <w:pPr>
        <w:ind w:firstLine="4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以上企业，不属于大企业的分支机构，不存在控股股东为大企业的情形，也不存在与大企业的负责人为同一人的情形。</w:t>
      </w:r>
      <w:r/>
    </w:p>
    <w:p>
      <w:pPr>
        <w:ind w:firstLine="4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本企业对上述声明内容的真实性负责。如有虚假，将依法承担相应责任。</w:t>
      </w:r>
      <w:r/>
    </w:p>
    <w:p>
      <w:pPr>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5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 xml:space="preserve">企业名称（电子签章）：</w:t>
      </w:r>
      <w:r/>
    </w:p>
    <w:p>
      <w:pPr>
        <w:ind w:right="2500" w:firstLine="38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日 期： 年 月 日</w:t>
      </w:r>
      <w:r/>
    </w:p>
    <w:p>
      <w:pP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附：中小企业划型标准规定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（一）农、林、牧、渔业。</w:t>
      </w:r>
      <w:r>
        <w:rPr>
          <w:rFonts w:hint="eastAsia" w:ascii="仿宋_GB2312" w:hAnsi="仿宋_GB2312" w:eastAsia="仿宋_GB2312" w:cs="仿宋_GB2312"/>
          <w:sz w:val="32"/>
          <w:szCs w:val="32"/>
        </w:rPr>
        <w:t xml:space="preserve">营业收入20000万元以下的为中小微型企业。其中，营业收入500万元及以上的为中型企业，营业收入50万元及以上的为小型企业，营业收入50万元以下的为微型企业。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（二）工业。</w:t>
      </w:r>
      <w:r>
        <w:rPr>
          <w:rFonts w:hint="eastAsia" w:ascii="仿宋_GB2312" w:hAnsi="仿宋_GB2312" w:eastAsia="仿宋_GB2312" w:cs="仿宋_GB2312"/>
          <w:sz w:val="32"/>
          <w:szCs w:val="32"/>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（三）建筑业。</w:t>
      </w:r>
      <w:r>
        <w:rPr>
          <w:rFonts w:hint="eastAsia" w:ascii="仿宋_GB2312" w:hAnsi="仿宋_GB2312" w:eastAsia="仿宋_GB2312" w:cs="仿宋_GB2312"/>
          <w:sz w:val="32"/>
          <w:szCs w:val="32"/>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w:t>
      </w:r>
      <w:r>
        <w:rPr>
          <w:rFonts w:hint="eastAsia" w:ascii="仿宋_GB2312" w:hAnsi="仿宋_GB2312" w:eastAsia="仿宋_GB2312" w:cs="仿宋_GB2312"/>
          <w:sz w:val="32"/>
          <w:szCs w:val="32"/>
        </w:rPr>
        <w:t xml:space="preserve">300万元以下或资产总额300万元以下的为微型企业。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（四）批发业。</w:t>
      </w:r>
      <w:r>
        <w:rPr>
          <w:rFonts w:hint="eastAsia" w:ascii="仿宋_GB2312" w:hAnsi="仿宋_GB2312" w:eastAsia="仿宋_GB2312" w:cs="仿宋_GB2312"/>
          <w:sz w:val="32"/>
          <w:szCs w:val="32"/>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（五）零售业。</w:t>
      </w:r>
      <w:r>
        <w:rPr>
          <w:rFonts w:hint="eastAsia" w:ascii="仿宋_GB2312" w:hAnsi="仿宋_GB2312" w:eastAsia="仿宋_GB2312" w:cs="仿宋_GB2312"/>
          <w:sz w:val="32"/>
          <w:szCs w:val="32"/>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（六）交通运输业。</w:t>
      </w:r>
      <w:r>
        <w:rPr>
          <w:rFonts w:hint="eastAsia" w:ascii="仿宋_GB2312" w:hAnsi="仿宋_GB2312" w:eastAsia="仿宋_GB2312" w:cs="仿宋_GB2312"/>
          <w:sz w:val="32"/>
          <w:szCs w:val="32"/>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（七）仓储业。</w:t>
      </w:r>
      <w:r>
        <w:rPr>
          <w:rFonts w:hint="eastAsia" w:ascii="仿宋_GB2312" w:hAnsi="仿宋_GB2312" w:eastAsia="仿宋_GB2312" w:cs="仿宋_GB2312"/>
          <w:sz w:val="32"/>
          <w:szCs w:val="32"/>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（八）邮政业。</w:t>
      </w:r>
      <w:r>
        <w:rPr>
          <w:rFonts w:hint="eastAsia" w:ascii="仿宋_GB2312" w:hAnsi="仿宋_GB2312" w:eastAsia="仿宋_GB2312" w:cs="仿宋_GB2312"/>
          <w:sz w:val="32"/>
          <w:szCs w:val="32"/>
        </w:rPr>
        <w:t xml:space="preserve">从业人员1000人以下或营业收入30000万元</w:t>
      </w:r>
      <w:r>
        <w:rPr>
          <w:rFonts w:hint="eastAsia" w:ascii="仿宋_GB2312" w:hAnsi="仿宋_GB2312" w:eastAsia="仿宋_GB2312" w:cs="仿宋_GB2312"/>
          <w:sz w:val="32"/>
          <w:szCs w:val="32"/>
        </w:rPr>
        <w:t xml:space="preserve">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（九）住宿业。</w:t>
      </w:r>
      <w:r>
        <w:rPr>
          <w:rFonts w:hint="eastAsia" w:ascii="仿宋_GB2312" w:hAnsi="仿宋_GB2312" w:eastAsia="仿宋_GB2312" w:cs="仿宋_GB2312"/>
          <w:sz w:val="32"/>
          <w:szCs w:val="3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（十）餐饮业。</w:t>
      </w:r>
      <w:r>
        <w:rPr>
          <w:rFonts w:hint="eastAsia" w:ascii="仿宋_GB2312" w:hAnsi="仿宋_GB2312" w:eastAsia="仿宋_GB2312" w:cs="仿宋_GB2312"/>
          <w:sz w:val="32"/>
          <w:szCs w:val="3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（十一）信息传输业。</w:t>
      </w:r>
      <w:r>
        <w:rPr>
          <w:rFonts w:hint="eastAsia" w:ascii="仿宋_GB2312" w:hAnsi="仿宋_GB2312" w:eastAsia="仿宋_GB2312" w:cs="仿宋_GB2312"/>
          <w:sz w:val="32"/>
          <w:szCs w:val="32"/>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（十二）软件和信息技术服务业。</w:t>
      </w:r>
      <w:r>
        <w:rPr>
          <w:rFonts w:hint="eastAsia" w:ascii="仿宋_GB2312" w:hAnsi="仿宋_GB2312" w:eastAsia="仿宋_GB2312" w:cs="仿宋_GB2312"/>
          <w:sz w:val="32"/>
          <w:szCs w:val="32"/>
        </w:rPr>
        <w:t xml:space="preserve">从业人员300人以下或营业收入10000万元以下的为中小微型企业。其中，从业人员100人及以上，且营业收入1000万元及以上的为中型企业；从业人</w:t>
      </w:r>
      <w:r>
        <w:rPr>
          <w:rFonts w:hint="eastAsia" w:ascii="仿宋_GB2312" w:hAnsi="仿宋_GB2312" w:eastAsia="仿宋_GB2312" w:cs="仿宋_GB2312"/>
          <w:sz w:val="32"/>
          <w:szCs w:val="32"/>
        </w:rPr>
        <w:t xml:space="preserve">员10人及以上，且营业收入50万元及以上的为小型企业；从业人员10人以下或营业收入50万元以下的为微型企业。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（十三）房地产开发经营。</w:t>
      </w:r>
      <w:r>
        <w:rPr>
          <w:rFonts w:hint="eastAsia" w:ascii="仿宋_GB2312" w:hAnsi="仿宋_GB2312" w:eastAsia="仿宋_GB2312" w:cs="仿宋_GB2312"/>
          <w:sz w:val="32"/>
          <w:szCs w:val="32"/>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（十四）物业管理。</w:t>
      </w:r>
      <w:r>
        <w:rPr>
          <w:rFonts w:hint="eastAsia" w:ascii="仿宋_GB2312" w:hAnsi="仿宋_GB2312" w:eastAsia="仿宋_GB2312" w:cs="仿宋_GB2312"/>
          <w:sz w:val="32"/>
          <w:szCs w:val="32"/>
        </w:rPr>
        <w:t xml:space="preserve">从业人员1000人以下或营业收入5000万元以下的为中小微型企业。其中，从业人员</w:t>
      </w:r>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（十五）租赁和商务服务业。</w:t>
      </w:r>
      <w:r>
        <w:rPr>
          <w:rFonts w:hint="eastAsia" w:ascii="仿宋_GB2312" w:hAnsi="仿宋_GB2312" w:eastAsia="仿宋_GB2312" w:cs="仿宋_GB2312"/>
          <w:sz w:val="32"/>
          <w:szCs w:val="32"/>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（十六）其他未列明行业。</w:t>
      </w:r>
      <w:r>
        <w:rPr>
          <w:rFonts w:hint="eastAsia" w:ascii="仿宋_GB2312" w:hAnsi="仿宋_GB2312" w:eastAsia="仿宋_GB2312" w:cs="仿宋_GB2312"/>
          <w:sz w:val="32"/>
          <w:szCs w:val="32"/>
        </w:rPr>
        <w:t xml:space="preserve">从业人员300人以下的为中小微型企业。其中，从业人员100人及以上的为中型企业；从业人员10人及以上的为小型企业；从业人员10人以下的为微型企业。</w:t>
      </w:r>
      <w:r/>
    </w:p>
    <w:p>
      <w:pPr>
        <w:spacing w:line="560" w:lineRule="exact"/>
        <w:rPr>
          <w:rFonts w:ascii="仿宋_GB2312" w:hAnsi="仿宋_GB2312" w:eastAsia="仿宋_GB2312" w:cs="仿宋_GB2312"/>
          <w:b/>
          <w:bCs/>
          <w:sz w:val="32"/>
          <w:szCs w:val="32"/>
        </w:rPr>
      </w:pPr>
      <w:r/>
      <w:bookmarkStart w:id="51" w:name="_Toc180678080"/>
      <w:r/>
      <w:bookmarkStart w:id="52" w:name="_Toc212815974"/>
      <w:r>
        <w:rPr>
          <w:rFonts w:hint="eastAsia" w:ascii="仿宋_GB2312" w:hAnsi="仿宋_GB2312" w:eastAsia="仿宋_GB2312" w:cs="仿宋_GB2312"/>
          <w:b/>
          <w:sz w:val="32"/>
          <w:szCs w:val="32"/>
        </w:rPr>
        <w:t xml:space="preserve">附件5</w:t>
      </w:r>
      <w:bookmarkEnd w:id="44"/>
      <w:r/>
      <w:bookmarkEnd w:id="45"/>
      <w:r/>
      <w:bookmarkEnd w:id="46"/>
      <w:r/>
      <w:bookmarkEnd w:id="47"/>
      <w:r/>
      <w:bookmarkEnd w:id="48"/>
      <w:r>
        <w:rPr>
          <w:rFonts w:hint="eastAsia" w:ascii="仿宋_GB2312" w:hAnsi="仿宋_GB2312" w:eastAsia="仿宋_GB2312" w:cs="仿宋_GB2312"/>
          <w:b/>
          <w:sz w:val="32"/>
          <w:szCs w:val="32"/>
        </w:rPr>
        <w:t xml:space="preserve">  残疾人福利性单位声明函</w:t>
      </w:r>
      <w:bookmarkEnd w:id="51"/>
      <w:r/>
      <w:bookmarkEnd w:id="52"/>
      <w:r/>
      <w:r/>
    </w:p>
    <w:p>
      <w:pPr>
        <w:jc w:val="center"/>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残疾人福利性单位声明函</w:t>
      </w:r>
      <w:r/>
    </w:p>
    <w:p>
      <w:pPr>
        <w:spacing w:line="560" w:lineRule="exact"/>
        <w:widowControl/>
        <w:rPr>
          <w:rFonts w:ascii="仿宋_GB2312" w:hAnsi="仿宋_GB2312" w:eastAsia="仿宋_GB2312" w:cs="仿宋_GB2312"/>
          <w:sz w:val="32"/>
          <w:szCs w:val="32"/>
          <w:lang w:val="zh-CN"/>
        </w:rPr>
      </w:pPr>
      <w:r/>
      <w:bookmarkStart w:id="53" w:name="OLE_LINK38"/>
      <w:r/>
      <w:bookmarkStart w:id="54" w:name="OLE_LINK37"/>
      <w:r/>
      <w:bookmarkStart w:id="55" w:name="_Toc15378"/>
      <w:r/>
      <w:bookmarkStart w:id="56" w:name="_Toc32206"/>
      <w:r/>
      <w:bookmarkStart w:id="57" w:name="_Toc3869"/>
      <w:r>
        <w:rPr>
          <w:rFonts w:hint="eastAsia" w:ascii="仿宋_GB2312" w:hAnsi="仿宋_GB2312" w:eastAsia="仿宋_GB2312" w:cs="仿宋_GB2312"/>
          <w:sz w:val="32"/>
          <w:szCs w:val="32"/>
          <w:u w:val="single"/>
          <w:lang w:val="zh-CN"/>
        </w:rPr>
        <w:t xml:space="preserve">苏州市政府集中采购中心</w:t>
      </w:r>
      <w:bookmarkEnd w:id="53"/>
      <w:r/>
      <w:bookmarkEnd w:id="54"/>
      <w:r>
        <w:rPr>
          <w:rFonts w:hint="eastAsia" w:ascii="仿宋_GB2312" w:hAnsi="仿宋_GB2312" w:eastAsia="仿宋_GB2312" w:cs="仿宋_GB2312"/>
          <w:sz w:val="32"/>
          <w:szCs w:val="32"/>
          <w:lang w:val="zh-CN"/>
        </w:rPr>
        <w:t xml:space="preserve">：</w:t>
      </w:r>
      <w:bookmarkEnd w:id="55"/>
      <w:r/>
      <w:bookmarkEnd w:id="56"/>
      <w:r/>
      <w:bookmarkEnd w:id="57"/>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仿宋_GB2312" w:eastAsia="仿宋_GB2312" w:cs="仿宋_GB2312"/>
          <w:sz w:val="32"/>
          <w:szCs w:val="32"/>
          <w:lang w:val="zh-CN"/>
        </w:rPr>
        <w:t xml:space="preserve">贵中心组织实施的编号为</w:t>
      </w:r>
      <w:r>
        <w:rPr>
          <w:rFonts w:hint="eastAsia" w:ascii="仿宋_GB2312" w:hAnsi="仿宋_GB2312" w:eastAsia="仿宋_GB2312" w:cs="仿宋_GB2312"/>
          <w:sz w:val="32"/>
          <w:szCs w:val="32"/>
          <w:u w:val="single"/>
          <w:lang w:val="zh-CN"/>
        </w:rPr>
        <w:t xml:space="preserve">               </w:t>
      </w:r>
      <w:r>
        <w:rPr>
          <w:rFonts w:hint="eastAsia" w:ascii="仿宋_GB2312" w:hAnsi="仿宋_GB2312" w:eastAsia="仿宋_GB2312" w:cs="仿宋_GB2312"/>
          <w:sz w:val="32"/>
          <w:szCs w:val="32"/>
          <w:lang w:val="zh-CN"/>
        </w:rPr>
        <w:t xml:space="preserve">号的招标活动</w:t>
      </w:r>
      <w:r>
        <w:rPr>
          <w:rFonts w:hint="eastAsia" w:ascii="仿宋_GB2312" w:hAnsi="仿宋_GB2312" w:eastAsia="仿宋_GB2312" w:cs="仿宋_GB2312"/>
          <w:sz w:val="32"/>
          <w:szCs w:val="32"/>
        </w:rPr>
        <w:t xml:space="preserve">提供本单位制造的货物（由本单位承担工程/提供服务），或者提供其他残疾人福利性单位制造的货物（不包括使用非残疾人福利性单位注册商标的货物）。</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本单位对上述声明的真实性负责。如有虚假，将依法承担相应责任。</w:t>
      </w:r>
      <w:r/>
    </w:p>
    <w:p>
      <w:pPr>
        <w:ind w:left="1024"/>
        <w:spacing w:line="560" w:lineRule="exact"/>
        <w:widowControl/>
        <w:rPr>
          <w:rFonts w:ascii="仿宋_GB2312" w:hAnsi="仿宋_GB2312" w:eastAsia="仿宋_GB2312" w:cs="仿宋_GB2312"/>
          <w:sz w:val="32"/>
          <w:szCs w:val="32"/>
        </w:rPr>
      </w:pPr>
      <w:r>
        <w:rPr>
          <w:rFonts w:ascii="仿宋_GB2312" w:hAnsi="仿宋_GB2312" w:eastAsia="仿宋_GB2312" w:cs="仿宋_GB2312"/>
          <w:sz w:val="32"/>
          <w:szCs w:val="32"/>
        </w:rPr>
      </w:r>
      <w:r/>
    </w:p>
    <w:p>
      <w:pPr>
        <w:ind w:left="1024"/>
        <w:spacing w:line="560" w:lineRule="exact"/>
        <w:widowControl/>
        <w:rPr>
          <w:rFonts w:ascii="仿宋_GB2312" w:hAnsi="仿宋_GB2312" w:eastAsia="仿宋_GB2312" w:cs="仿宋_GB2312"/>
          <w:b/>
          <w:sz w:val="32"/>
          <w:szCs w:val="32"/>
        </w:rPr>
      </w:pPr>
      <w:r>
        <w:rPr>
          <w:rFonts w:ascii="仿宋_GB2312" w:hAnsi="仿宋_GB2312" w:eastAsia="仿宋_GB2312" w:cs="仿宋_GB2312"/>
          <w:b/>
          <w:sz w:val="32"/>
          <w:szCs w:val="32"/>
        </w:rPr>
      </w:r>
      <w:r/>
    </w:p>
    <w:p>
      <w:pPr>
        <w:ind w:left="1024"/>
        <w:spacing w:line="560" w:lineRule="exact"/>
        <w:widowControl/>
        <w:rPr>
          <w:rFonts w:ascii="仿宋_GB2312" w:hAnsi="仿宋_GB2312" w:eastAsia="仿宋_GB2312" w:cs="仿宋_GB2312"/>
          <w:b/>
          <w:sz w:val="32"/>
          <w:szCs w:val="32"/>
        </w:rPr>
      </w:pPr>
      <w:r>
        <w:rPr>
          <w:rFonts w:ascii="仿宋_GB2312" w:hAnsi="仿宋_GB2312" w:eastAsia="仿宋_GB2312" w:cs="仿宋_GB2312"/>
          <w:b/>
          <w:sz w:val="32"/>
          <w:szCs w:val="32"/>
        </w:rPr>
      </w:r>
      <w:r/>
    </w:p>
    <w:p>
      <w:pPr>
        <w:ind w:firstLine="256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128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法定代表人或代理人（</w:t>
      </w:r>
      <w:r>
        <w:rPr>
          <w:rFonts w:hint="eastAsia" w:ascii="仿宋_GB2312" w:hAnsi="仿宋_GB2312" w:eastAsia="仿宋_GB2312" w:cs="仿宋_GB2312"/>
          <w:sz w:val="32"/>
          <w:szCs w:val="32"/>
          <w:lang w:val="zh-CN"/>
        </w:rPr>
        <w:t xml:space="preserve">电子签章</w:t>
      </w:r>
      <w:r>
        <w:rPr>
          <w:rFonts w:hint="eastAsia" w:ascii="仿宋_GB2312" w:hAnsi="仿宋_GB2312" w:eastAsia="仿宋_GB2312" w:cs="仿宋_GB2312"/>
          <w:sz w:val="32"/>
          <w:szCs w:val="32"/>
        </w:rPr>
        <w:t xml:space="preserve">）：</w:t>
      </w:r>
      <w:r/>
    </w:p>
    <w:p>
      <w:pPr>
        <w:ind w:firstLine="2560"/>
        <w:jc w:val="left"/>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sz w:val="32"/>
          <w:szCs w:val="32"/>
        </w:rPr>
        <w:t xml:space="preserve">日期:    年  月  日</w:t>
      </w:r>
      <w:r/>
    </w:p>
    <w:p>
      <w:pPr>
        <w:ind w:firstLine="641"/>
        <w:spacing w:line="560" w:lineRule="exact"/>
        <w:widowControl/>
        <w:rPr>
          <w:rFonts w:ascii="仿宋_GB2312" w:hAnsi="仿宋_GB2312" w:eastAsia="仿宋_GB2312" w:cs="仿宋_GB2312"/>
          <w:b/>
          <w:sz w:val="32"/>
          <w:szCs w:val="32"/>
          <w:lang w:val="zh-CN"/>
        </w:rPr>
      </w:pPr>
      <w:r>
        <w:rPr>
          <w:rFonts w:ascii="仿宋_GB2312" w:hAnsi="仿宋_GB2312" w:eastAsia="仿宋_GB2312" w:cs="仿宋_GB2312"/>
          <w:b/>
          <w:sz w:val="32"/>
          <w:szCs w:val="32"/>
          <w:lang w:val="zh-CN"/>
        </w:rPr>
      </w:r>
      <w:r/>
    </w:p>
    <w:p>
      <w:pPr>
        <w:ind w:firstLine="641"/>
        <w:spacing w:line="560" w:lineRule="exact"/>
        <w:widowControl/>
        <w:rPr>
          <w:rFonts w:ascii="仿宋_GB2312" w:hAnsi="仿宋_GB2312" w:eastAsia="仿宋_GB2312" w:cs="仿宋_GB2312"/>
          <w:b/>
          <w:sz w:val="32"/>
          <w:szCs w:val="32"/>
          <w:lang w:val="zh-CN"/>
        </w:rPr>
      </w:pPr>
      <w:r>
        <w:rPr>
          <w:rFonts w:ascii="仿宋_GB2312" w:hAnsi="仿宋_GB2312" w:eastAsia="仿宋_GB2312" w:cs="仿宋_GB2312"/>
          <w:b/>
          <w:sz w:val="32"/>
          <w:szCs w:val="32"/>
          <w:lang w:val="zh-CN"/>
        </w:rPr>
      </w:r>
      <w:r/>
    </w:p>
    <w:p>
      <w:pPr>
        <w:ind w:firstLine="641"/>
        <w:spacing w:line="560" w:lineRule="exact"/>
        <w:widowControl/>
        <w:rPr>
          <w:rFonts w:ascii="仿宋_GB2312" w:hAnsi="仿宋_GB2312" w:eastAsia="仿宋_GB2312" w:cs="仿宋_GB2312"/>
          <w:b/>
          <w:sz w:val="32"/>
          <w:szCs w:val="32"/>
          <w:lang w:val="zh-CN"/>
        </w:rPr>
      </w:pPr>
      <w:r>
        <w:rPr>
          <w:rFonts w:ascii="仿宋_GB2312" w:hAnsi="仿宋_GB2312" w:eastAsia="仿宋_GB2312" w:cs="仿宋_GB2312"/>
          <w:b/>
          <w:sz w:val="32"/>
          <w:szCs w:val="32"/>
          <w:lang w:val="zh-CN"/>
        </w:rPr>
      </w:r>
      <w:r/>
    </w:p>
    <w:p>
      <w:pPr>
        <w:ind w:firstLine="641"/>
        <w:spacing w:line="560" w:lineRule="exact"/>
        <w:widowControl/>
        <w:rPr>
          <w:rFonts w:ascii="仿宋_GB2312" w:hAnsi="仿宋_GB2312" w:eastAsia="仿宋_GB2312" w:cs="仿宋_GB2312"/>
          <w:b/>
          <w:sz w:val="32"/>
          <w:szCs w:val="32"/>
          <w:shd w:val="clear" w:color="auto" w:fill="ffffff"/>
        </w:rPr>
      </w:pPr>
      <w:r>
        <w:rPr>
          <w:rFonts w:hint="eastAsia" w:ascii="仿宋_GB2312" w:hAnsi="仿宋_GB2312" w:eastAsia="仿宋_GB2312" w:cs="仿宋_GB2312"/>
          <w:b/>
          <w:sz w:val="32"/>
          <w:szCs w:val="32"/>
          <w:lang w:val="zh-CN"/>
        </w:rPr>
        <w:t xml:space="preserve">备注：1.</w:t>
      </w:r>
      <w:r>
        <w:rPr>
          <w:rFonts w:hint="eastAsia" w:ascii="仿宋_GB2312" w:hAnsi="仿宋_GB2312" w:eastAsia="仿宋_GB2312" w:cs="仿宋_GB2312"/>
          <w:b/>
          <w:sz w:val="32"/>
          <w:szCs w:val="32"/>
          <w:shd w:val="clear" w:color="auto" w:fill="ffffff"/>
        </w:rPr>
        <w:t xml:space="preserve">享受政府采购支持政策的残疾人福利性单位应当同时满足以下条件：</w:t>
      </w:r>
      <w:r/>
    </w:p>
    <w:p>
      <w:pPr>
        <w:ind w:firstLine="640"/>
        <w:spacing w:line="560" w:lineRule="exact"/>
        <w:widowControl/>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1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①</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安置的残疾人占本单位在职职工人数的比例不低于25%（含25%），并且安置的残疾人人数不少于10人（含10人）；</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2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②</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依法与安置的每位残疾人签订了一年以上（含一年）的劳动合同或服务协议；</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3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③</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为安置的每位残疾人按月足额缴纳了基本养老保险、基本医疗保险、失业保险、工伤保险和生育保险等社会保险费；</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4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④</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通过银行等金融机构向安置的每位残疾人，按月支付了不低于单位所在区县适用的经省级人民政府批准的月最低工资标准的工资；</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5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⑤</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提供本单位制造的货物、承担的工程或者服务（以下简称产品），或者提供其他残疾人福利性单位制造的货物（不包括使用非残疾人福利性单位注册商标的货物）。</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641"/>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2.中标单位为残疾人福利性单位的，《残疾人福利性单位声明函》将随中标结果同时公告。</w:t>
      </w:r>
      <w:r/>
    </w:p>
    <w:p>
      <w:pPr>
        <w:ind w:firstLine="641"/>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3.供应商提供的《残疾人福利性单位声明函》与事实不符的，依照《政府采购法》第七十七条第一款的规定追究法律责任。</w:t>
      </w:r>
      <w:r/>
    </w:p>
    <w:p>
      <w:pPr>
        <w:pStyle w:val="944"/>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br w:type="page" w:clear="all"/>
      </w:r>
      <w:r/>
    </w:p>
    <w:p>
      <w:pPr>
        <w:jc w:val="left"/>
        <w:spacing w:line="560" w:lineRule="exact"/>
        <w:rPr>
          <w:rFonts w:ascii="仿宋_GB2312" w:hAnsi="仿宋_GB2312" w:eastAsia="仿宋_GB2312" w:cs="仿宋_GB2312"/>
          <w:b/>
          <w:sz w:val="32"/>
          <w:szCs w:val="32"/>
        </w:rPr>
        <w:outlineLvl w:val="0"/>
      </w:pPr>
      <w:r/>
      <w:bookmarkStart w:id="58" w:name="_Toc165274512"/>
      <w:r/>
      <w:bookmarkStart w:id="59" w:name="_Toc105397786"/>
      <w:r>
        <w:rPr>
          <w:rFonts w:hint="eastAsia" w:ascii="仿宋_GB2312" w:hAnsi="仿宋_GB2312" w:eastAsia="仿宋_GB2312" w:cs="仿宋_GB2312"/>
          <w:b/>
          <w:sz w:val="32"/>
          <w:szCs w:val="32"/>
        </w:rPr>
        <w:t xml:space="preserve">附件6</w:t>
      </w:r>
      <w:bookmarkEnd w:id="58"/>
      <w:r/>
      <w:bookmarkEnd w:id="59"/>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rPr>
        <w:t xml:space="preserve">偏离表（技术、商务）</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偏离表（技术、商务）</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2"/>
        <w:gridCol w:w="1624"/>
        <w:gridCol w:w="1767"/>
        <w:gridCol w:w="1895"/>
        <w:gridCol w:w="1641"/>
        <w:gridCol w:w="1261"/>
      </w:tblGrid>
      <w:tr>
        <w:trPr>
          <w:trHeight w:val="760"/>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序号</w:t>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w:t>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招标要求</w:t>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投标内容</w:t>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偏离说明</w:t>
            </w:r>
            <w:r/>
          </w:p>
        </w:tc>
        <w:tc>
          <w:tcPr>
            <w:tcW w:w="714"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证明材料</w:t>
            </w:r>
            <w:r/>
          </w:p>
        </w:tc>
      </w:tr>
      <w:tr>
        <w:trPr>
          <w:cantSplit/>
          <w:trHeight w:val="495"/>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bl>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注：投标人针对本招标文件第四章“招标书”要求，在本表中列出响应内容，并在“偏离说明”项下填写以下内容：优于的，填写“正偏离”；符合的，填写“无偏离”；低于的，填写“负偏离”。</w:t>
      </w:r>
      <w:r>
        <w:rPr>
          <w:rFonts w:hint="eastAsia" w:ascii="仿宋_GB2312" w:hAnsi="仿宋_GB2312" w:eastAsia="仿宋_GB2312" w:cs="仿宋_GB2312"/>
          <w:b/>
          <w:sz w:val="32"/>
          <w:szCs w:val="32"/>
        </w:rPr>
        <w:t xml:space="preserve">未说明偏离的，将被认为响应招标文件的规定。</w:t>
      </w:r>
      <w:r>
        <w:rPr>
          <w:rFonts w:hint="eastAsia" w:ascii="仿宋_GB2312" w:hAnsi="仿宋_GB2312" w:eastAsia="仿宋_GB2312" w:cs="仿宋_GB2312"/>
          <w:sz w:val="32"/>
          <w:szCs w:val="32"/>
        </w:rPr>
        <w:t xml:space="preserve">但该表不作为投标人对所投标服务关于商务条款等详细描述和说明的替代。表格可根据实际情况自行调整、编辑。</w:t>
      </w:r>
      <w:r/>
    </w:p>
    <w:p>
      <w:pPr>
        <w:ind w:firstLine="320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3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）或代理人（电子签章）：</w:t>
      </w:r>
      <w:r/>
    </w:p>
    <w:p>
      <w:pPr>
        <w:ind w:firstLine="288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jc w:val="left"/>
        <w:spacing w:line="560" w:lineRule="exact"/>
        <w:rPr>
          <w:rFonts w:ascii="仿宋_GB2312" w:hAnsi="仿宋_GB2312" w:eastAsia="仿宋_GB2312" w:cs="仿宋_GB2312"/>
          <w:b/>
          <w:sz w:val="32"/>
          <w:szCs w:val="32"/>
        </w:rPr>
        <w:outlineLvl w:val="0"/>
      </w:pPr>
      <w:r/>
      <w:bookmarkStart w:id="60" w:name="_Toc233201694"/>
      <w:r>
        <w:rPr>
          <w:rFonts w:hint="eastAsia" w:ascii="仿宋_GB2312" w:hAnsi="仿宋_GB2312" w:eastAsia="仿宋_GB2312" w:cs="仿宋_GB2312"/>
          <w:b/>
          <w:sz w:val="32"/>
          <w:szCs w:val="32"/>
        </w:rPr>
        <w:t xml:space="preserve">附件7  项目服务人员配置表</w:t>
      </w:r>
      <w:bookmarkEnd w:id="60"/>
      <w:r/>
      <w:r/>
    </w:p>
    <w:tbl>
      <w:tblPr>
        <w:tblpPr w:horzAnchor="page" w:tblpX="1631" w:vertAnchor="text" w:tblpY="1291" w:leftFromText="180" w:topFromText="0" w:rightFromText="180" w:bottomFromText="0"/>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9"/>
        <w:gridCol w:w="1361"/>
        <w:gridCol w:w="1131"/>
        <w:gridCol w:w="1026"/>
        <w:gridCol w:w="1005"/>
        <w:gridCol w:w="1074"/>
        <w:gridCol w:w="1561"/>
        <w:gridCol w:w="1023"/>
      </w:tblGrid>
      <w:tr>
        <w:trPr>
          <w:trHeight w:val="760"/>
        </w:trPr>
        <w:tc>
          <w:tcPr>
            <w:tcW w:w="367"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序号</w:t>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岗位</w:t>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姓名</w:t>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性别</w:t>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年龄</w:t>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学历</w:t>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服务经验</w:t>
            </w:r>
            <w:r/>
          </w:p>
        </w:tc>
        <w:tc>
          <w:tcPr>
            <w:tcW w:w="579"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备注</w:t>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604"/>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bl>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项目服务人员配置表</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5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）或代理人（电子签章）：</w:t>
      </w:r>
      <w:r/>
    </w:p>
    <w:p>
      <w:pPr>
        <w:ind w:firstLine="288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clear="all"/>
      </w:r>
      <w:r/>
    </w:p>
    <w:p>
      <w:pPr>
        <w:jc w:val="left"/>
        <w:spacing w:line="560" w:lineRule="exact"/>
        <w:rPr>
          <w:rFonts w:ascii="仿宋_GB2312" w:hAnsi="仿宋_GB2312" w:eastAsia="仿宋_GB2312" w:cs="仿宋_GB2312"/>
          <w:b/>
          <w:sz w:val="32"/>
          <w:szCs w:val="32"/>
        </w:rPr>
        <w:outlineLvl w:val="0"/>
      </w:pPr>
      <w:r/>
      <w:bookmarkStart w:id="61" w:name="_Toc233201695"/>
      <w:r>
        <w:rPr>
          <w:rFonts w:hint="eastAsia" w:ascii="仿宋_GB2312" w:hAnsi="仿宋_GB2312" w:eastAsia="仿宋_GB2312" w:cs="仿宋_GB2312"/>
          <w:b/>
          <w:sz w:val="32"/>
          <w:szCs w:val="32"/>
        </w:rPr>
        <w:t xml:space="preserve">附件8  相关业绩一览表</w:t>
      </w:r>
      <w:bookmarkEnd w:id="61"/>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相关业绩一览表</w:t>
      </w:r>
      <w:r/>
    </w:p>
    <w:tbl>
      <w:tblPr>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57"/>
        <w:gridCol w:w="1872"/>
        <w:gridCol w:w="1873"/>
        <w:gridCol w:w="2229"/>
        <w:gridCol w:w="1694"/>
      </w:tblGrid>
      <w:tr>
        <w:trPr>
          <w:cantSplit/>
          <w:jc w:val="center"/>
          <w:trHeight w:val="740"/>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序号</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项目名称</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合同期</w:t>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合同金额</w:t>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备注</w:t>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bl>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注：若事项较多，投标人可根据投标内容的实际情况另纸说明。</w:t>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ind w:firstLine="320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19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法定代表人或代理人（</w:t>
      </w:r>
      <w:r>
        <w:rPr>
          <w:rFonts w:hint="eastAsia" w:ascii="仿宋_GB2312" w:hAnsi="仿宋_GB2312" w:eastAsia="仿宋_GB2312" w:cs="仿宋_GB2312"/>
          <w:sz w:val="32"/>
          <w:szCs w:val="32"/>
          <w:lang w:val="zh-CN"/>
        </w:rPr>
        <w:t xml:space="preserve">电子签章</w:t>
      </w:r>
      <w:r>
        <w:rPr>
          <w:rFonts w:hint="eastAsia" w:ascii="仿宋_GB2312" w:hAnsi="仿宋_GB2312" w:eastAsia="仿宋_GB2312" w:cs="仿宋_GB2312"/>
          <w:sz w:val="32"/>
          <w:szCs w:val="32"/>
        </w:rPr>
        <w:t xml:space="preserve">）：</w:t>
      </w:r>
      <w:r/>
    </w:p>
    <w:p>
      <w:pPr>
        <w:ind w:firstLine="288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jc w:val="left"/>
        <w:spacing w:line="560" w:lineRule="exact"/>
        <w:widowControl/>
        <w:rPr>
          <w:rFonts w:ascii="仿宋_GB2312" w:hAnsi="仿宋_GB2312" w:eastAsia="仿宋_GB2312" w:cs="仿宋_GB2312"/>
          <w:b/>
          <w:sz w:val="32"/>
          <w:szCs w:val="32"/>
        </w:rPr>
      </w:pPr>
      <w:r/>
      <w:bookmarkStart w:id="62" w:name="_Toc105397788"/>
      <w:r/>
      <w:bookmarkStart w:id="63" w:name="_Toc233201696"/>
      <w:r>
        <w:rPr>
          <w:rFonts w:hint="eastAsia" w:ascii="仿宋_GB2312" w:hAnsi="仿宋_GB2312" w:eastAsia="仿宋_GB2312" w:cs="仿宋_GB2312"/>
          <w:b/>
          <w:sz w:val="32"/>
          <w:szCs w:val="32"/>
        </w:rPr>
        <w:br w:type="page" w:clear="all"/>
      </w:r>
      <w:r/>
    </w:p>
    <w:p>
      <w:pPr>
        <w:jc w:val="left"/>
        <w:spacing w:line="560" w:lineRule="exact"/>
        <w:rPr>
          <w:rFonts w:ascii="仿宋_GB2312" w:hAnsi="仿宋_GB2312" w:eastAsia="仿宋_GB2312" w:cs="仿宋_GB2312"/>
          <w:b/>
          <w:sz w:val="32"/>
          <w:szCs w:val="32"/>
        </w:rPr>
        <w:outlineLvl w:val="0"/>
      </w:pPr>
      <w:r>
        <w:rPr>
          <w:rFonts w:hint="eastAsia" w:ascii="仿宋_GB2312" w:hAnsi="仿宋_GB2312" w:eastAsia="仿宋_GB2312" w:cs="仿宋_GB2312"/>
          <w:b/>
          <w:sz w:val="32"/>
          <w:szCs w:val="32"/>
        </w:rPr>
        <w:t xml:space="preserve">附件9  针对本项目的实施方案</w:t>
      </w:r>
      <w:bookmarkEnd w:id="62"/>
      <w:r/>
      <w:bookmarkEnd w:id="63"/>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针对本项目的实施方案</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835"/>
      </w:tblGrid>
      <w:tr>
        <w:trPr/>
        <w:tc>
          <w:tcPr>
            <w:tcW w:w="5000" w:type="pct"/>
            <w:textDirection w:val="lrTb"/>
            <w:noWrap w:val="false"/>
          </w:tcPr>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提示：</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1.投标人应针对本次招标项目特点制定详细的实施方案，可包括但不限于精准承保理赔方案、农业风险减量方案、保险服务创新方案等内容。</w:t>
            </w:r>
            <w:r/>
          </w:p>
          <w:p>
            <w:pPr>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2.供应商可根据自身情况编写，本页不够可另加页附后。</w:t>
            </w:r>
            <w:r/>
          </w:p>
        </w:tc>
      </w:tr>
      <w:tr>
        <w:trPr>
          <w:trHeight w:val="7785"/>
        </w:trPr>
        <w:tc>
          <w:tcPr>
            <w:tcW w:w="5000" w:type="pct"/>
            <w:textDirection w:val="lrTb"/>
            <w:noWrap w:val="false"/>
          </w:tcPr>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p>
        </w:tc>
      </w:tr>
    </w:tbl>
    <w:p>
      <w:pPr>
        <w:ind w:left="4830"/>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5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）或代理人（电子签章）：</w:t>
      </w:r>
      <w:r/>
    </w:p>
    <w:p>
      <w:pPr>
        <w:ind w:firstLine="35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clear="all"/>
      </w:r>
      <w:r/>
    </w:p>
    <w:p>
      <w:pPr>
        <w:jc w:val="left"/>
        <w:spacing w:line="560" w:lineRule="exact"/>
        <w:rPr>
          <w:rFonts w:ascii="仿宋_GB2312" w:hAnsi="仿宋_GB2312" w:eastAsia="仿宋_GB2312" w:cs="仿宋_GB2312"/>
          <w:b/>
          <w:sz w:val="32"/>
          <w:szCs w:val="32"/>
        </w:rPr>
        <w:outlineLvl w:val="0"/>
      </w:pPr>
      <w:r/>
      <w:bookmarkStart w:id="64" w:name="_Toc105397789"/>
      <w:r/>
      <w:bookmarkStart w:id="65" w:name="_Toc233201697"/>
      <w:r>
        <w:rPr>
          <w:rFonts w:hint="eastAsia" w:ascii="仿宋_GB2312" w:hAnsi="仿宋_GB2312" w:eastAsia="仿宋_GB2312" w:cs="仿宋_GB2312"/>
          <w:b/>
          <w:sz w:val="32"/>
          <w:szCs w:val="32"/>
        </w:rPr>
        <w:t xml:space="preserve">附件10  关于资格文件的声明函</w:t>
      </w:r>
      <w:bookmarkEnd w:id="64"/>
      <w:r/>
      <w:bookmarkEnd w:id="65"/>
      <w:r/>
      <w:r/>
    </w:p>
    <w:p>
      <w:pPr>
        <w:ind w:firstLine="420"/>
        <w:jc w:val="cente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关于资格文件的声明函</w:t>
      </w:r>
      <w:r/>
    </w:p>
    <w:p>
      <w:pPr>
        <w:ind w:firstLine="420"/>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苏州市政府集中采购中心</w:t>
      </w:r>
      <w:r>
        <w:rPr>
          <w:rFonts w:hint="eastAsia" w:ascii="仿宋_GB2312" w:hAnsi="仿宋_GB2312" w:eastAsia="仿宋_GB2312" w:cs="仿宋_GB2312"/>
          <w:sz w:val="32"/>
          <w:szCs w:val="32"/>
        </w:rPr>
        <w:t xml:space="preserve">：</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本公司愿就由贵中心组织实施的编号为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20"/>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20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3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）或代理人（电子签章）：</w:t>
      </w:r>
      <w:r/>
    </w:p>
    <w:p>
      <w:pPr>
        <w:ind w:firstLine="320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4"/>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5"/>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60" w:lineRule="exact"/>
        <w:rPr>
          <w:rFonts w:ascii="仿宋_GB2312" w:hAnsi="仿宋_GB2312" w:eastAsia="仿宋_GB2312" w:cs="仿宋_GB2312"/>
          <w:b/>
          <w:sz w:val="32"/>
          <w:szCs w:val="32"/>
          <w:lang w:val="zh-CN"/>
        </w:rPr>
        <w:outlineLvl w:val="1"/>
      </w:pPr>
      <w:r>
        <w:rPr>
          <w:rFonts w:ascii="仿宋_GB2312" w:hAnsi="仿宋_GB2312" w:eastAsia="仿宋_GB2312" w:cs="仿宋_GB2312"/>
          <w:b/>
          <w:sz w:val="32"/>
          <w:szCs w:val="32"/>
          <w:lang w:val="zh-CN"/>
        </w:rPr>
      </w:r>
      <w:r/>
    </w:p>
    <w:p>
      <w:pPr>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br w:type="page" w:clear="all"/>
      </w:r>
      <w:r/>
    </w:p>
    <w:p>
      <w:pPr>
        <w:jc w:val="center"/>
        <w:pageBreakBefore/>
        <w:spacing w:line="560" w:lineRule="exact"/>
        <w:rPr>
          <w:rFonts w:ascii="黑体" w:hAnsi="黑体" w:eastAsia="黑体" w:cs="黑体"/>
          <w:bCs/>
          <w:sz w:val="32"/>
          <w:szCs w:val="32"/>
        </w:rPr>
        <w:outlineLvl w:val="0"/>
      </w:pPr>
      <w:r/>
      <w:bookmarkStart w:id="66" w:name="_Toc74050522"/>
      <w:r/>
      <w:bookmarkStart w:id="67" w:name="_Toc13642115"/>
      <w:r/>
      <w:bookmarkStart w:id="68" w:name="_Toc41641138"/>
      <w:r/>
      <w:bookmarkStart w:id="69" w:name="_Toc16752"/>
      <w:r/>
      <w:bookmarkStart w:id="70" w:name="_Toc65593821"/>
      <w:r/>
      <w:bookmarkStart w:id="71" w:name="_Toc212815975"/>
      <w:r>
        <w:rPr>
          <w:rFonts w:hint="eastAsia" w:ascii="黑体" w:hAnsi="黑体" w:eastAsia="黑体" w:cs="黑体"/>
          <w:bCs/>
          <w:sz w:val="32"/>
          <w:szCs w:val="32"/>
        </w:rPr>
        <w:t xml:space="preserve">第四章 </w:t>
      </w:r>
      <w:bookmarkStart w:id="72" w:name="_Toc13543212"/>
      <w:r/>
      <w:bookmarkEnd w:id="66"/>
      <w:r/>
      <w:bookmarkEnd w:id="67"/>
      <w:r/>
      <w:bookmarkEnd w:id="68"/>
      <w:r/>
      <w:bookmarkEnd w:id="69"/>
      <w:r/>
      <w:bookmarkEnd w:id="70"/>
      <w:r>
        <w:rPr>
          <w:rFonts w:hint="eastAsia" w:ascii="黑体" w:hAnsi="黑体" w:eastAsia="黑体" w:cs="黑体"/>
          <w:bCs/>
          <w:sz w:val="32"/>
          <w:szCs w:val="32"/>
        </w:rPr>
        <w:t xml:space="preserve">采购需求</w:t>
      </w:r>
      <w:bookmarkEnd w:id="71"/>
      <w:r/>
      <w:bookmarkEnd w:id="72"/>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苏州市财政局</w:t>
      </w:r>
      <w:r>
        <w:rPr>
          <w:rFonts w:hint="eastAsia" w:ascii="仿宋_GB2312" w:hAnsi="仿宋_GB2312" w:eastAsia="仿宋_GB2312" w:cs="仿宋_GB2312"/>
          <w:sz w:val="32"/>
          <w:szCs w:val="32"/>
        </w:rPr>
        <w:t xml:space="preserve">就</w:t>
      </w:r>
      <w:r>
        <w:rPr>
          <w:rFonts w:hint="eastAsia" w:ascii="仿宋_GB2312" w:hAnsi="仿宋_GB2312" w:eastAsia="仿宋_GB2312" w:cs="仿宋_GB2312"/>
          <w:sz w:val="32"/>
          <w:szCs w:val="32"/>
          <w:u w:val="single"/>
        </w:rPr>
        <w:t xml:space="preserve"> 苏州市政策性农业保险承保机构遴选</w:t>
      </w:r>
      <w:r>
        <w:rPr>
          <w:rFonts w:hint="eastAsia" w:ascii="仿宋_GB2312" w:hAnsi="仿宋_GB2312" w:eastAsia="仿宋_GB2312" w:cs="仿宋_GB2312"/>
          <w:sz w:val="32"/>
          <w:szCs w:val="32"/>
        </w:rPr>
        <w:t xml:space="preserve">项目</w:t>
      </w:r>
      <w:r>
        <w:rPr>
          <w:rFonts w:hint="eastAsia" w:ascii="仿宋_GB2312" w:hAnsi="仿宋_GB2312" w:eastAsia="仿宋_GB2312" w:cs="仿宋_GB2312"/>
          <w:sz w:val="32"/>
          <w:szCs w:val="32"/>
        </w:rPr>
        <w:t xml:space="preserve">采用框架协议方式进行采购，现欢迎符合相关条件的供应商参加本次征集活动。</w:t>
      </w:r>
      <w:r/>
    </w:p>
    <w:p>
      <w:pPr>
        <w:ind w:firstLine="640"/>
        <w:spacing w:line="560" w:lineRule="exact"/>
        <w:widowControl/>
        <w:rPr>
          <w:rFonts w:ascii="楷体_GB2312" w:hAnsi="楷体_GB2312" w:eastAsia="楷体_GB2312" w:cs="楷体_GB2312"/>
          <w:bCs/>
          <w:sz w:val="32"/>
          <w:szCs w:val="32"/>
        </w:rPr>
      </w:pPr>
      <w:r/>
      <w:bookmarkStart w:id="73" w:name="_Toc13642116"/>
      <w:r>
        <w:rPr>
          <w:rFonts w:hint="eastAsia" w:ascii="楷体_GB2312" w:hAnsi="楷体_GB2312" w:eastAsia="楷体_GB2312" w:cs="楷体_GB2312"/>
          <w:bCs/>
          <w:sz w:val="32"/>
          <w:szCs w:val="32"/>
        </w:rPr>
        <w:t xml:space="preserve">一、项目编号：</w:t>
      </w:r>
      <w:r>
        <w:rPr>
          <w:rFonts w:ascii="楷体_GB2312" w:hAnsi="楷体_GB2312" w:eastAsia="楷体_GB2312" w:cs="楷体_GB2312"/>
          <w:bCs/>
          <w:sz w:val="32"/>
          <w:szCs w:val="32"/>
        </w:rPr>
        <w:t xml:space="preserve">JSZC-320500-JZCG-K2026-0239</w:t>
      </w:r>
      <w:r/>
    </w:p>
    <w:p>
      <w:pPr>
        <w:ind w:firstLine="640"/>
        <w:spacing w:line="560" w:lineRule="exact"/>
        <w:widowControl/>
        <w:rPr>
          <w:rFonts w:ascii="仿宋_GB2312" w:hAnsi="仿宋_GB2312" w:eastAsia="仿宋_GB2312" w:cs="仿宋_GB2312"/>
          <w:sz w:val="32"/>
          <w:szCs w:val="32"/>
        </w:rPr>
      </w:pPr>
      <w:r>
        <w:rPr>
          <w:rFonts w:hint="eastAsia" w:ascii="楷体_GB2312" w:hAnsi="楷体_GB2312" w:eastAsia="楷体_GB2312" w:cs="楷体_GB2312"/>
          <w:bCs/>
          <w:sz w:val="32"/>
          <w:szCs w:val="32"/>
        </w:rPr>
        <w:t xml:space="preserve">二、项目名称：</w:t>
      </w:r>
      <w:r>
        <w:rPr>
          <w:rFonts w:hint="eastAsia" w:ascii="仿宋_GB2312" w:hAnsi="仿宋_GB2312" w:eastAsia="仿宋_GB2312" w:cs="仿宋_GB2312"/>
          <w:sz w:val="32"/>
          <w:szCs w:val="32"/>
        </w:rPr>
        <w:t xml:space="preserve">苏州市政策性农业保险承保机构遴选</w:t>
      </w:r>
      <w:r/>
    </w:p>
    <w:p>
      <w:pPr>
        <w:ind w:firstLine="640"/>
        <w:spacing w:line="560" w:lineRule="exact"/>
        <w:widowControl/>
        <w:rPr>
          <w:rFonts w:ascii="仿宋_GB2312" w:hAnsi="仿宋_GB2312" w:eastAsia="仿宋_GB2312" w:cs="仿宋_GB2312"/>
          <w:b/>
          <w:sz w:val="32"/>
          <w:szCs w:val="32"/>
        </w:rPr>
      </w:pPr>
      <w:r>
        <w:rPr>
          <w:rFonts w:hint="eastAsia" w:ascii="楷体_GB2312" w:hAnsi="楷体_GB2312" w:eastAsia="楷体_GB2312" w:cs="楷体_GB2312"/>
          <w:bCs/>
          <w:sz w:val="32"/>
          <w:szCs w:val="32"/>
        </w:rPr>
        <w:t xml:space="preserve">三、预算金额：</w:t>
      </w:r>
      <w:r>
        <w:rPr>
          <w:rFonts w:hint="eastAsia" w:ascii="仿宋_GB2312" w:hAnsi="仿宋_GB2312" w:eastAsia="仿宋_GB2312" w:cs="仿宋_GB2312"/>
          <w:sz w:val="32"/>
          <w:szCs w:val="32"/>
        </w:rPr>
        <w:t xml:space="preserve">人民币壹元整（¥1.00）</w:t>
      </w:r>
      <w:r/>
    </w:p>
    <w:p>
      <w:pPr>
        <w:ind w:firstLine="641"/>
        <w:spacing w:line="560" w:lineRule="exact"/>
        <w:tabs>
          <w:tab w:val="left" w:pos="420" w:leader="none"/>
        </w:tabs>
        <w:rPr>
          <w:rFonts w:ascii="仿宋_GB2312" w:hAnsi="仿宋_GB2312" w:eastAsia="仿宋_GB2312" w:cs="仿宋_GB2312"/>
          <w:b/>
          <w:sz w:val="32"/>
          <w:szCs w:val="32"/>
        </w:rPr>
      </w:pPr>
      <w:r>
        <w:rPr>
          <w:rFonts w:hint="eastAsia" w:ascii="仿宋_GB2312" w:hAnsi="仿宋_GB2312" w:eastAsia="仿宋_GB2312" w:cs="仿宋_GB2312"/>
          <w:b/>
          <w:sz w:val="32"/>
          <w:szCs w:val="32"/>
          <w:lang w:val="zh-CN"/>
        </w:rPr>
        <w:t xml:space="preserve">由于政策性农业保险执行省市统一的保险条款、费率、保险金额</w:t>
      </w:r>
      <w:r>
        <w:rPr>
          <w:rFonts w:hint="eastAsia" w:ascii="仿宋_GB2312" w:hAnsi="仿宋_GB2312" w:eastAsia="仿宋_GB2312" w:cs="仿宋_GB2312"/>
          <w:b/>
          <w:sz w:val="32"/>
          <w:szCs w:val="32"/>
        </w:rPr>
        <w:t xml:space="preserve">，开标一览表中统一填报价格为</w:t>
      </w:r>
      <w:r>
        <w:rPr>
          <w:rFonts w:hint="eastAsia" w:ascii="仿宋_GB2312" w:hAnsi="仿宋_GB2312" w:eastAsia="仿宋_GB2312" w:cs="仿宋_GB2312"/>
          <w:b/>
          <w:sz w:val="32"/>
          <w:szCs w:val="32"/>
        </w:rPr>
        <w:t xml:space="preserve">预算</w:t>
      </w:r>
      <w:r>
        <w:rPr>
          <w:rFonts w:hint="eastAsia" w:ascii="仿宋_GB2312" w:hAnsi="仿宋_GB2312" w:eastAsia="仿宋_GB2312" w:cs="仿宋_GB2312"/>
          <w:b/>
          <w:sz w:val="32"/>
          <w:szCs w:val="32"/>
        </w:rPr>
        <w:t xml:space="preserve">金额</w:t>
      </w:r>
      <w:r>
        <w:rPr>
          <w:rFonts w:hint="eastAsia" w:ascii="仿宋_GB2312" w:hAnsi="仿宋_GB2312" w:eastAsia="仿宋_GB2312" w:cs="仿宋_GB2312"/>
          <w:b/>
          <w:sz w:val="32"/>
          <w:szCs w:val="32"/>
        </w:rPr>
        <w:t xml:space="preserve">，评分标准中不设价格评分。具体收费根据国家政策性农业保险条款费率按实际情况收取保费。</w:t>
      </w:r>
      <w:r/>
    </w:p>
    <w:p>
      <w:pPr>
        <w:ind w:firstLine="640"/>
        <w:spacing w:line="560" w:lineRule="exact"/>
        <w:widowControl/>
        <w:rPr>
          <w:rFonts w:ascii="仿宋_GB2312" w:hAnsi="仿宋_GB2312" w:eastAsia="仿宋_GB2312" w:cs="仿宋_GB2312"/>
          <w:sz w:val="32"/>
          <w:szCs w:val="32"/>
        </w:rPr>
      </w:pPr>
      <w:r>
        <w:rPr>
          <w:rFonts w:hint="eastAsia" w:ascii="楷体_GB2312" w:hAnsi="楷体_GB2312" w:eastAsia="楷体_GB2312" w:cs="楷体_GB2312"/>
          <w:bCs/>
          <w:sz w:val="32"/>
          <w:szCs w:val="32"/>
        </w:rPr>
        <w:t xml:space="preserve">四、合同履行期限：</w:t>
      </w:r>
      <w:r>
        <w:rPr>
          <w:rFonts w:hint="eastAsia" w:ascii="仿宋_GB2312" w:hAnsi="仿宋_GB2312" w:eastAsia="仿宋_GB2312" w:cs="仿宋_GB2312"/>
          <w:sz w:val="32"/>
          <w:szCs w:val="32"/>
        </w:rPr>
        <w:t xml:space="preserve">自2027年1月1日起，承保服务期限为3年，理赔服务期限至全部保险合同的保险责任终止。</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五、采购内容：</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（一）征集项目简要说明</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依据《中央财政农业保险保费补贴管理办法》（财金〔2021〕130号）《财政部、农业农村部关于加强政策性农业保险承保机构遴选管理工作的通知》（财金〔2020〕128号）、《江苏省省级财政农业保险保费补贴管理办法》（苏财规〔2022〕6号）、《关于做好政策性农业保险承保机构遴选工作的通知》（苏财金〔2021〕42号）等文件要求，进一步完</w:t>
      </w:r>
      <w:r>
        <w:rPr>
          <w:rFonts w:hint="eastAsia" w:ascii="仿宋_GB2312" w:hAnsi="仿宋_GB2312" w:eastAsia="仿宋_GB2312" w:cs="仿宋_GB2312"/>
          <w:sz w:val="32"/>
          <w:szCs w:val="32"/>
        </w:rPr>
        <w:t xml:space="preserve">善政策性农业保险工作机制和发展机制，开展政策性农业保险承保机构遴选活动。</w:t>
      </w:r>
      <w:r/>
    </w:p>
    <w:p>
      <w:pPr>
        <w:ind w:firstLine="640"/>
        <w:spacing w:line="560" w:lineRule="exact"/>
        <w:tabs>
          <w:tab w:val="left" w:pos="42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（二）采购需求</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江苏省相关遴选文件规定，本次遴选活动由苏州市财政局牵头，会同苏州市农业农村局联合组织。结合遴选区域农业产业结构、保费规模、保险服务成本等实际情况，以乡镇街道为单位，将市辖区内涉农乡镇（街道）统筹划分为5个服务区域，遴选不超过5家供应商，按照农业保险政策制度的规定，在中选区域内为农民、农业生产经营组织等主体提供全流程承保、理赔及风险减量等服务。</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（三）商务要求</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1.履约期限：</w:t>
      </w:r>
      <w:r>
        <w:rPr>
          <w:rFonts w:hint="eastAsia" w:ascii="仿宋_GB2312" w:hAnsi="仿宋_GB2312" w:eastAsia="仿宋_GB2312" w:cs="仿宋_GB2312"/>
          <w:sz w:val="32"/>
          <w:szCs w:val="32"/>
        </w:rPr>
        <w:t xml:space="preserve">自2027年1月1日起，承保服务期限为3年，理赔服务期限至全部保险合同的保险责任终止</w:t>
      </w:r>
      <w:r>
        <w:rPr>
          <w:rFonts w:hint="eastAsia" w:ascii="仿宋_GB2312" w:hAnsi="仿宋_GB2312" w:eastAsia="仿宋_GB2312" w:cs="仿宋_GB2312"/>
          <w:sz w:val="32"/>
          <w:szCs w:val="32"/>
        </w:rPr>
        <w:t xml:space="preserve">；</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2.付款方式：</w:t>
      </w:r>
      <w:r/>
    </w:p>
    <w:p>
      <w:pPr>
        <w:ind w:firstLine="420"/>
        <w:jc w:val="left"/>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投保农户承担的保费由供应商负责收取。各级财政保费补贴资金由供应商按季度或根据承保工作进度向区（乡镇、街道）财政部门申请，按年度结算。</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（四）其他要求（</w:t>
      </w:r>
      <w:r>
        <w:rPr>
          <w:rFonts w:hint="eastAsia" w:ascii="仿宋_GB2312" w:hAnsi="仿宋_GB2312" w:eastAsia="仿宋_GB2312" w:cs="仿宋_GB2312"/>
          <w:sz w:val="32"/>
          <w:szCs w:val="32"/>
          <w:shd w:val="clear" w:color="auto" w:fill="ffffff"/>
        </w:rPr>
        <w:t xml:space="preserve">服务保障要求</w:t>
      </w:r>
      <w:r>
        <w:rPr>
          <w:rFonts w:hint="eastAsia" w:ascii="仿宋_GB2312" w:hAnsi="仿宋_GB2312" w:eastAsia="仿宋_GB2312" w:cs="仿宋_GB2312"/>
          <w:sz w:val="32"/>
          <w:szCs w:val="32"/>
        </w:rPr>
        <w:t xml:space="preserve">）</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供应商应拥有健全的基层服务网络，具备开展承保、理赔服务所需的设备与专业技术能力，能够深入农户开展农业保险政策的宣传、推动、承保、查勘定损、无害化处理、理赔及风险减量工作。</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1.区级服务机构设置农业保险责任部门，配置专门人员，落实展业、核保、出单、查勘、核赔、定损、财务、统计、档案等具体工作，专门人员的业务素质与数量需充分满足服务工作要求。</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2.建设乡镇服务网点，安排专兼职服务人员，深入农村为农户提供涵盖风险预警、风险管控、救灾减损、恢复生产等内容的农业风险减量服务，保障农业高质量发展。</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3.主动与基层组织沟通，选聘必要的保险协办人员（协保员），协办人员（协保员）信息书面报监管部门备案。</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4.及时完成相关人员培训工作，专业人员的业务素质与数量需充分满足本项目相关条件及服务要求。</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 xml:space="preserve">5.推进农业保险业务线上化、数字化和智能化，利用微信小程序、农险 APP，鼓励农户线上投保、线上报案，探索验标、查勘定损、支付赔款、存档、监管等全流程线上化。</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（五）履约验收基本要求</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采购人（征集人）将根据《江苏省财政厅关于印发&lt;江苏省政府采购履约验收管理办法&gt;的通知》（苏财规〔2024〕7号）相关要求，制定苏州市政策性农业保险承保机构履约服务评价办法，组织项目履约验收基本工作。</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2.征集文件、响应文件、框架协议、合同等是履约验收工作的重要依据。在政府采购合同约定的履行验收条件达到时，中标单位可以主动联系采购人启动履约验收工作。</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3.采购人在组织履约验收前，将根据项目特点制定验收方案，明确履约验收的时间、方式、程序等内容。中标单位应根据验收方案内容做好相应配合工作。</w:t>
      </w:r>
      <w:r/>
    </w:p>
    <w:p>
      <w:pPr>
        <w:ind w:firstLine="640"/>
        <w:jc w:val="left"/>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4.采购人（征集人）将按照验收标准要求组织验收，验收内容和标准至少包括服务质量、用户满意度、服务过程文档资料、数据准确性等内容。</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六、政府采购政策</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1.小、微企业</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仿宋_GB2312" w:hAnsi="仿宋_GB2312" w:eastAsia="仿宋_GB2312" w:cs="仿宋_GB2312"/>
          <w:b/>
          <w:sz w:val="32"/>
          <w:szCs w:val="32"/>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w:t>
      </w:r>
      <w:r>
        <w:rPr>
          <w:rFonts w:hint="eastAsia" w:ascii="仿宋_GB2312" w:hAnsi="仿宋_GB2312" w:eastAsia="仿宋_GB2312" w:cs="仿宋_GB2312"/>
          <w:sz w:val="32"/>
          <w:szCs w:val="32"/>
        </w:rPr>
        <w:t xml:space="preserve">同的从业人员。</w:t>
      </w:r>
      <w:r>
        <w:rPr>
          <w:rFonts w:hint="eastAsia" w:ascii="仿宋_GB2312" w:hAnsi="仿宋_GB2312" w:eastAsia="仿宋_GB2312" w:cs="仿宋_GB2312"/>
          <w:b/>
          <w:sz w:val="32"/>
          <w:szCs w:val="32"/>
        </w:rPr>
        <w:t xml:space="preserve">服务类项目中供应商若使用退休人员，将不享受相关扶持政策。</w:t>
      </w:r>
      <w:r/>
    </w:p>
    <w:p>
      <w:pPr>
        <w:ind w:firstLine="641"/>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根据《政府采购促进中小企业发展管理办法》（财库〔2020〕46号）及《中小企业划型标准规定》（工信部联企业〔2011〕300号），本采购项目对应的中小企业划分标准所属行业为：</w:t>
      </w:r>
      <w:r>
        <w:rPr>
          <w:rFonts w:hint="eastAsia" w:ascii="仿宋_GB2312" w:hAnsi="仿宋_GB2312" w:eastAsia="仿宋_GB2312" w:cs="仿宋_GB2312"/>
          <w:b/>
          <w:bCs/>
          <w:sz w:val="32"/>
          <w:szCs w:val="32"/>
        </w:rPr>
        <w:t xml:space="preserve">租赁和商务服务业</w:t>
      </w:r>
      <w:r>
        <w:rPr>
          <w:rFonts w:hint="eastAsia" w:ascii="仿宋_GB2312" w:hAnsi="仿宋_GB2312" w:eastAsia="仿宋_GB2312" w:cs="仿宋_GB2312"/>
          <w:b/>
          <w:bCs/>
          <w:sz w:val="32"/>
          <w:szCs w:val="32"/>
        </w:rPr>
        <w:t xml:space="preserve">。</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2.残疾人福利性单位</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3.监狱企业</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4.绿色采购</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（1）根据《关于调整优化节能产品、环境标志产品政府采购执行机制的通知》（财库〔2019〕9号）等相关文件的规定，</w:t>
      </w:r>
      <w:r>
        <w:rPr>
          <w:rFonts w:hint="eastAsia" w:ascii="仿宋_GB2312" w:hAnsi="仿宋_GB2312" w:eastAsia="仿宋_GB2312" w:cs="仿宋_GB2312"/>
          <w:b/>
          <w:sz w:val="32"/>
          <w:szCs w:val="32"/>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七、关于对参与供应商信用记录的政府采购要求</w:t>
      </w:r>
      <w:r/>
    </w:p>
    <w:p>
      <w:pPr>
        <w:ind w:firstLine="640"/>
        <w:spacing w:line="560" w:lineRule="exact"/>
        <w:tabs>
          <w:tab w:val="left" w:pos="42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1.采购代理机构会在接收响应文件截止时间后，登录信用中</w:t>
      </w:r>
      <w:r>
        <w:rPr>
          <w:rFonts w:hint="eastAsia" w:ascii="仿宋_GB2312" w:hAnsi="仿宋_GB2312" w:eastAsia="仿宋_GB2312" w:cs="仿宋_GB2312"/>
          <w:sz w:val="32"/>
          <w:szCs w:val="32"/>
        </w:rPr>
        <w:t xml:space="preserve">国网站（www.creditchina.gov.cn/）和中国政府采购网（www.ccgp.gov.cn/）查询供应商的信用记录，并将查询结果递交评审小组。</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2.采购过程中将对供应商信用记录进行甄别，</w:t>
      </w:r>
      <w:bookmarkStart w:id="74" w:name="OLE_LINK24"/>
      <w:r/>
      <w:bookmarkStart w:id="75" w:name="OLE_LINK16"/>
      <w:r>
        <w:rPr>
          <w:rFonts w:hint="eastAsia" w:ascii="仿宋_GB2312" w:hAnsi="仿宋_GB2312" w:eastAsia="仿宋_GB2312" w:cs="仿宋_GB2312"/>
          <w:sz w:val="32"/>
          <w:szCs w:val="32"/>
        </w:rPr>
        <w:t xml:space="preserve">对列入失信被执行人、重大税收违法案件当事人名单、政府采购严重违法失信行为记录名单及其他不符合《中华人民共和国政府采购法》第二十二条规定条件的供应商，应当拒绝其参与政府采购活动。</w:t>
      </w:r>
      <w:bookmarkEnd w:id="74"/>
      <w:r/>
      <w:bookmarkEnd w:id="75"/>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3.供应商若在经营活动中受到罚款的，请携带相关地方、部门对较大数额认定标准的证明材料，与响应文件一并提交。若无法提供，则可能承担响应无效等相应不利后果。</w:t>
      </w:r>
      <w:r/>
    </w:p>
    <w:p>
      <w:pPr>
        <w:ind w:firstLine="640"/>
        <w:spacing w:line="560" w:lineRule="exact"/>
        <w:tabs>
          <w:tab w:val="left" w:pos="42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4.对存在失信信息的供应商，由失信供应商进行确认。同时，采购代理机构工作人员应根据评审小组确认的失信信息，登录到相关来源网站页面进行复核并打印，作为证据留存。</w:t>
      </w:r>
      <w:r/>
    </w:p>
    <w:p>
      <w:pPr>
        <w:ind w:firstLine="640"/>
        <w:spacing w:line="560" w:lineRule="exact"/>
        <w:tabs>
          <w:tab w:val="left" w:pos="420" w:leader="none"/>
        </w:tabs>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八、凡涉及征集文件的补充说明和修改，均以网上发布的通知为准。</w:t>
      </w:r>
      <w:bookmarkStart w:id="76" w:name="_Toc28694"/>
      <w:r/>
      <w:bookmarkStart w:id="77" w:name="_Toc65593823"/>
      <w:r/>
      <w:bookmarkStart w:id="78" w:name="_Toc41641140"/>
      <w:r/>
      <w:bookmarkEnd w:id="73"/>
      <w:r/>
      <w:r/>
    </w:p>
    <w:p>
      <w:pPr>
        <w:jc w:val="left"/>
        <w:spacing w:line="560" w:lineRule="exact"/>
        <w:widowControl/>
        <w:rPr>
          <w:rFonts w:ascii="楷体_GB2312" w:hAnsi="楷体_GB2312" w:eastAsia="楷体_GB2312" w:cs="楷体_GB2312"/>
          <w:bCs/>
          <w:sz w:val="32"/>
          <w:szCs w:val="32"/>
        </w:rPr>
      </w:pPr>
      <w:r/>
      <w:bookmarkStart w:id="79" w:name="_Toc212815976"/>
      <w:r>
        <w:rPr>
          <w:rFonts w:hint="eastAsia" w:ascii="楷体_GB2312" w:hAnsi="楷体_GB2312" w:eastAsia="楷体_GB2312" w:cs="楷体_GB2312"/>
          <w:bCs/>
          <w:sz w:val="32"/>
          <w:szCs w:val="32"/>
        </w:rPr>
        <w:br w:type="page" w:clear="all"/>
      </w:r>
      <w:r/>
    </w:p>
    <w:p>
      <w:pPr>
        <w:jc w:val="center"/>
        <w:keepLines/>
        <w:keepNext/>
        <w:spacing w:line="560" w:lineRule="exact"/>
        <w:rPr>
          <w:rFonts w:ascii="黑体" w:hAnsi="黑体" w:eastAsia="黑体" w:cs="黑体"/>
          <w:sz w:val="32"/>
          <w:szCs w:val="32"/>
        </w:rPr>
        <w:outlineLvl w:val="0"/>
      </w:pPr>
      <w:r>
        <w:rPr>
          <w:rFonts w:hint="eastAsia" w:ascii="黑体" w:hAnsi="黑体" w:eastAsia="黑体" w:cs="黑体"/>
          <w:sz w:val="32"/>
          <w:szCs w:val="32"/>
        </w:rPr>
        <w:t xml:space="preserve">第五章 框架协议文本</w:t>
      </w:r>
      <w:bookmarkStart w:id="80" w:name="_Toc513029243"/>
      <w:r/>
      <w:bookmarkStart w:id="81" w:name="_Toc20823315"/>
      <w:r/>
      <w:bookmarkStart w:id="82" w:name="_Toc16938559"/>
      <w:r/>
      <w:bookmarkEnd w:id="79"/>
      <w:r/>
      <w:r/>
    </w:p>
    <w:p>
      <w:pPr>
        <w:jc w:val="center"/>
        <w:spacing w:line="560" w:lineRule="exact"/>
        <w:rPr>
          <w:rFonts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苏州市政策性农业保险服务框架协议</w:t>
      </w:r>
      <w:r/>
    </w:p>
    <w:p>
      <w:pPr>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项目名称：</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项目编号：</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甲方：</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地址：</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电话：</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乙方：</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地址：</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电话：</w:t>
      </w:r>
      <w:r/>
    </w:p>
    <w:p>
      <w:pPr>
        <w:ind w:left="-210" w:firstLine="640"/>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560" w:lineRule="exact"/>
        <w:rPr>
          <w:rFonts w:ascii="仿宋_GB2312" w:hAnsi="仿宋_GB2312" w:eastAsia="仿宋_GB2312" w:cs="仿宋_GB2312"/>
          <w:sz w:val="32"/>
          <w:szCs w:val="32"/>
        </w:rPr>
      </w:pPr>
      <w:r/>
      <w:bookmarkStart w:id="83" w:name="_Hlt16619369"/>
      <w:r/>
      <w:bookmarkEnd w:id="80"/>
      <w:r/>
      <w:bookmarkEnd w:id="81"/>
      <w:r/>
      <w:bookmarkEnd w:id="82"/>
      <w:r/>
      <w:bookmarkEnd w:id="83"/>
      <w:r>
        <w:rPr>
          <w:rFonts w:hint="eastAsia" w:ascii="仿宋_GB2312" w:hAnsi="仿宋_GB2312" w:eastAsia="仿宋_GB2312" w:cs="仿宋_GB2312"/>
          <w:sz w:val="32"/>
          <w:szCs w:val="32"/>
        </w:rPr>
        <w:t xml:space="preserve">根据《中华人民共和国民法典》和《中华人民共和国政府采购法》等有关法律法规，依据</w:t>
      </w:r>
      <w:r>
        <w:rPr>
          <w:rFonts w:hint="eastAsia" w:ascii="仿宋_GB2312" w:hAnsi="仿宋_GB2312" w:eastAsia="仿宋_GB2312" w:cs="仿宋_GB2312"/>
          <w:sz w:val="32"/>
          <w:szCs w:val="32"/>
          <w:u w:val="single"/>
        </w:rPr>
        <w:t xml:space="preserve">苏州市政策性农业保险承保机构遴选</w:t>
      </w:r>
      <w:r>
        <w:rPr>
          <w:rFonts w:hint="eastAsia" w:ascii="仿宋_GB2312" w:hAnsi="仿宋_GB2312" w:eastAsia="仿宋_GB2312" w:cs="仿宋_GB2312"/>
          <w:sz w:val="32"/>
          <w:szCs w:val="32"/>
        </w:rPr>
        <w:t xml:space="preserve">项目框架协议采购的结果，甲乙双方签署本协议。</w:t>
      </w:r>
      <w:r/>
    </w:p>
    <w:p>
      <w:pPr>
        <w:ind w:firstLine="641"/>
        <w:spacing w:line="560" w:lineRule="exact"/>
        <w:rPr>
          <w:rFonts w:ascii="仿宋_GB2312" w:hAnsi="仿宋_GB2312" w:eastAsia="仿宋_GB2312" w:cs="仿宋_GB2312"/>
          <w:b/>
          <w:bCs/>
          <w:sz w:val="32"/>
          <w:szCs w:val="32"/>
        </w:rPr>
        <w:outlineLvl w:val="0"/>
      </w:pPr>
      <w:r>
        <w:rPr>
          <w:rFonts w:hint="eastAsia" w:ascii="仿宋_GB2312" w:hAnsi="仿宋_GB2312" w:eastAsia="仿宋_GB2312" w:cs="仿宋_GB2312"/>
          <w:b/>
          <w:bCs/>
          <w:sz w:val="32"/>
          <w:szCs w:val="32"/>
        </w:rPr>
        <w:t xml:space="preserve">1.定义</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除非另有特别约定，在本协议以及与本协议有关的甲乙双方另行签订的其他文件中，按以下定义进行解释：</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1.1“协议”是指甲方和乙方已达成的协议，即由双方签订的协议格式中的文件，包括所有的附件、附录和组成协议部分的所有其他文件。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1.2“服务”是指本协议约定的，乙方按照农业保险政策要求，提供农业保险的宣传推动、承保出单、定损理赔、防灾减损</w:t>
      </w:r>
      <w:r>
        <w:rPr>
          <w:rFonts w:hint="eastAsia" w:ascii="仿宋_GB2312" w:hAnsi="仿宋_GB2312" w:eastAsia="仿宋_GB2312" w:cs="仿宋_GB2312"/>
          <w:sz w:val="32"/>
          <w:szCs w:val="32"/>
        </w:rPr>
        <w:t xml:space="preserve">等服务工作的总称。</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1.3“被保险人”是指按本协议约定在乙方处投保农业保险的家庭农场、种养大户、农民专业合作社、农业企业等主体（以下简称“农户”）。</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1.4“工作日”是指除公休日和国家法定节假日以外的日历日。</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1.5“附件”是指与本协议的订立、履行有关的，经甲乙双方认可的，对本协议约定的内容进行细化、补充的文件资料。</w:t>
      </w:r>
      <w:r/>
    </w:p>
    <w:p>
      <w:pPr>
        <w:ind w:firstLine="641"/>
        <w:spacing w:line="560" w:lineRule="exact"/>
        <w:rPr>
          <w:rFonts w:ascii="仿宋_GB2312" w:hAnsi="仿宋_GB2312" w:eastAsia="仿宋_GB2312" w:cs="仿宋_GB2312"/>
          <w:b/>
          <w:bCs/>
          <w:sz w:val="32"/>
          <w:szCs w:val="32"/>
        </w:rPr>
        <w:outlineLvl w:val="0"/>
      </w:pPr>
      <w:r/>
      <w:bookmarkStart w:id="84" w:name="_Toc27907"/>
      <w:r/>
      <w:bookmarkStart w:id="85" w:name="_Toc27179"/>
      <w:r/>
      <w:bookmarkStart w:id="86" w:name="_Toc29491"/>
      <w:r>
        <w:rPr>
          <w:rFonts w:hint="eastAsia" w:ascii="仿宋_GB2312" w:hAnsi="仿宋_GB2312" w:eastAsia="仿宋_GB2312" w:cs="仿宋_GB2312"/>
          <w:b/>
          <w:bCs/>
          <w:sz w:val="32"/>
          <w:szCs w:val="32"/>
        </w:rPr>
        <w:t xml:space="preserve">2.适用范围</w:t>
      </w:r>
      <w:bookmarkEnd w:id="84"/>
      <w:r/>
      <w:bookmarkEnd w:id="85"/>
      <w:r/>
      <w:bookmarkEnd w:id="86"/>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2.1本协议条款仅适用于本次遴选所规定的内容。</w:t>
      </w:r>
      <w:r/>
    </w:p>
    <w:p>
      <w:pPr>
        <w:ind w:firstLine="641"/>
        <w:spacing w:line="560" w:lineRule="exact"/>
        <w:rPr>
          <w:rFonts w:ascii="仿宋_GB2312" w:hAnsi="仿宋_GB2312" w:eastAsia="仿宋_GB2312" w:cs="仿宋_GB2312"/>
          <w:b/>
          <w:bCs/>
          <w:sz w:val="32"/>
          <w:szCs w:val="32"/>
        </w:rPr>
        <w:outlineLvl w:val="0"/>
      </w:pPr>
      <w:r/>
      <w:bookmarkStart w:id="87" w:name="_Toc2562"/>
      <w:r/>
      <w:bookmarkStart w:id="88" w:name="_Toc24810"/>
      <w:r/>
      <w:bookmarkStart w:id="89" w:name="_Toc1419"/>
      <w:r>
        <w:rPr>
          <w:rFonts w:hint="eastAsia" w:ascii="仿宋_GB2312" w:hAnsi="仿宋_GB2312" w:eastAsia="仿宋_GB2312" w:cs="仿宋_GB2312"/>
          <w:b/>
          <w:bCs/>
          <w:sz w:val="32"/>
          <w:szCs w:val="32"/>
        </w:rPr>
        <w:t xml:space="preserve">3.协议的组成</w:t>
      </w:r>
      <w:bookmarkEnd w:id="87"/>
      <w:r/>
      <w:bookmarkEnd w:id="88"/>
      <w:r/>
      <w:bookmarkEnd w:id="89"/>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下列文件应作为本协议的组成部分：成交（入围）通知书、响应文件、遴选文件、与本次遴选有关的并经当事人双方确认的其他文件。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上述文件互为补充和解释，如有不清或相互矛盾之处，以有利于甲方及农户的原则进行解释和适用。</w:t>
      </w:r>
      <w:r/>
    </w:p>
    <w:p>
      <w:pPr>
        <w:ind w:firstLine="641"/>
        <w:spacing w:line="560" w:lineRule="exact"/>
        <w:rPr>
          <w:rFonts w:ascii="仿宋_GB2312" w:hAnsi="仿宋_GB2312" w:eastAsia="仿宋_GB2312" w:cs="仿宋_GB2312"/>
          <w:b/>
          <w:bCs/>
          <w:sz w:val="32"/>
          <w:szCs w:val="32"/>
        </w:rPr>
        <w:outlineLvl w:val="0"/>
      </w:pPr>
      <w:r/>
      <w:bookmarkStart w:id="90" w:name="_Toc28551"/>
      <w:r/>
      <w:bookmarkStart w:id="91" w:name="_Toc26094"/>
      <w:r/>
      <w:bookmarkStart w:id="92" w:name="_Toc29218"/>
      <w:r>
        <w:rPr>
          <w:rFonts w:hint="eastAsia" w:ascii="仿宋_GB2312" w:hAnsi="仿宋_GB2312" w:eastAsia="仿宋_GB2312" w:cs="仿宋_GB2312"/>
          <w:b/>
          <w:bCs/>
          <w:sz w:val="32"/>
          <w:szCs w:val="32"/>
        </w:rPr>
        <w:t xml:space="preserve">4.基本约定</w:t>
      </w:r>
      <w:bookmarkEnd w:id="90"/>
      <w:r/>
      <w:bookmarkEnd w:id="91"/>
      <w:r/>
      <w:bookmarkEnd w:id="92"/>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4.1服务区域</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服务区域：待定（对应中选区域）。</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4.2保险条款</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乙方经办有中央、省级、市级财政补贴保费的险种必须使用经保险监管机构和</w:t>
      </w:r>
      <w:r>
        <w:rPr>
          <w:rFonts w:hint="eastAsia" w:ascii="仿宋_GB2312" w:hAnsi="仿宋_GB2312" w:eastAsia="仿宋_GB2312" w:cs="仿宋_GB2312"/>
          <w:sz w:val="32"/>
          <w:szCs w:val="32"/>
          <w:shd w:val="clear" w:color="auto" w:fill="ffffff"/>
        </w:rPr>
        <w:t xml:space="preserve">省、市、区印发或认可的保险条款、保险金额</w:t>
      </w:r>
      <w:r>
        <w:rPr>
          <w:rFonts w:hint="eastAsia" w:ascii="仿宋_GB2312" w:hAnsi="仿宋_GB2312" w:eastAsia="仿宋_GB2312" w:cs="仿宋_GB2312"/>
          <w:sz w:val="32"/>
          <w:szCs w:val="32"/>
          <w:shd w:val="clear" w:color="auto" w:fill="ffffff"/>
        </w:rPr>
        <w:t xml:space="preserve">（赔偿限额）及费率。</w:t>
      </w:r>
      <w:r/>
    </w:p>
    <w:p>
      <w:pPr>
        <w:ind w:firstLine="641"/>
        <w:spacing w:line="560" w:lineRule="exact"/>
        <w:rPr>
          <w:rFonts w:ascii="仿宋_GB2312" w:hAnsi="仿宋_GB2312" w:eastAsia="仿宋_GB2312" w:cs="仿宋_GB2312"/>
          <w:b/>
          <w:bCs/>
          <w:sz w:val="32"/>
          <w:szCs w:val="32"/>
        </w:rPr>
        <w:outlineLvl w:val="0"/>
      </w:pPr>
      <w:r/>
      <w:bookmarkStart w:id="93" w:name="_Toc3919"/>
      <w:r/>
      <w:bookmarkStart w:id="94" w:name="_Toc15363"/>
      <w:r/>
      <w:bookmarkStart w:id="95" w:name="_Toc28302"/>
      <w:r>
        <w:rPr>
          <w:rFonts w:hint="eastAsia" w:ascii="仿宋_GB2312" w:hAnsi="仿宋_GB2312" w:eastAsia="仿宋_GB2312" w:cs="仿宋_GB2312"/>
          <w:b/>
          <w:bCs/>
          <w:sz w:val="32"/>
          <w:szCs w:val="32"/>
        </w:rPr>
        <w:t xml:space="preserve">5.甲方职责</w:t>
      </w:r>
      <w:bookmarkEnd w:id="93"/>
      <w:r/>
      <w:bookmarkEnd w:id="94"/>
      <w:r/>
      <w:bookmarkEnd w:id="95"/>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5.1会同有关部门，组织协调、监督管理本行政区域内的农业保险工作，开展农业保险保费补贴管理，支持农业保险业务发展。日常管理工作由苏州市及各区财政部门牵头执行。</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5.2负责对乙方指导、监督、评价、验收等管理工作。</w:t>
      </w:r>
      <w:r/>
    </w:p>
    <w:p>
      <w:pPr>
        <w:ind w:firstLine="641"/>
        <w:spacing w:line="560" w:lineRule="exact"/>
        <w:rPr>
          <w:rFonts w:ascii="仿宋_GB2312" w:hAnsi="仿宋_GB2312" w:eastAsia="仿宋_GB2312" w:cs="仿宋_GB2312"/>
          <w:b/>
          <w:bCs/>
          <w:sz w:val="32"/>
          <w:szCs w:val="32"/>
        </w:rPr>
        <w:outlineLvl w:val="0"/>
      </w:pPr>
      <w:r/>
      <w:bookmarkStart w:id="96" w:name="_Toc13434"/>
      <w:r/>
      <w:bookmarkStart w:id="97" w:name="_Toc8333"/>
      <w:r/>
      <w:bookmarkStart w:id="98" w:name="_Toc27540"/>
      <w:r>
        <w:rPr>
          <w:rFonts w:hint="eastAsia" w:ascii="仿宋_GB2312" w:hAnsi="仿宋_GB2312" w:eastAsia="仿宋_GB2312" w:cs="仿宋_GB2312"/>
          <w:b/>
          <w:bCs/>
          <w:sz w:val="32"/>
          <w:szCs w:val="32"/>
        </w:rPr>
        <w:t xml:space="preserve">6.乙方职责</w:t>
      </w:r>
      <w:bookmarkEnd w:id="96"/>
      <w:r/>
      <w:bookmarkEnd w:id="97"/>
      <w:r/>
      <w:bookmarkEnd w:id="98"/>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6.1服务内容</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做好农业保险产品开发创新和服务方式创新，构建“政策险+商业险”产品体系，严格遵循国家、江苏省及苏州市、区农业保险相关政策，在其中选服务区域内，接受农户的投保申请，提供全流程承保、理赔及风险减量等服务，具体包括但不限于以下内容：</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6.1.1提供高效精准的农业保险承保服务。政策性农业保险涵盖水稻、小麦等主要种植业保险，能繁母猪等主要养殖业保险，地方特色优势农产品和设施农业保险，农机具保险，以及根据上级规定及本地实际增设的奖补险种。需严格执行省、市、区印发或认可的保险条款、保险金额（赔偿限额）及费率。</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6.1.2提供全过程的风险减量增值服务。建立健全风险减量工作机制，通过引入风险监测预警、识别管控等科技手段，在灾害发生前及时向农户发布预警信息并提供防灾指导；灾害发生时，迅速启动应急响应机制，协助农户开展救灾减灾减损工作；灾后，</w:t>
      </w:r>
      <w:r>
        <w:rPr>
          <w:rFonts w:hint="eastAsia" w:ascii="仿宋_GB2312" w:hAnsi="仿宋_GB2312" w:eastAsia="仿宋_GB2312" w:cs="仿宋_GB2312"/>
          <w:sz w:val="32"/>
          <w:szCs w:val="32"/>
        </w:rPr>
        <w:t xml:space="preserve">科学高效定损理赔，及时支付赔款，最大限度降低灾害损失。积极配合农业农村、应急、气象等部门，构建跨部门协同的风险减量工作机制，推动农业保险从单纯的事后补偿向全链条风险管理转型，探索形成事前防灾减灾、事中救灾减损、事后损失补偿的“农业保险+风险减量”新模式，持续提升农业抗灾能力。</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6.1.3建立高效精准、规范透明的理赔工作机制。主动接受有关部门、单位指导，建立健全当地水稻和小麦、不同生长阶段、不同灾害损失的评定标准，积累灾害损失数据，研发风险损失量化模型，借助卫星遥感、无人机等技术，快速准确评估受灾损失数量和程度，及时高效开展科学查勘定损，持续提高定损与理赔的效率和精准度。</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6.1.4建立健全农业保险数据管理制度。与苏州“作物云”平台开展数据共建共享，依托实时更新的地块与作物长势信息夯实农业保险数据基础，将保险信息与土地流转、种植养殖生产数据等交叉比对，确保数据真实无误，最终实现精准承保理赔。</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6.1.5建立健全农户投诉处理工作机制。公开本单位接收消费投诉的渠道信息及处理流程，在签订保险合同时，向农户告知投诉电话或其他投诉渠道信息。收到农户投诉后，明确受理时限与反馈机制，确保农户诉求得到及时响应与妥善解决。</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rPr>
        <w:t xml:space="preserve">6.1.6按时向农业保险管理部门报送数据。依据农业保险保费补贴管理相关规定，</w:t>
      </w:r>
      <w:r>
        <w:rPr>
          <w:rFonts w:hint="eastAsia" w:ascii="仿宋_GB2312" w:hAnsi="仿宋_GB2312" w:eastAsia="仿宋_GB2312" w:cs="仿宋_GB2312"/>
          <w:sz w:val="32"/>
          <w:szCs w:val="32"/>
          <w:shd w:val="clear" w:color="auto" w:fill="ffffff"/>
        </w:rPr>
        <w:t xml:space="preserve">每月向市、区财政部门报送农业保险经营情况，申请保费补贴资金时须提供保单级数据信息、承保理赔材</w:t>
      </w:r>
      <w:r>
        <w:rPr>
          <w:rFonts w:hint="eastAsia" w:ascii="仿宋_GB2312" w:hAnsi="仿宋_GB2312" w:eastAsia="仿宋_GB2312" w:cs="仿宋_GB2312"/>
          <w:sz w:val="32"/>
          <w:szCs w:val="32"/>
          <w:shd w:val="clear" w:color="auto" w:fill="ffffff"/>
        </w:rPr>
        <w:t xml:space="preserve">料凭证。每年2月1日前，按保费补贴结算要求，提交上一年度结算申请报告、业务数据及凭证，并同步提交电子文档，确保保费补贴管理规范合规，资金拨付及时足额到位。</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6.1.7按照政策性农业保险承保机构履约服务评价的规定，提供材料凭证，接受履约服务评价。</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6.1.8推动农业保险与乡村振兴深度融合，助力实现乡村振兴战略。</w:t>
      </w:r>
      <w:r/>
    </w:p>
    <w:p>
      <w:pPr>
        <w:pStyle w:val="973"/>
        <w:ind w:firstLine="640"/>
        <w:spacing w:line="560" w:lineRule="exact"/>
        <w:rPr>
          <w:rFonts w:ascii="仿宋_GB2312" w:hAnsi="仿宋_GB2312" w:eastAsia="仿宋_GB2312" w:cs="仿宋_GB2312"/>
          <w:sz w:val="32"/>
          <w:szCs w:val="32"/>
          <w:shd w:val="clear" w:color="auto" w:fill="ffffff"/>
        </w:rPr>
        <w:outlineLvl w:val="2"/>
      </w:pPr>
      <w:r>
        <w:rPr>
          <w:rFonts w:hint="eastAsia" w:ascii="仿宋_GB2312" w:hAnsi="仿宋_GB2312" w:eastAsia="仿宋_GB2312" w:cs="仿宋_GB2312"/>
          <w:sz w:val="32"/>
          <w:szCs w:val="32"/>
          <w:shd w:val="clear" w:color="auto" w:fill="ffffff"/>
        </w:rPr>
        <w:t xml:space="preserve">6.1.9按时完成有关部门安排的农业保险相关工作。</w:t>
      </w:r>
      <w:r/>
    </w:p>
    <w:p>
      <w:pPr>
        <w:pStyle w:val="973"/>
        <w:ind w:firstLine="640"/>
        <w:spacing w:line="560" w:lineRule="exact"/>
        <w:rPr>
          <w:rFonts w:ascii="仿宋_GB2312" w:hAnsi="仿宋_GB2312" w:eastAsia="仿宋_GB2312" w:cs="仿宋_GB2312"/>
          <w:sz w:val="32"/>
          <w:szCs w:val="32"/>
          <w:shd w:val="clear" w:color="auto" w:fill="ffffff"/>
        </w:rPr>
        <w:outlineLvl w:val="2"/>
      </w:pPr>
      <w:r>
        <w:rPr>
          <w:rFonts w:hint="eastAsia" w:ascii="仿宋_GB2312" w:hAnsi="仿宋_GB2312" w:eastAsia="仿宋_GB2312" w:cs="仿宋_GB2312"/>
          <w:sz w:val="32"/>
          <w:szCs w:val="32"/>
          <w:shd w:val="clear" w:color="auto" w:fill="ffffff"/>
        </w:rPr>
        <w:t xml:space="preserve">6.2服务标准。</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主动高效满足农户保险需求，依据农业保险承保理赔管理办法及省、市、区有关规定，规范开展承保理赔工作，并留存承保、理赔完整档案，对政策性农业保险业务的真实性、准确性、完整性负责。严禁虚假承保、虚假理赔、虚列费用、虚假退保、挪用、截留、侵占保险金。</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6.2.1农业保险可由农户自行投保，也可由政府机构、村民委员会、农业生产经营组织等单位组织农户投保。对符合单独投保标准的被保险人，必须由被保险人单独投保。</w:t>
      </w:r>
      <w:r/>
    </w:p>
    <w:p>
      <w:pPr>
        <w:pStyle w:val="944"/>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6.2.2保障投保人、被保险人的知情权与自主权，不得欺骗、误导投保，不得以不正当手段强迫或限制投保。发生区域性重大灾害、大范围疫情及其他特殊情形等，如果无法查勘定损到户，须采取抽样或其他方式核定损失程度的，可在承保前如实告知农户，并在保险合同中明确约定；没有约定的，应及时与农户协商</w:t>
      </w:r>
      <w:r>
        <w:rPr>
          <w:rFonts w:hint="eastAsia" w:ascii="仿宋_GB2312" w:hAnsi="仿宋_GB2312" w:eastAsia="仿宋_GB2312" w:cs="仿宋_GB2312"/>
          <w:sz w:val="32"/>
          <w:szCs w:val="32"/>
          <w:shd w:val="clear" w:color="auto" w:fill="ffffff"/>
        </w:rPr>
        <w:t xml:space="preserve">一致。</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6.2.3对承保标的全部核验。单独投保的精准查验到保险标的，集体投保业务可以抽验，抽验要求与单独投保验标要求保持一致，抽验比例依据当地确定。村干部、村会计、村协保员等关键人员的农险业务原则上应列为抽验对象。严格查验保险标的权属、标识、位置、品种、数量、生产周期等信息，有关情况应在验标报告中真实记载，并经被保险人签字确认。</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6.2.4及时完成政策性险种的承保工作，确保水稻、小麦、油菜的保险责任期间自移栽成活返青后或自出苗（苗齐）时开始至成熟（收割）时止。</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6.2.5见费出单。逐步提高“实名制”缴费占比。在确认收到农户应缴保费后，及时出具相应保险凭证与保费发票，按保险合同约定承担赔偿责任。</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6.2.6报案受理。设立24小时报案渠道，随时接受被保险人出险报案，并将报案信息及时准确录入业务系统。</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6.2.7及时查勘。接到报案后需现场查勘的，应在24小时内开展现场查勘工作，因客观原因难以及时查勘的，应当与报案人联系并说明原因。查勘过程需完整规范，真实客观反映标的损失情况。</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发生区域性重大灾害、大范围疫情及其他特殊情形时，保险机构可使用行业主管部门灾情数据、遥感及无人机查勘数据等，自动识别保险事故，开展批量分户定损。</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6.2.8及时定责定损。种植业保险、森林保险发生全部损失的，应在接到报案后10日内完成损失核定；发生部分损失的，应在接到报案后20日内完成损失核定。养殖业保险应在接到报案后3日内完成损失核定。定损结果需经被保险人签字确认。无法按时定责定损的，应记录保险事故，向被保险人解释说明，告知后续理赔处理方案。</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定责定损结果应由被保险人签字认可，对定损异议及时开展现场复勘定损，必要时邀请有关部门指导。</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6.2.9及时理赔。根据农业保险相关规定，保险机构在与被保险人达成赔偿协议后10日内，将应赔偿保险金支付给被保险人，其中小麦保险赔偿金支付不晚于8月底，水稻、玉米保险赔偿金支付不晚于12月底。严格依据保险条款规定理算并支付赔款，做到不惜赔、不拖赔、不乱赔。</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6.2.10公示要求。需在村级或农业生产经营组织公示栏、村民集中活动的文化广场等显著位置，或通过政府公共网站、行业信息平台等渠道，对集体出单的农业保险承保、理赔情况进行公示，公示时间不得少于72小时。</w:t>
      </w:r>
      <w:r/>
    </w:p>
    <w:p>
      <w:pPr>
        <w:pStyle w:val="973"/>
        <w:ind w:firstLine="640"/>
        <w:spacing w:line="560" w:lineRule="exact"/>
        <w:rPr>
          <w:rFonts w:ascii="仿宋_GB2312" w:hAnsi="仿宋_GB2312" w:eastAsia="仿宋_GB2312" w:cs="仿宋_GB2312"/>
          <w:sz w:val="32"/>
          <w:szCs w:val="32"/>
          <w:shd w:val="clear" w:color="auto" w:fill="ffffff"/>
        </w:rPr>
        <w:outlineLvl w:val="2"/>
      </w:pPr>
      <w:r>
        <w:rPr>
          <w:rFonts w:hint="eastAsia" w:ascii="仿宋_GB2312" w:hAnsi="仿宋_GB2312" w:eastAsia="仿宋_GB2312" w:cs="仿宋_GB2312"/>
          <w:sz w:val="32"/>
          <w:szCs w:val="32"/>
          <w:shd w:val="clear" w:color="auto" w:fill="ffffff"/>
        </w:rPr>
        <w:t xml:space="preserve">6.3服务保障要求。</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乙方应拥有健全的基层服务网络，具备开展承保、理赔服务所需的设备与专业技术能力，能够深入农户开展农业保险政策的宣传、推动、承保、查勘定损、无害化处理、理赔及风险减量工作。</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6.3.1区级服务机构设置农业保险责任部门，配置专门人员，落实展业、核保、出单、查勘、核赔、定损、财务、统计、档案等具体工作，专门人员的业务素质与数量需充分满足服务工作要求。</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6.3.2建设乡镇服务网点，安排专兼职服务人员，深入农村为农户提供涵盖风险预警、风险管控、救灾减损、恢复生产等内容的农业风险减量服务，保障农业高质量发展。</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6.3.3主动与基层组织沟通，选聘必要的保险协办人员（协保员），协办人员（协保员）信息书面报监管部门备案。</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6.3.4及时完成相关人员培训工作，专业人员的业务素质与数量需充分满足本项目相关条件及服务要求。</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6.3.5推进农业保险业务线上化、数字化和智能化，利用微信小程序、农险 APP，鼓励农户线上投保、线上报案，探索验标、查勘定损、支付赔款、存档、监管等全流程线上化。</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6.4服务绩效目标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6.4.1三大粮食作物承保率、育肥猪保险不低于省、市、区下达的年度指标。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6.4.2农业保险（含商业险）保障总额不低于上年。</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6.4.3年度结案率95%以上，按已决赔款、已决案件数计算的理赔结案率不低于省、市、区下达的年度指标。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6.4.4省、市、区下达的其他农业保险目标。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6.4.5不得因拒绝承保、拖赔、惜赔等损害被保险人权益的</w:t>
      </w:r>
      <w:r>
        <w:rPr>
          <w:rFonts w:hint="eastAsia" w:ascii="仿宋_GB2312" w:hAnsi="仿宋_GB2312" w:eastAsia="仿宋_GB2312" w:cs="仿宋_GB2312"/>
          <w:sz w:val="32"/>
          <w:szCs w:val="32"/>
        </w:rPr>
        <w:t xml:space="preserve">行为被投诉、举报、上访，及时处理被保险人的意见建议，妥善化解矛盾与争议。</w:t>
      </w:r>
      <w:r/>
    </w:p>
    <w:p>
      <w:pPr>
        <w:pStyle w:val="973"/>
        <w:ind w:firstLine="641"/>
        <w:spacing w:line="560" w:lineRule="exact"/>
        <w:rPr>
          <w:rFonts w:ascii="仿宋_GB2312" w:hAnsi="仿宋_GB2312" w:eastAsia="仿宋_GB2312" w:cs="仿宋_GB2312"/>
          <w:b/>
          <w:sz w:val="32"/>
          <w:szCs w:val="32"/>
        </w:rPr>
        <w:outlineLvl w:val="2"/>
      </w:pPr>
      <w:r/>
      <w:bookmarkStart w:id="99" w:name="_Toc30084"/>
      <w:r/>
      <w:bookmarkStart w:id="100" w:name="_Toc29417"/>
      <w:r/>
      <w:bookmarkStart w:id="101" w:name="_Toc29681"/>
      <w:r>
        <w:rPr>
          <w:rFonts w:hint="eastAsia" w:ascii="仿宋_GB2312" w:hAnsi="仿宋_GB2312" w:eastAsia="仿宋_GB2312" w:cs="仿宋_GB2312"/>
          <w:b/>
          <w:sz w:val="32"/>
          <w:szCs w:val="32"/>
        </w:rPr>
        <w:t xml:space="preserve">7.</w:t>
      </w:r>
      <w:bookmarkStart w:id="102" w:name="_Toc26595"/>
      <w:r/>
      <w:bookmarkEnd w:id="99"/>
      <w:r>
        <w:rPr>
          <w:rFonts w:hint="eastAsia" w:ascii="仿宋_GB2312" w:hAnsi="仿宋_GB2312" w:eastAsia="仿宋_GB2312" w:cs="仿宋_GB2312"/>
          <w:b/>
          <w:sz w:val="32"/>
          <w:szCs w:val="32"/>
        </w:rPr>
        <w:t xml:space="preserve">保险费、补贴支付方式</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投保农户承担的保费由供应商负责收取。各级财政保费补贴资金由供应商按季度或根据承保工作进度向区（乡镇、街道）财政部门申请，按年度结算。</w:t>
      </w:r>
      <w:r/>
    </w:p>
    <w:p>
      <w:pPr>
        <w:ind w:firstLine="641"/>
        <w:spacing w:line="560" w:lineRule="exact"/>
        <w:rPr>
          <w:rFonts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8.违约责任</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乙方所提供的服务应与本合同要求相符，否则应负违约责任。若乙方有下列情形的，甲方有权根据原因、情节、后果，终止本合同、取消乙方剩余服务期限内的承保资格，乙方原承保的未到期的保险合同履行到保险合同期满，其承保区域由甲方根据既往政策性农业保险承保服务项目考评情况确定新的承接人。</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8.1不能完成省、市、区下达的包含三大粮食作物投保面积覆盖面、育肥猪保险覆盖率、风险保障水平、参保农户满意度、保险覆盖率等农业保险年度绩效目标。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8.2因损害农民权益、违规经营被投诉超过三次（含）、被市级（含）以上部门批评、被媒体曝光等。</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8.3没有兑现响应文件中的承诺事项。</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8.4报送信息、数据及相关资料不及时、不准确，对要求整改的问题不整改或整改不及时、不到位，经通知限期整改后，仍未整改到位的。</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8.5无正当理由拒绝农户投保的。</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8.6服务期限内在政策性农业保险承保机构履约服务评价中单次评价结果为“不合格”或连续两年为“基本合格”的。</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8.7乙方有其他违反法律法规、规范性文件规定或合同约定，造成严重后果或经催告后未整改的行为。</w:t>
      </w:r>
      <w:r/>
    </w:p>
    <w:p>
      <w:pPr>
        <w:ind w:firstLine="641"/>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b/>
          <w:sz w:val="32"/>
          <w:szCs w:val="32"/>
        </w:rPr>
        <w:t xml:space="preserve">9.争议解决</w:t>
      </w:r>
      <w:bookmarkEnd w:id="100"/>
      <w:r/>
      <w:bookmarkEnd w:id="101"/>
      <w:r/>
      <w:bookmarkEnd w:id="102"/>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9.1在执行本协议中发生的与本协议有关的争议，甲乙双方应通过友好协商解决，经协商不能达成协议时，依法提交人民法院裁决。</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9.2在争议诉讼期间，除争议部分外，协议其他部分继续执行。</w:t>
      </w:r>
      <w:r/>
    </w:p>
    <w:p>
      <w:pPr>
        <w:ind w:firstLine="641"/>
        <w:spacing w:line="560" w:lineRule="exact"/>
        <w:rPr>
          <w:rFonts w:ascii="仿宋_GB2312" w:hAnsi="仿宋_GB2312" w:eastAsia="仿宋_GB2312" w:cs="仿宋_GB2312"/>
          <w:b/>
          <w:sz w:val="32"/>
          <w:szCs w:val="32"/>
        </w:rPr>
        <w:outlineLvl w:val="1"/>
      </w:pPr>
      <w:r/>
      <w:bookmarkStart w:id="103" w:name="_Toc30288"/>
      <w:r/>
      <w:bookmarkStart w:id="104" w:name="_Toc29220"/>
      <w:r/>
      <w:bookmarkStart w:id="105" w:name="_Toc965"/>
      <w:r>
        <w:rPr>
          <w:rFonts w:hint="eastAsia" w:ascii="仿宋_GB2312" w:hAnsi="仿宋_GB2312" w:eastAsia="仿宋_GB2312" w:cs="仿宋_GB2312"/>
          <w:b/>
          <w:sz w:val="32"/>
          <w:szCs w:val="32"/>
        </w:rPr>
        <w:t xml:space="preserve">10.协议生效及其他</w:t>
      </w:r>
      <w:bookmarkEnd w:id="103"/>
      <w:r/>
      <w:bookmarkEnd w:id="104"/>
      <w:r/>
      <w:bookmarkEnd w:id="105"/>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10.1除非协议中另有说明，本协议经甲乙双方盖章后，即开始生效。</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10.2本协议有效期间三年，自2027年1月1日起至2029年12月31日止。</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10.3本协议期满或终止后，在协议有效期内乙方与被保险人签订的农业保险单，在保险单约定的保险期限内继续有效。</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10.4本协议正本一式三份，甲方两份、乙方一份，均具有同等法律效力。</w:t>
      </w:r>
      <w:r/>
    </w:p>
    <w:p>
      <w:pPr>
        <w:ind w:firstLine="640"/>
        <w:spacing w:line="560" w:lineRule="exact"/>
        <w:rPr>
          <w:rFonts w:ascii="仿宋_GB2312" w:hAnsi="仿宋_GB2312" w:eastAsia="仿宋_GB2312" w:cs="仿宋_GB2312"/>
          <w:sz w:val="32"/>
          <w:szCs w:val="32"/>
        </w:rPr>
        <w:outlineLvl w:val="1"/>
      </w:pPr>
      <w:r>
        <w:rPr>
          <w:rFonts w:ascii="仿宋_GB2312" w:hAnsi="仿宋_GB2312" w:eastAsia="仿宋_GB2312" w:cs="仿宋_GB2312"/>
          <w:sz w:val="32"/>
          <w:szCs w:val="32"/>
        </w:rPr>
      </w:r>
      <w:r/>
    </w:p>
    <w:p>
      <w:pPr>
        <w:ind w:firstLine="640"/>
        <w:spacing w:line="560" w:lineRule="exact"/>
        <w:rPr>
          <w:rFonts w:ascii="仿宋_GB2312" w:hAnsi="仿宋_GB2312" w:eastAsia="仿宋_GB2312" w:cs="仿宋_GB2312"/>
          <w:sz w:val="32"/>
          <w:szCs w:val="32"/>
        </w:rPr>
        <w:outlineLvl w:val="1"/>
      </w:pPr>
      <w:r>
        <w:rPr>
          <w:rFonts w:ascii="仿宋_GB2312" w:hAnsi="仿宋_GB2312" w:eastAsia="仿宋_GB2312" w:cs="仿宋_GB2312"/>
          <w:sz w:val="32"/>
          <w:szCs w:val="32"/>
        </w:rPr>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甲方（单位电子签章）              乙方（单位电子签</w:t>
      </w:r>
      <w:r>
        <w:rPr>
          <w:rFonts w:hint="eastAsia" w:ascii="仿宋_GB2312" w:hAnsi="仿宋_GB2312" w:eastAsia="仿宋_GB2312" w:cs="仿宋_GB2312"/>
          <w:sz w:val="32"/>
          <w:szCs w:val="32"/>
        </w:rPr>
        <w:t xml:space="preserve">章）</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代表人：                      代表人：</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签约日期：</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合同签订地：</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br w:type="page" w:clear="all"/>
      </w:r>
      <w:r/>
    </w:p>
    <w:p>
      <w:pPr>
        <w:jc w:val="center"/>
        <w:pageBreakBefore/>
        <w:spacing w:line="560" w:lineRule="exact"/>
        <w:rPr>
          <w:rFonts w:ascii="黑体" w:hAnsi="黑体" w:eastAsia="黑体" w:cs="黑体"/>
          <w:bCs/>
          <w:sz w:val="32"/>
          <w:szCs w:val="32"/>
        </w:rPr>
        <w:outlineLvl w:val="0"/>
      </w:pPr>
      <w:r/>
      <w:bookmarkStart w:id="106" w:name="_Toc74050524"/>
      <w:r/>
      <w:bookmarkStart w:id="107" w:name="_Toc212815977"/>
      <w:r/>
      <w:bookmarkEnd w:id="76"/>
      <w:r/>
      <w:bookmarkEnd w:id="77"/>
      <w:r/>
      <w:bookmarkEnd w:id="78"/>
      <w:r>
        <w:rPr>
          <w:rFonts w:hint="eastAsia" w:ascii="黑体" w:hAnsi="黑体" w:eastAsia="黑体" w:cs="黑体"/>
          <w:bCs/>
          <w:sz w:val="32"/>
          <w:szCs w:val="32"/>
        </w:rPr>
        <w:t xml:space="preserve">第六章 </w:t>
      </w:r>
      <w:bookmarkEnd w:id="106"/>
      <w:r>
        <w:rPr>
          <w:rFonts w:hint="eastAsia" w:ascii="黑体" w:hAnsi="黑体" w:eastAsia="黑体" w:cs="黑体"/>
          <w:bCs/>
          <w:sz w:val="32"/>
          <w:szCs w:val="32"/>
        </w:rPr>
        <w:t xml:space="preserve">确定入围及成交供应商</w:t>
      </w:r>
      <w:bookmarkEnd w:id="107"/>
      <w:r/>
      <w:r/>
    </w:p>
    <w:p>
      <w:pPr>
        <w:ind w:firstLine="641"/>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一、确定第一阶段入围供应商的评审方法和评审标准</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rPr>
        <w:t xml:space="preserve">确定第一阶段入围供应商的评审方法为</w:t>
      </w:r>
      <w:r>
        <w:rPr>
          <w:rFonts w:hint="eastAsia" w:ascii="仿宋_GB2312" w:hAnsi="仿宋_GB2312" w:eastAsia="仿宋_GB2312" w:cs="仿宋_GB2312"/>
          <w:b/>
          <w:sz w:val="32"/>
          <w:szCs w:val="32"/>
        </w:rPr>
        <w:t xml:space="preserve">质量优先法</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b/>
          <w:sz w:val="32"/>
          <w:szCs w:val="32"/>
        </w:rPr>
        <w:t xml:space="preserve">质量优先法</w:t>
      </w:r>
      <w:r>
        <w:rPr>
          <w:rFonts w:hint="eastAsia" w:ascii="仿宋_GB2312" w:hAnsi="仿宋_GB2312" w:eastAsia="仿宋_GB2312" w:cs="仿宋_GB2312"/>
          <w:color w:val="333333"/>
          <w:sz w:val="32"/>
          <w:szCs w:val="32"/>
          <w:shd w:val="clear" w:color="auto" w:fill="ffffff"/>
        </w:rPr>
        <w:t xml:space="preserve">是指对满足采购需求且响应报价不超过最高限制单价的服务进行质量综合评分，按照质量评分从高到低排序，根据征集文件规定的淘汰率或者入围供应商数量上限，确定入围供应商的评审方法。</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2.入围供应商的淘汰比例：20%，且至少淘汰一家供应商（提交响应文件和符合资格条件、实质性要求的供应商少于2家时，征集活动终止）。</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（1）通过资格审查和符合审查的入围供应商＜7家</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淘汰率20%，向上取整数计算淘汰家数，且至少淘汰一家供应商；符合资格条件、实质性要求的供应商不少于2家。</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（2）通过资格审查和符合审查的入围供应商≥7家</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确定的第一阶段入围供应商数量</w:t>
      </w:r>
      <w:r>
        <w:rPr>
          <w:rFonts w:hint="eastAsia" w:ascii="仿宋_GB2312" w:hAnsi="仿宋_GB2312" w:eastAsia="仿宋_GB2312" w:cs="仿宋_GB2312"/>
          <w:color w:val="333333"/>
          <w:sz w:val="32"/>
          <w:szCs w:val="32"/>
          <w:shd w:val="clear" w:color="auto" w:fill="ffffff"/>
        </w:rPr>
        <w:t xml:space="preserve">上限</w:t>
      </w:r>
      <w:r>
        <w:rPr>
          <w:rFonts w:hint="eastAsia" w:ascii="仿宋_GB2312" w:hAnsi="仿宋_GB2312" w:eastAsia="仿宋_GB2312" w:cs="仿宋_GB2312"/>
          <w:sz w:val="32"/>
          <w:szCs w:val="32"/>
        </w:rPr>
        <w:t xml:space="preserve">为5家。</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4.如某一评审条款出现评审专家意见不一致时，则按少数</w:t>
      </w:r>
      <w:r>
        <w:rPr>
          <w:rFonts w:hint="eastAsia" w:ascii="仿宋_GB2312" w:hAnsi="仿宋_GB2312" w:eastAsia="仿宋_GB2312" w:cs="仿宋_GB2312"/>
          <w:sz w:val="32"/>
          <w:szCs w:val="32"/>
        </w:rPr>
        <w:t xml:space="preserve">服从多数的原则，确定该项条款是否合格。在评审合格的供应商中，根据人员综合评分，由低到高的原则确定供应商顺序。评审得分相同且影响供应商入围的，由评审小组以现场抽签的方式决定供应商入围的顺序。</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对评审结果有异议的评审小组成员，应当在评审结果表上签署不同意见并说明理由，评审小组成员拒绝在评审结果表上签字又不书面说明其不同意见和理由的，视为同意评审结果。</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6.针对中小型企业、残疾人福利企业和监狱企业的评审：</w:t>
      </w:r>
      <w:r/>
    </w:p>
    <w:p>
      <w:pPr>
        <w:ind w:firstLine="641"/>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由于本项目实行固定价格采购</w:t>
      </w:r>
      <w:r>
        <w:rPr>
          <w:rFonts w:hint="eastAsia" w:ascii="仿宋_GB2312" w:hAnsi="仿宋_GB2312" w:eastAsia="仿宋_GB2312" w:cs="仿宋_GB2312"/>
          <w:b/>
          <w:bCs/>
          <w:sz w:val="32"/>
          <w:szCs w:val="32"/>
        </w:rPr>
        <w:t xml:space="preserve">，</w:t>
      </w:r>
      <w:r>
        <w:rPr>
          <w:rFonts w:hint="eastAsia" w:ascii="仿宋_GB2312" w:hAnsi="仿宋_GB2312" w:eastAsia="仿宋_GB2312" w:cs="仿宋_GB2312"/>
          <w:b/>
          <w:sz w:val="32"/>
          <w:szCs w:val="32"/>
        </w:rPr>
        <w:t xml:space="preserve">评分标准中不设价格评分，</w:t>
      </w:r>
      <w:r>
        <w:rPr>
          <w:rFonts w:hint="eastAsia" w:ascii="仿宋_GB2312" w:hAnsi="仿宋_GB2312" w:eastAsia="仿宋_GB2312" w:cs="仿宋_GB2312"/>
          <w:b/>
          <w:bCs/>
          <w:sz w:val="32"/>
          <w:szCs w:val="32"/>
        </w:rPr>
        <w:t xml:space="preserve">不执行价格评审优惠的扶持政策。</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7.确定第一阶段入围供应商的评审标准</w:t>
      </w:r>
      <w:r/>
    </w:p>
    <w:tbl>
      <w:tblPr>
        <w:tblW w:w="8610"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0"/>
        <w:gridCol w:w="6570"/>
        <w:gridCol w:w="1020"/>
      </w:tblGrid>
      <w:tr>
        <w:trPr>
          <w:trHeight w:val="270"/>
        </w:trPr>
        <w:tc>
          <w:tcPr>
            <w:shd w:val="clear" w:color="auto" w:fill="auto"/>
            <w:tcW w:w="1020" w:type="dxa"/>
            <w:vAlign w:val="center"/>
            <w:textDirection w:val="lrTb"/>
            <w:noWrap w:val="false"/>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评审因素</w:t>
            </w:r>
            <w:r/>
          </w:p>
        </w:tc>
        <w:tc>
          <w:tcPr>
            <w:shd w:val="clear" w:color="auto" w:fill="auto"/>
            <w:tcW w:w="6571" w:type="dxa"/>
            <w:vAlign w:val="center"/>
            <w:textDirection w:val="lrTb"/>
            <w:noWrap w:val="false"/>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评分标准</w:t>
            </w:r>
            <w:r/>
          </w:p>
        </w:tc>
        <w:tc>
          <w:tcPr>
            <w:shd w:val="clear" w:color="auto" w:fill="auto"/>
            <w:tcW w:w="1020" w:type="dxa"/>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分值</w:t>
            </w:r>
            <w:r/>
          </w:p>
        </w:tc>
      </w:tr>
      <w:tr>
        <w:trPr>
          <w:trHeight w:val="1620"/>
        </w:trPr>
        <w:tc>
          <w:tcPr>
            <w:shd w:val="clear" w:color="auto" w:fill="auto"/>
            <w:tcW w:w="1020" w:type="dxa"/>
            <w:vAlign w:val="center"/>
            <w:vMerge w:val="restart"/>
            <w:textDirection w:val="lrTb"/>
            <w:noWrap w:val="false"/>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风险管控和合规经</w:t>
            </w:r>
            <w:r>
              <w:rPr>
                <w:rFonts w:hint="eastAsia" w:ascii="仿宋_GB2312" w:hAnsi="仿宋_GB2312" w:eastAsia="仿宋_GB2312" w:cs="仿宋_GB2312"/>
                <w:sz w:val="32"/>
                <w:szCs w:val="32"/>
                <w:lang w:bidi="ar"/>
              </w:rPr>
              <w:t xml:space="preserve">营能力比较（24  分）</w:t>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农业保险管理制度（6分）</w:t>
            </w:r>
            <w:r>
              <w:rPr>
                <w:rFonts w:hint="eastAsia" w:ascii="仿宋_GB2312" w:hAnsi="仿宋_GB2312" w:eastAsia="仿宋_GB2312" w:cs="仿宋_GB2312"/>
                <w:sz w:val="32"/>
                <w:szCs w:val="32"/>
                <w:lang w:bidi="ar"/>
              </w:rPr>
              <w:br/>
              <w:t xml:space="preserve">参评供应商制定或执行上级单位有关农业保险客户回访（1分）、投诉管理（1分）、承保理赔（1分）、费用管理（1分）、内部稽</w:t>
            </w:r>
            <w:r>
              <w:rPr>
                <w:rFonts w:hint="eastAsia" w:ascii="仿宋_GB2312" w:hAnsi="仿宋_GB2312" w:eastAsia="仿宋_GB2312" w:cs="仿宋_GB2312"/>
                <w:sz w:val="32"/>
                <w:szCs w:val="32"/>
                <w:lang w:bidi="ar"/>
              </w:rPr>
              <w:t xml:space="preserve">核（1分）、档案管理（1分）等管理制度，每提供一项制度得1分。未提供相关材料或提交内容不符合前述要求的，不予计分。本项最高累计得6分。【须提供上级单位或本公司农业保险内控制度文件】</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189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上年度末风险综合评级（6分）</w:t>
            </w:r>
            <w:r>
              <w:rPr>
                <w:rFonts w:hint="eastAsia" w:ascii="仿宋_GB2312" w:hAnsi="仿宋_GB2312" w:eastAsia="仿宋_GB2312" w:cs="仿宋_GB2312"/>
                <w:sz w:val="32"/>
                <w:szCs w:val="32"/>
                <w:lang w:bidi="ar"/>
              </w:rPr>
              <w:br/>
              <w:t xml:space="preserve">参评供应商总公司上年度末（2025年第四季度）分类监管风险综合评级，评级为B级得1分、BB级得2分、BBB级得3分、A级得4分、AA级得5分、AAA级得6分，其余评级不得分。未提供相关材料或提交内容不符合前述要求的，不予计分。【须提供国家金融监督管理总局C-ROSS偿付能力监管信息系统相关内容截图（含网站页面）】</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135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大灾风险分散（再保险）（6分）</w:t>
            </w:r>
            <w:r>
              <w:rPr>
                <w:rFonts w:hint="eastAsia" w:ascii="仿宋_GB2312" w:hAnsi="仿宋_GB2312" w:eastAsia="仿宋_GB2312" w:cs="仿宋_GB2312"/>
                <w:sz w:val="32"/>
                <w:szCs w:val="32"/>
                <w:lang w:bidi="ar"/>
              </w:rPr>
              <w:br/>
              <w:t xml:space="preserve">参评供应商总公司与中国农业再保险股份有限公司签署当期有效的《政策性农业保险再保险标准协议》得6分，未提供相关材料或提交内容不符合前述要求的，不予计分。【须提供《政策性农业保险再保险标准协议》扫描件】</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162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大灾风险分散（准备金）（6分）</w:t>
            </w:r>
            <w:r>
              <w:rPr>
                <w:rFonts w:hint="eastAsia" w:ascii="仿宋_GB2312" w:hAnsi="仿宋_GB2312" w:eastAsia="仿宋_GB2312" w:cs="仿宋_GB2312"/>
                <w:sz w:val="32"/>
                <w:szCs w:val="32"/>
                <w:lang w:bidi="ar"/>
              </w:rPr>
              <w:br/>
              <w:t xml:space="preserve">参评供应商或省级分支机构已按照财政部《农业保险大灾风险准备金管理办法》（财金〔2013〕129号）规定计提农业大灾风险准备金得6分，未提供相关材料或提交内容不符合前述要求的，不予计分。【须提供向省级财政部门报送的大灾风险准备金的计提、使用、管理等情况报告】</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2970"/>
        </w:trPr>
        <w:tc>
          <w:tcPr>
            <w:shd w:val="clear" w:color="auto" w:fill="auto"/>
            <w:tcW w:w="1020" w:type="dxa"/>
            <w:vAlign w:val="center"/>
            <w:vMerge w:val="restart"/>
            <w:textDirection w:val="lrTb"/>
            <w:noWrap w:val="false"/>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服务能力和服务方案比较（76分）</w:t>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上年末综合偿付能力充足率（6分）</w:t>
            </w:r>
            <w:r>
              <w:rPr>
                <w:rFonts w:hint="eastAsia" w:ascii="仿宋_GB2312" w:hAnsi="仿宋_GB2312" w:eastAsia="仿宋_GB2312" w:cs="仿宋_GB2312"/>
                <w:sz w:val="32"/>
                <w:szCs w:val="32"/>
                <w:lang w:bidi="ar"/>
              </w:rPr>
              <w:br/>
              <w:t xml:space="preserve">参评供应商总公司上年度末（</w:t>
            </w:r>
            <w:r>
              <w:rPr>
                <w:rFonts w:hint="eastAsia" w:ascii="仿宋_GB2312" w:hAnsi="仿宋_GB2312" w:eastAsia="仿宋_GB2312" w:cs="仿宋_GB2312"/>
                <w:sz w:val="32"/>
                <w:szCs w:val="32"/>
                <w:lang w:bidi="ar"/>
              </w:rPr>
              <w:t xml:space="preserve">2025年第四季度）的综合偿付能力充足率需达到180%以上、专业性农业保险公司综合偿付能力充足率需达到150%以上的相关要求执行。评分规则如下：以180%为基准值，达到基准值可得1分，低于基准值不得分；高于基准值的，每提升30%增加1分，即：180%（不含）-210%（含）得2分、210%（不含）-240%（含）得3分、240%（不含）-270%（含）得4分、270%（不含）-300%（含）得5分、300%以上得6分。未提供相关材料或提交内容不符合前述要求的，不予计分。【须提供2025年度偿付能力审计报告】</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216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农业保险业务信息管理系统（6分）</w:t>
            </w:r>
            <w:r>
              <w:rPr>
                <w:rFonts w:hint="eastAsia" w:ascii="仿宋_GB2312" w:hAnsi="仿宋_GB2312" w:eastAsia="仿宋_GB2312" w:cs="仿宋_GB2312"/>
                <w:sz w:val="32"/>
                <w:szCs w:val="32"/>
                <w:lang w:bidi="ar"/>
              </w:rPr>
              <w:br/>
              <w:t xml:space="preserve">参评供应商须具备相对独立、功能完善的农业保险管理系统，系统拥有数据统计与分析功能，可得3分；可直接导出农险承保数据加1分、理赔数据加1分、批改数据加1分。未提供相关材料或提交内容不符合前述要求的，不予计分。本项最高累计得6分。【须提供农业保险信息系统功能截图，截图应能清晰体现供应商信息，或包含其他可明确证明系统确为供应商所有的特征】</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216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农业保险科技赋能（6分）</w:t>
            </w:r>
            <w:r>
              <w:rPr>
                <w:rFonts w:hint="eastAsia" w:ascii="仿宋_GB2312" w:hAnsi="仿宋_GB2312" w:eastAsia="仿宋_GB2312" w:cs="仿宋_GB2312"/>
                <w:sz w:val="32"/>
                <w:szCs w:val="32"/>
                <w:lang w:bidi="ar"/>
              </w:rPr>
              <w:br/>
              <w:t xml:space="preserve">参评供应商依托卫星遥感、移动互联网等技术开展农业保险线上承保理赔服务（1分），其所使用的移动端具备显示保险标的位置（1分）、显示保险标的权属信息（1分）、识别保险标的数量（1分）、支持查验材料上传（1分）、支持保单查询（1分），每具备一项能力得1分。未提供相关材料或提交内容不符合前述要求的，不予计分。本项最高累计得6分。【须提供相关工具照片及能够显示对应功能的证明材料】</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243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保险理赔及时性（10分）</w:t>
            </w:r>
            <w:r>
              <w:rPr>
                <w:rFonts w:hint="eastAsia" w:ascii="仿宋_GB2312" w:hAnsi="仿宋_GB2312" w:eastAsia="仿宋_GB2312" w:cs="仿宋_GB2312"/>
                <w:sz w:val="32"/>
                <w:szCs w:val="32"/>
                <w:lang w:bidi="ar"/>
              </w:rPr>
              <w:br/>
              <w:t xml:space="preserve">参评供应商提供2025年1月1日至12月31日期间，政策性农业保险理赔结案率（结案数/立案数），评分规则如下：结案率95%（含）以上得10分、90%（含）至95%（不含）得9分、85%（含）至90%（不含）得7分、80%（含）至85%（不含）得5分、低于80%不得分；若无政策性农业保险理赔案件，可提供全部险种理赔结案率作为计算依据。未提供相关材料或提交内容不符合前述要求的，不予计分。【须提供保险业务管理系统统计截图或保险行业协会或保险监管部门发布信息材料】</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2205"/>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Style w:val="978"/>
                <w:rFonts w:hint="default" w:ascii="仿宋_GB2312" w:hAnsi="仿宋_GB2312" w:eastAsia="仿宋_GB2312" w:cs="仿宋_GB2312"/>
                <w:color w:val="auto"/>
                <w:sz w:val="32"/>
                <w:szCs w:val="32"/>
                <w:lang w:bidi="ar"/>
              </w:rPr>
            </w:pPr>
            <w:r>
              <w:rPr>
                <w:rStyle w:val="977"/>
                <w:rFonts w:hint="default" w:ascii="仿宋_GB2312" w:hAnsi="仿宋_GB2312" w:eastAsia="仿宋_GB2312" w:cs="仿宋_GB2312"/>
                <w:color w:val="auto"/>
                <w:sz w:val="32"/>
                <w:szCs w:val="32"/>
                <w:lang w:bidi="ar"/>
              </w:rPr>
              <w:t xml:space="preserve">农业保险</w:t>
            </w:r>
            <w:r>
              <w:rPr>
                <w:rStyle w:val="978"/>
                <w:rFonts w:hint="default" w:ascii="仿宋_GB2312" w:hAnsi="仿宋_GB2312" w:eastAsia="仿宋_GB2312" w:cs="仿宋_GB2312"/>
                <w:color w:val="auto"/>
                <w:sz w:val="32"/>
                <w:szCs w:val="32"/>
                <w:lang w:bidi="ar"/>
              </w:rPr>
              <w:t xml:space="preserve">服务水平（10分）</w:t>
            </w:r>
            <w:r/>
          </w:p>
          <w:p>
            <w:pPr>
              <w:jc w:val="left"/>
              <w:spacing w:line="560" w:lineRule="exact"/>
              <w:widowControl/>
              <w:rPr>
                <w:rStyle w:val="978"/>
                <w:rFonts w:hint="default" w:ascii="仿宋_GB2312" w:hAnsi="仿宋_GB2312" w:eastAsia="仿宋_GB2312" w:cs="仿宋_GB2312"/>
                <w:color w:val="auto"/>
                <w:sz w:val="32"/>
                <w:szCs w:val="32"/>
                <w:lang w:bidi="ar"/>
              </w:rPr>
            </w:pPr>
            <w:r>
              <w:rPr>
                <w:rStyle w:val="978"/>
                <w:rFonts w:hint="default" w:ascii="仿宋_GB2312" w:hAnsi="仿宋_GB2312" w:eastAsia="仿宋_GB2312" w:cs="仿宋_GB2312"/>
                <w:color w:val="auto"/>
                <w:sz w:val="32"/>
                <w:szCs w:val="32"/>
                <w:lang w:bidi="ar"/>
              </w:rPr>
              <w:t xml:space="preserve">1.参评供应商与县区级以上政府农业保险管理部门签订农业保险服务协议（合同），每份协议（合同）得2分，</w:t>
            </w:r>
            <w:r>
              <w:rPr>
                <w:rStyle w:val="979"/>
                <w:rFonts w:hint="default" w:ascii="仿宋_GB2312" w:hAnsi="仿宋_GB2312" w:eastAsia="仿宋_GB2312" w:cs="仿宋_GB2312"/>
                <w:color w:val="auto"/>
                <w:sz w:val="32"/>
                <w:szCs w:val="32"/>
                <w:lang w:bidi="ar"/>
              </w:rPr>
              <w:t xml:space="preserve">本部分最多得5分</w:t>
            </w:r>
            <w:r>
              <w:rPr>
                <w:rStyle w:val="978"/>
                <w:rFonts w:hint="default" w:ascii="仿宋_GB2312" w:hAnsi="仿宋_GB2312" w:eastAsia="仿宋_GB2312" w:cs="仿宋_GB2312"/>
                <w:color w:val="auto"/>
                <w:sz w:val="32"/>
                <w:szCs w:val="32"/>
                <w:lang w:bidi="ar"/>
              </w:rPr>
              <w:t xml:space="preserve">。</w:t>
            </w:r>
            <w:r/>
          </w:p>
          <w:p>
            <w:pPr>
              <w:jc w:val="left"/>
              <w:spacing w:line="560" w:lineRule="exact"/>
              <w:widowControl/>
              <w:rPr>
                <w:rStyle w:val="978"/>
                <w:rFonts w:hint="default" w:ascii="仿宋_GB2312" w:hAnsi="仿宋_GB2312" w:eastAsia="仿宋_GB2312" w:cs="仿宋_GB2312"/>
                <w:color w:val="auto"/>
                <w:sz w:val="32"/>
                <w:szCs w:val="32"/>
                <w:lang w:bidi="ar"/>
              </w:rPr>
            </w:pPr>
            <w:r>
              <w:rPr>
                <w:rStyle w:val="978"/>
                <w:rFonts w:hint="default" w:ascii="仿宋_GB2312" w:hAnsi="仿宋_GB2312" w:eastAsia="仿宋_GB2312" w:cs="仿宋_GB2312"/>
                <w:color w:val="auto"/>
                <w:sz w:val="32"/>
                <w:szCs w:val="32"/>
                <w:lang w:bidi="ar"/>
              </w:rPr>
              <w:t xml:space="preserve">2.参评供应商履约服务评价，每获评“优”等级（或评分90分及以上）加1分，每获评“良”等级（或评分80分及以上）加0.5分</w:t>
            </w:r>
            <w:r>
              <w:rPr>
                <w:rStyle w:val="979"/>
                <w:rFonts w:hint="default" w:ascii="仿宋_GB2312" w:hAnsi="仿宋_GB2312" w:eastAsia="仿宋_GB2312" w:cs="仿宋_GB2312"/>
                <w:color w:val="auto"/>
                <w:sz w:val="32"/>
                <w:szCs w:val="32"/>
                <w:lang w:bidi="ar"/>
              </w:rPr>
              <w:t xml:space="preserve">，本部分最多得5分</w:t>
            </w:r>
            <w:r>
              <w:rPr>
                <w:rStyle w:val="978"/>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Style w:val="978"/>
                <w:rFonts w:hint="default" w:ascii="仿宋_GB2312" w:hAnsi="仿宋_GB2312" w:eastAsia="仿宋_GB2312" w:cs="仿宋_GB2312"/>
                <w:color w:val="auto"/>
                <w:sz w:val="32"/>
                <w:szCs w:val="32"/>
                <w:lang w:bidi="ar"/>
              </w:rPr>
              <w:t xml:space="preserve">本项最高累计得10分。【</w:t>
            </w:r>
            <w:r>
              <w:rPr>
                <w:rFonts w:hint="eastAsia" w:ascii="仿宋_GB2312" w:hAnsi="仿宋_GB2312" w:eastAsia="仿宋_GB2312" w:cs="仿宋_GB2312"/>
                <w:sz w:val="32"/>
                <w:szCs w:val="32"/>
                <w:lang w:bidi="ar"/>
              </w:rPr>
              <w:t xml:space="preserve">须</w:t>
            </w:r>
            <w:r>
              <w:rPr>
                <w:rStyle w:val="978"/>
                <w:rFonts w:hint="default" w:ascii="仿宋_GB2312" w:hAnsi="仿宋_GB2312" w:eastAsia="仿宋_GB2312" w:cs="仿宋_GB2312"/>
                <w:color w:val="auto"/>
                <w:sz w:val="32"/>
                <w:szCs w:val="32"/>
                <w:lang w:bidi="ar"/>
              </w:rPr>
              <w:t xml:space="preserve">提供协议（合同）及年度服务评价结果文件】</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244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Style w:val="977"/>
                <w:rFonts w:hint="default" w:ascii="仿宋_GB2312" w:hAnsi="仿宋_GB2312" w:eastAsia="仿宋_GB2312" w:cs="仿宋_GB2312"/>
                <w:color w:val="auto"/>
                <w:sz w:val="32"/>
                <w:szCs w:val="32"/>
                <w:lang w:bidi="ar"/>
              </w:rPr>
            </w:pPr>
            <w:r>
              <w:rPr>
                <w:rStyle w:val="977"/>
                <w:rFonts w:hint="default" w:ascii="仿宋_GB2312" w:hAnsi="仿宋_GB2312" w:eastAsia="仿宋_GB2312" w:cs="仿宋_GB2312"/>
                <w:color w:val="auto"/>
                <w:sz w:val="32"/>
                <w:szCs w:val="32"/>
                <w:lang w:bidi="ar"/>
              </w:rPr>
              <w:t xml:space="preserve">农业保险基层服务能力（10分）</w:t>
            </w:r>
            <w:r/>
          </w:p>
          <w:p>
            <w:pPr>
              <w:jc w:val="left"/>
              <w:spacing w:line="560" w:lineRule="exact"/>
              <w:widowControl/>
              <w:rPr>
                <w:rStyle w:val="977"/>
                <w:rFonts w:hint="default" w:ascii="仿宋_GB2312" w:hAnsi="仿宋_GB2312" w:eastAsia="仿宋_GB2312" w:cs="仿宋_GB2312"/>
                <w:color w:val="auto"/>
                <w:sz w:val="32"/>
                <w:szCs w:val="32"/>
                <w:lang w:bidi="ar"/>
              </w:rPr>
            </w:pPr>
            <w:r>
              <w:rPr>
                <w:rStyle w:val="977"/>
                <w:rFonts w:hint="default" w:ascii="仿宋_GB2312" w:hAnsi="仿宋_GB2312" w:eastAsia="仿宋_GB2312" w:cs="仿宋_GB2312"/>
                <w:color w:val="auto"/>
                <w:sz w:val="32"/>
                <w:szCs w:val="32"/>
                <w:lang w:bidi="ar"/>
              </w:rPr>
              <w:t xml:space="preserve">参评供应商结合遴选区域实际情况，设立基层服务网点。1.县区级服务网点内设农业保险责任部门并配置专职人员</w:t>
            </w:r>
            <w:r>
              <w:rPr>
                <w:rStyle w:val="980"/>
                <w:rFonts w:hint="default" w:ascii="仿宋_GB2312" w:hAnsi="仿宋_GB2312" w:eastAsia="仿宋_GB2312" w:cs="仿宋_GB2312"/>
                <w:color w:val="auto"/>
                <w:sz w:val="32"/>
                <w:szCs w:val="32"/>
                <w:lang w:bidi="ar"/>
              </w:rPr>
              <w:t xml:space="preserve">得2分，本部分最多得2分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Style w:val="977"/>
                <w:rFonts w:hint="default" w:ascii="仿宋_GB2312" w:hAnsi="仿宋_GB2312" w:eastAsia="仿宋_GB2312" w:cs="仿宋_GB2312"/>
                <w:color w:val="auto"/>
                <w:sz w:val="32"/>
                <w:szCs w:val="32"/>
                <w:lang w:bidi="ar"/>
              </w:rPr>
            </w:pPr>
            <w:r>
              <w:rPr>
                <w:rStyle w:val="977"/>
                <w:rFonts w:hint="default" w:ascii="仿宋_GB2312" w:hAnsi="仿宋_GB2312" w:eastAsia="仿宋_GB2312" w:cs="仿宋_GB2312"/>
                <w:color w:val="auto"/>
                <w:sz w:val="32"/>
                <w:szCs w:val="32"/>
                <w:lang w:bidi="ar"/>
              </w:rPr>
              <w:t xml:space="preserve">2.设立乡镇服务网点并配置具备农业保险经验的人员得1分，</w:t>
            </w:r>
            <w:r>
              <w:rPr>
                <w:rStyle w:val="980"/>
                <w:rFonts w:hint="default" w:ascii="仿宋_GB2312" w:hAnsi="仿宋_GB2312" w:eastAsia="仿宋_GB2312" w:cs="仿宋_GB2312"/>
                <w:color w:val="auto"/>
                <w:sz w:val="32"/>
                <w:szCs w:val="32"/>
                <w:lang w:bidi="ar"/>
              </w:rPr>
              <w:t xml:space="preserve">本部分最多得8分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Style w:val="977"/>
                <w:rFonts w:hint="default" w:ascii="仿宋_GB2312" w:hAnsi="仿宋_GB2312" w:eastAsia="仿宋_GB2312" w:cs="仿宋_GB2312"/>
                <w:color w:val="auto"/>
                <w:sz w:val="32"/>
                <w:szCs w:val="32"/>
                <w:lang w:bidi="ar"/>
              </w:rPr>
              <w:t xml:space="preserve">本项最高累计得10分。【</w:t>
            </w:r>
            <w:r>
              <w:rPr>
                <w:rFonts w:hint="eastAsia" w:ascii="仿宋_GB2312" w:hAnsi="仿宋_GB2312" w:eastAsia="仿宋_GB2312" w:cs="仿宋_GB2312"/>
                <w:sz w:val="32"/>
                <w:szCs w:val="32"/>
                <w:lang w:bidi="ar"/>
              </w:rPr>
              <w:t xml:space="preserve">须</w:t>
            </w:r>
            <w:r>
              <w:rPr>
                <w:rStyle w:val="980"/>
                <w:rFonts w:hint="default" w:ascii="仿宋_GB2312" w:hAnsi="仿宋_GB2312" w:eastAsia="仿宋_GB2312" w:cs="仿宋_GB2312"/>
                <w:color w:val="auto"/>
                <w:sz w:val="32"/>
                <w:szCs w:val="32"/>
                <w:lang w:bidi="ar"/>
              </w:rPr>
              <w:t xml:space="preserve">提供服务网点保险许可证或金融许可证，专职人员劳动合同，有农业保险服务经验证明等相关材料</w:t>
            </w:r>
            <w:r>
              <w:rPr>
                <w:rStyle w:val="977"/>
                <w:rFonts w:hint="default" w:ascii="仿宋_GB2312" w:hAnsi="仿宋_GB2312" w:eastAsia="仿宋_GB2312" w:cs="仿宋_GB2312"/>
                <w:color w:val="auto"/>
                <w:sz w:val="32"/>
                <w:szCs w:val="32"/>
                <w:lang w:bidi="ar"/>
              </w:rPr>
              <w:t xml:space="preserve">】</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65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精准承保理赔方案（10分）                                   参评供应商根据采购需求，编制农业保险精准承保理赔服务方案。    1.方案内容，包括但不限于承保理赔数据底座（1分）、精准承保方案（1分）、精准理赔方案（1分）、实名制缴费方案（1分）、风险管控方案（1分），每提供一项得1分，不提供不得分，本部分最高得5分。                                               </w:t>
            </w:r>
            <w:r/>
          </w:p>
          <w:p>
            <w:pPr>
              <w:jc w:val="left"/>
              <w:spacing w:line="560" w:lineRule="exact"/>
              <w:widowControl/>
              <w:rPr>
                <w:rStyle w:val="977"/>
                <w:rFonts w:hint="default" w:ascii="仿宋_GB2312" w:hAnsi="仿宋_GB2312" w:eastAsia="仿宋_GB2312" w:cs="仿宋_GB2312"/>
                <w:color w:val="auto"/>
                <w:sz w:val="32"/>
                <w:szCs w:val="32"/>
                <w:lang w:bidi="ar"/>
              </w:rPr>
            </w:pPr>
            <w:r>
              <w:rPr>
                <w:rFonts w:hint="eastAsia" w:ascii="仿宋_GB2312" w:hAnsi="仿宋_GB2312" w:eastAsia="仿宋_GB2312" w:cs="仿宋_GB2312"/>
                <w:sz w:val="32"/>
                <w:szCs w:val="32"/>
                <w:lang w:bidi="ar"/>
              </w:rPr>
              <w:t xml:space="preserve">2.综合评审，认为方案能紧密结合实际、精准化措施内容详实、已有实施经验，得5分；方案紧密结合实际、精准化措施内容较详实、具有可行性，得3分；方案基本能结合实际、内容较丰富、可行性待定，得2分；提供内容无法满足上述要求不得分；</w:t>
            </w:r>
            <w:r>
              <w:rPr>
                <w:rStyle w:val="980"/>
                <w:rFonts w:hint="default" w:ascii="仿宋_GB2312" w:hAnsi="仿宋_GB2312" w:eastAsia="仿宋_GB2312" w:cs="仿宋_GB2312"/>
                <w:color w:val="auto"/>
                <w:sz w:val="32"/>
                <w:szCs w:val="32"/>
                <w:lang w:bidi="ar"/>
              </w:rPr>
              <w:t xml:space="preserve">本部分最多得5分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本项最高累计得10分。</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243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农业风险减量方案（10分）                                   参评供应商依据采购需求，编制减量服务方案。</w:t>
            </w:r>
            <w:r/>
          </w:p>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1.方案内容，包括但不限于种植业（1分）、牲畜养殖业（1分）、水产养殖业（1分）、农业机械（1分）等领域的风险减量服务方案，每提供一项得1分，不提供不得分，本部分最高得4分。                      </w:t>
            </w:r>
            <w:r/>
          </w:p>
          <w:p>
            <w:pPr>
              <w:jc w:val="left"/>
              <w:spacing w:line="560" w:lineRule="exact"/>
              <w:widowControl/>
              <w:rPr>
                <w:rStyle w:val="977"/>
                <w:rFonts w:hint="default" w:ascii="仿宋_GB2312" w:hAnsi="仿宋_GB2312" w:eastAsia="仿宋_GB2312" w:cs="仿宋_GB2312"/>
                <w:color w:val="auto"/>
                <w:sz w:val="32"/>
                <w:szCs w:val="32"/>
                <w:lang w:bidi="ar"/>
              </w:rPr>
            </w:pPr>
            <w:r>
              <w:rPr>
                <w:rFonts w:hint="eastAsia" w:ascii="仿宋_GB2312" w:hAnsi="仿宋_GB2312" w:eastAsia="仿宋_GB2312" w:cs="仿宋_GB2312"/>
                <w:sz w:val="32"/>
                <w:szCs w:val="32"/>
                <w:lang w:bidi="ar"/>
              </w:rPr>
              <w:t xml:space="preserve">2.综合评审，认为方案能紧密结合实际、内容详实、已有实施经验，得6分；方案紧密结合实际、内容较详实、具有可行性，得4分；方案基本能结合实际、内容较丰富、可行性待定，得2分；提供内容无法满足上述要求不得分；</w:t>
            </w:r>
            <w:r>
              <w:rPr>
                <w:rStyle w:val="980"/>
                <w:rFonts w:hint="default" w:ascii="仿宋_GB2312" w:hAnsi="仿宋_GB2312" w:eastAsia="仿宋_GB2312" w:cs="仿宋_GB2312"/>
                <w:color w:val="auto"/>
                <w:sz w:val="32"/>
                <w:szCs w:val="32"/>
                <w:lang w:bidi="ar"/>
              </w:rPr>
              <w:t xml:space="preserve">本部分最多得6分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本项最高累计得10分。</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351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保险服务创新方案（8分）                                    参评供应商根据采购需求，编制农业保险服务创新方案。</w:t>
            </w:r>
            <w:r/>
          </w:p>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1.方案内容，包括但不限于：紧扣农业科技创新与农业产业升级的核心需求，提出推进农业保险服务新业态（1分）、新模式（1分）、新场景（1分）的创新服务思路与举措，每提供一项得1分，不提供不得分，本部分最高得3分。                      </w:t>
            </w:r>
            <w:r/>
          </w:p>
          <w:p>
            <w:pPr>
              <w:jc w:val="left"/>
              <w:spacing w:line="560" w:lineRule="exact"/>
              <w:widowControl/>
              <w:rPr>
                <w:rStyle w:val="977"/>
                <w:rFonts w:hint="default" w:ascii="仿宋_GB2312" w:hAnsi="仿宋_GB2312" w:eastAsia="仿宋_GB2312" w:cs="仿宋_GB2312"/>
                <w:color w:val="auto"/>
                <w:sz w:val="32"/>
                <w:szCs w:val="32"/>
                <w:lang w:bidi="ar"/>
              </w:rPr>
            </w:pPr>
            <w:r>
              <w:rPr>
                <w:rFonts w:hint="eastAsia" w:ascii="仿宋_GB2312" w:hAnsi="仿宋_GB2312" w:eastAsia="仿宋_GB2312" w:cs="仿宋_GB2312"/>
                <w:sz w:val="32"/>
                <w:szCs w:val="32"/>
                <w:lang w:bidi="ar"/>
              </w:rPr>
              <w:t xml:space="preserve">2.综合评审，认为方案能够紧密结合实际，针对新业态、新模式、新场景的创新举措思路丰富清晰，已有实施经验，得5分；方案基本结合实际，针对新业态、新模式、新场景的创新举措思路较为清晰，具有可行性，得3分；方案创新思路较多，但可行性待定，得1分；提供内容无法满足上述要求不得分；</w:t>
            </w:r>
            <w:r>
              <w:rPr>
                <w:rStyle w:val="980"/>
                <w:rFonts w:hint="default" w:ascii="仿宋_GB2312" w:hAnsi="仿宋_GB2312" w:eastAsia="仿宋_GB2312" w:cs="仿宋_GB2312"/>
                <w:color w:val="auto"/>
                <w:sz w:val="32"/>
                <w:szCs w:val="32"/>
                <w:lang w:bidi="ar"/>
              </w:rPr>
              <w:t xml:space="preserve">本部分最多得5分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本项最高累计得</w:t>
            </w:r>
            <w:r>
              <w:rPr>
                <w:rFonts w:ascii="仿宋_GB2312" w:hAnsi="仿宋_GB2312" w:eastAsia="仿宋_GB2312" w:cs="仿宋_GB2312"/>
                <w:sz w:val="32"/>
                <w:szCs w:val="32"/>
                <w:lang w:bidi="ar"/>
              </w:rPr>
              <w:t xml:space="preserve">8</w:t>
            </w:r>
            <w:r>
              <w:rPr>
                <w:rFonts w:hint="eastAsia" w:ascii="仿宋_GB2312" w:hAnsi="仿宋_GB2312" w:eastAsia="仿宋_GB2312" w:cs="仿宋_GB2312"/>
                <w:sz w:val="32"/>
                <w:szCs w:val="32"/>
                <w:lang w:bidi="ar"/>
              </w:rPr>
              <w:t xml:space="preserve">分。</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8</w:t>
            </w:r>
            <w:r/>
          </w:p>
        </w:tc>
      </w:tr>
    </w:tbl>
    <w:p>
      <w:pPr>
        <w:ind w:firstLine="640"/>
        <w:jc w:val="left"/>
        <w:spacing w:line="560" w:lineRule="exact"/>
        <w:widowControl/>
        <w:rPr>
          <w:rFonts w:ascii="仿宋_GB2312" w:hAnsi="仿宋_GB2312" w:eastAsia="仿宋_GB2312" w:cs="仿宋_GB2312"/>
          <w:sz w:val="32"/>
          <w:szCs w:val="32"/>
        </w:rPr>
      </w:pPr>
      <w:r>
        <w:rPr>
          <w:rFonts w:ascii="仿宋_GB2312" w:hAnsi="仿宋_GB2312" w:eastAsia="仿宋_GB2312" w:cs="仿宋_GB2312"/>
          <w:sz w:val="32"/>
          <w:szCs w:val="32"/>
        </w:rPr>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二、确定第二阶段成交供应商的方式</w:t>
      </w:r>
      <w:r/>
    </w:p>
    <w:p>
      <w:pPr>
        <w:ind w:firstLine="4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确定第二阶段成交供应商的方式为直接选定。原则上依据质量评分结果，从第一阶段入围供应商中直接选定前5名，分别对应五个服务区域：得分第一名的供应商中选区域一，第二名的供应商中选区域二，第三名的供应商中选区域三，第四名的供应商中选区域四，第五名的供应商中选区域五。如第一阶段入围供应商不足5家时，剩余区域按照评分高低顺序轮中。</w:t>
      </w:r>
      <w:r/>
    </w:p>
    <w:p>
      <w:pPr>
        <w:ind w:firstLine="4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2、如政府采购相关法律法规关于确定成交供应商的方式发生变化的，则应从其规定。</w:t>
      </w:r>
      <w:r/>
    </w:p>
    <w:p>
      <w:pPr>
        <w:jc w:val="left"/>
        <w:spacing w:line="560" w:lineRule="exact"/>
        <w:widowControl/>
        <w:rPr>
          <w:rFonts w:ascii="仿宋_GB2312" w:hAnsi="仿宋_GB2312" w:eastAsia="仿宋_GB2312" w:cs="仿宋_GB2312"/>
          <w:sz w:val="32"/>
          <w:szCs w:val="32"/>
        </w:rPr>
      </w:pPr>
      <w:r>
        <w:rPr>
          <w:rFonts w:ascii="仿宋_GB2312" w:hAnsi="仿宋_GB2312" w:eastAsia="仿宋_GB2312" w:cs="仿宋_GB2312"/>
          <w:sz w:val="32"/>
          <w:szCs w:val="32"/>
        </w:rPr>
      </w:r>
      <w:r/>
    </w:p>
    <w:sectPr>
      <w:footerReference w:type="default" r:id="rId9"/>
      <w:footnotePr/>
      <w:endnotePr/>
      <w:type w:val="nextPage"/>
      <w:pgSz w:w="11906" w:h="16838" w:orient="portrait"/>
      <w:pgMar w:top="2098" w:right="1474" w:bottom="1984" w:left="158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仿宋">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rPr>
                              <w:rFonts w:ascii="宋体" w:hAnsi="宋体" w:eastAsia="宋体"/>
                              <w:sz w:val="28"/>
                              <w:szCs w:val="28"/>
                            </w:rPr>
                          </w:pPr>
                          <w:r>
                            <w:rPr>
                              <w:rFonts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w:t>
                          </w:r>
                          <w:r>
                            <w:rPr>
                              <w:rFonts w:ascii="宋体" w:hAnsi="宋体" w:eastAsia="宋体"/>
                              <w:sz w:val="28"/>
                              <w:szCs w:val="28"/>
                            </w:rPr>
                            <w:fldChar w:fldCharType="end"/>
                          </w:r>
                          <w:r>
                            <w:rPr>
                              <w:rFonts w:ascii="宋体" w:hAnsi="宋体" w:eastAsia="宋体"/>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rPr>
                        <w:rFonts w:ascii="宋体" w:hAnsi="宋体" w:eastAsia="宋体"/>
                        <w:sz w:val="28"/>
                        <w:szCs w:val="28"/>
                      </w:rPr>
                    </w:pPr>
                    <w:r>
                      <w:rPr>
                        <w:rFonts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w:t>
                    </w:r>
                    <w:r>
                      <w:rPr>
                        <w:rFonts w:ascii="宋体" w:hAnsi="宋体" w:eastAsia="宋体"/>
                        <w:sz w:val="28"/>
                        <w:szCs w:val="28"/>
                      </w:rPr>
                      <w:fldChar w:fldCharType="end"/>
                    </w:r>
                    <w:r>
                      <w:rPr>
                        <w:rFonts w:ascii="宋体" w:hAnsi="宋体" w:eastAsia="宋体"/>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rPr>
                              <w:rFonts w:ascii="宋体" w:hAnsi="宋体" w:eastAsia="宋体"/>
                              <w:sz w:val="28"/>
                              <w:szCs w:val="28"/>
                            </w:rPr>
                          </w:pPr>
                          <w:r>
                            <w:rPr>
                              <w:rFonts w:ascii="宋体" w:hAnsi="宋体" w:eastAsia="宋体"/>
                              <w:sz w:val="28"/>
                              <w:szCs w:val="28"/>
                            </w:rPr>
                            <w:t xml:space="preserve">—</w:t>
                          </w:r>
                          <w:r>
                            <w:rPr>
                              <w:rFonts w:ascii="宋体" w:hAnsi="宋体" w:eastAsia="宋体"/>
                              <w:sz w:val="24"/>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23</w:t>
                          </w:r>
                          <w:r>
                            <w:rPr>
                              <w:rFonts w:ascii="宋体" w:hAnsi="宋体" w:eastAsia="宋体"/>
                              <w:sz w:val="28"/>
                              <w:szCs w:val="28"/>
                            </w:rPr>
                            <w:fldChar w:fldCharType="end"/>
                          </w:r>
                          <w:r>
                            <w:rPr>
                              <w:rFonts w:ascii="宋体" w:hAnsi="宋体" w:eastAsia="宋体"/>
                              <w:sz w:val="24"/>
                              <w:szCs w:val="28"/>
                            </w:rPr>
                            <w:t xml:space="preserve">　</w:t>
                          </w:r>
                          <w:r>
                            <w:rPr>
                              <w:rFonts w:ascii="宋体" w:hAnsi="宋体" w:eastAsia="宋体"/>
                              <w:sz w:val="28"/>
                              <w:szCs w:val="28"/>
                            </w:rPr>
                            <w:t xml:space="preserve">—</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rPr>
                        <w:rFonts w:ascii="宋体" w:hAnsi="宋体" w:eastAsia="宋体"/>
                        <w:sz w:val="28"/>
                        <w:szCs w:val="28"/>
                      </w:rPr>
                    </w:pPr>
                    <w:r>
                      <w:rPr>
                        <w:rFonts w:ascii="宋体" w:hAnsi="宋体" w:eastAsia="宋体"/>
                        <w:sz w:val="28"/>
                        <w:szCs w:val="28"/>
                      </w:rPr>
                      <w:t xml:space="preserve">—</w:t>
                    </w:r>
                    <w:r>
                      <w:rPr>
                        <w:rFonts w:ascii="宋体" w:hAnsi="宋体" w:eastAsia="宋体"/>
                        <w:sz w:val="24"/>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23</w:t>
                    </w:r>
                    <w:r>
                      <w:rPr>
                        <w:rFonts w:ascii="宋体" w:hAnsi="宋体" w:eastAsia="宋体"/>
                        <w:sz w:val="28"/>
                        <w:szCs w:val="28"/>
                      </w:rPr>
                      <w:fldChar w:fldCharType="end"/>
                    </w:r>
                    <w:r>
                      <w:rPr>
                        <w:rFonts w:ascii="宋体" w:hAnsi="宋体" w:eastAsia="宋体"/>
                        <w:sz w:val="24"/>
                        <w:szCs w:val="28"/>
                      </w:rPr>
                      <w:t xml:space="preserve">　</w:t>
                    </w:r>
                    <w:r>
                      <w:rPr>
                        <w:rFonts w:ascii="宋体" w:hAnsi="宋体" w:eastAsia="宋体"/>
                        <w:sz w:val="28"/>
                        <w:szCs w:val="28"/>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51"/>
        <w:ind w:firstLine="261"/>
        <w:rPr>
          <w:rFonts w:ascii="宋体" w:hAnsi="宋体" w:eastAsia="宋体"/>
          <w:color w:val="000000"/>
          <w:szCs w:val="18"/>
        </w:rPr>
      </w:pPr>
      <w:r>
        <w:rPr>
          <w:rFonts w:hint="eastAsia" w:ascii="宋体" w:hAnsi="宋体" w:eastAsia="宋体"/>
          <w:b/>
          <w:color w:val="000000"/>
        </w:rPr>
        <w:t xml:space="preserve">备注：</w:t>
      </w:r>
      <w:r>
        <w:rPr>
          <w:rFonts w:hint="eastAsia" w:ascii="宋体" w:hAnsi="宋体" w:eastAsia="宋体"/>
          <w:color w:val="000000"/>
          <w:szCs w:val="18"/>
        </w:rPr>
        <w:t xml:space="preserve">1</w:t>
      </w:r>
      <w:r>
        <w:rPr>
          <w:rFonts w:ascii="宋体" w:hAnsi="宋体" w:eastAsia="宋体"/>
          <w:color w:val="000000"/>
          <w:szCs w:val="18"/>
        </w:rPr>
        <w:t xml:space="preserve">.</w:t>
      </w:r>
      <w:r>
        <w:rPr>
          <w:rFonts w:hint="eastAsia" w:ascii="宋体" w:hAnsi="宋体" w:eastAsia="宋体"/>
          <w:color w:val="000000"/>
          <w:szCs w:val="18"/>
        </w:rPr>
        <w:t xml:space="preserve">从业人员、营业收入、资产总额填报上一年度数据，无上一年度数据的新成立企业可不填报。</w:t>
      </w:r>
      <w:r/>
    </w:p>
    <w:p>
      <w:pPr>
        <w:pStyle w:val="951"/>
        <w:ind w:firstLine="540"/>
        <w:rPr>
          <w:rFonts w:ascii="宋体" w:hAnsi="宋体" w:eastAsia="宋体"/>
          <w:color w:val="000000"/>
          <w:szCs w:val="18"/>
        </w:rPr>
      </w:pPr>
      <w:r>
        <w:rPr>
          <w:rFonts w:ascii="宋体" w:hAnsi="宋体" w:eastAsia="宋体"/>
          <w:color w:val="000000"/>
          <w:szCs w:val="18"/>
        </w:rPr>
        <w:t xml:space="preserve">2.</w:t>
      </w:r>
      <w:r>
        <w:rPr>
          <w:rFonts w:hint="eastAsia" w:ascii="宋体" w:hAnsi="宋体" w:eastAsia="宋体"/>
          <w:color w:val="000000"/>
          <w:szCs w:val="18"/>
        </w:rPr>
        <w:t xml:space="preserve">专门面向中小微型企业采购的项目，供应商如不提供此声明函，则不能通过资格审查；非专门面向中小微型企业采购的项目，供应商如不提供此声明函，价格将不做相应扣除。</w:t>
      </w:r>
      <w:r/>
    </w:p>
    <w:p>
      <w:pPr>
        <w:pStyle w:val="951"/>
        <w:ind w:firstLine="540"/>
        <w:rPr>
          <w:rFonts w:ascii="宋体" w:hAnsi="宋体" w:eastAsia="宋体"/>
          <w:color w:val="000000"/>
          <w:szCs w:val="18"/>
        </w:rPr>
      </w:pPr>
      <w:r>
        <w:rPr>
          <w:rFonts w:hint="eastAsia" w:ascii="宋体" w:hAnsi="宋体" w:eastAsia="宋体"/>
          <w:color w:val="000000"/>
          <w:szCs w:val="18"/>
        </w:rPr>
        <w:t xml:space="preserve">3</w:t>
      </w:r>
      <w:r>
        <w:rPr>
          <w:rFonts w:ascii="宋体" w:hAnsi="宋体" w:eastAsia="宋体"/>
          <w:color w:val="000000"/>
          <w:szCs w:val="18"/>
        </w:rPr>
        <w:t xml:space="preserve">.</w:t>
      </w:r>
      <w:r>
        <w:rPr>
          <w:rFonts w:hint="eastAsia" w:ascii="宋体" w:hAnsi="宋体" w:eastAsia="宋体"/>
          <w:b/>
          <w:color w:val="000000"/>
          <w:szCs w:val="18"/>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51"/>
        <w:ind w:firstLine="540"/>
        <w:rPr>
          <w:rFonts w:ascii="宋体" w:hAnsi="宋体" w:eastAsia="宋体"/>
          <w:color w:val="000000"/>
          <w:szCs w:val="18"/>
        </w:rPr>
      </w:pPr>
      <w:r>
        <w:rPr>
          <w:rFonts w:ascii="宋体" w:hAnsi="宋体" w:eastAsia="宋体"/>
          <w:color w:val="000000"/>
          <w:szCs w:val="18"/>
        </w:rPr>
        <w:t xml:space="preserve">4.</w:t>
      </w:r>
      <w:r>
        <w:rPr>
          <w:rFonts w:hint="eastAsia" w:ascii="宋体" w:hAnsi="宋体" w:eastAsia="宋体"/>
          <w:color w:val="000000"/>
          <w:szCs w:val="18"/>
        </w:rPr>
        <w:t xml:space="preserve">《中小企业声明函》中所填的行业应与本采购标的对应的中小企业划分标准所属行业一致，不一致的不可享受相应政策优惠。</w:t>
      </w:r>
      <w:r>
        <w:rPr>
          <w:rFonts w:hint="eastAsia" w:ascii="宋体" w:hAnsi="宋体" w:eastAsia="宋体"/>
          <w:b/>
          <w:color w:val="000000"/>
          <w:szCs w:val="18"/>
        </w:rPr>
        <w:t xml:space="preserve">本采购标的对应的中小企业划分标准所属行业，以征集文件中具体规定为准。</w:t>
      </w:r>
      <w:r/>
    </w:p>
    <w:p>
      <w:pPr>
        <w:pStyle w:val="951"/>
        <w:ind w:firstLine="540"/>
        <w:rPr>
          <w:rFonts w:ascii="宋体" w:hAnsi="宋体" w:eastAsia="宋体"/>
          <w:color w:val="000000"/>
          <w:szCs w:val="18"/>
        </w:rPr>
      </w:pPr>
      <w:r>
        <w:rPr>
          <w:rFonts w:hint="eastAsia" w:ascii="宋体" w:hAnsi="宋体" w:eastAsia="宋体"/>
          <w:szCs w:val="18"/>
        </w:rPr>
        <w:t xml:space="preserve">5</w:t>
      </w:r>
      <w:r>
        <w:rPr>
          <w:rFonts w:ascii="宋体" w:hAnsi="宋体" w:eastAsia="宋体"/>
          <w:szCs w:val="18"/>
        </w:rPr>
        <w:t xml:space="preserve">.</w:t>
      </w:r>
      <w:r>
        <w:rPr>
          <w:rFonts w:hint="eastAsia" w:ascii="宋体" w:hAnsi="宋体" w:eastAsia="宋体"/>
          <w:color w:val="000000"/>
          <w:szCs w:val="18"/>
        </w:rPr>
        <w:t xml:space="preserve">供应商自行勾选承接企业的企业规模类型。</w:t>
      </w:r>
      <w:r>
        <w:rPr>
          <w:rFonts w:hint="eastAsia" w:ascii="宋体" w:hAnsi="宋体" w:eastAsia="宋体"/>
          <w:b/>
          <w:color w:val="000000"/>
          <w:szCs w:val="18"/>
        </w:rPr>
        <w:t xml:space="preserve">如未对（中型企业、小型企业、微型企业）进行勾选，视同非中小微企业，不可享受相应扶持政策</w:t>
      </w:r>
      <w:r>
        <w:rPr>
          <w:rFonts w:hint="eastAsia" w:ascii="宋体" w:hAnsi="宋体" w:eastAsia="宋体"/>
          <w:color w:val="000000"/>
          <w:szCs w:val="18"/>
        </w:rPr>
        <w:t xml:space="preserve">。</w:t>
      </w:r>
      <w:r/>
    </w:p>
    <w:p>
      <w:pPr>
        <w:pStyle w:val="951"/>
        <w:ind w:firstLine="540"/>
        <w:rPr>
          <w:rFonts w:ascii="宋体" w:hAnsi="宋体" w:eastAsia="宋体"/>
          <w:szCs w:val="18"/>
        </w:rPr>
      </w:pPr>
      <w:r>
        <w:rPr>
          <w:rFonts w:ascii="宋体" w:hAnsi="宋体" w:eastAsia="宋体"/>
          <w:szCs w:val="18"/>
        </w:rPr>
        <w:t xml:space="preserve">6</w:t>
      </w:r>
      <w:r>
        <w:rPr>
          <w:rFonts w:hint="eastAsia" w:ascii="宋体" w:hAnsi="宋体" w:eastAsia="宋体"/>
          <w:szCs w:val="18"/>
        </w:rPr>
        <w:t xml:space="preserve">.成交单位为中小企业的，《中小企业声明函》将随成交结果同时公告。</w:t>
      </w:r>
      <w:r/>
    </w:p>
    <w:p>
      <w:pPr>
        <w:pStyle w:val="951"/>
        <w:ind w:firstLine="540"/>
        <w:rPr>
          <w:rFonts w:ascii="宋体" w:hAnsi="宋体" w:eastAsia="宋体"/>
          <w:szCs w:val="18"/>
        </w:rPr>
      </w:pPr>
      <w:r>
        <w:rPr>
          <w:rFonts w:ascii="宋体" w:hAnsi="宋体" w:eastAsia="宋体"/>
          <w:szCs w:val="18"/>
        </w:rPr>
        <w:t xml:space="preserve">7.</w:t>
      </w:r>
      <w:bookmarkStart w:id="49" w:name="OLE_LINK2"/>
      <w:r/>
      <w:bookmarkStart w:id="50" w:name="OLE_LINK15"/>
      <w:r>
        <w:rPr>
          <w:rFonts w:hint="eastAsia" w:ascii="宋体" w:hAnsi="宋体" w:eastAsia="宋体"/>
          <w:szCs w:val="18"/>
        </w:rPr>
        <w:t xml:space="preserve">供应商</w:t>
      </w:r>
      <w:bookmarkEnd w:id="49"/>
      <w:r/>
      <w:bookmarkEnd w:id="50"/>
      <w:r>
        <w:rPr>
          <w:rFonts w:hint="eastAsia" w:ascii="宋体" w:hAnsi="宋体" w:eastAsia="宋体"/>
          <w:szCs w:val="18"/>
        </w:rPr>
        <w:t xml:space="preserve">应当对其出具的《中小企业声明函》真实性负责，供应商出具的《中小企业声明函》内容不实的，属于提供虚假材料谋取中标。不能确定相关信息真实、准确的，不建议出具《中小企业声明函》。</w:t>
      </w:r>
      <w:r/>
    </w:p>
    <w:p>
      <w:pPr>
        <w:pStyle w:val="951"/>
        <w:ind w:firstLine="539"/>
        <w:rPr>
          <w:rFonts w:ascii="宋体" w:hAnsi="宋体" w:eastAsia="宋体"/>
          <w:szCs w:val="18"/>
        </w:rPr>
      </w:pPr>
      <w:r>
        <w:rPr>
          <w:rFonts w:hint="eastAsia" w:ascii="宋体" w:hAnsi="宋体" w:eastAsia="宋体"/>
          <w:szCs w:val="18"/>
        </w:rPr>
        <w:t xml:space="preserve">8</w:t>
      </w:r>
      <w:r>
        <w:rPr>
          <w:rFonts w:ascii="宋体" w:hAnsi="宋体" w:eastAsia="宋体"/>
          <w:szCs w:val="18"/>
        </w:rPr>
        <w:t xml:space="preserve">.</w:t>
      </w:r>
      <w:r>
        <w:rPr>
          <w:rFonts w:hint="eastAsia" w:ascii="宋体" w:hAnsi="宋体" w:eastAsia="宋体"/>
          <w:szCs w:val="18"/>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39"/>
    <w:next w:val="939"/>
    <w:link w:val="771"/>
    <w:uiPriority w:val="9"/>
    <w:qFormat/>
    <w:pPr>
      <w:keepLines/>
      <w:keepNext/>
      <w:spacing w:before="480" w:after="200"/>
      <w:outlineLvl w:val="0"/>
    </w:pPr>
    <w:rPr>
      <w:rFonts w:ascii="Arial" w:hAnsi="Arial" w:eastAsia="Arial" w:cs="Arial"/>
      <w:sz w:val="40"/>
      <w:szCs w:val="40"/>
    </w:rPr>
  </w:style>
  <w:style w:type="character" w:styleId="771">
    <w:name w:val="Heading 1 Char"/>
    <w:basedOn w:val="941"/>
    <w:link w:val="770"/>
    <w:uiPriority w:val="9"/>
    <w:rPr>
      <w:rFonts w:ascii="Arial" w:hAnsi="Arial" w:eastAsia="Arial" w:cs="Arial"/>
      <w:sz w:val="40"/>
      <w:szCs w:val="40"/>
    </w:rPr>
  </w:style>
  <w:style w:type="paragraph" w:styleId="772">
    <w:name w:val="Heading 2"/>
    <w:basedOn w:val="939"/>
    <w:next w:val="939"/>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basedOn w:val="941"/>
    <w:link w:val="772"/>
    <w:uiPriority w:val="9"/>
    <w:rPr>
      <w:rFonts w:ascii="Arial" w:hAnsi="Arial" w:eastAsia="Arial" w:cs="Arial"/>
      <w:sz w:val="34"/>
    </w:rPr>
  </w:style>
  <w:style w:type="character" w:styleId="774">
    <w:name w:val="Heading 3 Char"/>
    <w:basedOn w:val="941"/>
    <w:link w:val="940"/>
    <w:uiPriority w:val="9"/>
    <w:rPr>
      <w:rFonts w:ascii="Arial" w:hAnsi="Arial" w:eastAsia="Arial" w:cs="Arial"/>
      <w:sz w:val="30"/>
      <w:szCs w:val="30"/>
    </w:rPr>
  </w:style>
  <w:style w:type="paragraph" w:styleId="775">
    <w:name w:val="Heading 4"/>
    <w:basedOn w:val="939"/>
    <w:next w:val="939"/>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basedOn w:val="941"/>
    <w:link w:val="775"/>
    <w:uiPriority w:val="9"/>
    <w:rPr>
      <w:rFonts w:ascii="Arial" w:hAnsi="Arial" w:eastAsia="Arial" w:cs="Arial"/>
      <w:b/>
      <w:bCs/>
      <w:sz w:val="26"/>
      <w:szCs w:val="26"/>
    </w:rPr>
  </w:style>
  <w:style w:type="paragraph" w:styleId="777">
    <w:name w:val="Heading 5"/>
    <w:basedOn w:val="939"/>
    <w:next w:val="939"/>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basedOn w:val="941"/>
    <w:link w:val="777"/>
    <w:uiPriority w:val="9"/>
    <w:rPr>
      <w:rFonts w:ascii="Arial" w:hAnsi="Arial" w:eastAsia="Arial" w:cs="Arial"/>
      <w:b/>
      <w:bCs/>
      <w:sz w:val="24"/>
      <w:szCs w:val="24"/>
    </w:rPr>
  </w:style>
  <w:style w:type="paragraph" w:styleId="779">
    <w:name w:val="Heading 6"/>
    <w:basedOn w:val="939"/>
    <w:next w:val="939"/>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41"/>
    <w:link w:val="779"/>
    <w:uiPriority w:val="9"/>
    <w:rPr>
      <w:rFonts w:ascii="Arial" w:hAnsi="Arial" w:eastAsia="Arial" w:cs="Arial"/>
      <w:b/>
      <w:bCs/>
      <w:sz w:val="22"/>
      <w:szCs w:val="22"/>
    </w:rPr>
  </w:style>
  <w:style w:type="paragraph" w:styleId="781">
    <w:name w:val="Heading 7"/>
    <w:basedOn w:val="939"/>
    <w:next w:val="939"/>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1"/>
    <w:link w:val="781"/>
    <w:uiPriority w:val="9"/>
    <w:rPr>
      <w:rFonts w:ascii="Arial" w:hAnsi="Arial" w:eastAsia="Arial" w:cs="Arial"/>
      <w:b/>
      <w:bCs/>
      <w:i/>
      <w:iCs/>
      <w:sz w:val="22"/>
      <w:szCs w:val="22"/>
    </w:rPr>
  </w:style>
  <w:style w:type="paragraph" w:styleId="783">
    <w:name w:val="Heading 8"/>
    <w:basedOn w:val="939"/>
    <w:next w:val="939"/>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1"/>
    <w:link w:val="783"/>
    <w:uiPriority w:val="9"/>
    <w:rPr>
      <w:rFonts w:ascii="Arial" w:hAnsi="Arial" w:eastAsia="Arial" w:cs="Arial"/>
      <w:i/>
      <w:iCs/>
      <w:sz w:val="22"/>
      <w:szCs w:val="22"/>
    </w:rPr>
  </w:style>
  <w:style w:type="paragraph" w:styleId="785">
    <w:name w:val="Heading 9"/>
    <w:basedOn w:val="939"/>
    <w:next w:val="939"/>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1"/>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39"/>
    <w:next w:val="939"/>
    <w:link w:val="789"/>
    <w:uiPriority w:val="10"/>
    <w:qFormat/>
    <w:pPr>
      <w:contextualSpacing/>
      <w:spacing w:before="300" w:after="200"/>
    </w:pPr>
    <w:rPr>
      <w:sz w:val="48"/>
      <w:szCs w:val="48"/>
    </w:rPr>
  </w:style>
  <w:style w:type="character" w:styleId="789">
    <w:name w:val="Title Char"/>
    <w:basedOn w:val="941"/>
    <w:link w:val="788"/>
    <w:uiPriority w:val="10"/>
    <w:rPr>
      <w:sz w:val="48"/>
      <w:szCs w:val="48"/>
    </w:rPr>
  </w:style>
  <w:style w:type="paragraph" w:styleId="790">
    <w:name w:val="Subtitle"/>
    <w:basedOn w:val="939"/>
    <w:next w:val="939"/>
    <w:link w:val="791"/>
    <w:uiPriority w:val="11"/>
    <w:qFormat/>
    <w:pPr>
      <w:spacing w:before="200" w:after="200"/>
    </w:pPr>
    <w:rPr>
      <w:sz w:val="24"/>
      <w:szCs w:val="24"/>
    </w:rPr>
  </w:style>
  <w:style w:type="character" w:styleId="791">
    <w:name w:val="Subtitle Char"/>
    <w:basedOn w:val="941"/>
    <w:link w:val="790"/>
    <w:uiPriority w:val="11"/>
    <w:rPr>
      <w:sz w:val="24"/>
      <w:szCs w:val="24"/>
    </w:rPr>
  </w:style>
  <w:style w:type="paragraph" w:styleId="792">
    <w:name w:val="Quote"/>
    <w:basedOn w:val="939"/>
    <w:next w:val="939"/>
    <w:link w:val="793"/>
    <w:uiPriority w:val="29"/>
    <w:qFormat/>
    <w:pPr>
      <w:ind w:left="720" w:right="720"/>
    </w:pPr>
    <w:rPr>
      <w:i/>
    </w:rPr>
  </w:style>
  <w:style w:type="character" w:styleId="793">
    <w:name w:val="Quote Char"/>
    <w:link w:val="792"/>
    <w:uiPriority w:val="29"/>
    <w:rPr>
      <w:i/>
    </w:rPr>
  </w:style>
  <w:style w:type="paragraph" w:styleId="794">
    <w:name w:val="Intense Quote"/>
    <w:basedOn w:val="939"/>
    <w:next w:val="939"/>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character" w:styleId="796">
    <w:name w:val="Header Char"/>
    <w:basedOn w:val="941"/>
    <w:link w:val="949"/>
    <w:uiPriority w:val="99"/>
  </w:style>
  <w:style w:type="character" w:styleId="797">
    <w:name w:val="Footer Char"/>
    <w:basedOn w:val="941"/>
    <w:link w:val="948"/>
    <w:uiPriority w:val="99"/>
  </w:style>
  <w:style w:type="paragraph" w:styleId="798">
    <w:name w:val="Caption"/>
    <w:basedOn w:val="939"/>
    <w:next w:val="939"/>
    <w:uiPriority w:val="35"/>
    <w:semiHidden/>
    <w:unhideWhenUsed/>
    <w:qFormat/>
    <w:pPr>
      <w:spacing w:line="276" w:lineRule="auto"/>
    </w:pPr>
    <w:rPr>
      <w:b/>
      <w:bCs/>
      <w:color w:val="4f81bd" w:themeColor="accent1"/>
      <w:sz w:val="18"/>
      <w:szCs w:val="18"/>
    </w:rPr>
  </w:style>
  <w:style w:type="character" w:styleId="799">
    <w:name w:val="Caption Char"/>
    <w:basedOn w:val="798"/>
    <w:link w:val="948"/>
    <w:uiPriority w:val="99"/>
  </w:style>
  <w:style w:type="table" w:styleId="800">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Footnote Text Char"/>
    <w:link w:val="951"/>
    <w:uiPriority w:val="99"/>
    <w:rPr>
      <w:sz w:val="18"/>
    </w:rPr>
  </w:style>
  <w:style w:type="character" w:styleId="926">
    <w:name w:val="footnote reference"/>
    <w:basedOn w:val="941"/>
    <w:uiPriority w:val="99"/>
    <w:unhideWhenUsed/>
    <w:rPr>
      <w:vertAlign w:val="superscript"/>
    </w:rPr>
  </w:style>
  <w:style w:type="paragraph" w:styleId="927">
    <w:name w:val="endnote text"/>
    <w:basedOn w:val="939"/>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basedOn w:val="941"/>
    <w:uiPriority w:val="99"/>
    <w:semiHidden/>
    <w:unhideWhenUsed/>
    <w:rPr>
      <w:vertAlign w:val="superscript"/>
    </w:r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44"/>
    <w:qFormat/>
    <w:pPr>
      <w:jc w:val="both"/>
      <w:widowControl w:val="off"/>
    </w:pPr>
    <w:rPr>
      <w:rFonts w:asciiTheme="minorHAnsi" w:hAnsiTheme="minorHAnsi" w:eastAsiaTheme="minorEastAsia" w:cstheme="minorBidi"/>
      <w:sz w:val="21"/>
      <w:szCs w:val="22"/>
    </w:rPr>
  </w:style>
  <w:style w:type="paragraph" w:styleId="940">
    <w:name w:val="Heading 3"/>
    <w:basedOn w:val="939"/>
    <w:next w:val="939"/>
    <w:qFormat/>
    <w:pPr>
      <w:jc w:val="left"/>
      <w:keepLines/>
      <w:keepNext/>
      <w:outlineLvl w:val="2"/>
    </w:pPr>
    <w:rPr>
      <w:rFonts w:eastAsia="楷体_GB2312"/>
      <w:b/>
      <w:sz w:val="26"/>
      <w:szCs w:val="20"/>
    </w:rPr>
  </w:style>
  <w:style w:type="character" w:styleId="941" w:default="1">
    <w:name w:val="Default Paragraph Font"/>
    <w:uiPriority w:val="1"/>
    <w:semiHidden/>
    <w:unhideWhenUsed/>
  </w:style>
  <w:style w:type="table" w:styleId="942" w:default="1">
    <w:name w:val="Normal Table"/>
    <w:uiPriority w:val="99"/>
    <w:semiHidden/>
    <w:unhideWhenUsed/>
    <w:tblPr>
      <w:tblInd w:w="0" w:type="dxa"/>
      <w:tblCellMar>
        <w:left w:w="108" w:type="dxa"/>
        <w:top w:w="0" w:type="dxa"/>
        <w:right w:w="108" w:type="dxa"/>
        <w:bottom w:w="0" w:type="dxa"/>
      </w:tblCellMar>
    </w:tblPr>
  </w:style>
  <w:style w:type="numbering" w:styleId="943" w:default="1">
    <w:name w:val="No List"/>
    <w:uiPriority w:val="99"/>
    <w:semiHidden/>
    <w:unhideWhenUsed/>
  </w:style>
  <w:style w:type="paragraph" w:styleId="944">
    <w:name w:val="Body Text"/>
    <w:basedOn w:val="939"/>
    <w:next w:val="945"/>
    <w:qFormat/>
    <w:pPr>
      <w:ind w:firstLine="2560"/>
    </w:pPr>
  </w:style>
  <w:style w:type="paragraph" w:styleId="945">
    <w:name w:val="Normal Indent"/>
    <w:basedOn w:val="939"/>
    <w:next w:val="939"/>
    <w:link w:val="976"/>
    <w:qFormat/>
    <w:pPr>
      <w:ind w:left="420" w:firstLine="4772"/>
    </w:pPr>
  </w:style>
  <w:style w:type="paragraph" w:styleId="946">
    <w:name w:val="annotation text"/>
    <w:basedOn w:val="939"/>
    <w:link w:val="970"/>
    <w:qFormat/>
    <w:pPr>
      <w:jc w:val="left"/>
    </w:pPr>
  </w:style>
  <w:style w:type="paragraph" w:styleId="947">
    <w:name w:val="Balloon Text"/>
    <w:basedOn w:val="939"/>
    <w:link w:val="972"/>
    <w:uiPriority w:val="99"/>
    <w:semiHidden/>
    <w:unhideWhenUsed/>
    <w:qFormat/>
    <w:rPr>
      <w:sz w:val="18"/>
      <w:szCs w:val="18"/>
    </w:rPr>
  </w:style>
  <w:style w:type="paragraph" w:styleId="948">
    <w:name w:val="Footer"/>
    <w:basedOn w:val="939"/>
    <w:link w:val="963"/>
    <w:uiPriority w:val="99"/>
    <w:unhideWhenUsed/>
    <w:qFormat/>
    <w:pPr>
      <w:jc w:val="left"/>
      <w:tabs>
        <w:tab w:val="center" w:pos="4153" w:leader="none"/>
        <w:tab w:val="right" w:pos="8306" w:leader="none"/>
      </w:tabs>
    </w:pPr>
    <w:rPr>
      <w:sz w:val="18"/>
      <w:szCs w:val="18"/>
    </w:rPr>
  </w:style>
  <w:style w:type="paragraph" w:styleId="949">
    <w:name w:val="Header"/>
    <w:basedOn w:val="939"/>
    <w:link w:val="9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39"/>
    <w:next w:val="939"/>
    <w:uiPriority w:val="39"/>
    <w:unhideWhenUsed/>
    <w:qFormat/>
  </w:style>
  <w:style w:type="paragraph" w:styleId="951">
    <w:name w:val="footnote text"/>
    <w:basedOn w:val="939"/>
    <w:qFormat/>
    <w:pPr>
      <w:jc w:val="left"/>
    </w:pPr>
    <w:rPr>
      <w:rFonts w:ascii="Times New Roman" w:hAnsi="Times New Roman" w:eastAsia="楷体_GB2312" w:cs="Times New Roman"/>
      <w:sz w:val="18"/>
      <w:szCs w:val="20"/>
    </w:rPr>
  </w:style>
  <w:style w:type="paragraph" w:styleId="952">
    <w:name w:val="toc 2"/>
    <w:basedOn w:val="939"/>
    <w:next w:val="939"/>
    <w:uiPriority w:val="39"/>
    <w:unhideWhenUsed/>
    <w:qFormat/>
    <w:pPr>
      <w:ind w:left="420"/>
    </w:pPr>
  </w:style>
  <w:style w:type="paragraph" w:styleId="953">
    <w:name w:val="HTML Preformatted"/>
    <w:basedOn w:val="93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54">
    <w:name w:val="Normal (Web)"/>
    <w:basedOn w:val="939"/>
    <w:qFormat/>
    <w:pPr>
      <w:jc w:val="left"/>
      <w:spacing w:beforeAutospacing="1" w:afterAutospacing="1"/>
    </w:pPr>
    <w:rPr>
      <w:rFonts w:cs="Times New Roman"/>
      <w:sz w:val="24"/>
    </w:rPr>
  </w:style>
  <w:style w:type="paragraph" w:styleId="955">
    <w:name w:val="annotation subject"/>
    <w:basedOn w:val="946"/>
    <w:next w:val="946"/>
    <w:link w:val="971"/>
    <w:uiPriority w:val="99"/>
    <w:semiHidden/>
    <w:unhideWhenUsed/>
    <w:qFormat/>
    <w:rPr>
      <w:b/>
      <w:bCs/>
    </w:rPr>
  </w:style>
  <w:style w:type="table" w:styleId="956">
    <w:name w:val="Table Grid"/>
    <w:basedOn w:val="9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7">
    <w:name w:val="FollowedHyperlink"/>
    <w:basedOn w:val="941"/>
    <w:uiPriority w:val="99"/>
    <w:semiHidden/>
    <w:unhideWhenUsed/>
    <w:qFormat/>
    <w:rPr>
      <w:color w:val="333333"/>
      <w:u w:val="none"/>
    </w:rPr>
  </w:style>
  <w:style w:type="character" w:styleId="958">
    <w:name w:val="Emphasis"/>
    <w:basedOn w:val="941"/>
    <w:uiPriority w:val="20"/>
    <w:qFormat/>
  </w:style>
  <w:style w:type="character" w:styleId="959">
    <w:name w:val="Hyperlink"/>
    <w:basedOn w:val="941"/>
    <w:uiPriority w:val="99"/>
    <w:unhideWhenUsed/>
    <w:qFormat/>
    <w:rPr>
      <w:color w:val="333333"/>
      <w:u w:val="none"/>
    </w:rPr>
  </w:style>
  <w:style w:type="character" w:styleId="960">
    <w:name w:val="annotation reference"/>
    <w:qFormat/>
    <w:rPr>
      <w:sz w:val="21"/>
      <w:szCs w:val="21"/>
    </w:rPr>
  </w:style>
  <w:style w:type="paragraph" w:styleId="961" w:customStyle="1">
    <w:name w:val="1正文"/>
    <w:basedOn w:val="939"/>
    <w:qFormat/>
    <w:rPr>
      <w:rFonts w:ascii="宋体" w:hAnsi="宋体"/>
      <w:color w:val="000000"/>
      <w:sz w:val="15"/>
      <w:szCs w:val="14"/>
    </w:rPr>
  </w:style>
  <w:style w:type="character" w:styleId="962" w:customStyle="1">
    <w:name w:val="页眉 字符"/>
    <w:basedOn w:val="941"/>
    <w:link w:val="949"/>
    <w:uiPriority w:val="99"/>
    <w:qFormat/>
    <w:rPr>
      <w:sz w:val="18"/>
      <w:szCs w:val="18"/>
    </w:rPr>
  </w:style>
  <w:style w:type="character" w:styleId="963" w:customStyle="1">
    <w:name w:val="页脚 字符"/>
    <w:basedOn w:val="941"/>
    <w:link w:val="948"/>
    <w:uiPriority w:val="99"/>
    <w:qFormat/>
    <w:rPr>
      <w:sz w:val="18"/>
      <w:szCs w:val="18"/>
    </w:rPr>
  </w:style>
  <w:style w:type="table" w:styleId="964" w:customStyle="1">
    <w:name w:val="网格型2"/>
    <w:basedOn w:val="94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5" w:customStyle="1">
    <w:name w:val="网格型1"/>
    <w:basedOn w:val="94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1"/>
    <w:basedOn w:val="94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7"/>
    <w:basedOn w:val="9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8" w:customStyle="1">
    <w:name w:val="Table Text"/>
    <w:basedOn w:val="939"/>
    <w:semiHidden/>
    <w:qFormat/>
    <w:pPr>
      <w:jc w:val="left"/>
      <w:widowControl/>
    </w:pPr>
    <w:rPr>
      <w:rFonts w:ascii="宋体" w:hAnsi="宋体" w:eastAsia="宋体" w:cs="宋体"/>
      <w:color w:val="000000"/>
      <w:sz w:val="25"/>
      <w:szCs w:val="25"/>
      <w:lang w:eastAsia="en-US"/>
    </w:rPr>
  </w:style>
  <w:style w:type="table" w:styleId="969" w:customStyle="1">
    <w:name w:val="Table Normal"/>
    <w:semiHidden/>
    <w:unhideWhenUsed/>
    <w:qFormat/>
    <w:tblPr>
      <w:tblCellMar>
        <w:left w:w="0" w:type="dxa"/>
        <w:top w:w="0" w:type="dxa"/>
        <w:right w:w="0" w:type="dxa"/>
        <w:bottom w:w="0" w:type="dxa"/>
      </w:tblCellMar>
    </w:tblPr>
  </w:style>
  <w:style w:type="character" w:styleId="970" w:customStyle="1">
    <w:name w:val="批注文字 字符"/>
    <w:basedOn w:val="941"/>
    <w:link w:val="946"/>
    <w:uiPriority w:val="99"/>
    <w:qFormat/>
    <w:rPr>
      <w:rFonts w:asciiTheme="minorHAnsi" w:hAnsiTheme="minorHAnsi" w:eastAsiaTheme="minorEastAsia" w:cstheme="minorBidi"/>
      <w:sz w:val="21"/>
      <w:szCs w:val="22"/>
    </w:rPr>
  </w:style>
  <w:style w:type="character" w:styleId="971" w:customStyle="1">
    <w:name w:val="批注主题 字符"/>
    <w:basedOn w:val="970"/>
    <w:link w:val="955"/>
    <w:uiPriority w:val="99"/>
    <w:semiHidden/>
    <w:qFormat/>
    <w:rPr>
      <w:rFonts w:asciiTheme="minorHAnsi" w:hAnsiTheme="minorHAnsi" w:eastAsiaTheme="minorEastAsia" w:cstheme="minorBidi"/>
      <w:b/>
      <w:bCs/>
      <w:sz w:val="21"/>
      <w:szCs w:val="22"/>
    </w:rPr>
  </w:style>
  <w:style w:type="character" w:styleId="972" w:customStyle="1">
    <w:name w:val="批注框文本 字符"/>
    <w:basedOn w:val="941"/>
    <w:link w:val="947"/>
    <w:uiPriority w:val="99"/>
    <w:semiHidden/>
    <w:qFormat/>
    <w:rPr>
      <w:rFonts w:asciiTheme="minorHAnsi" w:hAnsiTheme="minorHAnsi" w:eastAsiaTheme="minorEastAsia" w:cstheme="minorBidi"/>
      <w:sz w:val="18"/>
      <w:szCs w:val="18"/>
    </w:rPr>
  </w:style>
  <w:style w:type="paragraph" w:styleId="973">
    <w:name w:val="List Paragraph"/>
    <w:basedOn w:val="939"/>
    <w:uiPriority w:val="34"/>
    <w:qFormat/>
    <w:pPr>
      <w:ind w:firstLine="420"/>
    </w:pPr>
  </w:style>
  <w:style w:type="table" w:styleId="974" w:customStyle="1">
    <w:name w:val="网格型3"/>
    <w:basedOn w:val="9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5" w:customStyle="1">
    <w:name w:val="网格型8"/>
    <w:basedOn w:val="9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customStyle="1">
    <w:name w:val="正文缩进 字符"/>
    <w:link w:val="945"/>
    <w:qFormat/>
    <w:rPr>
      <w:rFonts w:asciiTheme="minorHAnsi" w:hAnsiTheme="minorHAnsi" w:eastAsiaTheme="minorEastAsia" w:cstheme="minorBidi"/>
      <w:sz w:val="21"/>
      <w:szCs w:val="22"/>
    </w:rPr>
  </w:style>
  <w:style w:type="character" w:styleId="977" w:customStyle="1">
    <w:name w:val="font31"/>
    <w:basedOn w:val="941"/>
    <w:qFormat/>
    <w:rPr>
      <w:rFonts w:hint="eastAsia" w:ascii="仿宋" w:hAnsi="仿宋" w:eastAsia="仿宋" w:cs="仿宋"/>
      <w:color w:val="000000"/>
      <w:sz w:val="22"/>
      <w:szCs w:val="22"/>
      <w:u w:val="none"/>
    </w:rPr>
  </w:style>
  <w:style w:type="character" w:styleId="978" w:customStyle="1">
    <w:name w:val="font51"/>
    <w:basedOn w:val="941"/>
    <w:qFormat/>
    <w:rPr>
      <w:rFonts w:hint="eastAsia" w:ascii="仿宋" w:hAnsi="仿宋" w:eastAsia="仿宋" w:cs="仿宋"/>
      <w:color w:val="000000"/>
      <w:sz w:val="24"/>
      <w:szCs w:val="24"/>
      <w:u w:val="none"/>
    </w:rPr>
  </w:style>
  <w:style w:type="character" w:styleId="979" w:customStyle="1">
    <w:name w:val="font61"/>
    <w:basedOn w:val="941"/>
    <w:qFormat/>
    <w:rPr>
      <w:rFonts w:hint="eastAsia" w:ascii="仿宋" w:hAnsi="仿宋" w:eastAsia="仿宋" w:cs="仿宋"/>
      <w:color w:val="ff0000"/>
      <w:sz w:val="24"/>
      <w:szCs w:val="24"/>
      <w:u w:val="none"/>
    </w:rPr>
  </w:style>
  <w:style w:type="character" w:styleId="980" w:customStyle="1">
    <w:name w:val="font41"/>
    <w:basedOn w:val="941"/>
    <w:qFormat/>
    <w:rPr>
      <w:rFonts w:hint="eastAsia" w:ascii="仿宋" w:hAnsi="仿宋" w:eastAsia="仿宋" w:cs="仿宋"/>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65289;&#65289;&#33719;&#21462;&#24449;&#38598;&#25991;&#20214;&#65292;&#24182;&#20110;2026&#24180;" TargetMode="External"/><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15A3C45-A55B-472D-9F47-7F76E6282BA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苏州市公共资源交易中心</dc:creator>
  <cp:lastModifiedBy>罗工</cp:lastModifiedBy>
  <cp:revision>7</cp:revision>
  <dcterms:created xsi:type="dcterms:W3CDTF">2026-08-14T08:25:00Z</dcterms:created>
  <dcterms:modified xsi:type="dcterms:W3CDTF">2026-08-17T01:45:45Z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25459F8626904381A75D0388D6718B51_13</vt:lpwstr>
  </property>
  <property fmtid="{D5CDD505-2E9C-101B-9397-08002B2CF9AE}" pid="4" name="KSOTemplateDocerSaveRecord">
    <vt:lpwstr>eyJoZGlkIjoiOGQ5NmM2OWY2MGQxZWJkNDRhOGEyYmFjMGUzNTFhOTUiLCJ1c2VySWQiOiIyNTU1OTkyODYifQ==</vt:lpwstr>
  </property>
</Properties>
</file>