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Arial" w:hAnsi="Arial" w:eastAsia="黑体" w:cs="Arial"/>
          <w:b/>
          <w:bCs/>
          <w:sz w:val="48"/>
          <w:szCs w:val="48"/>
        </w:rPr>
      </w:pPr>
      <w:r>
        <w:rPr>
          <w:rFonts w:hint="eastAsia" w:ascii="Arial" w:hAnsi="Arial" w:eastAsia="黑体" w:cs="Arial"/>
          <w:b/>
          <w:bCs/>
          <w:sz w:val="48"/>
          <w:szCs w:val="48"/>
        </w:rPr>
        <w:t xml:space="preserve">直录播教室常态化建设二期项目（校园教学区光网二期）</w:t>
      </w:r>
      <w:r/>
    </w:p>
    <w:p>
      <w:pPr>
        <w:jc w:val="center"/>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宋体" w:cs="Arial"/>
          <w:b/>
          <w:sz w:val="72"/>
          <w:szCs w:val="72"/>
        </w:rPr>
      </w:pPr>
      <w:r>
        <w:rPr>
          <w:rFonts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招标文件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项目编号：</w:t>
      </w:r>
      <w:r>
        <w:rPr>
          <w:rFonts w:hint="eastAsia" w:ascii="Arial" w:hAnsi="宋体" w:cs="Arial"/>
          <w:b/>
          <w:sz w:val="36"/>
          <w:szCs w:val="36"/>
          <w:lang w:eastAsia="zh-CN"/>
        </w:rPr>
        <w:t xml:space="preserve">JSZC-320000-JCEC-G2026-0363</w:t>
      </w:r>
      <w:r>
        <w:rPr>
          <w:rFonts w:hint="eastAsia" w:ascii="Arial" w:hAnsi="宋体" w:cs="Arial"/>
          <w:b/>
          <w:sz w:val="36"/>
          <w:szCs w:val="36"/>
        </w:rPr>
        <w:t xml:space="preserve">  </w:t>
      </w:r>
      <w:r/>
    </w:p>
    <w:p>
      <w:pPr>
        <w:jc w:val="center"/>
        <w:spacing w:line="360" w:lineRule="auto"/>
        <w:widowControl/>
        <w:rPr>
          <w:rFonts w:ascii="Arial" w:hAnsi="Arial" w:cs="Arial"/>
          <w:b/>
          <w:sz w:val="72"/>
          <w:szCs w:val="72"/>
        </w:rPr>
      </w:pPr>
      <w:r>
        <w:rPr>
          <w:rFonts w:ascii="Arial" w:hAnsi="Arial" w:cs="Arial"/>
          <w:b/>
          <w:sz w:val="72"/>
          <w:szCs w:val="72"/>
        </w:rPr>
      </w:r>
      <w:r/>
    </w:p>
    <w:p>
      <w:pP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36"/>
          <w:szCs w:val="36"/>
        </w:rPr>
      </w:pPr>
      <w:r>
        <w:rPr>
          <w:rFonts w:hint="eastAsia" w:ascii="Arial" w:hAnsi="宋体" w:cs="Arial"/>
          <w:b/>
          <w:sz w:val="36"/>
          <w:szCs w:val="36"/>
        </w:rPr>
        <w:t xml:space="preserve">江苏省设备成套股份有限公司</w:t>
      </w:r>
      <w:r/>
    </w:p>
    <w:p>
      <w:pPr>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2026年9月</w:t>
      </w:r>
      <w:r/>
    </w:p>
    <w:p>
      <w:pPr>
        <w:pStyle w:val="1247"/>
        <w:jc w:val="center"/>
        <w:rPr>
          <w:rFonts w:ascii="Arial" w:hAnsi="宋体" w:cs="Arial"/>
          <w:color w:val="auto"/>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lang w:val="zh-CN"/>
        </w:rPr>
      </w:r>
      <w:r/>
    </w:p>
    <w:sdt>
      <w:sdtPr>
        <w15:appearance w15:val="boundingBox"/>
        <w15:color w:val="dbdbdb"/>
        <w:id w:val="147465980"/>
        <w:docPartObj>
          <w:docPartGallery w:val="Table of Contents"/>
          <w:docPartUnique w:val="true"/>
        </w:docPartObj>
        <w:rPr>
          <w:rFonts w:ascii="宋体" w:hAnsi="宋体"/>
        </w:rPr>
      </w:sdtPr>
      <w:sdtContent>
        <w:p>
          <w:pPr>
            <w:jc w:val="center"/>
            <w:spacing w:line="360" w:lineRule="auto"/>
            <w:rPr>
              <w:sz w:val="24"/>
            </w:rPr>
          </w:pPr>
          <w:r>
            <w:rPr>
              <w:rFonts w:ascii="宋体" w:hAnsi="宋体"/>
              <w:sz w:val="24"/>
            </w:rPr>
            <w:t xml:space="preserve">目录</w:t>
          </w:r>
          <w:r/>
        </w:p>
        <w:p>
          <w:pPr>
            <w:pStyle w:val="945"/>
            <w:tabs>
              <w:tab w:val="right" w:pos="8506" w:leader="dot"/>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r>
            <w:fldChar w:fldCharType="begin"/>
          </w:r>
          <w:r>
            <w:instrText xml:space="preserve"> HYPERLINK \l "_Toc10919" </w:instrText>
          </w:r>
          <w:r>
            <w:fldChar w:fldCharType="separate"/>
          </w:r>
          <w:r>
            <w:rPr>
              <w:rFonts w:hint="eastAsia" w:ascii="Arial" w:cs="Arial"/>
            </w:rPr>
            <w:t xml:space="preserve">第一章招标公告</w:t>
          </w:r>
          <w:r>
            <w:tab/>
          </w:r>
          <w:r>
            <w:fldChar w:fldCharType="begin"/>
          </w:r>
          <w:r>
            <w:instrText xml:space="preserve"> PAGEREF _Toc10919 \h </w:instrText>
          </w:r>
          <w:r>
            <w:fldChar w:fldCharType="separate"/>
          </w:r>
          <w:r>
            <w:t xml:space="preserve">1</w:t>
          </w:r>
          <w:r>
            <w:fldChar w:fldCharType="end"/>
          </w:r>
          <w:r>
            <w:fldChar w:fldCharType="end"/>
          </w:r>
          <w:r/>
        </w:p>
        <w:p>
          <w:pPr>
            <w:pStyle w:val="945"/>
            <w:tabs>
              <w:tab w:val="right" w:pos="8506" w:leader="dot"/>
            </w:tabs>
          </w:pPr>
          <w:r>
            <w:fldChar w:fldCharType="begin"/>
          </w:r>
          <w:r>
            <w:instrText xml:space="preserve"> HYPERLINK \l "_Toc4854" </w:instrText>
          </w:r>
          <w:r>
            <w:fldChar w:fldCharType="separate"/>
          </w:r>
          <w:r>
            <w:rPr>
              <w:rFonts w:hint="eastAsia" w:ascii="Arial" w:cs="Arial"/>
              <w:bCs/>
              <w:szCs w:val="44"/>
            </w:rPr>
            <w:t xml:space="preserve">第二章投标人须知</w:t>
          </w:r>
          <w:r>
            <w:tab/>
          </w:r>
          <w:r>
            <w:fldChar w:fldCharType="begin"/>
          </w:r>
          <w:r>
            <w:instrText xml:space="preserve"> PAGEREF _Toc4854 \h </w:instrText>
          </w:r>
          <w:r>
            <w:fldChar w:fldCharType="separate"/>
          </w:r>
          <w:r>
            <w:t xml:space="preserve">4</w:t>
          </w:r>
          <w:r>
            <w:fldChar w:fldCharType="end"/>
          </w:r>
          <w:r>
            <w:fldChar w:fldCharType="end"/>
          </w:r>
          <w:r/>
        </w:p>
        <w:p>
          <w:pPr>
            <w:pStyle w:val="945"/>
            <w:tabs>
              <w:tab w:val="right" w:pos="8506" w:leader="dot"/>
            </w:tabs>
          </w:pPr>
          <w:r>
            <w:fldChar w:fldCharType="begin"/>
          </w:r>
          <w:r>
            <w:instrText xml:space="preserve"> HYPERLINK \l "_Toc23781" </w:instrText>
          </w:r>
          <w:r>
            <w:fldChar w:fldCharType="separate"/>
          </w:r>
          <w:r>
            <w:rPr>
              <w:rFonts w:ascii="Arial" w:hAnsi="Arial" w:cs="Arial"/>
            </w:rPr>
            <w:t xml:space="preserve"> </w:t>
          </w:r>
          <w:r>
            <w:rPr>
              <w:rFonts w:hint="eastAsia" w:ascii="Arial" w:hAnsi="Arial" w:cs="Arial"/>
            </w:rPr>
            <w:t xml:space="preserve">第三章评标标准</w:t>
          </w:r>
          <w:r>
            <w:tab/>
          </w:r>
          <w:r>
            <w:fldChar w:fldCharType="begin"/>
          </w:r>
          <w:r>
            <w:instrText xml:space="preserve"> PAGEREF _Toc23781 \h </w:instrText>
          </w:r>
          <w:r>
            <w:fldChar w:fldCharType="separate"/>
          </w:r>
          <w:r>
            <w:t xml:space="preserve">17</w:t>
          </w:r>
          <w:r>
            <w:fldChar w:fldCharType="end"/>
          </w:r>
          <w:r>
            <w:fldChar w:fldCharType="end"/>
          </w:r>
          <w:r/>
        </w:p>
        <w:p>
          <w:pPr>
            <w:pStyle w:val="945"/>
            <w:tabs>
              <w:tab w:val="right" w:pos="8506" w:leader="dot"/>
            </w:tabs>
          </w:pPr>
          <w:r>
            <w:fldChar w:fldCharType="begin"/>
          </w:r>
          <w:r>
            <w:instrText xml:space="preserve"> HYPERLINK \l "_Toc8882" </w:instrText>
          </w:r>
          <w:r>
            <w:fldChar w:fldCharType="separate"/>
          </w:r>
          <w:r>
            <w:rPr>
              <w:rFonts w:hint="eastAsia" w:ascii="Arial" w:hAnsi="Arial" w:cs="Arial"/>
            </w:rPr>
            <w:t xml:space="preserve">第四章采购需求</w:t>
          </w:r>
          <w:r>
            <w:tab/>
          </w:r>
          <w:r>
            <w:fldChar w:fldCharType="begin"/>
          </w:r>
          <w:r>
            <w:instrText xml:space="preserve"> PAGEREF _Toc8882 \h </w:instrText>
          </w:r>
          <w:r>
            <w:fldChar w:fldCharType="separate"/>
          </w:r>
          <w:r>
            <w:t xml:space="preserve">21</w:t>
          </w:r>
          <w:r>
            <w:fldChar w:fldCharType="end"/>
          </w:r>
          <w:r>
            <w:fldChar w:fldCharType="end"/>
          </w:r>
          <w:r/>
        </w:p>
        <w:p>
          <w:pPr>
            <w:pStyle w:val="945"/>
            <w:tabs>
              <w:tab w:val="right" w:pos="8506" w:leader="dot"/>
            </w:tabs>
          </w:pPr>
          <w:r>
            <w:fldChar w:fldCharType="begin"/>
          </w:r>
          <w:r>
            <w:instrText xml:space="preserve"> HYPERLINK \l "_Toc8691" </w:instrText>
          </w:r>
          <w:r>
            <w:fldChar w:fldCharType="separate"/>
          </w:r>
          <w:r>
            <w:rPr>
              <w:rFonts w:hint="eastAsia"/>
            </w:rPr>
            <w:t xml:space="preserve">第五章</w:t>
          </w:r>
          <w:r>
            <w:rPr>
              <w:rFonts w:hint="eastAsia" w:ascii="宋体" w:hAnsi="宋体" w:cs="Arial"/>
            </w:rPr>
            <w:t xml:space="preserve">主要条款及格式</w:t>
          </w:r>
          <w:r>
            <w:tab/>
          </w:r>
          <w:r>
            <w:fldChar w:fldCharType="begin"/>
          </w:r>
          <w:r>
            <w:instrText xml:space="preserve"> PAGEREF _Toc8691 \h </w:instrText>
          </w:r>
          <w:r>
            <w:fldChar w:fldCharType="separate"/>
          </w:r>
          <w:r>
            <w:t xml:space="preserve">25</w:t>
          </w:r>
          <w:r>
            <w:fldChar w:fldCharType="end"/>
          </w:r>
          <w:r>
            <w:fldChar w:fldCharType="end"/>
          </w:r>
          <w:r/>
        </w:p>
        <w:p>
          <w:pPr>
            <w:pStyle w:val="945"/>
            <w:tabs>
              <w:tab w:val="right" w:pos="8506" w:leader="dot"/>
            </w:tabs>
          </w:pPr>
          <w:r>
            <w:fldChar w:fldCharType="begin"/>
          </w:r>
          <w:r>
            <w:instrText xml:space="preserve"> HYPERLINK \l "_Toc16360" </w:instrText>
          </w:r>
          <w:r>
            <w:fldChar w:fldCharType="separate"/>
          </w:r>
          <w:r>
            <w:rPr>
              <w:rFonts w:hint="eastAsia" w:ascii="Arial" w:hAnsi="Arial" w:cs="Arial"/>
            </w:rPr>
            <w:t xml:space="preserve">第六章附件</w:t>
          </w:r>
          <w:r>
            <w:tab/>
          </w:r>
          <w:r>
            <w:fldChar w:fldCharType="begin"/>
          </w:r>
          <w:r>
            <w:instrText xml:space="preserve"> PAGEREF _Toc16360 \h </w:instrText>
          </w:r>
          <w:r>
            <w:fldChar w:fldCharType="separate"/>
          </w:r>
          <w:r>
            <w:t xml:space="preserve">33</w:t>
          </w:r>
          <w:r>
            <w:fldChar w:fldCharType="end"/>
          </w:r>
          <w:r>
            <w:fldChar w:fldCharType="end"/>
          </w:r>
          <w:r/>
        </w:p>
        <w:p>
          <w:pPr>
            <w:jc w:val="center"/>
            <w:spacing w:line="360" w:lineRule="auto"/>
            <w:shd w:val="clear" w:color="auto" w:fill="ffffff"/>
            <w:widowControl/>
            <w:rPr>
              <w:rFonts w:ascii="Arial" w:hAnsi="Arial" w:cs="Arial"/>
              <w:szCs w:val="36"/>
            </w:rPr>
          </w:pPr>
          <w:r>
            <w:rPr>
              <w:rFonts w:ascii="Arial" w:hAnsi="Arial" w:cs="Arial"/>
            </w:rPr>
            <w:fldChar w:fldCharType="end"/>
          </w:r>
          <w:r/>
        </w:p>
      </w:sdtContent>
    </w:sdt>
    <w:p>
      <w:pPr>
        <w:jc w:val="center"/>
        <w:spacing w:line="360" w:lineRule="auto"/>
        <w:shd w:val="clear" w:color="auto" w:fill="ffffff"/>
        <w:widowControl/>
        <w:rPr>
          <w:rFonts w:ascii="Arial" w:hAnsi="Arial" w:cs="Arial"/>
          <w:szCs w:val="36"/>
        </w:rPr>
      </w:pPr>
      <w:r>
        <w:rPr>
          <w:rFonts w:ascii="Arial" w:hAnsi="Arial" w:cs="Arial"/>
          <w:szCs w:val="36"/>
        </w:rPr>
      </w:r>
      <w:r/>
    </w:p>
    <w:p>
      <w:pPr>
        <w:jc w:val="left"/>
        <w:spacing w:line="576" w:lineRule="auto"/>
        <w:widowControl/>
        <w:rPr>
          <w:rFonts w:ascii="Arial" w:hAnsi="Arial" w:cs="Arial"/>
          <w:b/>
          <w:bCs/>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sz w:val="32"/>
          <w:szCs w:val="21"/>
        </w:rPr>
      </w:r>
      <w:r/>
    </w:p>
    <w:p>
      <w:pPr>
        <w:pStyle w:val="912"/>
        <w:numPr>
          <w:ilvl w:val="0"/>
          <w:numId w:val="0"/>
        </w:numPr>
        <w:spacing w:line="578" w:lineRule="auto"/>
        <w:rPr>
          <w:rFonts w:ascii="Arial" w:hAnsi="Arial" w:cs="Arial"/>
          <w:szCs w:val="21"/>
        </w:rPr>
      </w:pPr>
      <w:r/>
      <w:bookmarkStart w:id="0" w:name="_Toc481057143"/>
      <w:r/>
      <w:bookmarkStart w:id="1" w:name="_Toc17771"/>
      <w:r/>
      <w:bookmarkStart w:id="2" w:name="_Toc10919"/>
      <w:r>
        <w:rPr>
          <w:rFonts w:hint="eastAsia" w:ascii="Arial" w:cs="Arial"/>
        </w:rPr>
        <w:t xml:space="preserve">第一章招标公告</w:t>
      </w:r>
      <w:bookmarkEnd w:id="0"/>
      <w:r/>
      <w:bookmarkEnd w:id="1"/>
      <w:r/>
      <w:bookmarkEnd w:id="2"/>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spacing w:val="8"/>
          <w:szCs w:val="21"/>
        </w:rPr>
        <w:t xml:space="preserve">直录播教室常态化建设二期项目（校园教学区光网二期）的潜在投标人应在江苏政府采购网获取招标文件，并于2026年</w:t>
      </w:r>
      <w:r>
        <w:rPr>
          <w:rFonts w:hint="eastAsia" w:ascii="Arial" w:hAnsi="Arial" w:cs="Arial"/>
          <w:spacing w:val="8"/>
          <w:szCs w:val="21"/>
          <w:lang w:val="en-US" w:eastAsia="zh-CN"/>
        </w:rPr>
        <w:t xml:space="preserve">10</w:t>
      </w:r>
      <w:r>
        <w:rPr>
          <w:rFonts w:hint="eastAsia" w:ascii="Arial" w:hAnsi="Arial" w:cs="Arial"/>
          <w:spacing w:val="8"/>
          <w:szCs w:val="21"/>
        </w:rPr>
        <w:t xml:space="preserve">月</w:t>
      </w:r>
      <w:r>
        <w:rPr>
          <w:rFonts w:hint="eastAsia" w:ascii="Arial" w:hAnsi="Arial" w:cs="Arial"/>
          <w:spacing w:val="8"/>
          <w:szCs w:val="21"/>
          <w:lang w:val="en-US" w:eastAsia="zh-CN"/>
        </w:rPr>
        <w:t xml:space="preserve">22</w:t>
      </w:r>
      <w:r>
        <w:rPr>
          <w:rFonts w:hint="eastAsia" w:ascii="Arial" w:hAnsi="Arial" w:cs="Arial"/>
          <w:spacing w:val="8"/>
          <w:szCs w:val="21"/>
        </w:rPr>
        <w:t xml:space="preserve">日14点30分（北京时间）前递交投标文件。</w:t>
      </w:r>
      <w:r/>
    </w:p>
    <w:p>
      <w:pPr>
        <w:ind w:firstLine="369"/>
        <w:spacing w:line="360" w:lineRule="auto"/>
        <w:shd w:val="clear" w:color="auto" w:fill="ffffff"/>
        <w:widowControl/>
        <w:rPr>
          <w:rFonts w:ascii="Arial" w:hAnsi="Arial" w:cs="Arial"/>
          <w:spacing w:val="8"/>
          <w:szCs w:val="21"/>
        </w:rPr>
      </w:pPr>
      <w:r>
        <w:rPr>
          <w:rFonts w:ascii="Arial" w:hAnsi="Arial" w:cs="Arial"/>
          <w:spacing w:val="8"/>
          <w:szCs w:val="21"/>
        </w:rPr>
      </w:r>
      <w:r/>
    </w:p>
    <w:p>
      <w:pPr>
        <w:ind w:firstLine="512"/>
        <w:spacing w:line="360" w:lineRule="auto"/>
        <w:shd w:val="clear" w:color="auto" w:fill="ffffff"/>
        <w:widowControl/>
        <w:rPr>
          <w:rFonts w:ascii="Arial" w:hAnsi="Arial" w:cs="Arial"/>
          <w:b/>
          <w:spacing w:val="8"/>
          <w:sz w:val="24"/>
        </w:rPr>
      </w:pPr>
      <w:r>
        <w:rPr>
          <w:rFonts w:ascii="Arial" w:hAnsi="Arial" w:cs="Arial"/>
          <w:spacing w:val="8"/>
          <w:sz w:val="24"/>
        </w:rPr>
        <w:t xml:space="preserve"> </w:t>
      </w:r>
      <w:r>
        <w:rPr>
          <w:rFonts w:hint="eastAsia" w:ascii="Arial" w:hAnsi="Arial" w:cs="Arial"/>
          <w:b/>
          <w:spacing w:val="8"/>
          <w:sz w:val="24"/>
        </w:rPr>
        <w:t xml:space="preserve">一、项目基本情况</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1.1</w:t>
      </w:r>
      <w:r>
        <w:rPr>
          <w:rFonts w:hint="eastAsia" w:ascii="Arial" w:hAnsi="Arial" w:cs="Arial"/>
          <w:spacing w:val="8"/>
          <w:szCs w:val="21"/>
        </w:rPr>
        <w:t xml:space="preserve">项目编号：</w:t>
      </w:r>
      <w:r>
        <w:rPr>
          <w:rFonts w:hint="eastAsia" w:ascii="Arial" w:hAnsi="Arial" w:cs="Arial"/>
          <w:spacing w:val="8"/>
          <w:szCs w:val="21"/>
          <w:lang w:eastAsia="zh-CN"/>
        </w:rPr>
        <w:t xml:space="preserve">JSZC-320000-JCEC-G2026-0363</w:t>
      </w:r>
      <w:r>
        <w:rPr>
          <w:rFonts w:hint="eastAsia" w:ascii="Arial" w:hAnsi="Arial" w:cs="Arial"/>
          <w:spacing w:val="8"/>
          <w:szCs w:val="21"/>
        </w:rPr>
        <w:t xml:space="preserve">   </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1.2</w:t>
      </w:r>
      <w:r>
        <w:rPr>
          <w:rFonts w:hint="eastAsia" w:ascii="Arial" w:hAnsi="Arial" w:cs="Arial"/>
          <w:spacing w:val="8"/>
          <w:szCs w:val="21"/>
        </w:rPr>
        <w:t xml:space="preserve">项目名称：直录播教室常态化建设二期项目（校园教学区光网二期）</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1.3采购方式：公开招标</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4预算金额：384万元</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5最高限价：384万元</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1.6项目概况：校园光网升级改造，包括核心网络光网升级及部分接入区域光网改造，含链路负载器、ONU设备、无线AP、网元设备管理授权及集成施工等，详见第四章采购需求。</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1.7交货期限：合同签订后30天内</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1.8行业划分：</w:t>
      </w:r>
      <w:r>
        <w:rPr>
          <w:rFonts w:hint="eastAsia" w:ascii="宋体" w:hAnsi="宋体" w:cs="Arial"/>
          <w:spacing w:val="8"/>
        </w:rPr>
        <w:t xml:space="preserve">工业</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w:t>
      </w:r>
      <w:r>
        <w:rPr>
          <w:rFonts w:hint="eastAsia" w:ascii="宋体" w:hAnsi="宋体" w:cs="Arial"/>
          <w:spacing w:val="8"/>
        </w:rPr>
        <w:t xml:space="preserve">本项目为非专门面向中小企业（或监狱企业或残疾人福利性单位）采购</w:t>
      </w:r>
      <w:r/>
    </w:p>
    <w:p>
      <w:pPr>
        <w:ind w:firstLine="452"/>
        <w:spacing w:line="360" w:lineRule="auto"/>
        <w:shd w:val="clear" w:color="auto" w:fill="ffffff"/>
        <w:widowControl/>
      </w:pPr>
      <w:r>
        <w:rPr>
          <w:rFonts w:ascii="Arial" w:hAnsi="Arial" w:cs="Arial"/>
          <w:spacing w:val="8"/>
          <w:szCs w:val="21"/>
        </w:rPr>
        <w:t xml:space="preserve">1.</w:t>
      </w:r>
      <w:r>
        <w:rPr>
          <w:rFonts w:hint="eastAsia" w:ascii="Arial" w:hAnsi="Arial" w:cs="Arial"/>
          <w:spacing w:val="8"/>
          <w:szCs w:val="21"/>
        </w:rPr>
        <w:t xml:space="preserve">10</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接受联合体投标</w:t>
      </w:r>
      <w:r/>
    </w:p>
    <w:p>
      <w:pPr>
        <w:ind w:firstLine="452"/>
        <w:spacing w:line="360" w:lineRule="auto"/>
        <w:shd w:val="clear" w:color="auto" w:fill="ffffff"/>
        <w:widowControl/>
      </w:pPr>
      <w:r>
        <w:rPr>
          <w:rFonts w:ascii="Arial" w:hAnsi="Arial" w:cs="Arial"/>
          <w:spacing w:val="8"/>
          <w:szCs w:val="21"/>
          <w:highlight w:val="none"/>
        </w:rPr>
        <w:t xml:space="preserve">1.</w:t>
      </w:r>
      <w:r>
        <w:rPr>
          <w:rFonts w:hint="eastAsia" w:ascii="Arial" w:hAnsi="Arial" w:cs="Arial"/>
          <w:spacing w:val="8"/>
          <w:szCs w:val="21"/>
          <w:highlight w:val="none"/>
        </w:rPr>
        <w:t xml:space="preserve">11</w:t>
      </w:r>
      <w:r>
        <w:rPr>
          <w:rFonts w:ascii="Arial" w:hAnsi="Arial" w:cs="Arial"/>
          <w:spacing w:val="8"/>
          <w:szCs w:val="21"/>
          <w:highlight w:val="none"/>
        </w:rPr>
        <w:t xml:space="preserve">本项目</w:t>
      </w:r>
      <w:r>
        <w:rPr>
          <w:rFonts w:hint="eastAsia" w:ascii="Arial" w:hAnsi="Arial" w:cs="Arial"/>
          <w:spacing w:val="8"/>
          <w:szCs w:val="21"/>
          <w:highlight w:val="none"/>
        </w:rPr>
        <w:t xml:space="preserve">不</w:t>
      </w:r>
      <w:r>
        <w:rPr>
          <w:rFonts w:ascii="Arial" w:hAnsi="Arial" w:cs="Arial"/>
          <w:spacing w:val="8"/>
          <w:szCs w:val="21"/>
          <w:highlight w:val="none"/>
        </w:rPr>
        <w:t xml:space="preserve">接受</w:t>
      </w:r>
      <w:r>
        <w:rPr>
          <w:rFonts w:hint="eastAsia" w:ascii="Arial" w:hAnsi="Arial" w:cs="Arial"/>
          <w:spacing w:val="8"/>
          <w:szCs w:val="21"/>
          <w:highlight w:val="none"/>
        </w:rPr>
        <w:t xml:space="preserve">进口产品</w:t>
      </w:r>
      <w:r>
        <w:rPr>
          <w:rFonts w:ascii="Arial" w:hAnsi="Arial" w:cs="Arial"/>
          <w:spacing w:val="8"/>
          <w:szCs w:val="21"/>
          <w:highlight w:val="none"/>
        </w:rPr>
        <w:t xml:space="preserve">投标</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二、申请人的资格要求：</w:t>
      </w:r>
      <w:r/>
    </w:p>
    <w:p>
      <w:pPr>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p>
    <w:p>
      <w:pPr>
        <w:ind w:firstLine="424"/>
        <w:spacing w:line="460" w:lineRule="exact"/>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p>
    <w:p>
      <w:pPr>
        <w:ind w:firstLine="424"/>
        <w:spacing w:line="460" w:lineRule="exact"/>
        <w:rPr>
          <w:rFonts w:ascii="Arial" w:hAnsi="Arial" w:cs="Arial"/>
          <w:bCs/>
          <w:szCs w:val="21"/>
        </w:rPr>
      </w:pPr>
      <w:r>
        <w:rPr>
          <w:rFonts w:hint="eastAsia" w:ascii="Arial" w:hAnsi="Arial" w:cs="Arial"/>
          <w:bCs/>
          <w:szCs w:val="21"/>
        </w:rPr>
        <w:t xml:space="preserve">（2）具有良好的商业信誉和健全的财务会计制度（提供2025年度财务报告，或投标截止时间前六个月内银行出具的资信证明）；</w:t>
      </w:r>
      <w:r/>
    </w:p>
    <w:p>
      <w:pPr>
        <w:ind w:firstLine="424"/>
        <w:spacing w:line="460" w:lineRule="exact"/>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r>
        <w:rPr>
          <w:rFonts w:ascii="Calibri" w:hAnsi="Calibri" w:cs="Calibri"/>
          <w:bCs/>
          <w:szCs w:val="21"/>
        </w:rPr>
        <w:t xml:space="preserve">①</w:t>
      </w:r>
      <w:r>
        <w:rPr>
          <w:rFonts w:hint="eastAsia" w:ascii="Arial" w:hAnsi="Arial" w:cs="Arial"/>
          <w:bCs/>
          <w:szCs w:val="21"/>
        </w:rPr>
        <w:t xml:space="preserve">提供缴纳税收的凭证；</w:t>
      </w:r>
      <w:r>
        <w:rPr>
          <w:rFonts w:ascii="Calibri" w:hAnsi="Calibri" w:cs="Calibri"/>
          <w:bCs/>
          <w:szCs w:val="21"/>
        </w:rPr>
        <w:t xml:space="preserve">②</w:t>
      </w:r>
      <w:r>
        <w:rPr>
          <w:rFonts w:hint="eastAsia" w:ascii="Arial" w:hAnsi="Arial" w:cs="Arial"/>
          <w:bCs/>
          <w:szCs w:val="21"/>
        </w:rPr>
        <w:t xml:space="preserve">提供缴纳社会保险的凭据，依法享受免缴、缓缴的，提供证明材料）；</w:t>
      </w:r>
      <w:r/>
    </w:p>
    <w:p>
      <w:pPr>
        <w:ind w:firstLine="424"/>
        <w:spacing w:line="460" w:lineRule="exact"/>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p>
    <w:p>
      <w:pPr>
        <w:ind w:firstLine="424"/>
        <w:spacing w:line="460" w:lineRule="exact"/>
        <w:rPr>
          <w:rFonts w:ascii="Arial" w:hAnsi="Arial" w:cs="Arial"/>
          <w:bCs/>
          <w:szCs w:val="21"/>
        </w:rPr>
      </w:pPr>
      <w:r>
        <w:rPr>
          <w:rFonts w:hint="eastAsia" w:ascii="Arial" w:hAnsi="Arial" w:cs="Arial"/>
          <w:bCs/>
          <w:szCs w:val="21"/>
        </w:rPr>
        <w:t xml:space="preserve">（6）法律、行政法规规定的其他条件：无。</w:t>
      </w:r>
      <w:r/>
    </w:p>
    <w:p>
      <w:pPr>
        <w:ind w:firstLine="370"/>
        <w:spacing w:line="460" w:lineRule="exact"/>
        <w:shd w:val="clear" w:color="auto" w:fill="ffffff"/>
        <w:widowControl/>
        <w:rPr>
          <w:rFonts w:ascii="Arial" w:hAnsi="Arial" w:cs="Arial"/>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无。</w:t>
      </w:r>
      <w:r/>
    </w:p>
    <w:p>
      <w:pPr>
        <w:ind w:firstLine="370"/>
        <w:spacing w:line="460" w:lineRule="exact"/>
        <w:shd w:val="clear" w:color="auto" w:fill="ffffff"/>
        <w:widowControl/>
        <w:rPr>
          <w:rFonts w:ascii="Arial" w:hAnsi="Arial" w:cs="Arial"/>
          <w:b/>
          <w:szCs w:val="21"/>
        </w:rPr>
      </w:pPr>
      <w:r>
        <w:rPr>
          <w:rFonts w:hint="eastAsia" w:ascii="Arial" w:hAnsi="Arial" w:cs="Arial"/>
          <w:b/>
          <w:spacing w:val="8"/>
          <w:szCs w:val="21"/>
        </w:rPr>
        <w:t xml:space="preserve">2.3</w:t>
      </w:r>
      <w:r>
        <w:rPr>
          <w:rFonts w:hint="eastAsia" w:ascii="Arial" w:hAnsi="Arial" w:cs="Arial"/>
          <w:b/>
          <w:szCs w:val="21"/>
        </w:rPr>
        <w:t xml:space="preserve">采购人根据采购项目的特殊要求规定的特定条件：无</w:t>
      </w:r>
      <w:r/>
    </w:p>
    <w:p>
      <w:pPr>
        <w:ind w:firstLine="456"/>
        <w:spacing w:line="460" w:lineRule="exact"/>
        <w:rPr>
          <w:rFonts w:ascii="Arial" w:hAnsi="Arial" w:cs="Arial"/>
          <w:bCs/>
          <w:szCs w:val="21"/>
        </w:rPr>
      </w:pPr>
      <w:r>
        <w:rPr>
          <w:rFonts w:ascii="Arial" w:hAnsi="Arial" w:cs="Arial"/>
          <w:spacing w:val="8"/>
          <w:szCs w:val="21"/>
        </w:rPr>
        <w:t xml:space="preserve">2.4</w:t>
      </w:r>
      <w:r>
        <w:rPr>
          <w:rFonts w:ascii="Arial" w:hAnsi="Arial" w:cs="Arial"/>
          <w:bCs/>
          <w:szCs w:val="21"/>
        </w:rPr>
        <w:t xml:space="preserve">第2.1（5）条所称重大违法记录，是指供应商因违法经营受到刑事处罚或者责令停产停业、吊销许可证或者执照、较大数额罚款等行政处罚。</w:t>
      </w:r>
      <w:r/>
    </w:p>
    <w:p>
      <w:pPr>
        <w:ind w:firstLine="424"/>
        <w:spacing w:line="460" w:lineRule="exact"/>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56"/>
        <w:spacing w:line="460" w:lineRule="exact"/>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56"/>
        <w:spacing w:line="460" w:lineRule="exact"/>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p>
    <w:p>
      <w:pPr>
        <w:ind w:firstLine="456"/>
        <w:spacing w:line="460" w:lineRule="exact"/>
        <w:rPr>
          <w:rFonts w:ascii="Arial" w:hAnsi="Arial" w:cs="Arial"/>
          <w:bCs/>
          <w:szCs w:val="21"/>
        </w:rPr>
      </w:pPr>
      <w:r>
        <w:rPr>
          <w:rFonts w:ascii="Arial" w:hAnsi="Arial" w:cs="Arial"/>
          <w:bCs/>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szCs w:val="21"/>
        </w:rPr>
        <w:t xml:space="preserve">在进行资格审查的同时</w:t>
      </w:r>
      <w:r>
        <w:rPr>
          <w:rFonts w:ascii="Arial" w:hAnsi="Arial" w:cs="Arial"/>
          <w:bCs/>
          <w:szCs w:val="21"/>
        </w:rPr>
        <w:t xml:space="preserve">，</w:t>
      </w:r>
      <w:r>
        <w:rPr>
          <w:rFonts w:hint="eastAsia" w:ascii="Arial" w:hAnsi="Arial" w:cs="Arial"/>
          <w:bCs/>
          <w:szCs w:val="21"/>
        </w:rPr>
        <w:t xml:space="preserve">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网站等渠道查询投标人信用记录并保存。</w:t>
      </w:r>
      <w:r/>
    </w:p>
    <w:p>
      <w:pPr>
        <w:ind w:firstLine="456"/>
        <w:rPr>
          <w:rFonts w:ascii="Arial" w:hAnsi="Arial" w:cs="Arial"/>
          <w:bCs/>
          <w:szCs w:val="21"/>
        </w:rPr>
      </w:pPr>
      <w:r>
        <w:rPr>
          <w:rFonts w:ascii="Arial" w:hAnsi="Arial" w:cs="Arial"/>
          <w:bCs/>
          <w:szCs w:val="21"/>
        </w:rPr>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三、获取招标文件</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3.1</w:t>
      </w:r>
      <w:r>
        <w:rPr>
          <w:rFonts w:hint="eastAsia" w:ascii="宋体" w:hAnsi="宋体" w:cs="宋体"/>
          <w:bCs/>
          <w:szCs w:val="21"/>
        </w:rPr>
        <w:t xml:space="preserve">时间：自招标文件公告发布之日起5个工作日。</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3.2</w:t>
      </w:r>
      <w:r>
        <w:rPr>
          <w:rFonts w:hint="eastAsia" w:ascii="宋体" w:hAnsi="宋体" w:cs="宋体"/>
          <w:bCs/>
          <w:szCs w:val="21"/>
        </w:rPr>
        <w:t xml:space="preserve">地点：江苏政府采购网（http://www.ccgp-jiangsu.gov.cn/）。</w:t>
      </w:r>
      <w:r/>
    </w:p>
    <w:p>
      <w:pPr>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3.3</w:t>
      </w:r>
      <w:r>
        <w:rPr>
          <w:rFonts w:hint="eastAsia" w:ascii="宋体" w:hAnsi="宋体" w:cs="宋体"/>
          <w:bCs/>
          <w:szCs w:val="21"/>
        </w:rPr>
        <w:t xml:space="preserve">方式：网上下载</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四、提交投标文件截止时间、开标时间和地点</w:t>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4.1提交投标文件截止及开标时间：</w:t>
      </w:r>
      <w:r>
        <w:rPr>
          <w:rFonts w:hint="eastAsia" w:ascii="Arial" w:hAnsi="Arial" w:cs="Arial"/>
          <w:bCs/>
          <w:szCs w:val="21"/>
        </w:rPr>
        <w:t xml:space="preserve">2026年</w:t>
      </w:r>
      <w:r>
        <w:rPr>
          <w:rFonts w:hint="eastAsia" w:ascii="Arial" w:hAnsi="Arial" w:cs="Arial"/>
          <w:bCs/>
          <w:szCs w:val="21"/>
          <w:lang w:val="en-US" w:eastAsia="zh-CN"/>
        </w:rPr>
        <w:t xml:space="preserve">10</w:t>
      </w:r>
      <w:r>
        <w:rPr>
          <w:rFonts w:hint="eastAsia" w:ascii="Arial" w:hAnsi="Arial" w:cs="Arial"/>
          <w:bCs/>
          <w:szCs w:val="21"/>
        </w:rPr>
        <w:t xml:space="preserve">月</w:t>
      </w:r>
      <w:r>
        <w:rPr>
          <w:rFonts w:hint="eastAsia" w:ascii="Arial" w:hAnsi="Arial" w:cs="Arial"/>
          <w:bCs/>
          <w:szCs w:val="21"/>
          <w:lang w:val="en-US" w:eastAsia="zh-CN"/>
        </w:rPr>
        <w:t xml:space="preserve">22</w:t>
      </w:r>
      <w:r>
        <w:rPr>
          <w:rFonts w:hint="eastAsia" w:ascii="Arial" w:hAnsi="Arial" w:cs="Arial"/>
          <w:bCs/>
          <w:szCs w:val="21"/>
        </w:rPr>
        <w:t xml:space="preserve">日14点30分</w:t>
      </w:r>
      <w:r>
        <w:rPr>
          <w:rFonts w:ascii="Arial" w:hAnsi="Arial" w:cs="Arial"/>
          <w:spacing w:val="8"/>
          <w:szCs w:val="21"/>
        </w:rPr>
        <w:t xml:space="preserve">（北京时间）</w:t>
      </w:r>
      <w:r/>
    </w:p>
    <w:p>
      <w:pPr>
        <w:ind w:firstLine="452"/>
        <w:spacing w:line="360" w:lineRule="auto"/>
        <w:rPr>
          <w:rFonts w:ascii="Arial" w:hAnsi="Arial" w:cs="Arial"/>
          <w:spacing w:val="8"/>
          <w:szCs w:val="21"/>
        </w:rPr>
      </w:pPr>
      <w:r>
        <w:rPr>
          <w:rFonts w:ascii="Arial" w:hAnsi="Arial" w:cs="Arial"/>
          <w:spacing w:val="8"/>
          <w:szCs w:val="21"/>
        </w:rPr>
        <w:t xml:space="preserve">4.2提交投标文件地点：</w:t>
      </w:r>
      <w:r>
        <w:rPr>
          <w:rFonts w:ascii="Arial" w:hAnsi="Arial" w:cs="Arial"/>
          <w:szCs w:val="21"/>
        </w:rPr>
        <w:t xml:space="preserve">江苏省政府采购管理交易系统</w:t>
      </w:r>
      <w:r>
        <w:rPr>
          <w:rFonts w:ascii="Arial" w:hAnsi="Arial" w:cs="Arial"/>
          <w:spacing w:val="8"/>
          <w:szCs w:val="21"/>
        </w:rPr>
        <w:t xml:space="preserve">（苏采云）（网址：</w:t>
      </w:r>
      <w:r>
        <w:fldChar w:fldCharType="begin"/>
      </w:r>
      <w:r>
        <w:instrText xml:space="preserve"> HYPERLINK "http://jszfcg.jsczt.cn/）" </w:instrText>
      </w:r>
      <w:r>
        <w:fldChar w:fldCharType="separate"/>
      </w:r>
      <w:r>
        <w:rPr>
          <w:rStyle w:val="966"/>
          <w:rFonts w:ascii="Arial" w:hAnsi="Arial" w:cs="Arial"/>
          <w:color w:val="auto"/>
          <w:spacing w:val="8"/>
          <w:szCs w:val="21"/>
        </w:rPr>
        <w:t xml:space="preserve">http://jszfcg.jsczt.cn/）</w:t>
      </w:r>
      <w:r>
        <w:rPr>
          <w:rStyle w:val="966"/>
          <w:rFonts w:ascii="Arial" w:hAnsi="Arial" w:cs="Arial"/>
          <w:color w:val="auto"/>
          <w:spacing w:val="8"/>
          <w:szCs w:val="21"/>
        </w:rPr>
        <w:fldChar w:fldCharType="end"/>
      </w:r>
      <w:r/>
    </w:p>
    <w:p>
      <w:pPr>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4.3开标地点：“苏采云”开标大厅</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五、公告期限</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自本公告发布之日起</w:t>
      </w:r>
      <w:r>
        <w:rPr>
          <w:rFonts w:ascii="Arial" w:hAnsi="Arial" w:cs="Arial"/>
          <w:spacing w:val="8"/>
          <w:szCs w:val="21"/>
        </w:rPr>
        <w:t xml:space="preserve">5</w:t>
      </w:r>
      <w:r>
        <w:rPr>
          <w:rFonts w:hint="eastAsia" w:ascii="Arial" w:hAnsi="Arial" w:cs="Arial"/>
          <w:spacing w:val="8"/>
          <w:szCs w:val="21"/>
        </w:rPr>
        <w:t xml:space="preserve">个工作日。</w:t>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六、其他补充事宜</w:t>
      </w:r>
      <w:r/>
    </w:p>
    <w:p>
      <w:pPr>
        <w:ind w:firstLine="420"/>
        <w:spacing w:line="360" w:lineRule="auto"/>
        <w:rPr>
          <w:rFonts w:ascii="Arial" w:hAnsi="Arial" w:cs="Arial"/>
          <w:bCs/>
          <w:szCs w:val="21"/>
          <w:lang w:val="zh-CN"/>
        </w:rPr>
      </w:pPr>
      <w:r>
        <w:rPr>
          <w:rFonts w:ascii="Arial" w:hAnsi="Arial" w:cs="Arial"/>
          <w:bCs/>
          <w:szCs w:val="21"/>
          <w:lang w:val="zh-CN"/>
        </w:rPr>
        <w:t xml:space="preserve">6.1本项目在江苏政府采购网、中国政府采购网网站发布公告。</w:t>
      </w:r>
      <w:r/>
    </w:p>
    <w:p>
      <w:pPr>
        <w:ind w:firstLine="420"/>
        <w:spacing w:line="360" w:lineRule="auto"/>
        <w:rPr>
          <w:rFonts w:ascii="Arial" w:hAnsi="Arial" w:cs="Arial"/>
          <w:bCs/>
          <w:szCs w:val="21"/>
        </w:rPr>
      </w:pPr>
      <w:r>
        <w:rPr>
          <w:rFonts w:ascii="Arial" w:hAnsi="Arial" w:cs="Arial"/>
          <w:bCs/>
          <w:szCs w:val="21"/>
          <w:lang w:val="zh-CN"/>
        </w:rPr>
        <w:t xml:space="preserve">6.</w:t>
      </w:r>
      <w:r>
        <w:rPr>
          <w:rFonts w:ascii="Arial" w:hAnsi="Arial" w:cs="Arial"/>
          <w:bCs/>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bCs/>
          <w:szCs w:val="21"/>
        </w:rPr>
      </w:pPr>
      <w:r>
        <w:rPr>
          <w:rFonts w:ascii="Arial" w:hAnsi="Arial" w:cs="Arial"/>
          <w:bCs/>
          <w:szCs w:val="21"/>
        </w:rPr>
        <w:t xml:space="preserve">操作手册下载地址：</w:t>
      </w:r>
      <w:r>
        <w:rPr>
          <w:rFonts w:hint="eastAsia" w:ascii="Arial" w:hAnsi="Arial" w:cs="Arial"/>
          <w:bCs/>
          <w:szCs w:val="21"/>
        </w:rPr>
        <w:t xml:space="preserve"> </w:t>
      </w:r>
      <w:r>
        <w:rPr>
          <w:rFonts w:ascii="Arial" w:hAnsi="Arial" w:cs="Arial"/>
          <w:bCs/>
          <w:szCs w:val="21"/>
        </w:rPr>
        <w:t xml:space="preserve">http://www.ccgp-jiangsu.gov.cn/jiangsu/zlxz/ee/ee3a4bc5a3454aa2b0d9312230633ce9.html</w:t>
      </w:r>
      <w:r/>
    </w:p>
    <w:p>
      <w:pPr>
        <w:ind w:firstLine="420"/>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Arial" w:hAnsi="Arial" w:cs="Arial"/>
          <w:bCs/>
          <w:szCs w:val="21"/>
        </w:rPr>
      </w:pPr>
      <w:r>
        <w:rPr>
          <w:rFonts w:ascii="Arial" w:hAnsi="Arial" w:cs="Arial"/>
          <w:bCs/>
          <w:szCs w:val="21"/>
        </w:rPr>
        <w:t xml:space="preserve">“苏采云”南京地区客服热线025-83633744、025-83633743。</w:t>
      </w:r>
      <w:r/>
    </w:p>
    <w:p>
      <w:pPr>
        <w:ind w:firstLine="420"/>
        <w:spacing w:line="360" w:lineRule="auto"/>
        <w:rPr>
          <w:rFonts w:ascii="Arial" w:hAnsi="Arial" w:cs="Arial"/>
          <w:bCs/>
          <w:szCs w:val="21"/>
        </w:rPr>
      </w:pPr>
      <w:r>
        <w:rPr>
          <w:rFonts w:ascii="Arial" w:hAnsi="Arial" w:cs="Arial"/>
          <w:bCs/>
          <w:szCs w:val="21"/>
        </w:rPr>
        <w:t xml:space="preserve"> 有关本次招标的事项若存在变动或修改，请及时关注“江苏政府采购网”（www.ccgp-jiangsu.gov.cn）更正公告。</w:t>
      </w:r>
      <w:r/>
    </w:p>
    <w:p>
      <w:pPr>
        <w:ind w:firstLine="420"/>
        <w:spacing w:line="360" w:lineRule="auto"/>
        <w:shd w:val="clear" w:color="auto" w:fill="ffffff"/>
        <w:widowControl/>
        <w:rPr>
          <w:rFonts w:hint="eastAsia" w:ascii="Arial" w:hAnsi="Arial" w:eastAsia="宋体" w:cs="Arial"/>
          <w:bCs/>
          <w:szCs w:val="21"/>
          <w:lang w:eastAsia="zh-CN"/>
        </w:rPr>
      </w:pPr>
      <w:r>
        <w:rPr>
          <w:rFonts w:ascii="Arial" w:hAnsi="Arial" w:cs="Arial"/>
          <w:bCs/>
          <w:szCs w:val="21"/>
          <w:highlight w:val="none"/>
        </w:rPr>
        <w:t xml:space="preserve">6.</w:t>
      </w:r>
      <w:r>
        <w:rPr>
          <w:rFonts w:hint="eastAsia" w:ascii="Arial" w:hAnsi="Arial" w:cs="Arial"/>
          <w:bCs/>
          <w:szCs w:val="21"/>
          <w:highlight w:val="none"/>
        </w:rPr>
        <w:t xml:space="preserve">3</w:t>
      </w:r>
      <w:r>
        <w:rPr>
          <w:rFonts w:ascii="Arial" w:hAnsi="Arial" w:cs="Arial"/>
          <w:bCs/>
          <w:szCs w:val="21"/>
          <w:highlight w:val="none"/>
        </w:rPr>
        <w:t xml:space="preserve"> 勘察现场：</w:t>
      </w:r>
      <w:r>
        <w:rPr>
          <w:rFonts w:hint="eastAsia" w:ascii="宋体" w:hAnsi="宋体"/>
          <w:sz w:val="24"/>
          <w:highlight w:val="none"/>
        </w:rPr>
        <w:t xml:space="preserve">有，详见第四章项目需求</w:t>
      </w:r>
      <w:r>
        <w:rPr>
          <w:rFonts w:hint="eastAsia" w:ascii="宋体" w:hAnsi="宋体"/>
          <w:sz w:val="24"/>
          <w:highlight w:val="none"/>
          <w:lang w:eastAsia="zh-CN"/>
        </w:rPr>
        <w:t xml:space="preserve">。</w:t>
      </w:r>
      <w:r/>
    </w:p>
    <w:p>
      <w:pPr>
        <w:ind w:firstLine="420"/>
        <w:spacing w:line="360" w:lineRule="auto"/>
        <w:shd w:val="clear" w:color="auto" w:fill="ffffff"/>
        <w:widowControl/>
        <w:rPr>
          <w:rFonts w:ascii="Arial" w:hAnsi="宋体" w:cs="Arial"/>
          <w:szCs w:val="21"/>
        </w:rPr>
      </w:pPr>
      <w:r>
        <w:rPr>
          <w:rFonts w:ascii="Arial" w:hAnsi="宋体" w:cs="Arial"/>
          <w:szCs w:val="21"/>
        </w:rPr>
      </w:r>
      <w:r/>
    </w:p>
    <w:p>
      <w:pPr>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七、对本次招标提出询问，请按以下方式联系</w:t>
      </w:r>
      <w:r/>
    </w:p>
    <w:p>
      <w:pPr>
        <w:ind w:firstLine="452"/>
        <w:spacing w:line="360" w:lineRule="auto"/>
        <w:rPr>
          <w:rFonts w:ascii="宋体" w:hAnsi="宋体" w:cs="宋体"/>
          <w:spacing w:val="8"/>
          <w:szCs w:val="21"/>
        </w:rPr>
      </w:pPr>
      <w:r>
        <w:rPr>
          <w:rFonts w:hint="eastAsia" w:ascii="宋体" w:hAnsi="宋体" w:cs="宋体"/>
          <w:spacing w:val="8"/>
          <w:szCs w:val="21"/>
        </w:rPr>
        <w:t xml:space="preserve">7.1采购人信息</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名称：南京艺术学院</w:t>
      </w:r>
      <w:r/>
    </w:p>
    <w:p>
      <w:pPr>
        <w:ind w:firstLine="420"/>
        <w:jc w:val="left"/>
        <w:spacing w:line="360" w:lineRule="auto"/>
        <w:shd w:val="clear" w:color="auto" w:fill="ffffff"/>
        <w:widowControl/>
        <w:rPr>
          <w:rFonts w:ascii="宋体" w:hAnsi="宋体" w:cs="Arial"/>
          <w:szCs w:val="21"/>
        </w:rPr>
      </w:pPr>
      <w:r>
        <w:rPr>
          <w:rFonts w:hint="eastAsia" w:ascii="宋体" w:hAnsi="宋体" w:cs="Arial"/>
          <w:szCs w:val="21"/>
        </w:rPr>
        <w:t xml:space="preserve">地    址：</w:t>
      </w:r>
      <w:r>
        <w:rPr>
          <w:rFonts w:hint="eastAsia" w:ascii="Arial" w:hAnsi="Arial" w:cs="Arial"/>
          <w:szCs w:val="21"/>
          <w:lang w:val="zh-CN"/>
        </w:rPr>
        <w:t xml:space="preserve">南京市北京西路74号</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联系人：鞠老师</w:t>
      </w:r>
      <w:r/>
    </w:p>
    <w:p>
      <w:pPr>
        <w:ind w:firstLine="452"/>
        <w:spacing w:line="360" w:lineRule="auto"/>
        <w:rPr>
          <w:rFonts w:ascii="宋体" w:hAnsi="宋体" w:cs="宋体"/>
          <w:spacing w:val="8"/>
          <w:szCs w:val="21"/>
        </w:rPr>
      </w:pPr>
      <w:r>
        <w:rPr>
          <w:rFonts w:hint="eastAsia" w:ascii="Arial" w:hAnsi="Arial" w:cs="Arial"/>
          <w:spacing w:val="8"/>
          <w:szCs w:val="21"/>
        </w:rPr>
        <w:t xml:space="preserve">联系电话：</w:t>
      </w:r>
      <w:r>
        <w:rPr>
          <w:rFonts w:hint="eastAsia" w:ascii="Arial" w:hAnsi="Arial" w:cs="Arial"/>
          <w:szCs w:val="21"/>
          <w:lang w:val="zh-CN"/>
        </w:rPr>
        <w:t xml:space="preserve">025-83498796</w:t>
      </w:r>
      <w:r/>
    </w:p>
    <w:p>
      <w:pPr>
        <w:ind w:firstLine="452"/>
        <w:spacing w:line="360" w:lineRule="auto"/>
        <w:rPr>
          <w:rFonts w:ascii="宋体" w:hAnsi="宋体" w:cs="宋体"/>
          <w:spacing w:val="8"/>
          <w:szCs w:val="21"/>
        </w:rPr>
      </w:pPr>
      <w:r>
        <w:rPr>
          <w:rFonts w:hint="eastAsia" w:ascii="宋体" w:hAnsi="宋体" w:cs="宋体"/>
          <w:spacing w:val="8"/>
          <w:szCs w:val="21"/>
        </w:rPr>
        <w:t xml:space="preserve">7.2采购代理机构信息</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朱玉峰</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话：025-86636061/13851857592</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电子邮箱：zhuyf@jcec.cn</w:t>
      </w:r>
      <w:r/>
    </w:p>
    <w:p>
      <w:pPr>
        <w:ind w:firstLine="226"/>
        <w:spacing w:line="360" w:lineRule="auto"/>
        <w:rPr>
          <w:rFonts w:ascii="宋体" w:hAnsi="宋体" w:cs="宋体"/>
          <w:spacing w:val="8"/>
          <w:szCs w:val="21"/>
        </w:rPr>
      </w:pPr>
      <w:r>
        <w:rPr>
          <w:rFonts w:hint="eastAsia" w:ascii="Arial" w:hAnsi="Arial" w:cs="Arial"/>
          <w:spacing w:val="8"/>
          <w:szCs w:val="21"/>
        </w:rPr>
        <w:t xml:space="preserve">地址：江苏省南京市鼓楼区清江南路18号鼓楼创新广场D栋10楼1006室</w:t>
      </w:r>
      <w:r/>
    </w:p>
    <w:p>
      <w:pPr>
        <w:ind w:firstLine="452"/>
        <w:spacing w:line="360" w:lineRule="auto"/>
        <w:rPr>
          <w:rFonts w:ascii="宋体" w:hAnsi="宋体" w:cs="宋体"/>
          <w:spacing w:val="8"/>
          <w:szCs w:val="21"/>
        </w:rPr>
      </w:pPr>
      <w:r>
        <w:rPr>
          <w:rFonts w:hint="eastAsia" w:ascii="宋体" w:hAnsi="宋体" w:cs="宋体"/>
          <w:spacing w:val="8"/>
          <w:szCs w:val="21"/>
        </w:rPr>
        <w:t xml:space="preserve">7.3项目联系方式</w:t>
      </w:r>
      <w:r/>
    </w:p>
    <w:p>
      <w:pPr>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朱玉峰</w:t>
      </w:r>
      <w:r/>
    </w:p>
    <w:p>
      <w:pPr>
        <w:ind w:firstLine="452"/>
        <w:spacing w:line="360" w:lineRule="auto"/>
        <w:rPr>
          <w:rFonts w:ascii="宋体" w:hAnsi="宋体" w:cs="宋体"/>
          <w:spacing w:val="8"/>
          <w:szCs w:val="21"/>
        </w:rPr>
      </w:pPr>
      <w:r>
        <w:rPr>
          <w:rFonts w:hint="eastAsia" w:ascii="Arial" w:hAnsi="Arial" w:cs="Arial"/>
          <w:spacing w:val="8"/>
          <w:szCs w:val="21"/>
        </w:rPr>
        <w:t xml:space="preserve">电话：025-86636061/13851857592</w:t>
      </w:r>
      <w:r/>
    </w:p>
    <w:p>
      <w:pPr>
        <w:rPr>
          <w:rFonts w:ascii="Arial" w:cs="Arial"/>
          <w:b/>
          <w:bCs/>
          <w:sz w:val="32"/>
          <w:szCs w:val="44"/>
        </w:rPr>
      </w:pPr>
      <w:r>
        <w:rPr>
          <w:rFonts w:hint="eastAsia" w:ascii="Arial" w:cs="Arial"/>
          <w:b/>
          <w:bCs/>
          <w:sz w:val="32"/>
          <w:szCs w:val="44"/>
        </w:rPr>
        <w:br w:type="page" w:clear="all"/>
      </w:r>
      <w:bookmarkEnd w:id="3"/>
      <w:r/>
      <w:r/>
    </w:p>
    <w:p>
      <w:pPr>
        <w:ind w:firstLine="643"/>
        <w:jc w:val="center"/>
        <w:spacing w:line="360" w:lineRule="auto"/>
        <w:rPr>
          <w:rFonts w:ascii="Arial" w:cs="Arial"/>
          <w:b/>
          <w:bCs/>
          <w:sz w:val="32"/>
          <w:szCs w:val="44"/>
        </w:rPr>
        <w:outlineLvl w:val="0"/>
      </w:pPr>
      <w:r/>
      <w:bookmarkStart w:id="4" w:name="_Toc15050"/>
      <w:r/>
      <w:bookmarkStart w:id="5" w:name="_Toc4854"/>
      <w:r>
        <w:rPr>
          <w:rFonts w:hint="eastAsia" w:ascii="Arial" w:cs="Arial"/>
          <w:b/>
          <w:bCs/>
          <w:sz w:val="32"/>
          <w:szCs w:val="44"/>
        </w:rPr>
        <w:t xml:space="preserve">第二章</w:t>
      </w:r>
      <w:bookmarkStart w:id="6" w:name="_Toc452625218"/>
      <w:r>
        <w:rPr>
          <w:rFonts w:hint="eastAsia" w:ascii="Arial" w:cs="Arial"/>
          <w:b/>
          <w:bCs/>
          <w:sz w:val="32"/>
          <w:szCs w:val="44"/>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 本国产品支持政策</w:t>
      </w:r>
      <w:r/>
    </w:p>
    <w:p>
      <w:pPr>
        <w:ind w:firstLine="420"/>
        <w:spacing w:line="360" w:lineRule="auto"/>
        <w:shd w:val="clear" w:color="auto" w:fill="ffffff"/>
        <w:widowControl/>
      </w:pPr>
      <w:r>
        <w:rPr>
          <w:rFonts w:hint="eastAsia" w:ascii="Arial" w:hAnsi="Arial" w:cs="Arial"/>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p>
    <w:p>
      <w:pPr>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p>
    <w:p>
      <w:pPr>
        <w:pStyle w:val="970"/>
        <w:spacing w:line="360" w:lineRule="auto"/>
        <w:rPr>
          <w:rFonts w:ascii="Arial" w:hAnsi="Arial" w:cs="Arial"/>
          <w:color w:val="000000"/>
          <w:szCs w:val="21"/>
        </w:rPr>
      </w:pPr>
      <w:r>
        <w:rPr>
          <w:rFonts w:ascii="Arial" w:hAnsi="Arial" w:cs="Arial"/>
          <w:color w:val="000000"/>
          <w:szCs w:val="21"/>
        </w:rPr>
        <w:t xml:space="preserve">（1）招标公告；</w:t>
      </w:r>
      <w:r/>
    </w:p>
    <w:p>
      <w:pPr>
        <w:pStyle w:val="970"/>
        <w:spacing w:line="360" w:lineRule="auto"/>
        <w:rPr>
          <w:rFonts w:ascii="Arial" w:hAnsi="Arial" w:cs="Arial"/>
          <w:color w:val="000000"/>
          <w:szCs w:val="21"/>
        </w:rPr>
      </w:pPr>
      <w:r>
        <w:rPr>
          <w:rFonts w:ascii="Arial" w:hAnsi="Arial" w:cs="Arial"/>
          <w:color w:val="000000"/>
          <w:szCs w:val="21"/>
        </w:rPr>
        <w:t xml:space="preserve">（2）投标人须知；</w:t>
      </w:r>
      <w:r/>
    </w:p>
    <w:p>
      <w:pPr>
        <w:pStyle w:val="970"/>
        <w:spacing w:line="360" w:lineRule="auto"/>
        <w:rPr>
          <w:rFonts w:ascii="Arial" w:hAnsi="Arial" w:cs="Arial"/>
          <w:color w:val="000000"/>
          <w:szCs w:val="21"/>
        </w:rPr>
      </w:pPr>
      <w:r>
        <w:rPr>
          <w:rFonts w:ascii="Arial" w:hAnsi="Arial" w:cs="Arial"/>
          <w:color w:val="000000"/>
          <w:szCs w:val="21"/>
        </w:rPr>
        <w:t xml:space="preserve">（3）评标标准；</w:t>
      </w:r>
      <w:r/>
    </w:p>
    <w:p>
      <w:pPr>
        <w:pStyle w:val="970"/>
        <w:spacing w:line="360" w:lineRule="auto"/>
        <w:rPr>
          <w:rFonts w:ascii="Arial" w:hAnsi="Arial" w:cs="Arial"/>
          <w:color w:val="000000"/>
          <w:szCs w:val="21"/>
        </w:rPr>
      </w:pPr>
      <w:r>
        <w:rPr>
          <w:rFonts w:ascii="Arial" w:hAnsi="Arial" w:cs="Arial"/>
          <w:color w:val="000000"/>
          <w:szCs w:val="21"/>
        </w:rPr>
        <w:t xml:space="preserve">（4）采购需求；</w:t>
      </w:r>
      <w:r/>
    </w:p>
    <w:p>
      <w:pPr>
        <w:pStyle w:val="970"/>
        <w:spacing w:line="360" w:lineRule="auto"/>
        <w:rPr>
          <w:rFonts w:ascii="Arial" w:hAnsi="Arial" w:cs="Arial"/>
          <w:color w:val="000000"/>
          <w:szCs w:val="21"/>
        </w:rPr>
      </w:pPr>
      <w:r>
        <w:rPr>
          <w:rFonts w:ascii="Arial" w:hAnsi="Arial" w:cs="Arial"/>
          <w:color w:val="000000"/>
          <w:szCs w:val="21"/>
        </w:rPr>
        <w:t xml:space="preserve">（5）合同主要条款及格式；</w:t>
      </w:r>
      <w:r/>
    </w:p>
    <w:p>
      <w:pPr>
        <w:pStyle w:val="970"/>
        <w:spacing w:line="360" w:lineRule="auto"/>
        <w:rPr>
          <w:rFonts w:ascii="Arial" w:hAnsi="Arial" w:cs="Arial"/>
          <w:color w:val="000000"/>
          <w:szCs w:val="21"/>
        </w:rPr>
      </w:pPr>
      <w:r>
        <w:rPr>
          <w:rFonts w:ascii="Arial" w:hAnsi="Arial" w:cs="Arial"/>
          <w:color w:val="000000"/>
          <w:szCs w:val="21"/>
        </w:rPr>
        <w:t xml:space="preserve">（6）投标文件格式及附件。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p>
    <w:p>
      <w:pPr>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p>
    <w:p>
      <w:pPr>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p>
    <w:p>
      <w:pPr>
        <w:pStyle w:val="1175"/>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p>
    <w:p>
      <w:pPr>
        <w:pStyle w:val="1175"/>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p>
    <w:p>
      <w:pPr>
        <w:pStyle w:val="1175"/>
        <w:numPr>
          <w:ilvl w:val="1"/>
          <w:numId w:val="3"/>
        </w:numPr>
        <w:ind w:left="0" w:firstLine="367"/>
        <w:spacing w:line="360" w:lineRule="auto"/>
        <w:tabs>
          <w:tab w:val="left" w:pos="84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Arial" w:cs="Arial"/>
          <w:bCs/>
          <w:color w:val="000000"/>
          <w:szCs w:val="21"/>
        </w:rPr>
        <w:t xml:space="preserve"> </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6</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7</w:t>
      </w:r>
      <w:r>
        <w:rPr>
          <w:rFonts w:ascii="Arial" w:hAnsi="宋体" w:cs="Arial"/>
          <w:color w:val="000000"/>
          <w:szCs w:val="21"/>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p>
    <w:p>
      <w:pPr>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p>
    <w:p>
      <w:pPr>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p>
    <w:p>
      <w:pPr>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p>
    <w:p>
      <w:pPr>
        <w:ind w:firstLine="420"/>
        <w:spacing w:line="360" w:lineRule="auto"/>
        <w:shd w:val="clear" w:color="auto" w:fill="ffffff"/>
        <w:widowControl/>
        <w:rPr>
          <w:rFonts w:ascii="Arial" w:hAnsi="Arial" w:cs="Arial"/>
          <w:b/>
          <w:szCs w:val="21"/>
        </w:rPr>
      </w:pPr>
      <w:r>
        <w:rPr>
          <w:rFonts w:ascii="Arial" w:hAnsi="Arial" w:cs="Arial"/>
          <w:b/>
          <w:szCs w:val="21"/>
        </w:rPr>
        <w:t xml:space="preserve">16.2 </w:t>
      </w:r>
      <w:r>
        <w:rPr>
          <w:rFonts w:hint="eastAsia" w:ascii="Arial" w:hAnsi="Arial" w:cs="Arial"/>
          <w:b/>
          <w:szCs w:val="21"/>
        </w:rPr>
        <w:t xml:space="preserve">招标代理服务费：</w:t>
      </w:r>
      <w:r>
        <w:rPr>
          <w:rFonts w:ascii="Arial" w:hAnsi="宋体" w:cs="Arial"/>
          <w:b/>
          <w:szCs w:val="21"/>
        </w:rPr>
        <w:t xml:space="preserve">本次招标，中标人参照《江苏省招标代理服务收费的指导意见》（</w:t>
      </w:r>
      <w:r>
        <w:rPr>
          <w:rFonts w:hint="eastAsia" w:ascii="Arial" w:hAnsi="宋体" w:cs="Arial"/>
          <w:b/>
          <w:szCs w:val="21"/>
        </w:rPr>
        <w:t xml:space="preserve">苏招协2022</w:t>
      </w:r>
      <w:r>
        <w:rPr>
          <w:rFonts w:ascii="Arial" w:hAnsi="宋体" w:cs="Arial"/>
          <w:b/>
          <w:szCs w:val="21"/>
        </w:rPr>
        <w:t xml:space="preserve">【</w:t>
      </w:r>
      <w:r>
        <w:rPr>
          <w:rFonts w:ascii="Arial" w:hAnsi="Arial" w:cs="Arial"/>
          <w:b/>
          <w:szCs w:val="21"/>
        </w:rPr>
        <w:t xml:space="preserve">002</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货物</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宋体" w:hAnsi="宋体"/>
          <w:b/>
          <w:szCs w:val="21"/>
          <w:u w:val="single"/>
        </w:rPr>
        <w:t xml:space="preserve">48</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w:t>
      </w:r>
      <w:r>
        <w:rPr>
          <w:rFonts w:hint="eastAsia" w:ascii="宋体" w:hAnsi="宋体"/>
          <w:b/>
          <w:szCs w:val="21"/>
        </w:rPr>
        <w:t xml:space="preserve">。</w:t>
      </w:r>
      <w:r>
        <w:rPr>
          <w:rFonts w:ascii="Arial" w:hAnsi="宋体" w:cs="Arial"/>
          <w:b/>
          <w:szCs w:val="21"/>
        </w:rPr>
        <w:t xml:space="preserve">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rPr>
          <w:rFonts w:hint="eastAsia" w:ascii="Arial" w:hAnsi="Arial" w:cs="Arial"/>
          <w:b/>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p>
    <w:p>
      <w:pPr>
        <w:ind w:firstLine="2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p>
    <w:p>
      <w:pPr>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p>
    <w:p>
      <w:pPr>
        <w:ind w:firstLine="211"/>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p>
    <w:p>
      <w:pPr>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p>
    <w:p>
      <w:pPr>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p>
    <w:p>
      <w:pPr>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）投标文件含有采购人不能接受的附加条件的；</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7" w:name="OLE_LINK3"/>
      <w:r/>
      <w:bookmarkStart w:id="8"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7"/>
      <w:r>
        <w:rPr>
          <w:rFonts w:ascii="Arial" w:hAnsi="Arial" w:cs="Arial"/>
          <w:b/>
          <w:color w:val="000000"/>
          <w:szCs w:val="21"/>
        </w:rPr>
        <w:t xml:space="preserve">。</w:t>
      </w:r>
      <w:bookmarkEnd w:id="8"/>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pStyle w:val="960"/>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70"/>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p>
    <w:p>
      <w:pPr>
        <w:pStyle w:val="970"/>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p>
    <w:p>
      <w:pPr>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p>
    <w:p>
      <w:pPr>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rPr>
        <w:t xml:space="preserve">以书面形式向</w:t>
      </w:r>
      <w:r>
        <w:rPr>
          <w:rFonts w:ascii="Arial" w:hAnsi="Arial" w:cs="Arial"/>
          <w:color w:val="000000"/>
          <w:szCs w:val="21"/>
        </w:rPr>
        <w:t xml:space="preserve">采购人或采购代理机构</w:t>
      </w:r>
      <w:r>
        <w:rPr>
          <w:rFonts w:hint="eastAsia" w:ascii="Arial" w:hAnsi="Arial" w:cs="Arial"/>
          <w:color w:val="000000"/>
          <w:szCs w:val="21"/>
        </w:rPr>
        <w:t xml:space="preserve">提出质疑</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5</w:t>
      </w:r>
      <w:r>
        <w:rPr>
          <w:rFonts w:ascii="Arial" w:hAnsi="Arial" w:cs="Arial"/>
          <w:color w:val="00000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rPr>
        <w:t xml:space="preserve">财政部门将依法予以处罚</w:t>
      </w:r>
      <w:r>
        <w:rPr>
          <w:rFonts w:ascii="Arial" w:hAnsi="Arial" w:cs="Arial"/>
          <w:color w:val="000000"/>
          <w:szCs w:val="21"/>
        </w:rPr>
        <w:t xml:space="preserve">。</w:t>
      </w:r>
      <w:r/>
    </w:p>
    <w:p>
      <w:pPr>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6</w:t>
      </w:r>
      <w:r>
        <w:rPr>
          <w:rFonts w:ascii="Arial" w:hAnsi="Arial" w:cs="Arial"/>
          <w:color w:val="000000"/>
          <w:szCs w:val="21"/>
        </w:rPr>
        <w:t xml:space="preserve">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p>
    <w:p>
      <w:pPr>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p>
    <w:p>
      <w:pPr>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p>
    <w:p>
      <w:pPr>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p>
    <w:p>
      <w:pPr>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p>
    <w:p>
      <w:pPr>
        <w:pStyle w:val="970"/>
        <w:ind w:firstLine="0"/>
        <w:spacing w:line="360" w:lineRule="auto"/>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rPr>
      </w:pPr>
      <w:r>
        <w:rPr>
          <w:rFonts w:ascii="Arial" w:hAnsi="Arial" w:cs="Arial"/>
        </w:rPr>
        <w:br w:type="page" w:clear="all"/>
      </w:r>
      <w:r/>
    </w:p>
    <w:p>
      <w:pPr>
        <w:pStyle w:val="912"/>
        <w:numPr>
          <w:ilvl w:val="0"/>
          <w:numId w:val="0"/>
        </w:numPr>
        <w:spacing w:before="0" w:after="0" w:line="240" w:lineRule="auto"/>
        <w:rPr>
          <w:rFonts w:ascii="Arial" w:hAnsi="Arial" w:cs="Arial"/>
        </w:rPr>
      </w:pPr>
      <w:r/>
      <w:bookmarkStart w:id="9" w:name="_Toc23781"/>
      <w:r/>
      <w:bookmarkStart w:id="10" w:name="_Toc24664"/>
      <w:r>
        <w:rPr>
          <w:rFonts w:ascii="Arial" w:hAnsi="Arial" w:cs="Arial"/>
        </w:rPr>
        <w:t xml:space="preserve"> </w:t>
      </w:r>
      <w:bookmarkStart w:id="11" w:name="_Toc481057145"/>
      <w:r>
        <w:rPr>
          <w:rFonts w:hint="eastAsia" w:ascii="Arial" w:hAnsi="Arial" w:cs="Arial"/>
        </w:rPr>
        <w:t xml:space="preserve">第三章评标标准</w:t>
      </w:r>
      <w:bookmarkEnd w:id="9"/>
      <w:r/>
      <w:bookmarkEnd w:id="10"/>
      <w:r/>
      <w:bookmarkEnd w:id="11"/>
      <w:r/>
      <w:r/>
    </w:p>
    <w:p>
      <w:r/>
      <w:r/>
    </w:p>
    <w:p>
      <w:pPr>
        <w:pStyle w:val="934"/>
      </w:pPr>
      <w:r>
        <w:rPr>
          <w:rFonts w:hint="eastAsia" w:ascii="Arial" w:hAnsi="Arial" w:cs="Aria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922"/>
        <w:tblW w:w="9504" w:type="dxa"/>
        <w:jc w:val="center"/>
        <w:tblLayout w:type="autofit"/>
        <w:tblCellMar>
          <w:left w:w="10" w:type="dxa"/>
          <w:top w:w="0" w:type="dxa"/>
          <w:right w:w="10" w:type="dxa"/>
          <w:bottom w:w="0" w:type="dxa"/>
        </w:tblCellMar>
        <w:tblLook w:val="04A0" w:firstRow="1" w:lastRow="0" w:firstColumn="1" w:lastColumn="0" w:noHBand="0" w:noVBand="1"/>
      </w:tblPr>
      <w:tblGrid>
        <w:gridCol w:w="1491"/>
        <w:gridCol w:w="652"/>
        <w:gridCol w:w="7361"/>
      </w:tblGrid>
      <w:tr>
        <w:trPr>
          <w:jc w:val="center"/>
          <w:tblHeader/>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b/>
              </w:rPr>
            </w:pPr>
            <w:r>
              <w:rPr>
                <w:rFonts w:ascii="宋体" w:hAnsi="宋体" w:cs="宋体"/>
                <w:b/>
                <w:color w:val="000000"/>
              </w:rPr>
              <w:t xml:space="preserve">评分因素</w:t>
            </w:r>
            <w:r/>
          </w:p>
        </w:tc>
        <w:tc>
          <w:tcPr>
            <w:tcBorders>
              <w:top w:val="single" w:color="auto" w:sz="12"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b/>
              </w:rPr>
            </w:pPr>
            <w:r>
              <w:rPr>
                <w:rFonts w:ascii="宋体" w:hAnsi="宋体" w:cs="宋体"/>
                <w:b/>
                <w:color w:val="000000"/>
              </w:rPr>
              <w:t xml:space="preserve">分值</w:t>
            </w:r>
            <w:r/>
          </w:p>
        </w:tc>
        <w:tc>
          <w:tcPr>
            <w:tcBorders>
              <w:top w:val="single" w:color="auto" w:sz="12"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center"/>
              <w:rPr>
                <w:rFonts w:ascii="宋体"/>
                <w:b/>
              </w:rPr>
            </w:pPr>
            <w:r>
              <w:rPr>
                <w:rFonts w:ascii="宋体" w:hAnsi="宋体" w:cs="宋体"/>
                <w:b/>
                <w:color w:val="000000"/>
              </w:rPr>
              <w:t xml:space="preserve">评分标准</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投标报价</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35</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b/>
                <w:color w:val="000000"/>
              </w:rPr>
              <w:t xml:space="preserve">投标最低报价为评标基准价</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：满足招标文件要求且投标价格最低的投标报价为评标基准价，其价格分为满分。其他投标人的价格分统一按照下列公式计算：投标报价得分=(评标基准价/投标报价)×35。</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技术参数</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27</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满足招标文件规定的全部技术参数指标要求的，此项得27分；技术参数指标带▲号指标为重要参数，如有负偏离，每一项扣5分，其他技术参数有负偏离的，每一项扣减</w:t>
            </w:r>
            <w:r>
              <w:rPr>
                <w:rFonts w:hint="eastAsia" w:ascii="宋体" w:hAnsi="宋体" w:cs="宋体"/>
                <w:color w:val="000000"/>
              </w:rPr>
              <w:t xml:space="preserve">2</w:t>
            </w:r>
            <w:r>
              <w:rPr>
                <w:rFonts w:ascii="宋体" w:hAnsi="宋体" w:cs="宋体"/>
                <w:color w:val="000000"/>
              </w:rPr>
              <w:t xml:space="preserve">分。技术参数中要求提供证明材料的，应提供加盖投标人公章的响应佐证资料（佐证材料包含产品官网截图、产品功能截图、白皮书、产品彩页、产品手册、检测报告等。）。</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案例</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4</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提供投标人2023年7月1日起与本项目类似内容的网络建设成功案例，每提供一个得1分，最多得4分。（注：须同时提供项目业绩的中标/成交通知书、合同复印件为评审依据。）。</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投标人资质</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4</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color w:val="auto"/>
              </w:rPr>
            </w:pPr>
            <w:r>
              <w:rPr>
                <w:rFonts w:ascii="宋体" w:hAnsi="宋体" w:cs="宋体"/>
                <w:color w:val="auto"/>
              </w:rPr>
              <w:t xml:space="preserve">1. 投标人具有 CCRC 信息系统安全集成服务资质，一级得2分，二级得1分；或具有信息系统建设和服务能力证书，CS3 级及以上得 2 分，CS2 级得 1分。</w:t>
            </w:r>
            <w:r>
              <w:rPr>
                <w:rFonts w:ascii="宋体" w:hAnsi="宋体" w:cs="宋体"/>
                <w:b/>
                <w:bCs/>
                <w:color w:val="auto"/>
              </w:rPr>
              <w:t xml:space="preserve">以上两项就高不就低，不累计计分</w:t>
            </w:r>
            <w:r>
              <w:rPr>
                <w:rFonts w:ascii="宋体" w:hAnsi="宋体" w:cs="宋体"/>
                <w:color w:val="auto"/>
              </w:rPr>
              <w:t xml:space="preserve">。不提供不得分。 </w:t>
            </w:r>
            <w:r/>
          </w:p>
          <w:p>
            <w:pPr>
              <w:jc w:val="left"/>
              <w:rPr>
                <w:rFonts w:ascii="宋体" w:hAnsi="宋体" w:cs="宋体"/>
                <w:color w:val="auto"/>
              </w:rPr>
            </w:pPr>
            <w:r>
              <w:rPr>
                <w:rFonts w:ascii="宋体" w:hAnsi="宋体" w:cs="宋体"/>
                <w:color w:val="auto"/>
              </w:rPr>
              <w:t xml:space="preserve">2.投标人具有ITSS信息技术服务运行维护标准符合性证书(成熟度贰级及以上)得2分，不提供不得分。本项满分4分，各项累计超过4分的按4分计。</w:t>
            </w:r>
            <w:r/>
          </w:p>
          <w:p>
            <w:pPr>
              <w:jc w:val="left"/>
              <w:rPr>
                <w:rFonts w:ascii="宋体"/>
                <w:color w:val="auto"/>
              </w:rPr>
            </w:pPr>
            <w:r>
              <w:rPr>
                <w:rFonts w:ascii="宋体" w:hAnsi="宋体" w:cs="宋体"/>
                <w:color w:val="auto"/>
              </w:rPr>
              <w:t xml:space="preserve">以上证明材料须提供证书复印件并加盖公章，不提供不得分。</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团队实力</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12</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color w:val="auto"/>
              </w:rPr>
            </w:pPr>
            <w:r>
              <w:rPr>
                <w:rFonts w:ascii="宋体" w:hAnsi="宋体" w:cs="宋体"/>
                <w:color w:val="auto"/>
              </w:rPr>
              <w:t xml:space="preserve">1.项目负责人（仅限一人）</w:t>
            </w:r>
            <w:r/>
          </w:p>
          <w:p>
            <w:pPr>
              <w:jc w:val="left"/>
              <w:rPr>
                <w:rFonts w:ascii="宋体"/>
                <w:color w:val="auto"/>
                <w:sz w:val="21"/>
                <w:szCs w:val="21"/>
              </w:rPr>
            </w:pPr>
            <w:r>
              <w:rPr>
                <w:rFonts w:ascii="宋体" w:hAnsi="宋体" w:cs="宋体"/>
                <w:color w:val="auto"/>
              </w:rPr>
              <w:t xml:space="preserve">投标人拟派项目负责人需具有</w:t>
            </w:r>
            <w:r>
              <w:rPr>
                <w:rFonts w:hint="eastAsia"/>
                <w:color w:val="auto"/>
              </w:rPr>
              <w:t xml:space="preserve">信息系统项目管理师（高级）国家软考证书</w:t>
            </w:r>
            <w:r>
              <w:rPr>
                <w:rFonts w:ascii="宋体" w:hAnsi="宋体" w:cs="宋体"/>
                <w:color w:val="auto"/>
              </w:rPr>
              <w:t xml:space="preserve">、IT服务项目经理、高级工程师、CISP注册信息安全专业人</w:t>
            </w:r>
            <w:r>
              <w:rPr>
                <w:rFonts w:ascii="宋体" w:hAnsi="宋体" w:cs="宋体"/>
                <w:color w:val="auto"/>
                <w:sz w:val="21"/>
                <w:szCs w:val="21"/>
              </w:rPr>
              <w:t xml:space="preserve">员证书</w:t>
            </w:r>
            <w:r>
              <w:rPr>
                <w:rFonts w:hint="eastAsia" w:ascii="宋体" w:hAnsi="宋体" w:cs="宋体"/>
                <w:color w:val="auto"/>
                <w:sz w:val="21"/>
                <w:szCs w:val="21"/>
                <w:lang w:eastAsia="zh-CN"/>
              </w:rPr>
              <w:t xml:space="preserve">，</w:t>
            </w:r>
            <w:r>
              <w:rPr>
                <w:rFonts w:ascii="宋体" w:hAnsi="宋体" w:cs="宋体"/>
                <w:color w:val="auto"/>
                <w:sz w:val="21"/>
                <w:szCs w:val="21"/>
              </w:rPr>
              <w:t xml:space="preserve">每提供一项得 1 分，最高得 4 分。</w:t>
            </w:r>
            <w:r/>
          </w:p>
          <w:p>
            <w:pPr>
              <w:jc w:val="left"/>
              <w:rPr>
                <w:rFonts w:ascii="宋体"/>
                <w:color w:val="auto"/>
              </w:rPr>
            </w:pPr>
            <w:r>
              <w:rPr>
                <w:rFonts w:ascii="宋体" w:hAnsi="宋体" w:cs="宋体"/>
                <w:color w:val="auto"/>
              </w:rPr>
              <w:t xml:space="preserve">2.项目技术负责人（仅限一人且与项目负责人不为同一人）</w:t>
            </w:r>
            <w:r/>
          </w:p>
          <w:p>
            <w:pPr>
              <w:jc w:val="left"/>
              <w:rPr>
                <w:rFonts w:ascii="宋体"/>
                <w:color w:val="auto"/>
                <w:sz w:val="21"/>
                <w:szCs w:val="21"/>
              </w:rPr>
            </w:pPr>
            <w:r>
              <w:rPr>
                <w:rFonts w:ascii="宋体" w:hAnsi="宋体" w:cs="宋体"/>
                <w:color w:val="auto"/>
              </w:rPr>
              <w:t xml:space="preserve">投标人拟派项目技术负责人需具有网络</w:t>
            </w:r>
            <w:r>
              <w:rPr>
                <w:rFonts w:ascii="宋体" w:hAnsi="宋体" w:cs="宋体"/>
                <w:color w:val="auto"/>
                <w:sz w:val="21"/>
                <w:szCs w:val="21"/>
              </w:rPr>
              <w:t xml:space="preserve">安全能力认证I级、系统集成项目管理工程师、IT服务项目经理、高级工程师证书，每提供一项得 1 分，最高得 4 分。</w:t>
            </w:r>
            <w:r/>
          </w:p>
          <w:p>
            <w:pPr>
              <w:jc w:val="left"/>
              <w:rPr>
                <w:rFonts w:ascii="宋体"/>
                <w:color w:val="auto"/>
              </w:rPr>
            </w:pPr>
            <w:r>
              <w:rPr>
                <w:rFonts w:ascii="宋体" w:hAnsi="宋体" w:cs="宋体"/>
                <w:color w:val="auto"/>
              </w:rPr>
              <w:t xml:space="preserve">3.项目组成员（不包含项目负责人与技术负责人）</w:t>
            </w:r>
            <w:r/>
          </w:p>
          <w:p>
            <w:pPr>
              <w:jc w:val="left"/>
              <w:rPr>
                <w:rFonts w:ascii="宋体"/>
                <w:color w:val="auto"/>
              </w:rPr>
            </w:pPr>
            <w:r>
              <w:rPr>
                <w:rFonts w:ascii="宋体" w:hAnsi="宋体" w:cs="宋体"/>
                <w:color w:val="auto"/>
              </w:rPr>
              <w:t xml:space="preserve">投入人员中拟派项目组成员具有高级工程师（通信工程）、网络规划设计师、网络工程师、CISP注册信息安全专业人</w:t>
            </w:r>
            <w:r>
              <w:rPr>
                <w:rFonts w:ascii="宋体" w:hAnsi="宋体" w:cs="宋体"/>
                <w:color w:val="auto"/>
                <w:sz w:val="21"/>
                <w:szCs w:val="21"/>
              </w:rPr>
              <w:t xml:space="preserve">员</w:t>
            </w:r>
            <w:r>
              <w:rPr>
                <w:rFonts w:hint="eastAsia" w:ascii="宋体" w:hAnsi="宋体" w:cs="宋体"/>
                <w:color w:val="auto"/>
                <w:sz w:val="21"/>
                <w:szCs w:val="21"/>
                <w:lang w:eastAsia="zh-CN"/>
              </w:rPr>
              <w:t xml:space="preserve">、</w:t>
            </w:r>
            <w:r>
              <w:rPr>
                <w:rFonts w:hint="eastAsia" w:ascii="宋体" w:hAnsi="宋体" w:eastAsia="宋体" w:cs="宋体"/>
                <w:i w:val="0"/>
                <w:iCs w:val="0"/>
                <w:color w:val="auto"/>
                <w:sz w:val="21"/>
                <w:szCs w:val="21"/>
                <w:u w:val="none"/>
                <w:lang w:val="en-US" w:eastAsia="zh-CN" w:bidi="ar"/>
              </w:rPr>
              <w:t xml:space="preserve">IT服务工程师</w:t>
            </w:r>
            <w:r>
              <w:rPr>
                <w:rFonts w:ascii="宋体" w:hAnsi="宋体" w:cs="宋体"/>
                <w:color w:val="auto"/>
                <w:sz w:val="21"/>
                <w:szCs w:val="21"/>
              </w:rPr>
              <w:t xml:space="preserve">证</w:t>
            </w:r>
            <w:r>
              <w:rPr>
                <w:rFonts w:ascii="宋体" w:hAnsi="宋体" w:cs="宋体"/>
                <w:color w:val="auto"/>
              </w:rPr>
              <w:t xml:space="preserve">书，每提供一个得</w:t>
            </w:r>
            <w:r>
              <w:rPr>
                <w:rFonts w:hint="eastAsia" w:ascii="宋体" w:hAnsi="宋体" w:cs="宋体"/>
                <w:color w:val="auto"/>
                <w:lang w:val="en-US" w:eastAsia="zh-CN"/>
              </w:rPr>
              <w:t xml:space="preserve">0.8</w:t>
            </w:r>
            <w:r>
              <w:rPr>
                <w:rFonts w:ascii="宋体" w:hAnsi="宋体" w:cs="宋体"/>
                <w:color w:val="auto"/>
              </w:rPr>
              <w:t xml:space="preserve">分，最多得 4 分。(同一种证书不重复计分，一人多证不重复计分)</w:t>
            </w:r>
            <w:r/>
          </w:p>
          <w:p>
            <w:pPr>
              <w:jc w:val="left"/>
              <w:rPr>
                <w:rFonts w:ascii="宋体"/>
                <w:color w:val="auto"/>
              </w:rPr>
            </w:pPr>
            <w:r>
              <w:rPr>
                <w:rFonts w:ascii="宋体" w:hAnsi="宋体" w:cs="宋体"/>
                <w:color w:val="auto"/>
              </w:rPr>
              <w:t xml:space="preserve">说明：提供证书复印件加盖公章并提供社保机构出具开标前六个月内任意</w:t>
            </w:r>
            <w:r>
              <w:rPr>
                <w:rFonts w:hint="eastAsia" w:ascii="宋体" w:hAnsi="宋体" w:cs="宋体"/>
                <w:color w:val="auto"/>
              </w:rPr>
              <w:t xml:space="preserve">一</w:t>
            </w:r>
            <w:r>
              <w:rPr>
                <w:rFonts w:ascii="宋体" w:hAnsi="宋体" w:cs="宋体"/>
                <w:color w:val="auto"/>
              </w:rPr>
              <w:t xml:space="preserve">个月投标人为项目组成员缴纳的社保缴费清单材料，加盖社保机构公章或社保中心参保缴费证明电子专用章(具有可验证的二维码或验证码)。</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技术方案</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投标人应根据项目需求提供完整技术方案以及根据方案特点自行设计相应的整体规划、网络架构、系统图、点位规划及与现网对接等方面，应能充分体现采购人的需求、思路，方案能做到充分兼容、简单易用、系统稳定、细节完善。根据各投标人方案合理性进行打分：技术方案合理详细，考虑全面5分；技术方案一般得3分；较差得1分；未提供不得分。</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实施方案</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提供的实施方案包括项目组织管理、项目培训、项目实施进度计划等进行评审：实施方案内容完整、详细、表述清晰、科学合理、切实可行，得5分；实施方案内容一般得3分；较差得1分；未提供不得分。</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售后服务方案</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5</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为本项目提供的售后服务方案，售后服务方案内容包括详细切实可行的服务人员安排、售后服务响应标准、质保期内巡检措施、故障解决方案及质保期外可提供的措施等，方案科学合理、完整、切实可行、有针对性、可操作性强得5分；基本满足要求的得3分；较差得1分；未提供不得分。</w:t>
            </w:r>
            <w:r/>
          </w:p>
        </w:tc>
      </w:tr>
      <w:tr>
        <w:trPr>
          <w:jc w:val="center"/>
        </w:trPr>
        <w:tc>
          <w:tcPr>
            <w:tcBorders>
              <w:top w:val="single" w:color="auto" w:sz="4" w:space="0"/>
              <w:left w:val="single" w:color="auto"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jc w:val="center"/>
              <w:rPr>
                <w:rFonts w:ascii="宋体"/>
              </w:rPr>
            </w:pPr>
            <w:r>
              <w:rPr>
                <w:rFonts w:ascii="宋体" w:hAnsi="宋体" w:cs="宋体"/>
                <w:color w:val="000000"/>
              </w:rPr>
              <w:t xml:space="preserve">培训方案</w:t>
            </w:r>
            <w:r/>
          </w:p>
        </w:tc>
        <w:tc>
          <w:tcPr>
            <w:tcBorders>
              <w:top w:val="single" w:color="auto" w:sz="4" w:space="0"/>
              <w:left w:val="single" w:color="auto"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jc w:val="center"/>
              <w:rPr>
                <w:rFonts w:ascii="宋体"/>
              </w:rPr>
            </w:pPr>
            <w:r>
              <w:rPr>
                <w:rFonts w:ascii="宋体" w:hAnsi="宋体" w:cs="宋体"/>
                <w:color w:val="000000"/>
              </w:rPr>
              <w:t xml:space="preserve">3</w:t>
            </w:r>
            <w:r/>
          </w:p>
        </w:tc>
        <w:tc>
          <w:tcPr>
            <w:tcBorders>
              <w:top w:val="single" w:color="auto" w:sz="4" w:space="0"/>
              <w:left w:val="single" w:color="auto" w:sz="4" w:space="0"/>
              <w:bottom w:val="none" w:color="000000" w:sz="4" w:space="0"/>
              <w:right w:val="single" w:color="auto" w:sz="12" w:space="0"/>
            </w:tcBorders>
            <w:tcMar>
              <w:left w:w="20" w:type="dxa"/>
              <w:top w:w="20" w:type="dxa"/>
              <w:right w:w="20" w:type="dxa"/>
              <w:bottom w:w="20" w:type="dxa"/>
            </w:tcMar>
            <w:tcW w:w="7361" w:type="dxa"/>
            <w:vAlign w:val="center"/>
            <w:textDirection w:val="lrTb"/>
            <w:noWrap w:val="false"/>
          </w:tcPr>
          <w:p>
            <w:pPr>
              <w:jc w:val="left"/>
              <w:rPr>
                <w:rFonts w:ascii="宋体"/>
              </w:rPr>
            </w:pPr>
            <w:r>
              <w:rPr>
                <w:rFonts w:ascii="宋体" w:hAnsi="宋体" w:cs="宋体"/>
                <w:color w:val="000000"/>
              </w:rPr>
              <w:t xml:space="preserve">根据投标人为本项目提供的培训方案，培训方案内容包括详细切实可行的培训人员安排、培训目的、培训对象、培训方式、培训内容等，方案科学合理、完整、切实可行、有针对性、可操作性强得3分；基本满足要求的得2分；较差得1分；未提供不得分。</w:t>
            </w:r>
            <w:r/>
          </w:p>
        </w:tc>
      </w:tr>
      <w:tr>
        <w:trPr>
          <w:jc w:val="center"/>
        </w:trPr>
        <w:tc>
          <w:tcPr>
            <w:tcBorders>
              <w:top w:val="single" w:color="auto" w:sz="4" w:space="0"/>
              <w:left w:val="single" w:color="auto" w:sz="12" w:space="0"/>
              <w:bottom w:val="single" w:color="auto" w:sz="12" w:space="0"/>
              <w:right w:val="none" w:color="000000" w:sz="4" w:space="0"/>
            </w:tcBorders>
            <w:tcMar>
              <w:left w:w="20" w:type="dxa"/>
              <w:top w:w="20" w:type="dxa"/>
              <w:right w:w="20" w:type="dxa"/>
              <w:bottom w:w="20" w:type="dxa"/>
            </w:tcMar>
            <w:tcW w:w="1491" w:type="dxa"/>
            <w:vAlign w:val="center"/>
            <w:textDirection w:val="lrTb"/>
            <w:noWrap w:val="false"/>
          </w:tcPr>
          <w:p>
            <w:pPr>
              <w:jc w:val="center"/>
            </w:pPr>
            <w:r/>
            <w:r/>
          </w:p>
        </w:tc>
        <w:tc>
          <w:tcPr>
            <w:tcBorders>
              <w:top w:val="single" w:color="auto" w:sz="4" w:space="0"/>
              <w:left w:val="single" w:color="auto" w:sz="4" w:space="0"/>
              <w:bottom w:val="single" w:color="auto" w:sz="12" w:space="0"/>
              <w:right w:val="none" w:color="000000" w:sz="4" w:space="0"/>
            </w:tcBorders>
            <w:tcMar>
              <w:left w:w="20" w:type="dxa"/>
              <w:top w:w="20" w:type="dxa"/>
              <w:right w:w="20" w:type="dxa"/>
              <w:bottom w:w="20" w:type="dxa"/>
            </w:tcMar>
            <w:tcW w:w="652" w:type="dxa"/>
            <w:vAlign w:val="center"/>
            <w:textDirection w:val="lrTb"/>
            <w:noWrap w:val="false"/>
          </w:tcPr>
          <w:p>
            <w:pPr>
              <w:jc w:val="center"/>
            </w:pPr>
            <w:r/>
            <w:r/>
          </w:p>
        </w:tc>
        <w:tc>
          <w:tcPr>
            <w:tcBorders>
              <w:top w:val="single" w:color="auto" w:sz="4" w:space="0"/>
              <w:left w:val="single" w:color="auto" w:sz="4" w:space="0"/>
              <w:bottom w:val="single" w:color="auto" w:sz="12" w:space="0"/>
              <w:right w:val="single" w:color="auto" w:sz="12" w:space="0"/>
            </w:tcBorders>
            <w:tcMar>
              <w:left w:w="20" w:type="dxa"/>
              <w:top w:w="20" w:type="dxa"/>
              <w:right w:w="20" w:type="dxa"/>
              <w:bottom w:w="20" w:type="dxa"/>
            </w:tcMar>
            <w:tcW w:w="7361" w:type="dxa"/>
            <w:vAlign w:val="center"/>
            <w:textDirection w:val="lrTb"/>
            <w:noWrap w:val="false"/>
          </w:tcPr>
          <w:p>
            <w:pPr>
              <w:jc w:val="center"/>
            </w:pPr>
            <w:r/>
            <w:r/>
          </w:p>
        </w:tc>
      </w:tr>
    </w:tbl>
    <w:p>
      <w:pPr>
        <w:pStyle w:val="981"/>
        <w:ind w:firstLine="0"/>
        <w:rPr>
          <w:rFonts w:ascii="宋体" w:hAnsi="宋体" w:cs="宋体"/>
          <w:spacing w:val="8"/>
          <w:szCs w:val="21"/>
        </w:rPr>
      </w:pPr>
      <w:r>
        <w:rPr>
          <w:rFonts w:ascii="宋体" w:hAnsi="宋体" w:cs="宋体"/>
          <w:spacing w:val="8"/>
          <w:szCs w:val="21"/>
        </w:rPr>
      </w:r>
      <w:r/>
    </w:p>
    <w:p>
      <w:pPr>
        <w:ind w:firstLine="420"/>
        <w:spacing w:line="360" w:lineRule="auto"/>
        <w:rPr>
          <w:rFonts w:ascii="Arial" w:hAnsi="Arial" w:cs="Arial"/>
          <w:bCs/>
        </w:rPr>
      </w:pPr>
      <w:r>
        <w:rPr>
          <w:rFonts w:hint="eastAsia" w:ascii="Arial" w:hAnsi="Arial" w:cs="Arial"/>
          <w:bCs/>
        </w:rPr>
        <w:t xml:space="preserve">说明：</w:t>
      </w:r>
      <w:r/>
    </w:p>
    <w:p>
      <w:pPr>
        <w:ind w:firstLine="420"/>
        <w:spacing w:line="360" w:lineRule="auto"/>
        <w:rPr>
          <w:rFonts w:ascii="Arial" w:hAnsi="Arial" w:cs="Arial"/>
          <w:bCs/>
        </w:rPr>
      </w:pPr>
      <w:r>
        <w:rPr>
          <w:rFonts w:hint="eastAsia" w:ascii="Arial" w:hAnsi="Arial" w:cs="Arial"/>
          <w:bCs/>
        </w:rPr>
        <w:t xml:space="preserve">1.所有认证、证明和业绩均以有效清晰的证明文件的复印件为依据，原件备查。</w:t>
      </w:r>
      <w:r/>
    </w:p>
    <w:p>
      <w:pPr>
        <w:ind w:firstLine="420"/>
        <w:spacing w:line="360" w:lineRule="auto"/>
        <w:rPr>
          <w:rFonts w:ascii="Arial" w:hAnsi="Arial" w:cs="Arial"/>
          <w:bCs/>
        </w:rPr>
      </w:pPr>
      <w:r>
        <w:rPr>
          <w:rFonts w:hint="eastAsia" w:ascii="Arial" w:hAnsi="Arial" w:cs="Arial"/>
          <w:bCs/>
        </w:rPr>
        <w:t xml:space="preserve">2.小微企业价格扣除</w:t>
      </w:r>
      <w:r/>
    </w:p>
    <w:p>
      <w:pPr>
        <w:ind w:firstLine="420"/>
        <w:spacing w:line="360" w:lineRule="auto"/>
        <w:rPr>
          <w:rFonts w:ascii="Arial" w:hAnsi="Arial" w:cs="Arial"/>
          <w:bCs/>
        </w:rPr>
      </w:pPr>
      <w:r>
        <w:rPr>
          <w:rFonts w:hint="eastAsia" w:ascii="Arial" w:hAnsi="Arial" w:cs="Arial"/>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rPr>
      </w:pPr>
      <w:r>
        <w:rPr>
          <w:rFonts w:hint="eastAsia" w:ascii="Arial" w:hAnsi="Arial" w:cs="Arial"/>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rPr>
      </w:pPr>
      <w:r>
        <w:rPr>
          <w:rFonts w:hint="eastAsia" w:ascii="Arial" w:hAnsi="Arial" w:cs="Arial"/>
          <w:bCs/>
        </w:rPr>
        <w:t xml:space="preserve">3.监狱和戒毒企业的价格扣除</w:t>
      </w:r>
      <w:r/>
    </w:p>
    <w:p>
      <w:pPr>
        <w:ind w:firstLine="420"/>
        <w:spacing w:line="360" w:lineRule="auto"/>
        <w:rPr>
          <w:rFonts w:ascii="Arial" w:hAnsi="Arial" w:cs="Arial"/>
          <w:bCs/>
        </w:rPr>
      </w:pPr>
      <w:r>
        <w:rPr>
          <w:rFonts w:hint="eastAsia" w:ascii="Arial" w:hAnsi="Arial" w:cs="Arial"/>
          <w:bCs/>
        </w:rPr>
        <w:t xml:space="preserve">3.1 本项目对监狱和戒毒企业，给予10%的价格扣除，用扣除后的价格参与评审。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rPr>
      </w:pPr>
      <w:r>
        <w:rPr>
          <w:rFonts w:hint="eastAsia" w:ascii="Arial" w:hAnsi="Arial" w:cs="Arial"/>
          <w:bCs/>
        </w:rPr>
        <w:t xml:space="preserve">3.3 监狱企业标准请参照《关于政府采购支持监狱企业发展有关问题的通知》（财库〔2014〕68号）。</w:t>
      </w:r>
      <w:r/>
    </w:p>
    <w:p>
      <w:pPr>
        <w:ind w:firstLine="420"/>
        <w:spacing w:line="360" w:lineRule="auto"/>
        <w:rPr>
          <w:rFonts w:ascii="Arial" w:hAnsi="Arial" w:cs="Arial"/>
          <w:bCs/>
        </w:rPr>
      </w:pPr>
      <w:r>
        <w:rPr>
          <w:rFonts w:hint="eastAsia" w:ascii="Arial" w:hAnsi="Arial" w:cs="Arial"/>
          <w:bCs/>
        </w:rPr>
        <w:t xml:space="preserve">4.残疾人福利性单位的价格扣除</w:t>
      </w:r>
      <w:r/>
    </w:p>
    <w:p>
      <w:pPr>
        <w:ind w:firstLine="420"/>
        <w:spacing w:line="360" w:lineRule="auto"/>
        <w:rPr>
          <w:rFonts w:ascii="Arial" w:hAnsi="Arial" w:cs="Arial"/>
          <w:bCs/>
        </w:rPr>
      </w:pPr>
      <w:r>
        <w:rPr>
          <w:rFonts w:hint="eastAsia" w:ascii="Arial" w:hAnsi="Arial" w:cs="Arial"/>
          <w:bCs/>
        </w:rPr>
        <w:t xml:space="preserve">4.1 本项目对残疾人福利性单位，给予10%的价格扣除，用扣除后的价格参与评审。</w:t>
      </w:r>
      <w:r/>
    </w:p>
    <w:p>
      <w:pPr>
        <w:ind w:firstLine="420"/>
        <w:spacing w:line="360" w:lineRule="auto"/>
        <w:rPr>
          <w:rFonts w:ascii="Arial" w:hAnsi="Arial" w:cs="Arial"/>
          <w:bCs/>
        </w:rPr>
      </w:pPr>
      <w:r>
        <w:rPr>
          <w:rFonts w:hint="eastAsia" w:ascii="Arial" w:hAnsi="Arial" w:cs="Arial"/>
          <w:bCs/>
        </w:rPr>
        <w:t xml:space="preserve">4.2 残疾人福利性单位需提供《残疾人福利性单位声明函》。</w:t>
      </w:r>
      <w:r/>
    </w:p>
    <w:p>
      <w:pPr>
        <w:ind w:firstLine="420"/>
        <w:spacing w:line="360" w:lineRule="auto"/>
        <w:rPr>
          <w:rFonts w:ascii="Arial" w:hAnsi="Arial" w:cs="Arial"/>
          <w:bCs/>
        </w:rPr>
      </w:pPr>
      <w:r>
        <w:rPr>
          <w:rFonts w:hint="eastAsia" w:ascii="Arial" w:hAnsi="Arial" w:cs="Arial"/>
          <w:bCs/>
        </w:rPr>
        <w:t xml:space="preserve">4.3 残疾人福利性单位标准请参照《关于促进残疾人就业政府采购政策的通知》（财库〔2017〕141号）。</w:t>
      </w:r>
      <w:r/>
    </w:p>
    <w:p>
      <w:pPr>
        <w:ind w:firstLine="420"/>
        <w:spacing w:line="360" w:lineRule="auto"/>
        <w:rPr>
          <w:rFonts w:ascii="Arial" w:hAnsi="Arial" w:cs="Arial"/>
          <w:bCs/>
        </w:rPr>
      </w:pPr>
      <w:r>
        <w:rPr>
          <w:rFonts w:hint="eastAsia" w:ascii="Arial" w:hAnsi="Arial" w:cs="Arial"/>
          <w:bCs/>
        </w:rPr>
        <w:t xml:space="preserve">5.监狱企业、残疾人福利性单位属于小型、微型企业的，不重复享受政策。</w:t>
      </w:r>
      <w:r/>
    </w:p>
    <w:p>
      <w:pPr>
        <w:ind w:left="420"/>
        <w:spacing w:line="360" w:lineRule="auto"/>
        <w:rPr>
          <w:rFonts w:ascii="Arial" w:hAnsi="Arial" w:cs="Arial"/>
          <w:bCs/>
        </w:rPr>
      </w:pPr>
      <w:r>
        <w:rPr>
          <w:rFonts w:hint="eastAsia" w:ascii="Arial" w:hAnsi="Arial" w:cs="Arial"/>
          <w:bCs/>
        </w:rPr>
        <w:t xml:space="preserve">6.本国产品的价格扣除</w:t>
      </w:r>
      <w:r/>
    </w:p>
    <w:p>
      <w:pPr>
        <w:ind w:firstLine="420"/>
        <w:spacing w:line="360" w:lineRule="auto"/>
        <w:rPr>
          <w:rFonts w:ascii="Arial" w:hAnsi="Arial" w:cs="Arial"/>
          <w:bCs/>
        </w:rPr>
      </w:pPr>
      <w:r>
        <w:rPr>
          <w:rFonts w:hint="eastAsia" w:ascii="Arial" w:hAnsi="Arial" w:cs="Arial"/>
          <w:bCs/>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Arial" w:hAnsi="Arial" w:cs="Arial"/>
          <w:bCs/>
        </w:rPr>
      </w:pPr>
      <w:r>
        <w:rPr>
          <w:rFonts w:hint="eastAsia" w:ascii="Arial" w:hAnsi="Arial" w:cs="Arial"/>
          <w:bCs/>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sz w:val="32"/>
          <w:szCs w:val="44"/>
        </w:rPr>
      </w:pPr>
      <w:r>
        <w:rPr>
          <w:rFonts w:hint="eastAsia" w:ascii="Arial" w:hAnsi="Arial" w:cs="Arial"/>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rPr>
        <w:br w:type="page" w:clear="all"/>
      </w:r>
      <w:r/>
    </w:p>
    <w:p>
      <w:pPr>
        <w:pStyle w:val="912"/>
        <w:numPr>
          <w:ilvl w:val="0"/>
          <w:numId w:val="0"/>
        </w:numPr>
        <w:spacing w:before="0" w:after="0" w:line="240" w:lineRule="auto"/>
        <w:rPr>
          <w:rFonts w:ascii="宋体" w:hAnsi="宋体" w:cs="宋体"/>
        </w:rPr>
      </w:pPr>
      <w:r/>
      <w:bookmarkStart w:id="12" w:name="_Toc8882"/>
      <w:r/>
      <w:bookmarkStart w:id="13" w:name="_Toc15774"/>
      <w:r>
        <w:rPr>
          <w:rFonts w:hint="eastAsia" w:ascii="Arial" w:hAnsi="Arial" w:cs="Arial"/>
        </w:rPr>
        <w:t xml:space="preserve">第四章采购需求</w:t>
      </w:r>
      <w:bookmarkEnd w:id="12"/>
      <w:r/>
      <w:bookmarkEnd w:id="13"/>
      <w:r/>
      <w:bookmarkStart w:id="14" w:name="_Toc481057147"/>
      <w:r/>
      <w:bookmarkEnd w:id="14"/>
      <w:r/>
      <w:r/>
    </w:p>
    <w:p>
      <w:pPr>
        <w:jc w:val="left"/>
        <w:spacing w:before="315" w:after="150" w:line="378" w:lineRule="exact"/>
      </w:pPr>
      <w:r/>
      <w:bookmarkStart w:id="15" w:name="_Toc9411"/>
      <w:r>
        <w:rPr>
          <w:rFonts w:ascii="宋体" w:hAnsi="宋体" w:cs="宋体"/>
          <w:b/>
          <w:color w:val="000000"/>
        </w:rPr>
        <w:t xml:space="preserve">一、项目概况</w:t>
      </w:r>
      <w:r/>
    </w:p>
    <w:p>
      <w:pPr>
        <w:ind w:firstLine="210"/>
        <w:jc w:val="left"/>
        <w:spacing w:line="378" w:lineRule="exact"/>
      </w:pPr>
      <w:r>
        <w:rPr>
          <w:rFonts w:ascii="宋体" w:hAnsi="宋体" w:cs="宋体"/>
          <w:color w:val="000000"/>
        </w:rPr>
        <w:t xml:space="preserve"> 南京艺术学院校园光网升级改造（二期）项目，主要任务完成现行向光网络的升级工作，主要建设包括核心网络的光网升级及部分接入区域的光网改造，最终形成一张承载各业务运行的、稳定、先进、安全、统一运维管理“一张网”。</w:t>
      </w:r>
      <w:r/>
    </w:p>
    <w:p>
      <w:pPr>
        <w:jc w:val="left"/>
        <w:spacing w:before="315" w:after="150" w:line="378" w:lineRule="exact"/>
      </w:pPr>
      <w:r>
        <w:rPr>
          <w:rFonts w:ascii="宋体" w:hAnsi="宋体" w:cs="宋体"/>
          <w:b/>
          <w:color w:val="000000"/>
        </w:rPr>
        <w:t xml:space="preserve">二、建设总体目标</w:t>
      </w:r>
      <w:r/>
    </w:p>
    <w:p>
      <w:pPr>
        <w:ind w:firstLine="210"/>
        <w:jc w:val="left"/>
        <w:spacing w:line="378" w:lineRule="exact"/>
      </w:pPr>
      <w:r>
        <w:rPr>
          <w:rFonts w:ascii="宋体" w:hAnsi="宋体" w:cs="宋体"/>
          <w:color w:val="000000"/>
        </w:rPr>
        <w:t xml:space="preserve"> 从传统以太网络改造成光网络，拓宽学校内部网络带宽及功能，使之可承载更多业务类型。升级校无线网络给全校师生更快更稳定的上网体验并提高网络的覆盖率达到全校覆盖无缝漫游。</w:t>
      </w:r>
      <w:r/>
    </w:p>
    <w:p>
      <w:pPr>
        <w:ind w:firstLine="210"/>
        <w:jc w:val="left"/>
        <w:spacing w:line="378" w:lineRule="exact"/>
      </w:pPr>
      <w:r>
        <w:rPr>
          <w:rFonts w:ascii="宋体" w:hAnsi="宋体" w:cs="宋体"/>
          <w:color w:val="000000"/>
        </w:rPr>
        <w:t xml:space="preserve"> 高度融合全校专网（如：有线无线网络、数据中心网络，监控网络、智慧教室网络、一卡通、物联网络、5G专网）形成一套物理统一虚拟隔离的多网融合的光网络。改造将杜绝学校各专网基础线路重复建设问题，有效降低整体网络线路的运营维护成本。</w:t>
      </w:r>
      <w:r/>
    </w:p>
    <w:p>
      <w:pPr>
        <w:ind w:firstLine="210"/>
        <w:jc w:val="left"/>
        <w:spacing w:line="378" w:lineRule="exact"/>
      </w:pPr>
      <w:r>
        <w:rPr>
          <w:rFonts w:ascii="宋体" w:hAnsi="宋体" w:cs="宋体"/>
          <w:color w:val="000000"/>
        </w:rPr>
        <w:t xml:space="preserve"> 智慧运营平台升级，基于AI完成IT资源的分配与调度、监控与测量、分析与展现。精准定位故障源、IP地址、子网、终端、设备配置、IT资产、机房与综合布线的智能化统一管理。</w:t>
      </w:r>
      <w:r/>
    </w:p>
    <w:p>
      <w:pPr>
        <w:ind w:firstLine="210"/>
        <w:jc w:val="left"/>
        <w:spacing w:line="378" w:lineRule="exact"/>
      </w:pPr>
      <w:r>
        <w:rPr>
          <w:rFonts w:ascii="宋体" w:hAnsi="宋体" w:cs="宋体"/>
          <w:color w:val="000000"/>
        </w:rPr>
        <w:t xml:space="preserve"> 要有完善的建设改造方案及应急方案，确保在改造期间不断网，校园关键应用服务正常。</w:t>
      </w:r>
      <w:r/>
    </w:p>
    <w:p>
      <w:pPr>
        <w:ind w:firstLine="210"/>
        <w:jc w:val="left"/>
        <w:spacing w:line="378" w:lineRule="exact"/>
      </w:pPr>
      <w:r>
        <w:rPr>
          <w:rFonts w:ascii="宋体" w:hAnsi="宋体" w:cs="宋体"/>
          <w:color w:val="000000"/>
        </w:rPr>
        <w:t xml:space="preserve"> 本项目为“交钥匙”项目，投标人需充分考虑理解本项目的建设，内容包括但不限于:招标文件的要求。所提供的项目设备数量不够的、设备技术参数中如未明确说明，但可以推断是整个光网运行时不可缺少或必需的配套设备、组件和工作，投标人所产生的费用均包含在项目总价中，甲方不予额外增加费用。</w:t>
      </w:r>
      <w:r/>
    </w:p>
    <w:p>
      <w:pPr>
        <w:jc w:val="left"/>
        <w:spacing w:before="315" w:after="150" w:line="378" w:lineRule="exact"/>
      </w:pPr>
      <w:r>
        <w:rPr>
          <w:rFonts w:ascii="宋体" w:hAnsi="宋体" w:cs="宋体"/>
          <w:b/>
          <w:color w:val="000000"/>
        </w:rPr>
        <w:t xml:space="preserve">三、现场勘测答疑</w:t>
      </w:r>
      <w:r/>
    </w:p>
    <w:p>
      <w:pPr>
        <w:ind w:firstLine="210"/>
        <w:jc w:val="left"/>
        <w:spacing w:line="378" w:lineRule="exact"/>
      </w:pPr>
      <w:r>
        <w:rPr>
          <w:rFonts w:ascii="宋体" w:hAnsi="宋体" w:cs="宋体"/>
          <w:color w:val="000000"/>
        </w:rPr>
        <w:t xml:space="preserve"> 本项目具有一定的复杂性，实际材料用量、设备及相关辅材配件投标方现场踏勘。</w:t>
      </w:r>
      <w:r>
        <w:rPr>
          <w:rFonts w:ascii="宋体" w:hAnsi="宋体" w:cs="宋体"/>
          <w:b/>
          <w:color w:val="000000"/>
        </w:rPr>
        <w:t xml:space="preserve">现场踏勘统一组织，投标人自行前往</w:t>
      </w:r>
      <w:r>
        <w:rPr>
          <w:rFonts w:ascii="宋体" w:hAnsi="宋体" w:cs="宋体"/>
          <w:color w:val="000000"/>
        </w:rPr>
        <w:t xml:space="preserve">。</w:t>
      </w:r>
      <w:r/>
    </w:p>
    <w:p>
      <w:pPr>
        <w:ind w:firstLine="210"/>
        <w:jc w:val="left"/>
        <w:spacing w:line="378" w:lineRule="exact"/>
        <w:rPr>
          <w:rFonts w:ascii="宋体" w:hAnsi="宋体" w:cs="宋体"/>
          <w:color w:val="000000"/>
        </w:rPr>
      </w:pPr>
      <w:r>
        <w:rPr>
          <w:rFonts w:ascii="宋体" w:hAnsi="宋体" w:cs="宋体"/>
          <w:color w:val="000000"/>
        </w:rPr>
        <w:t xml:space="preserve"> 现场勘察时间</w:t>
      </w:r>
      <w:r>
        <w:rPr>
          <w:rFonts w:hint="eastAsia" w:ascii="宋体" w:hAnsi="宋体" w:cs="宋体"/>
          <w:color w:val="000000"/>
          <w:lang w:eastAsia="zh-CN"/>
        </w:rPr>
        <w:t xml:space="preserve">：</w:t>
      </w:r>
      <w:r>
        <w:rPr>
          <w:rFonts w:hint="eastAsia" w:ascii="宋体" w:hAnsi="宋体" w:cs="宋体"/>
          <w:color w:val="000000"/>
        </w:rPr>
        <w:t xml:space="preserve">2026年9月30日上午9:30</w:t>
      </w:r>
      <w:r>
        <w:rPr>
          <w:rFonts w:ascii="宋体" w:hAnsi="宋体" w:cs="宋体"/>
          <w:color w:val="000000"/>
        </w:rPr>
        <w:t xml:space="preserve">（过期不候）</w:t>
      </w:r>
      <w:r/>
    </w:p>
    <w:p>
      <w:pPr>
        <w:ind w:firstLine="420"/>
        <w:jc w:val="left"/>
        <w:spacing w:line="378" w:lineRule="exact"/>
        <w:rPr>
          <w:rFonts w:hint="eastAsia" w:ascii="宋体" w:hAnsi="宋体" w:eastAsia="宋体" w:cs="宋体"/>
          <w:color w:val="000000"/>
          <w:lang w:eastAsia="zh-CN"/>
        </w:rPr>
      </w:pPr>
      <w:r>
        <w:rPr>
          <w:rFonts w:hint="eastAsia" w:ascii="宋体" w:hAnsi="宋体" w:cs="宋体"/>
          <w:color w:val="000000"/>
        </w:rPr>
        <w:t xml:space="preserve">集合地点：南京艺术学院数字化与智算技术中心楼二楼会议室</w:t>
      </w:r>
      <w:r>
        <w:rPr>
          <w:rFonts w:hint="eastAsia" w:ascii="宋体" w:hAnsi="宋体" w:cs="宋体"/>
          <w:color w:val="000000"/>
          <w:lang w:eastAsia="zh-CN"/>
        </w:rPr>
        <w:t xml:space="preserve">。</w:t>
      </w:r>
      <w:r/>
    </w:p>
    <w:p>
      <w:pPr>
        <w:ind w:firstLine="210"/>
        <w:jc w:val="left"/>
        <w:spacing w:line="378" w:lineRule="exact"/>
      </w:pPr>
      <w:r>
        <w:rPr>
          <w:rFonts w:ascii="宋体" w:hAnsi="宋体" w:cs="宋体"/>
          <w:color w:val="000000"/>
        </w:rPr>
        <w:t xml:space="preserve"> 勘测联系人及电话：周老师（025-83498215），冯老师（025-83498033）</w:t>
      </w:r>
      <w:r/>
    </w:p>
    <w:p>
      <w:pPr>
        <w:ind w:firstLine="210"/>
        <w:jc w:val="left"/>
        <w:spacing w:line="378" w:lineRule="exact"/>
      </w:pPr>
      <w:r>
        <w:rPr>
          <w:rFonts w:ascii="宋体" w:hAnsi="宋体" w:cs="宋体"/>
          <w:color w:val="000000"/>
        </w:rPr>
        <w:t xml:space="preserve"> 各潜在供应踏勘现场，请务必对项目现场和周围环境进行仔细认真地查勘，在随后的采购中，对现场资料和数据所作出的推论、解释和结论及由此造成的后果由供应商负责（未现场勘察和未提出疑义的响应人将被视为已勘察，认同采购项目要求的内容，因未勘查现场或勘查工作不详细的供应商成交后，不得以不完全了解现场情况为理由而向采购人提出任何索赔或其他要求，对此采购人不承担任何责任并将不作任何答复），供应商自行承担由于踏勘现场产生的一切费用。</w:t>
      </w:r>
      <w:r/>
    </w:p>
    <w:p>
      <w:pPr>
        <w:jc w:val="left"/>
        <w:spacing w:before="315" w:after="150" w:line="378" w:lineRule="exact"/>
      </w:pPr>
      <w:r>
        <w:rPr>
          <w:rFonts w:ascii="宋体" w:hAnsi="宋体" w:cs="宋体"/>
          <w:b/>
          <w:color w:val="000000"/>
        </w:rPr>
        <w:t xml:space="preserve">四、采购清单</w:t>
      </w:r>
      <w:r/>
    </w:p>
    <w:tbl>
      <w:tblPr>
        <w:tblStyle w:val="922"/>
        <w:tblW w:w="852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60"/>
        <w:gridCol w:w="2070"/>
        <w:gridCol w:w="705"/>
        <w:gridCol w:w="705"/>
        <w:gridCol w:w="4380"/>
      </w:tblGrid>
      <w:tr>
        <w:trPr>
          <w:trHeight w:val="315"/>
        </w:trPr>
        <w:tc>
          <w:tcPr>
            <w:tcBorders>
              <w:top w:val="single" w:color="000000" w:sz="6"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b/>
                <w:color w:val="000000"/>
              </w:rPr>
              <w:t xml:space="preserve">序号</w:t>
            </w:r>
            <w:r/>
          </w:p>
        </w:tc>
        <w:tc>
          <w:tcPr>
            <w:tcBorders>
              <w:top w:val="single" w:color="000000" w:sz="6"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b/>
                <w:color w:val="000000"/>
              </w:rPr>
              <w:t xml:space="preserve">设备</w:t>
            </w: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b/>
                <w:color w:val="000000"/>
              </w:rPr>
              <w:t xml:space="preserve">数量</w:t>
            </w:r>
            <w:r/>
          </w:p>
        </w:tc>
        <w:tc>
          <w:tcPr>
            <w:tcBorders>
              <w:top w:val="single" w:color="000000" w:sz="6"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b/>
                <w:color w:val="000000"/>
              </w:rPr>
              <w:t xml:space="preserve">单位</w:t>
            </w:r>
            <w:r/>
          </w:p>
        </w:tc>
        <w:tc>
          <w:tcPr>
            <w:tcBorders>
              <w:top w:val="single" w:color="000000" w:sz="6" w:space="0"/>
              <w:left w:val="none" w:color="000000" w:sz="4" w:space="0"/>
              <w:bottom w:val="single" w:color="000000" w:sz="6" w:space="0"/>
              <w:right w:val="single" w:color="000000" w:sz="6" w:space="0"/>
            </w:tcBorders>
            <w:tcW w:w="4380" w:type="dxa"/>
            <w:vAlign w:val="center"/>
            <w:textDirection w:val="lrTb"/>
            <w:noWrap w:val="false"/>
          </w:tcPr>
          <w:p>
            <w:pPr>
              <w:jc w:val="center"/>
              <w:spacing w:line="378" w:lineRule="exact"/>
            </w:pPr>
            <w:r>
              <w:rPr>
                <w:rFonts w:ascii="宋体" w:hAnsi="宋体" w:cs="宋体"/>
                <w:b/>
                <w:color w:val="000000"/>
              </w:rPr>
              <w:t xml:space="preserve">备注</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链路负载器</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台</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rPr>
                <w:rFonts w:hint="eastAsia" w:eastAsia="宋体"/>
                <w:lang w:val="en-US" w:eastAsia="zh-CN"/>
              </w:rPr>
            </w:pPr>
            <w:r>
              <w:rPr>
                <w:rFonts w:hint="eastAsia"/>
                <w:lang w:val="en-US" w:eastAsia="zh-CN"/>
              </w:rPr>
              <w:t xml:space="preserve">核心产品</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ONU（8口）</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406</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台</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其中404台为建设使用；2台为备件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3</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ONU（4口）</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71</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台</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其中69台为建设使用；2台为备件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4</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ONU（24口）</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台</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其中5台为建设使用；1台为备件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5</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高密AP</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83</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个</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其中81个为建设使用AP；2个为备件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面板AP</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358</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个</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其中353个为建设使用AP；5个为备件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7</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放装AP</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458</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个</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其中453个为建设使用AP；5个为备件</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8</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网元设备管理授权</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套</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满足本次所有设备的监管授权及AI赋能</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9</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利旧面板AP</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292</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个</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由学校提供</w:t>
            </w:r>
            <w:r/>
          </w:p>
        </w:tc>
      </w:tr>
      <w:tr>
        <w:trPr>
          <w:trHeight w:val="46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10</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利旧放装AP</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115</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个</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由学校提供</w:t>
            </w:r>
            <w:r/>
          </w:p>
        </w:tc>
      </w:tr>
      <w:tr>
        <w:trPr>
          <w:trHeight w:val="435"/>
        </w:trPr>
        <w:tc>
          <w:tcPr>
            <w:tcBorders>
              <w:top w:val="none" w:color="000000" w:sz="4" w:space="0"/>
              <w:left w:val="single" w:color="000000" w:sz="6" w:space="0"/>
              <w:bottom w:val="single" w:color="000000" w:sz="6" w:space="0"/>
              <w:right w:val="single" w:color="000000" w:sz="6" w:space="0"/>
            </w:tcBorders>
            <w:tcW w:w="660" w:type="dxa"/>
            <w:vAlign w:val="center"/>
            <w:textDirection w:val="lrTb"/>
            <w:noWrap w:val="false"/>
          </w:tcPr>
          <w:p>
            <w:pPr>
              <w:jc w:val="center"/>
              <w:spacing w:line="378" w:lineRule="exact"/>
            </w:pPr>
            <w:r>
              <w:rPr>
                <w:rFonts w:ascii="宋体" w:hAnsi="宋体" w:cs="宋体"/>
                <w:color w:val="000000"/>
              </w:rPr>
              <w:t xml:space="preserve">11</w:t>
            </w:r>
            <w:r/>
          </w:p>
        </w:tc>
        <w:tc>
          <w:tcPr>
            <w:tcBorders>
              <w:top w:val="none" w:color="000000" w:sz="4" w:space="0"/>
              <w:left w:val="none" w:color="000000" w:sz="4" w:space="0"/>
              <w:bottom w:val="single" w:color="000000" w:sz="6" w:space="0"/>
              <w:right w:val="single" w:color="000000" w:sz="6" w:space="0"/>
            </w:tcBorders>
            <w:tcW w:w="2070" w:type="dxa"/>
            <w:vAlign w:val="center"/>
            <w:textDirection w:val="lrTb"/>
            <w:noWrap w:val="false"/>
          </w:tcPr>
          <w:p>
            <w:pPr>
              <w:jc w:val="center"/>
              <w:spacing w:line="378" w:lineRule="exact"/>
            </w:pPr>
            <w:r>
              <w:rPr>
                <w:rFonts w:ascii="宋体" w:hAnsi="宋体" w:cs="宋体"/>
                <w:color w:val="000000"/>
              </w:rPr>
              <w:t xml:space="preserve">施工及安装辅材</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705" w:type="dxa"/>
            <w:vAlign w:val="center"/>
            <w:textDirection w:val="lrTb"/>
            <w:noWrap w:val="false"/>
          </w:tcPr>
          <w:p>
            <w:pPr>
              <w:jc w:val="center"/>
              <w:spacing w:line="378" w:lineRule="exact"/>
            </w:pPr>
            <w:r>
              <w:rPr>
                <w:rFonts w:ascii="宋体" w:hAnsi="宋体" w:cs="宋体"/>
                <w:color w:val="000000"/>
              </w:rPr>
              <w:t xml:space="preserve">项</w:t>
            </w:r>
            <w:r/>
          </w:p>
        </w:tc>
        <w:tc>
          <w:tcPr>
            <w:tcBorders>
              <w:top w:val="none" w:color="000000" w:sz="4" w:space="0"/>
              <w:left w:val="none" w:color="000000" w:sz="4" w:space="0"/>
              <w:bottom w:val="single" w:color="000000" w:sz="6" w:space="0"/>
              <w:right w:val="single" w:color="000000" w:sz="6" w:space="0"/>
            </w:tcBorders>
            <w:tcW w:w="4380" w:type="dxa"/>
            <w:vAlign w:val="center"/>
            <w:textDirection w:val="lrTb"/>
            <w:noWrap w:val="false"/>
          </w:tcPr>
          <w:p>
            <w:pPr>
              <w:jc w:val="left"/>
              <w:spacing w:line="378" w:lineRule="exact"/>
            </w:pPr>
            <w:r>
              <w:rPr>
                <w:rFonts w:ascii="宋体" w:hAnsi="宋体" w:cs="宋体"/>
                <w:color w:val="000000"/>
              </w:rPr>
              <w:t xml:space="preserve">包含但不限于箱体、可寻线光纤跳线、线缆（强电、弱电）、分光器、熔纤及相关集成施工等</w:t>
            </w:r>
            <w:r/>
          </w:p>
        </w:tc>
      </w:tr>
    </w:tbl>
    <w:p>
      <w:pPr>
        <w:jc w:val="left"/>
        <w:spacing w:before="315" w:after="150" w:line="378" w:lineRule="exact"/>
      </w:pPr>
      <w:r>
        <w:rPr>
          <w:rFonts w:ascii="宋体" w:hAnsi="宋体" w:cs="宋体"/>
          <w:b/>
          <w:color w:val="000000"/>
        </w:rPr>
        <w:t xml:space="preserve">五、相关设备技术参数（本项各设备技术参数需提供相关证明材料并加盖公章）</w:t>
      </w:r>
      <w:r/>
    </w:p>
    <w:p>
      <w:pPr>
        <w:ind w:left="840"/>
        <w:jc w:val="left"/>
        <w:spacing w:before="165" w:after="75" w:line="378" w:lineRule="exact"/>
      </w:pPr>
      <w:r>
        <w:rPr>
          <w:rFonts w:ascii="宋体" w:hAnsi="宋体" w:cs="宋体"/>
          <w:color w:val="000000"/>
        </w:rPr>
        <w:t xml:space="preserve">1. ▲链路负载器</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①整机要求：四层吞吐量≥20Gbps，并发连接数≥1600</w:t>
      </w:r>
      <w:r>
        <w:rPr>
          <w:rFonts w:hint="eastAsia" w:ascii="宋体" w:hAnsi="宋体" w:cs="宋体"/>
          <w:color w:val="000000"/>
        </w:rPr>
        <w:t xml:space="preserve">万</w:t>
      </w:r>
      <w:r>
        <w:rPr>
          <w:rFonts w:ascii="宋体" w:hAnsi="宋体" w:cs="宋体"/>
          <w:color w:val="000000"/>
        </w:rPr>
        <w:t xml:space="preserve">，4层新建连接数 CPS≥50</w:t>
      </w:r>
      <w:r>
        <w:rPr>
          <w:rFonts w:hint="eastAsia" w:ascii="宋体" w:hAnsi="宋体" w:cs="宋体"/>
          <w:color w:val="000000"/>
        </w:rPr>
        <w:t xml:space="preserve">万</w:t>
      </w:r>
      <w:r>
        <w:rPr>
          <w:rFonts w:ascii="宋体" w:hAnsi="宋体" w:cs="宋体"/>
          <w:color w:val="000000"/>
        </w:rPr>
        <w:t xml:space="preserve">,7层新建连接数 RPS≥50</w:t>
      </w:r>
      <w:r>
        <w:rPr>
          <w:rFonts w:hint="eastAsia" w:ascii="宋体" w:hAnsi="宋体" w:cs="宋体"/>
          <w:color w:val="000000"/>
        </w:rPr>
        <w:t xml:space="preserve">万</w:t>
      </w:r>
      <w:r>
        <w:rPr>
          <w:rFonts w:ascii="宋体" w:hAnsi="宋体" w:cs="宋体"/>
          <w:color w:val="000000"/>
        </w:rPr>
        <w:t xml:space="preserve">。硬件参数：规格：≥2U，内存≥16G，硬盘容量≥480G SSD，接口：≥6千兆电口，≥2万兆光口，冗余电源；</w:t>
      </w:r>
      <w:r/>
    </w:p>
    <w:p>
      <w:pPr>
        <w:ind w:firstLine="210"/>
        <w:jc w:val="left"/>
        <w:spacing w:line="378" w:lineRule="exact"/>
      </w:pPr>
      <w:r>
        <w:rPr>
          <w:rFonts w:ascii="宋体" w:hAnsi="宋体" w:cs="宋体"/>
          <w:color w:val="000000"/>
        </w:rPr>
        <w:t xml:space="preserve"> ②系统功能：采用独立的专用硬件，非通过添加功能模块的方式实现;单一设备可同时支持包括链路负载均衡、全局负载均衡和服务器负载均衡的功能。三种功能同时处于激活可使用状态，无需额外购买相应授权;支持串接部署方式和旁路部署方式；支持基于URL的链路调度功能，内置不少于10万条的国外URL网址库，无需手动导入并支持自动更新，管理员可查看。可根据URL将访问国外网站的请求调度到指定线路。</w:t>
      </w:r>
      <w:r/>
    </w:p>
    <w:p>
      <w:pPr>
        <w:ind w:left="840"/>
        <w:jc w:val="left"/>
        <w:spacing w:before="165" w:after="75" w:line="378" w:lineRule="exact"/>
      </w:pPr>
      <w:r>
        <w:rPr>
          <w:rFonts w:ascii="宋体" w:hAnsi="宋体" w:cs="宋体"/>
          <w:color w:val="000000"/>
        </w:rPr>
        <w:t xml:space="preserve">2. 8口ONU</w:t>
      </w:r>
      <w:r/>
    </w:p>
    <w:p>
      <w:pPr>
        <w:ind w:firstLine="210"/>
        <w:jc w:val="left"/>
        <w:spacing w:line="378" w:lineRule="exact"/>
      </w:pPr>
      <w:r>
        <w:rPr>
          <w:rFonts w:ascii="宋体" w:hAnsi="宋体" w:cs="宋体"/>
          <w:color w:val="000000"/>
        </w:rPr>
        <w:t xml:space="preserve"> 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PON口≥1（含对等模块），用户侧GE接口≥8，支持POE/POE+，整机供电功率≥120W。</w:t>
      </w:r>
      <w:r/>
    </w:p>
    <w:p>
      <w:pPr>
        <w:ind w:left="420"/>
        <w:jc w:val="left"/>
        <w:spacing w:after="120" w:line="378" w:lineRule="exact"/>
      </w:pPr>
      <w:r>
        <w:rPr>
          <w:rFonts w:ascii="宋体" w:hAnsi="宋体" w:cs="宋体"/>
          <w:color w:val="000000"/>
        </w:rPr>
        <w:t xml:space="preserve">②兼容性：须兼容学校现网OLT设备。（提供承诺函并加盖供应商公章）。</w:t>
      </w:r>
      <w:r/>
    </w:p>
    <w:p>
      <w:pPr>
        <w:ind w:left="840" w:firstLine="630"/>
        <w:jc w:val="left"/>
        <w:spacing w:before="165" w:after="75" w:line="378" w:lineRule="exact"/>
      </w:pPr>
      <w:r>
        <w:rPr>
          <w:rFonts w:ascii="宋体" w:hAnsi="宋体" w:cs="宋体"/>
          <w:color w:val="000000"/>
        </w:rPr>
        <w:t xml:space="preserve">3. 4口ONU</w:t>
      </w:r>
      <w:r/>
    </w:p>
    <w:p>
      <w:pPr>
        <w:ind w:firstLine="210"/>
        <w:jc w:val="left"/>
        <w:spacing w:line="378" w:lineRule="exact"/>
      </w:pPr>
      <w:r>
        <w:rPr>
          <w:rFonts w:ascii="宋体" w:hAnsi="宋体" w:cs="宋体"/>
          <w:color w:val="000000"/>
        </w:rPr>
        <w:t xml:space="preserve"> 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参选人可自行选择支持10G PON对等模型的技术标准，网络侧10G PON口≥1（含对等模块），用户侧GE接口≥4，支持POE/POE+，整机供电功率≥60W。</w:t>
      </w:r>
      <w:r/>
    </w:p>
    <w:p>
      <w:pPr>
        <w:ind w:left="420"/>
        <w:jc w:val="left"/>
        <w:spacing w:after="120" w:line="378" w:lineRule="exact"/>
      </w:pPr>
      <w:r>
        <w:rPr>
          <w:rFonts w:ascii="宋体" w:hAnsi="宋体" w:cs="宋体"/>
          <w:color w:val="000000"/>
        </w:rPr>
        <w:t xml:space="preserve">②兼容性：须兼容学校现网OLT设备。（提供承诺函并加盖供应商公章）。</w:t>
      </w:r>
      <w:r/>
    </w:p>
    <w:p>
      <w:pPr>
        <w:ind w:left="840"/>
        <w:jc w:val="left"/>
        <w:spacing w:before="165" w:after="75" w:line="378" w:lineRule="exact"/>
      </w:pPr>
      <w:r>
        <w:rPr>
          <w:rFonts w:ascii="宋体" w:hAnsi="宋体" w:cs="宋体"/>
          <w:color w:val="000000"/>
        </w:rPr>
        <w:t xml:space="preserve">4. ▲24口ONU</w:t>
      </w:r>
      <w:r/>
    </w:p>
    <w:p>
      <w:pPr>
        <w:ind w:firstLine="210"/>
        <w:jc w:val="left"/>
        <w:spacing w:line="378" w:lineRule="exact"/>
      </w:pPr>
      <w:r>
        <w:rPr>
          <w:rFonts w:ascii="宋体" w:hAnsi="宋体" w:cs="宋体"/>
          <w:color w:val="000000"/>
        </w:rPr>
        <w:t xml:space="preserve"> 光网核心设备之一，光网络单元, 技术参数不低于以下标准。</w:t>
      </w:r>
      <w:r/>
    </w:p>
    <w:p>
      <w:pPr>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PON口≥1（含对等模块），用户侧GE接口≥24，支持POE/POE+，整机供电功率≥360W。</w:t>
      </w:r>
      <w:r/>
    </w:p>
    <w:p>
      <w:pPr>
        <w:ind w:left="420"/>
        <w:jc w:val="left"/>
        <w:spacing w:after="120" w:line="378" w:lineRule="exact"/>
      </w:pPr>
      <w:r>
        <w:rPr>
          <w:rFonts w:ascii="宋体" w:hAnsi="宋体" w:cs="宋体"/>
          <w:color w:val="000000"/>
        </w:rPr>
        <w:t xml:space="preserve">②兼容性：须兼容学校现网OLT设备。（提供承诺函并加盖供应商公章）。</w:t>
      </w:r>
      <w:r/>
    </w:p>
    <w:p>
      <w:pPr>
        <w:ind w:left="840"/>
        <w:jc w:val="left"/>
        <w:spacing w:before="165" w:after="75" w:line="378" w:lineRule="exact"/>
      </w:pPr>
      <w:r>
        <w:rPr>
          <w:rFonts w:ascii="宋体" w:hAnsi="宋体" w:cs="宋体"/>
          <w:color w:val="000000"/>
        </w:rPr>
        <w:t xml:space="preserve">5. 面板AP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①整机要求：采用双射频设计，整机4条空间流，整机最大无线速率3.57Gbps，设备背面≥1个2.5G电接口（上行）。设备底部≥4个GE电接口，所有射频均支持802.11be协议标准。</w:t>
      </w:r>
      <w:r/>
    </w:p>
    <w:p>
      <w:pPr>
        <w:ind w:left="420"/>
        <w:jc w:val="left"/>
        <w:spacing w:after="120" w:line="378" w:lineRule="exact"/>
      </w:pPr>
      <w:r>
        <w:rPr>
          <w:rFonts w:ascii="宋体" w:hAnsi="宋体" w:cs="宋体"/>
          <w:color w:val="000000"/>
        </w:rPr>
        <w:t xml:space="preserve">②兼容性：须兼容学校现网AC设备。（提供承诺函并加盖供应商公章）。</w:t>
      </w:r>
      <w:r/>
    </w:p>
    <w:p>
      <w:pPr>
        <w:ind w:left="840"/>
        <w:jc w:val="left"/>
        <w:spacing w:before="165" w:after="75" w:line="378" w:lineRule="exact"/>
      </w:pPr>
      <w:r>
        <w:rPr>
          <w:rFonts w:ascii="宋体" w:hAnsi="宋体" w:cs="宋体"/>
          <w:color w:val="000000"/>
        </w:rPr>
        <w:t xml:space="preserve">6. 放装AP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①整机要求：采用双射频设计，整机4条空间流，整机最大无线速率3.57Gbps， ≥1个2.5G电接口， ≥1个5G光口接口，所有射频均支持802.11be协议标准。</w:t>
      </w:r>
      <w:r/>
    </w:p>
    <w:p>
      <w:pPr>
        <w:ind w:left="420"/>
        <w:jc w:val="left"/>
        <w:spacing w:after="120" w:line="378" w:lineRule="exact"/>
      </w:pPr>
      <w:r>
        <w:rPr>
          <w:rFonts w:ascii="宋体" w:hAnsi="宋体" w:cs="宋体"/>
          <w:color w:val="000000"/>
        </w:rPr>
        <w:t xml:space="preserve">②兼容性：须兼容学校现网AC设备。（提供承诺函并加盖供应商公章）。</w:t>
      </w:r>
      <w:r/>
    </w:p>
    <w:p>
      <w:pPr>
        <w:ind w:left="840"/>
        <w:jc w:val="left"/>
        <w:spacing w:before="165" w:after="75" w:line="378" w:lineRule="exact"/>
      </w:pPr>
      <w:r>
        <w:rPr>
          <w:rFonts w:ascii="宋体" w:hAnsi="宋体" w:cs="宋体"/>
          <w:color w:val="000000"/>
        </w:rPr>
        <w:t xml:space="preserve">7. 高密AP</w:t>
      </w:r>
      <w:r/>
    </w:p>
    <w:p>
      <w:pPr>
        <w:ind w:firstLine="210"/>
        <w:jc w:val="left"/>
        <w:spacing w:line="378" w:lineRule="exact"/>
      </w:pPr>
      <w:r>
        <w:rPr>
          <w:rFonts w:ascii="宋体" w:hAnsi="宋体" w:cs="宋体"/>
          <w:color w:val="000000"/>
        </w:rPr>
        <w:t xml:space="preserve"> 技术参数不低于以下标准。</w:t>
      </w:r>
      <w:r/>
    </w:p>
    <w:p>
      <w:pPr>
        <w:ind w:firstLine="210"/>
        <w:jc w:val="left"/>
        <w:spacing w:line="378" w:lineRule="exact"/>
      </w:pPr>
      <w:r>
        <w:rPr>
          <w:rFonts w:ascii="宋体" w:hAnsi="宋体" w:cs="宋体"/>
          <w:color w:val="000000"/>
        </w:rPr>
        <w:t xml:space="preserve"> ①整机要求：采用三射频设计，整机8条空间流，整机最大无线速率6.45Gbps， ≥1个1G电接口，≥1个5G电接口， ≥1个10G光口接口，所有射频均支持802.11be协议标准。</w:t>
      </w:r>
      <w:r/>
    </w:p>
    <w:p>
      <w:pPr>
        <w:ind w:left="420"/>
        <w:jc w:val="left"/>
        <w:spacing w:after="120" w:line="378" w:lineRule="exact"/>
      </w:pPr>
      <w:r>
        <w:rPr>
          <w:rFonts w:ascii="宋体" w:hAnsi="宋体" w:cs="宋体"/>
          <w:color w:val="000000"/>
        </w:rPr>
        <w:t xml:space="preserve">②兼容性：须兼容学校现网AC设备。（提供承诺函并加盖供应商公章）。</w:t>
      </w:r>
      <w:r/>
    </w:p>
    <w:p>
      <w:pPr>
        <w:ind w:left="840"/>
        <w:jc w:val="left"/>
        <w:spacing w:before="165" w:after="75" w:line="378" w:lineRule="exact"/>
      </w:pPr>
      <w:r>
        <w:rPr>
          <w:rFonts w:ascii="宋体" w:hAnsi="宋体" w:cs="宋体"/>
          <w:color w:val="000000"/>
        </w:rPr>
        <w:t xml:space="preserve">8. 万兆单模光模块</w:t>
      </w:r>
      <w:r/>
    </w:p>
    <w:p>
      <w:pPr>
        <w:ind w:firstLine="210"/>
        <w:jc w:val="left"/>
        <w:spacing w:line="378" w:lineRule="exact"/>
      </w:pPr>
      <w:r>
        <w:rPr>
          <w:rFonts w:ascii="宋体" w:hAnsi="宋体" w:cs="宋体"/>
          <w:color w:val="000000"/>
        </w:rPr>
        <w:t xml:space="preserve"> SFP+ 万兆单模光模块(1310nm,10km,LC)</w:t>
      </w:r>
      <w:r/>
    </w:p>
    <w:p>
      <w:pPr>
        <w:ind w:left="840"/>
        <w:jc w:val="left"/>
        <w:spacing w:before="165" w:after="75" w:line="378" w:lineRule="exact"/>
      </w:pPr>
      <w:r>
        <w:rPr>
          <w:rFonts w:ascii="宋体" w:hAnsi="宋体" w:cs="宋体"/>
          <w:color w:val="000000"/>
        </w:rPr>
        <w:t xml:space="preserve">9. ▲网元设备管理授权</w:t>
      </w:r>
      <w:r/>
    </w:p>
    <w:p>
      <w:pPr>
        <w:ind w:firstLine="211"/>
        <w:jc w:val="left"/>
        <w:spacing w:line="378" w:lineRule="exact"/>
      </w:pPr>
      <w:r>
        <w:rPr>
          <w:rFonts w:ascii="宋体" w:hAnsi="宋体" w:cs="宋体"/>
          <w:b/>
          <w:color w:val="000000"/>
        </w:rPr>
        <w:t xml:space="preserve"> 功能升级：</w:t>
      </w:r>
      <w:r>
        <w:rPr>
          <w:rFonts w:ascii="宋体" w:hAnsi="宋体" w:cs="宋体"/>
          <w:color w:val="000000"/>
        </w:rPr>
        <w:t xml:space="preserve">对现行智能运维系统进行功能扩展，新增AI智能运维Agent功能，具体要求如下：</w:t>
      </w:r>
      <w:r/>
    </w:p>
    <w:p>
      <w:pPr>
        <w:ind w:firstLine="210"/>
        <w:jc w:val="left"/>
        <w:spacing w:line="378" w:lineRule="exact"/>
      </w:pPr>
      <w:r>
        <w:rPr>
          <w:rFonts w:ascii="宋体" w:hAnsi="宋体" w:cs="宋体"/>
          <w:color w:val="000000"/>
        </w:rPr>
        <w:t xml:space="preserve"> 1、 升级运维交互方式，构建面向运维人员和管理者的自然语言运维入口。用户无需记忆复杂系统菜单、查询路径和报表操作，只需通过文字、语音或文件上传等方式提出需求，AI 智能运维 Agent 即可自动理解问题意图，调用网络、业务、告警、资产、工单等相关系统能力，快速返回查询结果、分析结论及报告文件，显著降低运维系统使用门槛，提升信息获取效率</w:t>
      </w:r>
      <w:r/>
    </w:p>
    <w:p>
      <w:pPr>
        <w:ind w:firstLine="210"/>
        <w:jc w:val="left"/>
        <w:spacing w:line="378" w:lineRule="exact"/>
      </w:pPr>
      <w:r>
        <w:rPr>
          <w:rFonts w:ascii="宋体" w:hAnsi="宋体" w:cs="宋体"/>
          <w:color w:val="000000"/>
        </w:rPr>
        <w:t xml:space="preserve"> 2、 升级运维处理模式，形成面向真实场景的智能协同处置能力。相较传统运维系统“人找功能、人查系统”的使用方式，AI 智能运维 Agent 可围绕网络排障、安全溯源、批量纳管、风险封禁、资产统计、业务 分析等典型场景，自动串联多系统、多步骤操作流程，完成数据查询、关联分析、结果汇总与输出，推动运维工作由“功能操作型”向“任务结果型”升级。</w:t>
      </w:r>
      <w:r/>
    </w:p>
    <w:p>
      <w:pPr>
        <w:ind w:firstLine="210"/>
        <w:jc w:val="left"/>
        <w:spacing w:line="378" w:lineRule="exact"/>
      </w:pPr>
      <w:r>
        <w:rPr>
          <w:rFonts w:ascii="宋体" w:hAnsi="宋体" w:cs="宋体"/>
          <w:color w:val="000000"/>
        </w:rPr>
        <w:t xml:space="preserve"> 3、 升级运维分析能力，增强故障定位、趋势研判和辅助决策水平。AI 智能运维 Agent 能够基于监控数据、拓扑关系、终端接入记录、告警信息和历史处理经验，对网络与业务运行状态进行综合分析，辅助识别异常链路、影响范围和可能原因，并为运维人员提供标准化处置建议；同时面向管理者提供资产分布、运行状态、风险趋势和容量规划等分析能力，提升管理决策的数据支撑水平。</w:t>
      </w:r>
      <w:r/>
    </w:p>
    <w:p>
      <w:pPr>
        <w:ind w:firstLine="210"/>
        <w:jc w:val="left"/>
        <w:spacing w:line="378" w:lineRule="exact"/>
      </w:pPr>
      <w:r>
        <w:rPr>
          <w:rFonts w:ascii="宋体" w:hAnsi="宋体" w:cs="宋体"/>
          <w:color w:val="000000"/>
        </w:rPr>
        <w:t xml:space="preserve"> 4、 升级运维知识与服务能力，推动经验沉淀和主动服务。AI 智能运维 Agent 不仅能够响应用户即时请求，还可将高质量排障经验、处置流程和场景知识持续沉淀为可复用能力，并结合巡检、告警和风险分析结果，形成主动提示、巡检摘要和专题报告，逐步实现从“被动响应问题”向“主动发现问题、持续优化服务”转变，提升整体运维服务的标准化、连续性和智能化水平。</w:t>
      </w:r>
      <w:r/>
    </w:p>
    <w:p>
      <w:pPr>
        <w:ind w:firstLine="211"/>
        <w:jc w:val="left"/>
        <w:spacing w:line="378" w:lineRule="exact"/>
      </w:pPr>
      <w:r>
        <w:rPr>
          <w:rFonts w:ascii="宋体" w:hAnsi="宋体" w:cs="宋体"/>
          <w:b/>
          <w:color w:val="000000"/>
        </w:rPr>
        <w:t xml:space="preserve"> 授权说明：</w:t>
      </w:r>
      <w:r>
        <w:rPr>
          <w:rFonts w:ascii="宋体" w:hAnsi="宋体" w:cs="宋体"/>
          <w:color w:val="000000"/>
        </w:rPr>
        <w:t xml:space="preserve">本次授权需涵盖本次项目所需的所有授权。具体授权数量请各投标人根据实际工勘结果核算。未工勘而造成授权不足的，自行补足，甲方不予额外增加费用。</w:t>
      </w:r>
      <w:r/>
    </w:p>
    <w:p>
      <w:pPr>
        <w:jc w:val="left"/>
        <w:spacing w:before="315" w:after="150" w:line="378" w:lineRule="exact"/>
      </w:pPr>
      <w:r>
        <w:rPr>
          <w:rFonts w:ascii="宋体" w:hAnsi="宋体" w:cs="宋体"/>
          <w:b/>
          <w:color w:val="000000"/>
        </w:rPr>
        <w:t xml:space="preserve">六、点位及材料数量规划</w:t>
      </w:r>
      <w:r/>
    </w:p>
    <w:p>
      <w:pPr>
        <w:ind w:firstLine="210"/>
        <w:jc w:val="left"/>
        <w:spacing w:line="378" w:lineRule="exact"/>
      </w:pPr>
      <w:r>
        <w:rPr>
          <w:rFonts w:ascii="宋体" w:hAnsi="宋体" w:cs="宋体"/>
          <w:color w:val="000000"/>
        </w:rPr>
        <w:t xml:space="preserve"> 该表仅为参考，具体设备数量、施工及用材，自行工勘计算。设备数量以采购清单数量为基础，不得少于采购清单设备数量。详细建筑图纸现场工勘时学校统一提供。 </w:t>
      </w:r>
      <w:r/>
    </w:p>
    <w:p>
      <w:pPr>
        <w:jc w:val="left"/>
        <w:spacing w:before="165" w:after="75" w:line="378" w:lineRule="exact"/>
      </w:pPr>
      <w:r>
        <w:rPr>
          <w:rFonts w:ascii="宋体" w:hAnsi="宋体" w:cs="宋体"/>
          <w:color w:val="000000"/>
        </w:rPr>
        <w:t xml:space="preserve">1. 点位表如下</w:t>
      </w:r>
      <w:r/>
    </w:p>
    <w:tbl>
      <w:tblPr>
        <w:tblStyle w:val="922"/>
        <w:tblW w:w="8535"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987"/>
        <w:gridCol w:w="1988"/>
        <w:gridCol w:w="999"/>
        <w:gridCol w:w="999"/>
        <w:gridCol w:w="854"/>
        <w:gridCol w:w="854"/>
        <w:gridCol w:w="854"/>
      </w:tblGrid>
      <w:tr>
        <w:trPr>
          <w:trHeight w:val="315"/>
        </w:trPr>
        <w:tc>
          <w:tcPr>
            <w:tcBorders>
              <w:top w:val="single" w:color="000000" w:sz="6" w:space="0"/>
              <w:left w:val="single" w:color="000000" w:sz="6"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b/>
                <w:color w:val="000000"/>
              </w:rPr>
              <w:t xml:space="preserve">区域</w:t>
            </w:r>
            <w:r/>
          </w:p>
        </w:tc>
        <w:tc>
          <w:tcPr>
            <w:tcBorders>
              <w:top w:val="single" w:color="000000" w:sz="6" w:space="0"/>
              <w:left w:val="none" w:color="000000" w:sz="4" w:space="0"/>
              <w:bottom w:val="single" w:color="000000" w:sz="6" w:space="0"/>
              <w:right w:val="single" w:color="000000" w:sz="6" w:space="0"/>
            </w:tcBorders>
            <w:tcW w:w="2415" w:type="dxa"/>
            <w:vAlign w:val="center"/>
            <w:textDirection w:val="lrTb"/>
            <w:noWrap w:val="false"/>
          </w:tcPr>
          <w:p>
            <w:pPr>
              <w:jc w:val="center"/>
              <w:spacing w:line="378" w:lineRule="exact"/>
            </w:pPr>
            <w:r>
              <w:rPr>
                <w:rFonts w:ascii="宋体" w:hAnsi="宋体" w:cs="宋体"/>
                <w:b/>
                <w:color w:val="000000"/>
              </w:rPr>
              <w:t xml:space="preserve">楼宇名称</w:t>
            </w:r>
            <w:r/>
          </w:p>
        </w:tc>
        <w:tc>
          <w:tcPr>
            <w:tcBorders>
              <w:top w:val="single" w:color="000000" w:sz="6"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b/>
                <w:color w:val="000000"/>
              </w:rPr>
              <w:t xml:space="preserve">利旧面板AP</w:t>
            </w:r>
            <w:r/>
          </w:p>
        </w:tc>
        <w:tc>
          <w:tcPr>
            <w:tcBorders>
              <w:top w:val="single" w:color="000000" w:sz="6"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b/>
                <w:color w:val="000000"/>
              </w:rPr>
              <w:t xml:space="preserve">利旧放装AP</w:t>
            </w:r>
            <w:r/>
          </w:p>
        </w:tc>
        <w:tc>
          <w:tcPr>
            <w:tcBorders>
              <w:top w:val="single" w:color="000000" w:sz="6"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b/>
                <w:color w:val="000000"/>
              </w:rPr>
              <w:t xml:space="preserve">新面板AP</w:t>
            </w:r>
            <w:r/>
          </w:p>
        </w:tc>
        <w:tc>
          <w:tcPr>
            <w:tcBorders>
              <w:top w:val="single" w:color="000000" w:sz="6"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b/>
                <w:color w:val="000000"/>
              </w:rPr>
              <w:t xml:space="preserve">新放装AP</w:t>
            </w:r>
            <w:r/>
          </w:p>
        </w:tc>
        <w:tc>
          <w:tcPr>
            <w:tcBorders>
              <w:top w:val="single" w:color="000000" w:sz="6"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b/>
                <w:color w:val="000000"/>
              </w:rPr>
              <w:t xml:space="preserve">新高密AP</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Align w:val="center"/>
            <w:vMerge w:val="restart"/>
            <w:textDirection w:val="lrTb"/>
            <w:noWrap w:val="false"/>
          </w:tcPr>
          <w:p>
            <w:pPr>
              <w:jc w:val="center"/>
              <w:spacing w:line="378" w:lineRule="exact"/>
            </w:pPr>
            <w:r>
              <w:rPr>
                <w:rFonts w:ascii="宋体" w:hAnsi="宋体" w:cs="宋体"/>
                <w:color w:val="000000"/>
              </w:rPr>
              <w:t xml:space="preserve">办公</w:t>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附中食堂</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3</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13</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行政楼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90</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7</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传媒行政楼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67</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南艺剧场</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5</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附中教学楼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音乐厅</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18</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11</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卫生所</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16</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美术馆</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19</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3</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实验剧场</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15</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3</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6</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音乐学院行政楼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29</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后勤总公司</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11</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专家楼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16</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gridSpan w:val="2"/>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离退休</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3</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gridSpan w:val="2"/>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体育馆</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gridSpan w:val="2"/>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6</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Align w:val="center"/>
            <w:vMerge w:val="restart"/>
            <w:textDirection w:val="lrTb"/>
            <w:noWrap w:val="false"/>
          </w:tcPr>
          <w:p>
            <w:pPr>
              <w:jc w:val="center"/>
              <w:spacing w:line="378" w:lineRule="exact"/>
            </w:pPr>
            <w:r>
              <w:rPr>
                <w:rFonts w:ascii="宋体" w:hAnsi="宋体" w:cs="宋体"/>
                <w:color w:val="000000"/>
              </w:rPr>
              <w:t xml:space="preserve">教学</w:t>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传媒学院教学楼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19</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32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10</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传媒学院B区</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9</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成教院</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29</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46</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美术学院A</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13</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55</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美术学院B</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7</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24</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美术学院C</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54</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17</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琴房1</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琴房2</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12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音乐学院教学楼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27</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20</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设计学院</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43</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9</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62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3</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南研楼</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30</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图书馆</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13</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4</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23</w:t>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影视学院</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22</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29</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演绎大楼南</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55</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134</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演绎大楼北</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11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37</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r>
        <w:trPr>
          <w:trHeight w:val="315"/>
        </w:trPr>
        <w:tc>
          <w:tcPr>
            <w:tcBorders>
              <w:top w:val="none" w:color="000000" w:sz="4" w:space="0"/>
              <w:left w:val="single" w:color="000000" w:sz="6" w:space="0"/>
              <w:bottom w:val="single" w:color="000000" w:sz="6" w:space="0"/>
              <w:right w:val="single" w:color="000000" w:sz="6" w:space="0"/>
            </w:tcBorders>
            <w:tcW w:w="73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2415" w:type="dxa"/>
            <w:vAlign w:val="center"/>
            <w:textDirection w:val="lrTb"/>
            <w:noWrap w:val="false"/>
          </w:tcPr>
          <w:p>
            <w:pPr>
              <w:jc w:val="left"/>
              <w:spacing w:line="378" w:lineRule="exact"/>
            </w:pPr>
            <w:r>
              <w:rPr>
                <w:rFonts w:ascii="宋体" w:hAnsi="宋体" w:cs="宋体"/>
                <w:color w:val="000000"/>
              </w:rPr>
              <w:t xml:space="preserve">工业设计学院</w:t>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185" w:type="dxa"/>
            <w:vAlign w:val="center"/>
            <w:textDirection w:val="lrTb"/>
            <w:noWrap w:val="false"/>
          </w:tcPr>
          <w:p>
            <w:pPr>
              <w:ind w:firstLine="210"/>
              <w:jc w:val="left"/>
              <w:spacing w:line="378" w:lineRule="exact"/>
            </w:pPr>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31</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jc w:val="center"/>
              <w:spacing w:line="378" w:lineRule="exact"/>
            </w:pPr>
            <w:r>
              <w:rPr>
                <w:rFonts w:ascii="宋体" w:hAnsi="宋体" w:cs="宋体"/>
                <w:color w:val="000000"/>
              </w:rPr>
              <w:t xml:space="preserve">23</w:t>
            </w:r>
            <w:r/>
          </w:p>
        </w:tc>
        <w:tc>
          <w:tcPr>
            <w:tcBorders>
              <w:top w:val="none" w:color="000000" w:sz="4" w:space="0"/>
              <w:left w:val="none" w:color="000000" w:sz="4" w:space="0"/>
              <w:bottom w:val="single" w:color="000000" w:sz="6" w:space="0"/>
              <w:right w:val="single" w:color="000000" w:sz="6" w:space="0"/>
            </w:tcBorders>
            <w:tcW w:w="1005" w:type="dxa"/>
            <w:vAlign w:val="center"/>
            <w:textDirection w:val="lrTb"/>
            <w:noWrap w:val="false"/>
          </w:tcPr>
          <w:p>
            <w:pPr>
              <w:ind w:firstLine="210"/>
              <w:jc w:val="center"/>
              <w:spacing w:line="378" w:lineRule="exact"/>
            </w:pPr>
            <w:r/>
            <w:r/>
          </w:p>
        </w:tc>
      </w:tr>
    </w:tbl>
    <w:p>
      <w:pPr>
        <w:ind w:firstLine="210"/>
        <w:jc w:val="left"/>
        <w:spacing w:after="120" w:line="378" w:lineRule="exact"/>
      </w:pPr>
      <w:r/>
      <w:r/>
    </w:p>
    <w:p>
      <w:pPr>
        <w:jc w:val="left"/>
        <w:spacing w:before="165" w:after="75" w:line="378" w:lineRule="exact"/>
      </w:pPr>
      <w:r>
        <w:rPr>
          <w:rFonts w:ascii="宋体" w:hAnsi="宋体" w:cs="宋体"/>
          <w:color w:val="000000"/>
        </w:rPr>
        <w:t xml:space="preserve">2. 施工及安装辅材表如下</w:t>
      </w:r>
      <w:r/>
    </w:p>
    <w:tbl>
      <w:tblPr>
        <w:tblStyle w:val="922"/>
        <w:tblW w:w="8595"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555"/>
        <w:gridCol w:w="1560"/>
        <w:gridCol w:w="5325"/>
        <w:gridCol w:w="735"/>
        <w:gridCol w:w="420"/>
      </w:tblGrid>
      <w:tr>
        <w:trPr>
          <w:trHeight w:val="300"/>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b/>
                <w:color w:val="000000"/>
              </w:rPr>
              <w:t xml:space="preserve">序号</w:t>
            </w:r>
            <w:r/>
          </w:p>
        </w:tc>
        <w:tc>
          <w:tcPr>
            <w:tcBorders>
              <w:top w:val="single" w:color="000000" w:sz="6" w:space="0"/>
              <w:left w:val="none" w:color="000000" w:sz="4" w:space="0"/>
              <w:bottom w:val="single" w:color="000000" w:sz="6" w:space="0"/>
              <w:right w:val="single" w:color="000000" w:sz="6" w:space="0"/>
            </w:tcBorders>
            <w:tcW w:w="1560" w:type="dxa"/>
            <w:vAlign w:val="center"/>
            <w:textDirection w:val="lrTb"/>
            <w:noWrap w:val="false"/>
          </w:tcPr>
          <w:p>
            <w:pPr>
              <w:jc w:val="center"/>
              <w:spacing w:line="378" w:lineRule="exact"/>
            </w:pPr>
            <w:r>
              <w:rPr>
                <w:rFonts w:ascii="宋体" w:hAnsi="宋体" w:cs="宋体"/>
                <w:b/>
                <w:color w:val="000000"/>
              </w:rPr>
              <w:t xml:space="preserve">产品</w:t>
            </w:r>
            <w:r/>
          </w:p>
        </w:tc>
        <w:tc>
          <w:tcPr>
            <w:tcBorders>
              <w:top w:val="single" w:color="000000" w:sz="6" w:space="0"/>
              <w:left w:val="none" w:color="000000" w:sz="4" w:space="0"/>
              <w:bottom w:val="single" w:color="000000" w:sz="6" w:space="0"/>
              <w:right w:val="single" w:color="000000" w:sz="6" w:space="0"/>
            </w:tcBorders>
            <w:tcW w:w="5325" w:type="dxa"/>
            <w:vAlign w:val="center"/>
            <w:textDirection w:val="lrTb"/>
            <w:noWrap w:val="false"/>
          </w:tcPr>
          <w:p>
            <w:pPr>
              <w:jc w:val="center"/>
              <w:spacing w:line="378" w:lineRule="exact"/>
            </w:pPr>
            <w:r>
              <w:rPr>
                <w:rFonts w:ascii="宋体" w:hAnsi="宋体" w:cs="宋体"/>
                <w:b/>
                <w:color w:val="000000"/>
              </w:rPr>
              <w:t xml:space="preserve">描述</w:t>
            </w:r>
            <w:r/>
          </w:p>
        </w:tc>
        <w:tc>
          <w:tcPr>
            <w:tcBorders>
              <w:top w:val="single" w:color="000000" w:sz="6"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b/>
                <w:color w:val="000000"/>
              </w:rPr>
              <w:t xml:space="preserve">数量</w:t>
            </w:r>
            <w:r/>
          </w:p>
        </w:tc>
        <w:tc>
          <w:tcPr>
            <w:tcBorders>
              <w:top w:val="single" w:color="000000" w:sz="6"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b/>
                <w:color w:val="000000"/>
              </w:rPr>
              <w:t xml:space="preserve">单位</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2×4分光器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光纤类型：单模G.657；接口类型：SC/UPC；插入损耗≤8.3dB；损耗均匀度≤1.2dB；偏振相关损耗≤0.3dB；回波损耗≥50dB；波长相关损耗≤0.5dB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24</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2×8分光器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光纤类型：单模G.657；接口类型：SC/UPC；插入损耗≤11.2dB；损耗均匀度≤1.5dB；偏振相关损耗≤0.3dB；回波损耗≥50dB；波长相关损耗≤0.5dB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19</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3</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2×16分光器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光纤类型：单模G.657；接口类型：SC/UPC；插入损耗≤14.5dB；损耗均匀度≤1.7dB；偏振相关损耗≤0.3dB；回波损耗≥50dB；波长相关损耗≤0.5dB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22</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4</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衰减器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阴阳式衰减器</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70</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95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5</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壁挂箱一</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尺寸≤650*600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11</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95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6</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壁挂箱二</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尺寸≤400*450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15</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63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7</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多媒体箱（单开门）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尺寸≤370*420*90mm （高*宽*深）；钢板壁厚≥1mm；配置锁芯、插排等配件；采用优质钣金材质，表面静电喷涂，有较好的机械强度，外型美观大方，坚固耐用；箱体采用强、弱电分离的进线方式;箱体内配备背板，支持ONU设备端口向下壁挂安装于多媒体箱内部;箱体底部具备观察孔，无需开箱即可观察设备运行指示灯，实现快速维护；满足光纤弯曲半径大于30mm，具有安全可靠的光纤接续</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187</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163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8</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多媒体箱（双开门）</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尺寸≤450*660*110mm （高*宽*深）；钢板壁厚≥1mm；配置锁芯、插排等配件；采用优质钣金材质，表面静电喷涂，有较好的机械强度，外型美观大方，坚固耐用；箱体采用强、弱电分离的进线方式；箱体内配备背板，支持2台ONU设备端口向下壁挂安装于多媒体箱内部；箱体底部具备观察孔，无需开箱即可观察设备运行指示灯，实现快速维护；满足光纤弯曲半径大于30mm，具有安全可靠的光纤接续</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286</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9</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2口熔接盒</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端口数：2口(SC口)，尺寸≤120*70*35mm(长宽厚)，采用优质钣金表面静电喷涂</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187</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10</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4口熔接盒</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端口数：4口(SC口)，尺寸≤120*70*35mm(长宽厚)，采用优质钣金表面静电喷涂</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286</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11</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SC法兰盘</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SC单模法兰盘；材料：陶瓷套管，插入损耗(含重复性)≤0.2dB，重复性≥500次，互换性≤0.2dB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3036</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12</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SC单芯尾纤</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SC单模单芯尾纤；依工业标准100%光学测试；低插入损耗，高回波损耗；重复插拔测试≤0.25dB（每500次插拔）</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3036</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645"/>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13</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SC-SC-60公分-普通-单芯-单模光纤跳线</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SC-SC-60公分单模；接头材料：陶瓷套管；重复插拔≤0.2dB（每500次插拔）；插入损耗：SM≤0.3dB，MM≤0.3dB；回波损耗≥50dB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473</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14</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SC-SC-1米-可寻线-单芯-单模光纤跳线</w:t>
            </w:r>
            <w:r/>
          </w:p>
        </w:tc>
        <w:tc>
          <w:tcPr>
            <w:tcBorders>
              <w:top w:val="none" w:color="000000" w:sz="4" w:space="0"/>
              <w:left w:val="none" w:color="000000" w:sz="4" w:space="0"/>
              <w:bottom w:val="single" w:color="000000" w:sz="6" w:space="0"/>
              <w:right w:val="single" w:color="000000" w:sz="6" w:space="0"/>
            </w:tcBorders>
            <w:tcW w:w="5325" w:type="dxa"/>
            <w:vAlign w:val="center"/>
            <w:vMerge w:val="restart"/>
            <w:textDirection w:val="lrTb"/>
            <w:noWrap w:val="false"/>
          </w:tcPr>
          <w:p>
            <w:pPr>
              <w:jc w:val="left"/>
              <w:spacing w:line="378" w:lineRule="exact"/>
            </w:pPr>
            <w:r>
              <w:rPr>
                <w:rFonts w:ascii="宋体" w:hAnsi="宋体" w:cs="宋体"/>
                <w:color w:val="000000"/>
              </w:rPr>
              <w:t xml:space="preserve">接头材料：陶瓷套管；重复插拔≤0.2dB（每500次插拔）；插入损耗SM≤0.3dB，MM≤0.3dB；回波损耗≥50dB。</w:t>
            </w:r>
            <w:r/>
          </w:p>
          <w:p>
            <w:pPr>
              <w:jc w:val="left"/>
              <w:spacing w:line="378" w:lineRule="exact"/>
            </w:pPr>
            <w:r>
              <w:rPr>
                <w:rFonts w:ascii="宋体" w:hAnsi="宋体" w:cs="宋体"/>
                <w:color w:val="000000"/>
              </w:rPr>
              <w:t xml:space="preserve">线缆结构有原来的基础上增加了导光光纤，内置导光光纤，在两端线身上留有光源输入口，无需拔插可通过任意的可见光照明装置快速定位线缆两端的关系</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473</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15</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FC-SC-10米-可寻线-单芯-单模光纤跳线</w:t>
            </w:r>
            <w:r/>
          </w:p>
        </w:tc>
        <w:tc>
          <w:tcPr>
            <w:tcBorders>
              <w:top w:val="none" w:color="000000" w:sz="4" w:space="0"/>
              <w:left w:val="none" w:color="000000" w:sz="4" w:space="0"/>
              <w:bottom w:val="single" w:color="000000" w:sz="6" w:space="0"/>
              <w:right w:val="single" w:color="000000" w:sz="6" w:space="0"/>
            </w:tcBorders>
            <w:tcW w:w="5325" w:type="dxa"/>
            <w:vMerge w:val="continue"/>
            <w:textDirection w:val="lrTb"/>
            <w:noWrap w:val="false"/>
          </w:tcPr>
          <w:p>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70</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根</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16</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FC-SC-5米-铠装-双芯-光纤跳纤</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70</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条</w:t>
            </w:r>
            <w:r/>
          </w:p>
        </w:tc>
      </w:tr>
      <w:tr>
        <w:trPr>
          <w:trHeight w:val="33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17</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FC-SC-10米-铠装-双芯-光纤跳纤</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条</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18</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六类网线</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六类非屏蔽网线</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74</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箱</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19</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六类水晶头</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六类非屏蔽水晶头</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2608</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228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20</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2芯单模软铠装室内光缆</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0.6mm紧包两色光纤x2芯；螺旋钢带铠装“外径2.1mm±0.1mm，单</w:t>
            </w:r>
            <w:r>
              <w:rPr>
                <w:rFonts w:ascii="宋体" w:hAnsi="宋体" w:cs="宋体"/>
                <w:color w:val="000000"/>
              </w:rPr>
              <w:t xml:space="preserve">边壁厚:0.22mm±0.02mm”； 光缆保护套“3.3mm±0.1mm，单边厚度：0.4mm±0.1mm”；最大衰减“0.4dB/km@1310nm、0.3dB/km@1550nm”；工作稳温度“低烟无卤（LSZH）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3.3mm±0.1mm”</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11250</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195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21</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4芯单模软铠装室内光缆</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0.25mm着色裸光纤x4芯；螺旋钢带铠装“2.8mm±0.1mm，单</w:t>
            </w:r>
            <w:r>
              <w:rPr>
                <w:rFonts w:ascii="宋体" w:hAnsi="宋体" w:cs="宋体"/>
                <w:color w:val="000000"/>
              </w:rPr>
              <w:t xml:space="preserve">边壁厚:0.22mm±0.02mm”； 光缆保护套“5.0mm±0.2mm，单边厚度：0.8mm±0.1mm”；最大衰减“0.4dB/km@1310nm、0.3dB/km@1550nm”；工作稳温度“低烟无卤（LSZH）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5.0mm±0.2mm”</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20324</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22</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电源线一</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电源线RVV3*1.0</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10848</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23</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电源线二</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电源线BVVB3*2.5</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405</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24</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明盒</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明盒（86型明盒）</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645</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25</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PVC管</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PVC管（20）</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1230</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26</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软管</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软管（20）</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3805</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27</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线槽</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线槽（3公分）</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1814</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米</w:t>
            </w:r>
            <w:r/>
          </w:p>
        </w:tc>
      </w:tr>
      <w:tr>
        <w:trPr>
          <w:trHeight w:val="30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28</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检修口</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检修口</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18</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个</w:t>
            </w:r>
            <w:r/>
          </w:p>
        </w:tc>
      </w:tr>
      <w:tr>
        <w:trPr>
          <w:trHeight w:val="2940"/>
        </w:trPr>
        <w:tc>
          <w:tcPr>
            <w:tcBorders>
              <w:top w:val="none" w:color="000000" w:sz="4" w:space="0"/>
              <w:left w:val="single" w:color="000000" w:sz="6" w:space="0"/>
              <w:bottom w:val="single" w:color="000000" w:sz="6" w:space="0"/>
              <w:right w:val="single" w:color="000000" w:sz="6" w:space="0"/>
            </w:tcBorders>
            <w:tcW w:w="555" w:type="dxa"/>
            <w:vAlign w:val="center"/>
            <w:textDirection w:val="lrTb"/>
            <w:noWrap w:val="false"/>
          </w:tcPr>
          <w:p>
            <w:pPr>
              <w:jc w:val="center"/>
              <w:spacing w:line="378" w:lineRule="exact"/>
            </w:pPr>
            <w:r>
              <w:rPr>
                <w:rFonts w:ascii="宋体" w:hAnsi="宋体" w:cs="宋体"/>
                <w:color w:val="000000"/>
              </w:rPr>
              <w:t xml:space="preserve">29</w:t>
            </w:r>
            <w:r/>
          </w:p>
        </w:tc>
        <w:tc>
          <w:tcPr>
            <w:tcBorders>
              <w:top w:val="none" w:color="000000" w:sz="4" w:space="0"/>
              <w:left w:val="none" w:color="000000" w:sz="4" w:space="0"/>
              <w:bottom w:val="single" w:color="000000" w:sz="6" w:space="0"/>
              <w:right w:val="single" w:color="000000" w:sz="6" w:space="0"/>
            </w:tcBorders>
            <w:tcW w:w="1560" w:type="dxa"/>
            <w:vAlign w:val="center"/>
            <w:textDirection w:val="lrTb"/>
            <w:noWrap w:val="false"/>
          </w:tcPr>
          <w:p>
            <w:pPr>
              <w:jc w:val="left"/>
              <w:spacing w:line="378" w:lineRule="exact"/>
            </w:pPr>
            <w:r>
              <w:rPr>
                <w:rFonts w:ascii="宋体" w:hAnsi="宋体" w:cs="宋体"/>
                <w:color w:val="000000"/>
              </w:rPr>
              <w:t xml:space="preserve">技术服务费</w:t>
            </w:r>
            <w:r/>
          </w:p>
        </w:tc>
        <w:tc>
          <w:tcPr>
            <w:tcBorders>
              <w:top w:val="none" w:color="000000" w:sz="4" w:space="0"/>
              <w:left w:val="none" w:color="000000" w:sz="4" w:space="0"/>
              <w:bottom w:val="single" w:color="000000" w:sz="6" w:space="0"/>
              <w:right w:val="single" w:color="000000" w:sz="6" w:space="0"/>
            </w:tcBorders>
            <w:tcW w:w="5325" w:type="dxa"/>
            <w:vAlign w:val="center"/>
            <w:textDirection w:val="lrTb"/>
            <w:noWrap w:val="false"/>
          </w:tcPr>
          <w:p>
            <w:pPr>
              <w:jc w:val="left"/>
              <w:spacing w:line="378" w:lineRule="exact"/>
            </w:pPr>
            <w:r>
              <w:rPr>
                <w:rFonts w:ascii="宋体" w:hAnsi="宋体" w:cs="宋体"/>
                <w:color w:val="000000"/>
              </w:rPr>
              <w:t xml:space="preserve">1）室内3036芯软铠光缆熔接调测；</w:t>
            </w:r>
            <w:r/>
          </w:p>
          <w:p>
            <w:pPr>
              <w:jc w:val="left"/>
              <w:spacing w:line="378" w:lineRule="exact"/>
            </w:pPr>
            <w:r>
              <w:rPr>
                <w:rFonts w:ascii="宋体" w:hAnsi="宋体" w:cs="宋体"/>
                <w:color w:val="000000"/>
              </w:rPr>
              <w:t xml:space="preserve">2）核心、AC、BRAS、计费等集成对接调试；</w:t>
            </w:r>
            <w:r/>
          </w:p>
          <w:p>
            <w:pPr>
              <w:jc w:val="left"/>
              <w:spacing w:line="378" w:lineRule="exact"/>
            </w:pPr>
            <w:r>
              <w:rPr>
                <w:rFonts w:ascii="宋体" w:hAnsi="宋体" w:cs="宋体"/>
                <w:color w:val="000000"/>
              </w:rPr>
              <w:t xml:space="preserve">3）本次涉及的无线AP接入调试、二维码张贴；</w:t>
            </w:r>
            <w:r/>
          </w:p>
          <w:p>
            <w:pPr>
              <w:jc w:val="left"/>
              <w:spacing w:line="378" w:lineRule="exact"/>
            </w:pPr>
            <w:r>
              <w:rPr>
                <w:rFonts w:ascii="宋体" w:hAnsi="宋体" w:cs="宋体"/>
                <w:color w:val="000000"/>
              </w:rPr>
              <w:t xml:space="preserve">4）建设区域无线网络手工信道、频宽、功率测试优化；</w:t>
            </w:r>
            <w:r/>
          </w:p>
          <w:p>
            <w:pPr>
              <w:jc w:val="left"/>
              <w:spacing w:line="378" w:lineRule="exact"/>
            </w:pPr>
            <w:r>
              <w:rPr>
                <w:rFonts w:ascii="宋体" w:hAnsi="宋体" w:cs="宋体"/>
                <w:color w:val="000000"/>
              </w:rPr>
              <w:t xml:space="preserve">5）本次涉及的光网ONU接入调试、二维码张贴；</w:t>
            </w:r>
            <w:r/>
          </w:p>
          <w:p>
            <w:pPr>
              <w:jc w:val="left"/>
              <w:spacing w:line="378" w:lineRule="exact"/>
            </w:pPr>
            <w:r>
              <w:rPr>
                <w:rFonts w:ascii="宋体" w:hAnsi="宋体" w:cs="宋体"/>
                <w:color w:val="000000"/>
              </w:rPr>
              <w:t xml:space="preserve">6）建设区域光网络及光衰调整调试、修正；</w:t>
            </w:r>
            <w:r/>
          </w:p>
          <w:p>
            <w:pPr>
              <w:jc w:val="left"/>
              <w:spacing w:line="378" w:lineRule="exact"/>
            </w:pPr>
            <w:r>
              <w:rPr>
                <w:rFonts w:ascii="宋体" w:hAnsi="宋体" w:cs="宋体"/>
                <w:color w:val="000000"/>
              </w:rPr>
              <w:t xml:space="preserve">7）本次涉及的无线AP网线测试（两端），FLUKE测试出报告；</w:t>
            </w:r>
            <w:r/>
          </w:p>
          <w:p>
            <w:pPr>
              <w:jc w:val="left"/>
              <w:spacing w:line="378" w:lineRule="exact"/>
            </w:pPr>
            <w:r>
              <w:rPr>
                <w:rFonts w:ascii="宋体" w:hAnsi="宋体" w:cs="宋体"/>
                <w:color w:val="000000"/>
              </w:rPr>
              <w:t xml:space="preserve">8）本次涉及的多媒体箱软铠光纤，FLUKE测试出报告；</w:t>
            </w:r>
            <w:r/>
          </w:p>
          <w:p>
            <w:pPr>
              <w:jc w:val="left"/>
              <w:spacing w:line="378" w:lineRule="exact"/>
            </w:pPr>
            <w:r>
              <w:rPr>
                <w:rFonts w:ascii="宋体" w:hAnsi="宋体" w:cs="宋体"/>
                <w:color w:val="000000"/>
              </w:rPr>
              <w:t xml:space="preserve">9）光缆、网线、电缆、箱体搬运至学校及施工现场；</w:t>
            </w:r>
            <w:r/>
          </w:p>
        </w:tc>
        <w:tc>
          <w:tcPr>
            <w:tcBorders>
              <w:top w:val="none" w:color="000000" w:sz="4" w:space="0"/>
              <w:left w:val="none" w:color="000000" w:sz="4" w:space="0"/>
              <w:bottom w:val="single" w:color="000000" w:sz="6" w:space="0"/>
              <w:right w:val="single" w:color="000000" w:sz="6" w:space="0"/>
            </w:tcBorders>
            <w:tcW w:w="735" w:type="dxa"/>
            <w:vAlign w:val="center"/>
            <w:textDirection w:val="lrTb"/>
            <w:noWrap w:val="false"/>
          </w:tcPr>
          <w:p>
            <w:pPr>
              <w:jc w:val="center"/>
              <w:spacing w:line="378" w:lineRule="exact"/>
            </w:pPr>
            <w:r>
              <w:rPr>
                <w:rFonts w:ascii="宋体" w:hAnsi="宋体" w:cs="宋体"/>
                <w:color w:val="000000"/>
              </w:rPr>
              <w:t xml:space="preserve">1</w:t>
            </w:r>
            <w:r/>
          </w:p>
        </w:tc>
        <w:tc>
          <w:tcPr>
            <w:tcBorders>
              <w:top w:val="none" w:color="000000" w:sz="4" w:space="0"/>
              <w:left w:val="none" w:color="000000" w:sz="4" w:space="0"/>
              <w:bottom w:val="single" w:color="000000" w:sz="6" w:space="0"/>
              <w:right w:val="single" w:color="000000" w:sz="6" w:space="0"/>
            </w:tcBorders>
            <w:tcW w:w="420" w:type="dxa"/>
            <w:vAlign w:val="center"/>
            <w:textDirection w:val="lrTb"/>
            <w:noWrap w:val="false"/>
          </w:tcPr>
          <w:p>
            <w:pPr>
              <w:jc w:val="center"/>
              <w:spacing w:line="378" w:lineRule="exact"/>
            </w:pPr>
            <w:r>
              <w:rPr>
                <w:rFonts w:ascii="宋体" w:hAnsi="宋体" w:cs="宋体"/>
                <w:color w:val="000000"/>
              </w:rPr>
              <w:t xml:space="preserve">项</w:t>
            </w:r>
            <w:r/>
          </w:p>
        </w:tc>
      </w:tr>
    </w:tbl>
    <w:p>
      <w:pPr>
        <w:ind w:firstLine="210"/>
        <w:jc w:val="left"/>
        <w:spacing w:line="378" w:lineRule="exact"/>
      </w:pPr>
      <w:r/>
      <w:r/>
    </w:p>
    <w:p>
      <w:pPr>
        <w:jc w:val="left"/>
        <w:spacing w:before="315" w:after="150" w:line="378" w:lineRule="exact"/>
      </w:pPr>
      <w:r>
        <w:rPr>
          <w:rFonts w:ascii="宋体" w:hAnsi="宋体" w:cs="宋体"/>
          <w:b/>
          <w:color w:val="000000"/>
        </w:rPr>
        <w:t xml:space="preserve">七、教室网络建设方案</w:t>
      </w:r>
      <w:r/>
    </w:p>
    <w:p>
      <w:pPr>
        <w:jc w:val="left"/>
        <w:spacing w:before="165" w:after="75" w:line="378" w:lineRule="exact"/>
      </w:pPr>
      <w:r>
        <w:rPr>
          <w:rFonts w:ascii="宋体" w:hAnsi="宋体" w:cs="宋体"/>
          <w:color w:val="000000"/>
        </w:rPr>
        <w:t xml:space="preserve">1. 组网方式</w:t>
      </w:r>
      <w:r/>
    </w:p>
    <w:p>
      <w:pPr>
        <w:ind w:firstLine="210"/>
        <w:jc w:val="left"/>
        <w:spacing w:line="378" w:lineRule="exact"/>
      </w:pPr>
      <w:r>
        <w:rPr>
          <w:rFonts w:ascii="宋体" w:hAnsi="宋体" w:cs="宋体"/>
          <w:color w:val="000000"/>
        </w:rPr>
        <w:t xml:space="preserve"> 本次教室场景采用FTTH（光纤入户）方式，通过10G PON对等全光接入架构建设综合业务承载网，采用双开门多媒体箱部署在每教室前墙，每教室放置一台ONU，ONU支持POE功能，同时为AP提供网络连接和供电。</w:t>
      </w:r>
      <w:r/>
    </w:p>
    <w:p>
      <w:pPr>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本次对等全光接入架构的分光模式为：一级分光模式，分光器安装于壁挂箱中，各分光器通过桥架和管道将光缆延伸到教室多媒体箱，连接ONU设备。</w:t>
      </w:r>
      <w:r/>
    </w:p>
    <w:p>
      <w:pPr>
        <w:ind w:firstLine="210"/>
        <w:jc w:val="left"/>
        <w:spacing w:line="378" w:lineRule="exact"/>
      </w:pPr>
      <w:r>
        <w:rPr>
          <w:rFonts w:ascii="宋体" w:hAnsi="宋体" w:cs="宋体"/>
          <w:color w:val="000000"/>
        </w:rPr>
        <w:t xml:space="preserve"> 同时根据区域房间分布情况，以及考虑未来的扩展性需要，本次教室设计采用的分光比最大不超过1:16间教室。</w:t>
      </w:r>
      <w:r/>
    </w:p>
    <w:p>
      <w:pPr>
        <w:jc w:val="left"/>
        <w:spacing w:before="165" w:after="75" w:line="378" w:lineRule="exact"/>
      </w:pPr>
      <w:r>
        <w:rPr>
          <w:rFonts w:ascii="宋体" w:hAnsi="宋体" w:cs="宋体"/>
          <w:color w:val="000000"/>
        </w:rPr>
        <w:t xml:space="preserve">2. 教室组网结构图</w:t>
      </w:r>
      <w:r/>
    </w:p>
    <w:p>
      <w:pPr>
        <w:jc w:val="left"/>
      </w:pPr>
      <w:r>
        <mc:AlternateContent>
          <mc:Choice Requires="wpg">
            <w:drawing>
              <wp:inline xmlns:wp="http://schemas.openxmlformats.org/drawingml/2006/wordprocessingDrawing" distT="0" distB="0" distL="0" distR="0">
                <wp:extent cx="5400675" cy="1036955"/>
                <wp:effectExtent l="0" t="0" r="9525" b="14604"/>
                <wp:docPr id="7" name="Drawing 0" descr="191300dd7ad44a058d0a15da14997a80-37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0" descr="191300dd7ad44a058d0a15da14997a80-37b4.png"/>
                        <pic:cNvPicPr>
                          <a:picLocks noChangeAspect="1"/>
                        </pic:cNvPicPr>
                        <pic:nvPr/>
                      </pic:nvPicPr>
                      <pic:blipFill>
                        <a:blip r:embed="rId19"/>
                        <a:stretch/>
                      </pic:blipFill>
                      <pic:spPr bwMode="auto">
                        <a:xfrm>
                          <a:off x="0" y="0"/>
                          <a:ext cx="5400675" cy="10374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81.6pt;mso-wrap-distance-left:0.0pt;mso-wrap-distance-top:0.0pt;mso-wrap-distance-right:0.0pt;mso-wrap-distance-bottom:0.0pt;" stroked="false">
                <v:path textboxrect="0,0,0,0"/>
                <v:imagedata r:id="rId19" o:title=""/>
              </v:shape>
            </w:pict>
          </mc:Fallback>
        </mc:AlternateContent>
      </w:r>
      <w:r/>
    </w:p>
    <w:p>
      <w:pPr>
        <w:jc w:val="left"/>
        <w:spacing w:before="165" w:after="75" w:line="378" w:lineRule="exact"/>
      </w:pPr>
      <w:r>
        <w:rPr>
          <w:rFonts w:ascii="宋体" w:hAnsi="宋体" w:cs="宋体"/>
          <w:color w:val="000000"/>
        </w:rPr>
        <w:t xml:space="preserve">3. 教室建设实施原则</w:t>
      </w:r>
      <w:r/>
    </w:p>
    <w:p>
      <w:pPr>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ind w:firstLine="210"/>
        <w:jc w:val="left"/>
        <w:spacing w:line="378" w:lineRule="exact"/>
      </w:pPr>
      <w:r>
        <w:rPr>
          <w:rFonts w:ascii="宋体" w:hAnsi="宋体" w:cs="宋体"/>
          <w:color w:val="000000"/>
        </w:rPr>
        <w:t xml:space="preserve"> 2) 光承载网采用FTTH（光入户）的建设方式。每教室入户部署8口ONU设备，ONU安装于房间内双开门多媒体箱中，多媒体箱部署于教室前墙。</w:t>
      </w:r>
      <w:r/>
    </w:p>
    <w:p>
      <w:pPr>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w:t>
      </w:r>
      <w:r/>
    </w:p>
    <w:p>
      <w:pPr>
        <w:ind w:firstLine="210"/>
        <w:jc w:val="left"/>
        <w:spacing w:line="378" w:lineRule="exact"/>
      </w:pPr>
      <w:r>
        <w:rPr>
          <w:rFonts w:ascii="宋体" w:hAnsi="宋体" w:cs="宋体"/>
          <w:color w:val="000000"/>
        </w:rPr>
        <w:t xml:space="preserve"> 4) 双开门每多媒体箱内引入4芯软铠装光纤，为箱内设备提供上联接入。</w:t>
      </w:r>
      <w:r/>
    </w:p>
    <w:p>
      <w:pPr>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多媒体箱内软铠装光纤上联至楼宇壁挂箱，部分已完成楼宇改造的已具备壁挂箱，其余楼宇未有壁挂箱须增加。壁挂箱箱体内用于汇聚熔接各多媒体箱内的光纤。</w:t>
      </w:r>
      <w:r/>
    </w:p>
    <w:p>
      <w:pPr>
        <w:jc w:val="left"/>
        <w:spacing w:before="315" w:after="150" w:line="378" w:lineRule="exact"/>
      </w:pPr>
      <w:r>
        <w:rPr>
          <w:rFonts w:ascii="宋体" w:hAnsi="宋体" w:cs="宋体"/>
          <w:b/>
          <w:color w:val="000000"/>
        </w:rPr>
        <w:t xml:space="preserve">八、办公区网络建设方案</w:t>
      </w:r>
      <w:r/>
    </w:p>
    <w:p>
      <w:pPr>
        <w:ind w:left="840"/>
        <w:jc w:val="left"/>
        <w:spacing w:before="165" w:after="75" w:line="378" w:lineRule="exact"/>
      </w:pPr>
      <w:r>
        <w:rPr>
          <w:rFonts w:ascii="宋体" w:hAnsi="宋体" w:cs="宋体"/>
          <w:color w:val="000000"/>
        </w:rPr>
        <w:t xml:space="preserve">1. 组网方式</w:t>
      </w:r>
      <w:r/>
    </w:p>
    <w:p>
      <w:pPr>
        <w:ind w:firstLine="210"/>
        <w:jc w:val="left"/>
        <w:spacing w:line="378" w:lineRule="exact"/>
      </w:pPr>
      <w:r>
        <w:rPr>
          <w:rFonts w:ascii="宋体" w:hAnsi="宋体" w:cs="宋体"/>
          <w:color w:val="000000"/>
        </w:rPr>
        <w:t xml:space="preserve"> 办公区建设模式为FTTB的方式，通过10G PON对等全光接入架构建设综合业务承载网；入户部署面板AP或放装AP的方式实现无线入户，面板AP设备布放在进门门头的位置，走廊通过房间内的无线客户接入端实现2.4G信号覆盖，房间内5G高速率信号覆盖，提高用户使用体验。</w:t>
      </w:r>
      <w:r/>
    </w:p>
    <w:p>
      <w:pPr>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本次对等全光接入架构的分光模式为：一级分光模式，分光器安装于壁挂箱中，各分光器通过桥架和管道将光缆延伸到房间，连接ONU设备。</w:t>
      </w:r>
      <w:r/>
    </w:p>
    <w:p>
      <w:pPr>
        <w:ind w:firstLine="210"/>
        <w:jc w:val="left"/>
        <w:spacing w:line="378" w:lineRule="exact"/>
      </w:pPr>
      <w:r>
        <w:rPr>
          <w:rFonts w:ascii="宋体" w:hAnsi="宋体" w:cs="宋体"/>
          <w:color w:val="000000"/>
        </w:rPr>
        <w:t xml:space="preserve"> 同时根据区域房间分布情况，本次办公区设计采用的分光比最大不超过1:32间房间。</w:t>
      </w:r>
      <w:r/>
    </w:p>
    <w:p>
      <w:pPr>
        <w:ind w:left="840"/>
        <w:jc w:val="left"/>
        <w:spacing w:before="165" w:after="75" w:line="378" w:lineRule="exact"/>
      </w:pPr>
      <w:r>
        <w:rPr>
          <w:rFonts w:ascii="宋体" w:hAnsi="宋体" w:cs="宋体"/>
          <w:color w:val="000000"/>
        </w:rPr>
        <w:t xml:space="preserve">2. 办公组网结构图</w:t>
      </w:r>
      <w:r/>
    </w:p>
    <w:p>
      <w:pPr>
        <w:jc w:val="left"/>
      </w:pPr>
      <w:r>
        <mc:AlternateContent>
          <mc:Choice Requires="wpg">
            <w:drawing>
              <wp:inline xmlns:wp="http://schemas.openxmlformats.org/drawingml/2006/wordprocessingDrawing" distT="0" distB="0" distL="0" distR="0">
                <wp:extent cx="5391150" cy="1095375"/>
                <wp:effectExtent l="0" t="0" r="3810" b="1905"/>
                <wp:docPr id="8" name="Drawing 1" descr="191300dd7ad44a058d0a15da14997a80-1b5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1" descr="191300dd7ad44a058d0a15da14997a80-1b57f.png"/>
                        <pic:cNvPicPr>
                          <a:picLocks noChangeAspect="1"/>
                        </pic:cNvPicPr>
                        <pic:nvPr/>
                      </pic:nvPicPr>
                      <pic:blipFill>
                        <a:blip r:embed="rId20"/>
                        <a:stretch/>
                      </pic:blipFill>
                      <pic:spPr bwMode="auto">
                        <a:xfrm>
                          <a:off x="0" y="0"/>
                          <a:ext cx="5391150" cy="10960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4.5pt;height:86.2pt;mso-wrap-distance-left:0.0pt;mso-wrap-distance-top:0.0pt;mso-wrap-distance-right:0.0pt;mso-wrap-distance-bottom:0.0pt;" stroked="false">
                <v:path textboxrect="0,0,0,0"/>
                <v:imagedata r:id="rId20" o:title=""/>
              </v:shape>
            </w:pict>
          </mc:Fallback>
        </mc:AlternateContent>
      </w:r>
      <w:r/>
    </w:p>
    <w:p>
      <w:pPr>
        <w:ind w:left="840"/>
        <w:jc w:val="left"/>
        <w:spacing w:before="165" w:after="75" w:line="378" w:lineRule="exact"/>
      </w:pPr>
      <w:r>
        <w:rPr>
          <w:rFonts w:ascii="宋体" w:hAnsi="宋体" w:cs="宋体"/>
          <w:color w:val="000000"/>
        </w:rPr>
        <w:t xml:space="preserve">3. 办公建设实施原则</w:t>
      </w:r>
      <w:r/>
    </w:p>
    <w:p>
      <w:pPr>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ind w:firstLine="210"/>
        <w:jc w:val="left"/>
        <w:spacing w:line="378" w:lineRule="exact"/>
      </w:pPr>
      <w:r>
        <w:rPr>
          <w:rFonts w:ascii="宋体" w:hAnsi="宋体" w:cs="宋体"/>
          <w:color w:val="000000"/>
        </w:rPr>
        <w:t xml:space="preserve"> 2) 光承载网采用FTTB（光入楼层）的建设方式。过道部署4口/8口ONU设备，ONU安装于过道单开门多媒体箱中。行政楼采用24口ONU安装于现有弱电间机柜内的方式。</w:t>
      </w:r>
      <w:r/>
    </w:p>
    <w:p>
      <w:pPr>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楼宇内每多媒体箱中布放一个电源，电源线缆汇聚到强电间内，用单独的空开控制整栋楼宇多媒体箱，空开安置于物管办公室。</w:t>
      </w:r>
      <w:r/>
    </w:p>
    <w:p>
      <w:pPr>
        <w:ind w:firstLine="210"/>
        <w:jc w:val="left"/>
        <w:spacing w:line="378" w:lineRule="exact"/>
      </w:pPr>
      <w:r>
        <w:rPr>
          <w:rFonts w:ascii="宋体" w:hAnsi="宋体" w:cs="宋体"/>
          <w:color w:val="000000"/>
        </w:rPr>
        <w:t xml:space="preserve"> 4) 单开门每多媒体箱内引入2芯软铠装光纤，为箱内设备提供上联接入。</w:t>
      </w:r>
      <w:r/>
    </w:p>
    <w:p>
      <w:pPr>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w:t>
      </w:r>
      <w:r/>
    </w:p>
    <w:p>
      <w:pPr>
        <w:ind w:left="840"/>
        <w:jc w:val="left"/>
        <w:spacing w:before="165" w:after="75" w:line="378" w:lineRule="exact"/>
      </w:pPr>
      <w:r>
        <w:rPr>
          <w:rFonts w:ascii="宋体" w:hAnsi="宋体" w:cs="宋体"/>
          <w:color w:val="000000"/>
        </w:rPr>
        <w:t xml:space="preserve">4. 部分楼宇新增光纤壁挂箱要求</w:t>
      </w:r>
      <w:r/>
    </w:p>
    <w:p>
      <w:pPr>
        <w:ind w:firstLine="210"/>
        <w:jc w:val="left"/>
        <w:spacing w:line="378" w:lineRule="exact"/>
      </w:pPr>
      <w:r>
        <w:rPr>
          <w:rFonts w:ascii="宋体" w:hAnsi="宋体" w:cs="宋体"/>
          <w:color w:val="000000"/>
        </w:rPr>
        <w:t xml:space="preserve"> 1) 采用单独的箱体部署于楼宇内用于光纤汇聚连接；</w:t>
      </w:r>
      <w:r/>
    </w:p>
    <w:p>
      <w:pPr>
        <w:ind w:firstLine="210"/>
        <w:jc w:val="left"/>
        <w:spacing w:line="378" w:lineRule="exact"/>
      </w:pPr>
      <w:r>
        <w:rPr>
          <w:rFonts w:ascii="宋体" w:hAnsi="宋体" w:cs="宋体"/>
          <w:color w:val="000000"/>
        </w:rPr>
        <w:t xml:space="preserve"> 2) 箱体采用分层设计模式：上层结构“用于汇聚各教室/办公走廊内的多媒体箱的铠装软光纤”；中层结构“用于安装插片式分光器，来为楼宇房间进行分光设计”；下层结构“可用于连接楼宇的主干光缆”。各层间，采用可寻线光纤跳线进行连接。</w:t>
      </w:r>
      <w:r/>
    </w:p>
    <w:p>
      <w:pPr>
        <w:jc w:val="left"/>
        <w:spacing w:before="315" w:after="150" w:line="378" w:lineRule="exact"/>
      </w:pPr>
      <w:r>
        <w:rPr>
          <w:rFonts w:ascii="宋体" w:hAnsi="宋体" w:cs="宋体"/>
          <w:b/>
          <w:color w:val="000000"/>
        </w:rPr>
        <w:t xml:space="preserve">九、总实施集成要求</w:t>
      </w:r>
      <w:r/>
    </w:p>
    <w:p>
      <w:pPr>
        <w:ind w:firstLine="210"/>
        <w:jc w:val="left"/>
        <w:spacing w:line="378" w:lineRule="exact"/>
      </w:pPr>
      <w:r>
        <w:rPr>
          <w:rFonts w:ascii="宋体" w:hAnsi="宋体" w:cs="宋体"/>
          <w:color w:val="000000"/>
        </w:rPr>
        <w:t xml:space="preserve"> 1. 中选单位须提供专业的设备安装服务，包括设备的通信组网、调试及开通。本项目在交付过程中，要求中选单位提供楼宇无线接入端、光网ONU点位深化设计并出具点位图纸，提交用户方认可后方可进场。</w:t>
      </w:r>
      <w:r/>
    </w:p>
    <w:p>
      <w:pPr>
        <w:ind w:firstLine="210"/>
        <w:jc w:val="left"/>
        <w:spacing w:line="378" w:lineRule="exact"/>
      </w:pPr>
      <w:r>
        <w:rPr>
          <w:rFonts w:ascii="宋体" w:hAnsi="宋体" w:cs="宋体"/>
          <w:color w:val="000000"/>
        </w:rPr>
        <w:t xml:space="preserve"> 2. 网线须采用六类非屏蔽双绞线缆。</w:t>
      </w:r>
      <w:r/>
    </w:p>
    <w:p>
      <w:pPr>
        <w:ind w:firstLine="210"/>
        <w:jc w:val="left"/>
        <w:spacing w:line="378" w:lineRule="exact"/>
      </w:pPr>
      <w:r>
        <w:rPr>
          <w:rFonts w:ascii="宋体" w:hAnsi="宋体" w:cs="宋体"/>
          <w:color w:val="000000"/>
        </w:rPr>
        <w:t xml:space="preserve"> 3. 光网信息点光缆须采用软铠装室内光缆，螺旋钢带铠装保护层。</w:t>
      </w:r>
      <w:r/>
    </w:p>
    <w:p>
      <w:pPr>
        <w:ind w:firstLine="210"/>
        <w:jc w:val="left"/>
        <w:spacing w:line="378" w:lineRule="exact"/>
      </w:pPr>
      <w:r>
        <w:rPr>
          <w:rFonts w:ascii="宋体" w:hAnsi="宋体" w:cs="宋体"/>
          <w:color w:val="000000"/>
        </w:rPr>
        <w:t xml:space="preserve"> 4. 多媒体箱体需采用优质钣金材质，表面静电喷涂，有较好的机械强度，外型美观大方，坚固耐用。</w:t>
      </w:r>
      <w:r/>
    </w:p>
    <w:p>
      <w:pPr>
        <w:ind w:firstLine="210"/>
        <w:jc w:val="left"/>
        <w:spacing w:line="378" w:lineRule="exact"/>
      </w:pPr>
      <w:r>
        <w:rPr>
          <w:rFonts w:ascii="宋体" w:hAnsi="宋体" w:cs="宋体"/>
          <w:color w:val="000000"/>
        </w:rPr>
        <w:t xml:space="preserve"> 5. 本项目为光网改造，需配备“衰减器”来控制光链路的光衰强度，确保在“-15dB ~ -25dB”范围内，增强接入网络稳定性。</w:t>
      </w:r>
      <w:r/>
    </w:p>
    <w:p>
      <w:pPr>
        <w:ind w:firstLine="210"/>
        <w:jc w:val="left"/>
        <w:spacing w:line="378" w:lineRule="exact"/>
      </w:pPr>
      <w:r>
        <w:rPr>
          <w:rFonts w:ascii="宋体" w:hAnsi="宋体" w:cs="宋体"/>
          <w:color w:val="000000"/>
        </w:rPr>
        <w:t xml:space="preserve"> 6. 本项目核心机房内光纤跳线等线缆，均使用可寻线类型的跳线，无需单独对线缆张贴纸质标签，但需提供核心机房内本次项目所建设设备的互联拓扑及互联描述文档。</w:t>
      </w:r>
      <w:r/>
    </w:p>
    <w:p>
      <w:pPr>
        <w:ind w:firstLine="210"/>
        <w:jc w:val="left"/>
        <w:spacing w:line="378" w:lineRule="exact"/>
      </w:pPr>
      <w:r>
        <w:rPr>
          <w:rFonts w:ascii="宋体" w:hAnsi="宋体" w:cs="宋体"/>
          <w:color w:val="000000"/>
        </w:rPr>
        <w:t xml:space="preserve"> 7. 本项目所需要无线接入端、箱体均须使用机打二维码标签进行标注及管理。</w:t>
      </w:r>
      <w:r/>
    </w:p>
    <w:p>
      <w:pPr>
        <w:ind w:firstLine="210"/>
        <w:jc w:val="left"/>
        <w:spacing w:line="378" w:lineRule="exact"/>
      </w:pPr>
      <w:r>
        <w:rPr>
          <w:rFonts w:ascii="宋体" w:hAnsi="宋体" w:cs="宋体"/>
          <w:color w:val="000000"/>
        </w:rPr>
        <w:t xml:space="preserve"> 8. 中标单位在设备安装过程中如需进行打孔、切割、进户等有较大噪音及需要采购人现场配合的工作时，必须考虑采购人的实际情况，只能在事先约定的时间进场安装。希望中标单位充分考虑此情况，合理安排时间，以便能在规定的时间内，保质保量地完成相关工作。</w:t>
      </w:r>
      <w:r/>
    </w:p>
    <w:p>
      <w:pPr>
        <w:ind w:firstLine="210"/>
        <w:jc w:val="left"/>
        <w:spacing w:line="378" w:lineRule="exact"/>
      </w:pPr>
      <w:r>
        <w:rPr>
          <w:rFonts w:ascii="宋体" w:hAnsi="宋体" w:cs="宋体"/>
          <w:color w:val="000000"/>
        </w:rPr>
        <w:t xml:space="preserve"> 9. PVC管及线缆敷设说明</w:t>
      </w:r>
      <w:r/>
    </w:p>
    <w:p>
      <w:pPr>
        <w:ind w:firstLine="210"/>
        <w:jc w:val="left"/>
        <w:spacing w:line="378" w:lineRule="exact"/>
      </w:pPr>
      <w:r>
        <w:rPr>
          <w:rFonts w:ascii="宋体" w:hAnsi="宋体" w:cs="宋体"/>
          <w:color w:val="000000"/>
        </w:rPr>
        <w:t xml:space="preserve"> 每个无线点布放的线缆种类，数量必须严格按照设计图纸的要求执行。所有敷设的线缆两头要求进行标记，线缆长度必须留足，并要有一定的余量。</w:t>
      </w:r>
      <w:r/>
    </w:p>
    <w:p>
      <w:pPr>
        <w:ind w:firstLine="210"/>
        <w:jc w:val="left"/>
        <w:spacing w:line="378" w:lineRule="exact"/>
      </w:pPr>
      <w:r>
        <w:rPr>
          <w:rFonts w:ascii="宋体" w:hAnsi="宋体" w:cs="宋体"/>
          <w:color w:val="000000"/>
        </w:rPr>
        <w:t xml:space="preserve"> 避免线缆弯曲超过90度；避免过紧的缠绕线缆；不可损坏线缆的外皮；不可切坏缆内的各单芯护套及芯线；对线缆的接续分接头或修理均不容许。损坏的或破裂的线缆必须除去。垂直干线如光缆、电缆敷设时,每隔1.5～2米用线扎固定在桥架内壁上，避免线缆自重损坏线缆。在牵引和绑扎线缆时，要求清除线缆上的应力，不要过紧的绑扎线缆。</w:t>
      </w:r>
      <w:r/>
    </w:p>
    <w:p>
      <w:pPr>
        <w:ind w:firstLine="210"/>
        <w:jc w:val="left"/>
        <w:spacing w:line="378" w:lineRule="exact"/>
      </w:pPr>
      <w:r>
        <w:rPr>
          <w:rFonts w:ascii="宋体" w:hAnsi="宋体" w:cs="宋体"/>
          <w:color w:val="000000"/>
        </w:rPr>
        <w:t xml:space="preserve"> 除以上说明外，需按照国家GB/T50312-2000规范和相关的电气安装规范进行安装。</w:t>
      </w:r>
      <w:r/>
    </w:p>
    <w:p>
      <w:pPr>
        <w:ind w:firstLine="210"/>
        <w:jc w:val="left"/>
        <w:spacing w:line="378" w:lineRule="exact"/>
      </w:pPr>
      <w:r>
        <w:rPr>
          <w:rFonts w:ascii="宋体" w:hAnsi="宋体" w:cs="宋体"/>
          <w:color w:val="000000"/>
        </w:rPr>
        <w:t xml:space="preserve"> 10. 安装结束后，必须及时完成楼宇现场的恢复清理，确保墙面、楼道等整洁美观。</w:t>
      </w:r>
      <w:r/>
    </w:p>
    <w:p>
      <w:pPr>
        <w:ind w:firstLine="210"/>
        <w:jc w:val="left"/>
        <w:spacing w:line="378" w:lineRule="exact"/>
      </w:pPr>
      <w:r>
        <w:rPr>
          <w:rFonts w:ascii="宋体" w:hAnsi="宋体" w:cs="宋体"/>
          <w:color w:val="000000"/>
        </w:rPr>
        <w:t xml:space="preserve"> 11. 项目验收前，中标单位须提供项目建设的完整文档资料，包括所有无线接入端、ONU的安装部署图纸、整体拓扑结构、所有设备IP地址表、项目调试配置文档、线缆点位数据表、光缆对应表、所有线缆的测试报告（需使用专业设备如Fluke测试仪进行测试）等相关技术资料，以便今后的管理和维护。</w:t>
      </w:r>
      <w:r/>
    </w:p>
    <w:p>
      <w:pPr>
        <w:ind w:firstLine="210"/>
        <w:jc w:val="left"/>
        <w:spacing w:line="378" w:lineRule="exact"/>
      </w:pPr>
      <w:r/>
      <w:r/>
    </w:p>
    <w:p>
      <w:pPr>
        <w:spacing w:line="120" w:lineRule="exact"/>
      </w:pPr>
      <w:r/>
      <w:r/>
    </w:p>
    <w:p>
      <w:pPr>
        <w:jc w:val="left"/>
        <w:spacing w:before="145" w:after="145"/>
        <w:outlineLvl w:val="0"/>
      </w:pPr>
      <w:r>
        <w:rPr>
          <w:rFonts w:ascii="宋体" w:hAnsi="宋体" w:cs="宋体"/>
          <w:b/>
          <w:color w:val="000000"/>
          <w:sz w:val="28"/>
        </w:rPr>
        <w:t xml:space="preserve">第四部分 服务要求</w:t>
      </w:r>
      <w:r/>
    </w:p>
    <w:p>
      <w:pPr>
        <w:jc w:val="left"/>
      </w:pPr>
      <w:r>
        <w:rPr>
          <w:rFonts w:ascii="宋体" w:hAnsi="宋体" w:cs="宋体"/>
          <w:color w:val="000000"/>
          <w:sz w:val="20"/>
        </w:rPr>
        <w:t xml:space="preserve">（配套服务、增值服务、维保服务等）</w:t>
      </w:r>
      <w:r/>
    </w:p>
    <w:p>
      <w:pPr>
        <w:spacing w:line="120" w:lineRule="exact"/>
      </w:pPr>
      <w:r/>
      <w:r/>
    </w:p>
    <w:p>
      <w:pPr>
        <w:jc w:val="left"/>
        <w:spacing w:line="378" w:lineRule="exact"/>
      </w:pPr>
      <w:r>
        <w:rPr>
          <w:rFonts w:ascii="宋体" w:hAnsi="宋体" w:cs="宋体"/>
          <w:color w:val="000000"/>
        </w:rPr>
        <w:t xml:space="preserve">1、本项目经甲方验收合格后，乙方将提供整体项目5年质量保证期。质量保证期内，乙方负责对其提供的货物实行免费维修。</w:t>
      </w:r>
      <w:r/>
    </w:p>
    <w:p>
      <w:pPr>
        <w:jc w:val="left"/>
        <w:spacing w:line="378" w:lineRule="exact"/>
      </w:pPr>
      <w:r>
        <w:rPr>
          <w:rFonts w:ascii="宋体" w:hAnsi="宋体" w:cs="宋体"/>
          <w:color w:val="000000"/>
        </w:rPr>
        <w:t xml:space="preserve">2、采购清单中链路负载器、ONU（4口、8口、24口）、面板AP、放装AP，高密AP中标后出具基于本项目原厂5年质保承诺函（自终验合格之日起计算）。</w:t>
      </w:r>
      <w:r/>
    </w:p>
    <w:p>
      <w:pPr>
        <w:jc w:val="left"/>
        <w:spacing w:line="378" w:lineRule="exact"/>
      </w:pPr>
      <w:r>
        <w:rPr>
          <w:rFonts w:ascii="宋体" w:hAnsi="宋体" w:cs="宋体"/>
          <w:color w:val="000000"/>
        </w:rPr>
        <w:t xml:space="preserve">3、采购清单中智慧运维平台，中标后出具基于本项目原厂3年质保承诺函（自终验合格之日起计算）。</w:t>
      </w:r>
      <w:r/>
    </w:p>
    <w:p>
      <w:pPr>
        <w:ind w:firstLine="420"/>
        <w:spacing w:line="360" w:lineRule="auto"/>
      </w:pPr>
      <w:r>
        <w:rPr>
          <w:rFonts w:ascii="宋体" w:hAnsi="宋体" w:cs="宋体"/>
          <w:color w:val="000000"/>
        </w:rPr>
        <w:t xml:space="preserve">4、中标供应商承诺：本项目免费质保期结束后，所有产品仅为不再升级，但所有功能仍能正常使用并无任何限制。</w:t>
      </w:r>
      <w:r/>
    </w:p>
    <w:p>
      <w:r/>
      <w:r/>
    </w:p>
    <w:p>
      <w:r/>
      <w:bookmarkStart w:id="16" w:name="_Toc24367"/>
      <w:r/>
      <w:bookmarkStart w:id="17" w:name="_Toc15765"/>
      <w:r>
        <w:rPr>
          <w:rFonts w:hint="eastAsia"/>
        </w:rPr>
        <w:br w:type="page" w:clear="all"/>
      </w:r>
      <w:r/>
    </w:p>
    <w:p>
      <w:pPr>
        <w:pStyle w:val="912"/>
        <w:numPr>
          <w:ilvl w:val="0"/>
          <w:numId w:val="0"/>
        </w:numPr>
        <w:spacing w:line="240" w:lineRule="auto"/>
        <w:rPr>
          <w:rFonts w:ascii="宋体" w:hAnsi="宋体" w:cs="Arial"/>
        </w:rPr>
      </w:pPr>
      <w:r/>
      <w:bookmarkStart w:id="18" w:name="_Toc8691"/>
      <w:r>
        <w:rPr>
          <w:rFonts w:hint="eastAsia"/>
        </w:rPr>
        <w:t xml:space="preserve">第五章</w:t>
      </w:r>
      <w:bookmarkEnd w:id="16"/>
      <w:r>
        <w:rPr>
          <w:rFonts w:hint="eastAsia" w:ascii="宋体" w:hAnsi="宋体" w:cs="Arial"/>
        </w:rPr>
        <w:t xml:space="preserve">主要条款及格式</w:t>
      </w:r>
      <w:bookmarkEnd w:id="17"/>
      <w:r/>
      <w:bookmarkEnd w:id="18"/>
      <w:r/>
      <w:r/>
    </w:p>
    <w:p>
      <w:r/>
      <w:r/>
    </w:p>
    <w:p>
      <w:r/>
      <w:r/>
    </w:p>
    <w:p>
      <w:r/>
      <w:r/>
    </w:p>
    <w:p>
      <w:r/>
      <w:r/>
    </w:p>
    <w:p>
      <w:r/>
      <w:r/>
    </w:p>
    <w:p>
      <w:pPr>
        <w:jc w:val="center"/>
      </w:pPr>
      <w:r>
        <w:rPr>
          <w:rFonts w:ascii="黑体" w:hAnsi="黑体" w:eastAsia="黑体"/>
          <w:b/>
          <w:sz w:val="52"/>
        </w:rPr>
        <w:t xml:space="preserve">采购合同</w:t>
      </w:r>
      <w:r/>
    </w:p>
    <w:p>
      <w:r/>
      <w:r/>
    </w:p>
    <w:p>
      <w:pPr>
        <w:jc w:val="center"/>
      </w:pPr>
      <w:r/>
      <w:r/>
    </w:p>
    <w:p>
      <w:r/>
      <w:r/>
    </w:p>
    <w:p>
      <w:r/>
      <w:r/>
    </w:p>
    <w:p>
      <w:r/>
      <w:r/>
    </w:p>
    <w:p>
      <w:r/>
      <w:r/>
    </w:p>
    <w:p>
      <w:r/>
      <w:r/>
    </w:p>
    <w:p>
      <w:r/>
      <w:r/>
    </w:p>
    <w:p>
      <w:r/>
      <w:r/>
    </w:p>
    <w:p>
      <w:r/>
      <w:r/>
    </w:p>
    <w:p>
      <w:pPr>
        <w:jc w:val="center"/>
      </w:pPr>
      <w:r>
        <w:rPr>
          <w:rFonts w:ascii="宋体" w:hAnsi="宋体"/>
          <w:sz w:val="28"/>
        </w:rPr>
        <w:t xml:space="preserve">项目名称：</w:t>
      </w:r>
      <w:r/>
    </w:p>
    <w:p>
      <w:pPr>
        <w:jc w:val="center"/>
      </w:pPr>
      <w:r>
        <w:rPr>
          <w:rFonts w:ascii="宋体" w:hAnsi="宋体"/>
          <w:sz w:val="28"/>
        </w:rPr>
        <w:t xml:space="preserve">项目编号：</w:t>
      </w:r>
      <w:r/>
    </w:p>
    <w:p>
      <w:pPr>
        <w:jc w:val="center"/>
      </w:pPr>
      <w:r>
        <w:rPr>
          <w:rFonts w:ascii="宋体" w:hAnsi="宋体"/>
          <w:sz w:val="28"/>
        </w:rPr>
        <w:t xml:space="preserve">合同编号：</w:t>
      </w:r>
      <w:r/>
    </w:p>
    <w:p>
      <w:pPr>
        <w:jc w:val="center"/>
      </w:pPr>
      <w:r>
        <w:rPr>
          <w:rFonts w:ascii="宋体" w:hAnsi="宋体"/>
          <w:sz w:val="28"/>
        </w:rPr>
        <w:t xml:space="preserve">采 购 人：</w:t>
      </w:r>
      <w:r/>
    </w:p>
    <w:p>
      <w:pPr>
        <w:jc w:val="center"/>
      </w:pPr>
      <w:r>
        <w:rPr>
          <w:rFonts w:ascii="宋体" w:hAnsi="宋体"/>
          <w:sz w:val="28"/>
        </w:rPr>
        <w:t xml:space="preserve">供 应 商：</w:t>
      </w:r>
      <w:r/>
    </w:p>
    <w:p>
      <w:pPr>
        <w:jc w:val="center"/>
        <w:rPr>
          <w:rFonts w:ascii="宋体" w:hAnsi="宋体"/>
          <w:sz w:val="28"/>
        </w:rPr>
      </w:pPr>
      <w:r>
        <w:rPr>
          <w:rFonts w:ascii="宋体" w:hAnsi="宋体"/>
          <w:sz w:val="28"/>
        </w:rPr>
      </w:r>
      <w:r/>
    </w:p>
    <w:p>
      <w:pPr>
        <w:jc w:val="center"/>
        <w:rPr>
          <w:rFonts w:ascii="宋体" w:hAnsi="宋体"/>
          <w:sz w:val="28"/>
        </w:rPr>
      </w:pPr>
      <w:r>
        <w:rPr>
          <w:rFonts w:ascii="宋体" w:hAnsi="宋体"/>
          <w:sz w:val="28"/>
        </w:rPr>
      </w:r>
      <w:r/>
    </w:p>
    <w:p>
      <w:pPr>
        <w:jc w:val="center"/>
        <w:rPr>
          <w:rFonts w:ascii="宋体" w:hAnsi="宋体"/>
          <w:sz w:val="28"/>
        </w:rPr>
      </w:pPr>
      <w:r>
        <w:rPr>
          <w:rFonts w:ascii="宋体" w:hAnsi="宋体"/>
          <w:sz w:val="28"/>
        </w:rPr>
      </w:r>
      <w:r/>
    </w:p>
    <w:p>
      <w:pPr>
        <w:jc w:val="center"/>
      </w:pPr>
      <w:r>
        <w:rPr>
          <w:rFonts w:ascii="宋体" w:hAnsi="宋体"/>
          <w:sz w:val="28"/>
        </w:rPr>
        <w:t xml:space="preserve">签订日期：______年____月____日</w:t>
      </w:r>
      <w:r/>
    </w:p>
    <w:p>
      <w:pPr>
        <w:jc w:val="center"/>
      </w:pPr>
      <w:r>
        <w:rPr>
          <w:rFonts w:ascii="宋体" w:hAnsi="宋体"/>
          <w:sz w:val="28"/>
        </w:rPr>
        <w:t xml:space="preserve">签订地点：南京市</w:t>
      </w:r>
      <w:r/>
    </w:p>
    <w:p>
      <w:r>
        <w:br w:type="page" w:clear="all"/>
      </w:r>
      <w:r/>
    </w:p>
    <w:p>
      <w:pPr>
        <w:jc w:val="center"/>
      </w:pPr>
      <w:r>
        <w:rPr>
          <w:rFonts w:ascii="黑体" w:hAnsi="黑体" w:eastAsia="黑体"/>
          <w:b/>
          <w:sz w:val="32"/>
        </w:rPr>
        <w:t xml:space="preserve">合同协议书</w:t>
      </w:r>
      <w:r/>
    </w:p>
    <w:p>
      <w:pPr>
        <w:ind w:firstLine="480"/>
      </w:pPr>
      <w:r>
        <w:rPr>
          <w:rFonts w:ascii="宋体" w:hAnsi="宋体"/>
          <w:sz w:val="24"/>
        </w:rPr>
        <w:t xml:space="preserve">甲方（采购人）：南京艺术学院</w:t>
      </w:r>
      <w:r/>
    </w:p>
    <w:p>
      <w:pPr>
        <w:ind w:firstLine="480"/>
      </w:pPr>
      <w:r>
        <w:rPr>
          <w:rFonts w:ascii="宋体" w:hAnsi="宋体"/>
          <w:sz w:val="24"/>
        </w:rPr>
        <w:t xml:space="preserve">统一社会信用代码：____________________</w:t>
      </w:r>
      <w:r/>
    </w:p>
    <w:p>
      <w:pPr>
        <w:ind w:firstLine="480"/>
      </w:pPr>
      <w:r>
        <w:rPr>
          <w:rFonts w:ascii="宋体" w:hAnsi="宋体"/>
          <w:sz w:val="24"/>
        </w:rPr>
        <w:t xml:space="preserve">地址：南京市北京西路74号</w:t>
      </w:r>
      <w:r/>
    </w:p>
    <w:p>
      <w:pPr>
        <w:ind w:firstLine="480"/>
      </w:pPr>
      <w:r>
        <w:rPr>
          <w:rFonts w:ascii="宋体" w:hAnsi="宋体"/>
          <w:sz w:val="24"/>
        </w:rPr>
        <w:t xml:space="preserve">法定代表人：____________________</w:t>
      </w:r>
      <w:r/>
    </w:p>
    <w:p>
      <w:pPr>
        <w:ind w:firstLine="480"/>
      </w:pPr>
      <w:r>
        <w:rPr>
          <w:rFonts w:ascii="宋体" w:hAnsi="宋体"/>
          <w:sz w:val="24"/>
        </w:rPr>
        <w:t xml:space="preserve">联系人：</w:t>
      </w:r>
      <w:r/>
    </w:p>
    <w:p>
      <w:pPr>
        <w:ind w:firstLine="480"/>
      </w:pPr>
      <w:r>
        <w:rPr>
          <w:rFonts w:ascii="宋体" w:hAnsi="宋体"/>
          <w:sz w:val="24"/>
        </w:rPr>
        <w:t xml:space="preserve">联系电话：</w:t>
      </w:r>
      <w:r/>
    </w:p>
    <w:p>
      <w:pPr>
        <w:ind w:firstLine="480"/>
      </w:pPr>
      <w:r/>
      <w:r/>
    </w:p>
    <w:p>
      <w:pPr>
        <w:ind w:firstLine="480"/>
      </w:pPr>
      <w:r>
        <w:rPr>
          <w:rFonts w:ascii="宋体" w:hAnsi="宋体"/>
          <w:sz w:val="24"/>
        </w:rPr>
        <w:t xml:space="preserve">乙方（供应商）：____________________</w:t>
      </w:r>
      <w:r/>
    </w:p>
    <w:p>
      <w:pPr>
        <w:ind w:firstLine="480"/>
      </w:pPr>
      <w:r>
        <w:rPr>
          <w:rFonts w:ascii="宋体" w:hAnsi="宋体"/>
          <w:sz w:val="24"/>
        </w:rPr>
        <w:t xml:space="preserve">统一社会信用代码：____________________</w:t>
      </w:r>
      <w:r/>
    </w:p>
    <w:p>
      <w:pPr>
        <w:ind w:firstLine="480"/>
      </w:pPr>
      <w:r>
        <w:rPr>
          <w:rFonts w:ascii="宋体" w:hAnsi="宋体"/>
          <w:sz w:val="24"/>
        </w:rPr>
        <w:t xml:space="preserve">地址：____________________</w:t>
      </w:r>
      <w:r/>
    </w:p>
    <w:p>
      <w:pPr>
        <w:ind w:firstLine="480"/>
      </w:pPr>
      <w:r>
        <w:rPr>
          <w:rFonts w:ascii="宋体" w:hAnsi="宋体"/>
          <w:sz w:val="24"/>
        </w:rPr>
        <w:t xml:space="preserve">法定代表人：____________________</w:t>
      </w:r>
      <w:r/>
    </w:p>
    <w:p>
      <w:pPr>
        <w:ind w:firstLine="480"/>
      </w:pPr>
      <w:r>
        <w:rPr>
          <w:rFonts w:ascii="宋体" w:hAnsi="宋体"/>
          <w:sz w:val="24"/>
        </w:rPr>
        <w:t xml:space="preserve">联系人：____________________</w:t>
      </w:r>
      <w:r/>
    </w:p>
    <w:p>
      <w:pPr>
        <w:ind w:firstLine="480"/>
      </w:pPr>
      <w:r>
        <w:rPr>
          <w:rFonts w:ascii="宋体" w:hAnsi="宋体"/>
          <w:sz w:val="24"/>
        </w:rPr>
        <w:t xml:space="preserve">联系电话：____________________</w:t>
      </w:r>
      <w:r/>
    </w:p>
    <w:p>
      <w:pPr>
        <w:ind w:firstLine="480"/>
      </w:pPr>
      <w:r/>
      <w:r/>
    </w:p>
    <w:p>
      <w:pPr>
        <w:ind w:firstLine="480"/>
      </w:pPr>
      <w:r>
        <w:rPr>
          <w:rFonts w:ascii="宋体" w:hAnsi="宋体"/>
          <w:sz w:val="24"/>
        </w:rPr>
        <w:t xml:space="preserve">根据《中华人民共和国民法典》《中华人民共和国政府采购法》及相关法律法规的规定，甲乙双方在平等、自愿、公平和诚实信用的基础上，就直录播教室常态化建设二期项目（校园教学区光网二期）采购事宜，经协商一致，订立本合同。</w:t>
      </w:r>
      <w:r/>
    </w:p>
    <w:p>
      <w:r>
        <w:rPr>
          <w:rFonts w:ascii="黑体" w:hAnsi="黑体" w:eastAsia="黑体"/>
          <w:b/>
          <w:sz w:val="28"/>
        </w:rPr>
        <w:t xml:space="preserve">第一条 合同标的</w:t>
      </w:r>
      <w:r/>
    </w:p>
    <w:p>
      <w:pPr>
        <w:ind w:firstLine="480"/>
      </w:pPr>
      <w:r>
        <w:rPr>
          <w:rFonts w:ascii="宋体" w:hAnsi="宋体"/>
          <w:sz w:val="24"/>
        </w:rPr>
        <w:t xml:space="preserve">1.1 甲方通过政府采购方式确定乙方为直录播教室常态化建设二期项目（校园教学区光网二期）的中标供应商，乙方应按照招标文件、投标文件及本合同约定向甲方提供货物及相关服务。</w:t>
      </w:r>
      <w:r/>
    </w:p>
    <w:p>
      <w:pPr>
        <w:ind w:firstLine="480"/>
      </w:pPr>
      <w:r>
        <w:rPr>
          <w:rFonts w:ascii="宋体" w:hAnsi="宋体"/>
          <w:sz w:val="24"/>
        </w:rPr>
        <w:t xml:space="preserve">1.2 合同标的包括但不限于：链路负载器、ONU设备（8口/4口/24口）、无线AP（面板AP/放装AP/高密AP）、网元设备管理授权、施工及安装辅材、技术服务等，具体内容详见本合同附件一《采购清单及分项报价表》。</w:t>
      </w:r>
      <w:r/>
    </w:p>
    <w:p>
      <w:pPr>
        <w:ind w:firstLine="480"/>
      </w:pPr>
      <w:r>
        <w:rPr>
          <w:rFonts w:ascii="宋体" w:hAnsi="宋体"/>
          <w:sz w:val="24"/>
        </w:rPr>
        <w:t xml:space="preserve">1.3 本项目为"交钥匙"项目，乙方应充分考虑项目建设内容，所提供的设备数量不够的、技术参数中未明确说明但为光网运行不可缺少的配套设备、组件和工作，费用均包含在合同总价中，甲方不予额外增加费用。</w:t>
      </w:r>
      <w:r/>
    </w:p>
    <w:p>
      <w:r>
        <w:rPr>
          <w:rFonts w:ascii="黑体" w:hAnsi="黑体" w:eastAsia="黑体"/>
          <w:b/>
          <w:sz w:val="28"/>
        </w:rPr>
        <w:t xml:space="preserve">第二条 合同金额</w:t>
      </w:r>
      <w:r/>
    </w:p>
    <w:p>
      <w:pPr>
        <w:ind w:firstLine="480"/>
      </w:pPr>
      <w:r>
        <w:rPr>
          <w:rFonts w:ascii="宋体" w:hAnsi="宋体"/>
          <w:sz w:val="24"/>
        </w:rPr>
        <w:t xml:space="preserve">2.1 本合同总金额为人民币（大写）：____________________元整（¥__________元）。</w:t>
      </w:r>
      <w:r/>
    </w:p>
    <w:p>
      <w:pPr>
        <w:ind w:firstLine="480"/>
      </w:pPr>
      <w:r>
        <w:rPr>
          <w:rFonts w:ascii="宋体" w:hAnsi="宋体"/>
          <w:sz w:val="24"/>
        </w:rPr>
        <w:t xml:space="preserve">2.2 合同总价为固定总价包干价，已包含完成本项目所需的设备费、材料费、运输费、保险费、安装调试费、集成费、培训费、售后服务费、税费、利润及其他一切费用。除本合同另有约定外，甲方无需向乙方支付任何其他费用。</w:t>
      </w:r>
      <w:r/>
    </w:p>
    <w:p>
      <w:pPr>
        <w:ind w:firstLine="480"/>
      </w:pPr>
      <w:r>
        <w:rPr>
          <w:rFonts w:ascii="宋体" w:hAnsi="宋体"/>
          <w:sz w:val="24"/>
        </w:rPr>
        <w:t xml:space="preserve">2.3 乙方报价已充分考虑人工、材料、设备、机械、运输、安装、调试、检测、验收、培训、售后服务、利润、税金、政策性文件规定及合同包含的所有风险、责任等各项应有费用。</w:t>
      </w:r>
      <w:r/>
    </w:p>
    <w:p>
      <w:r>
        <w:rPr>
          <w:rFonts w:ascii="黑体" w:hAnsi="黑体" w:eastAsia="黑体"/>
          <w:b/>
          <w:sz w:val="28"/>
        </w:rPr>
        <w:t xml:space="preserve">第三条 交货及安装期限</w:t>
      </w:r>
      <w:r/>
    </w:p>
    <w:p>
      <w:pPr>
        <w:ind w:firstLine="480"/>
      </w:pPr>
      <w:r>
        <w:rPr>
          <w:rFonts w:ascii="宋体" w:hAnsi="宋体"/>
          <w:sz w:val="24"/>
        </w:rPr>
        <w:t xml:space="preserve">3.1 乙方应在本合同签订之日起30日内完成全部设备的交货、安装、调试，并投入正常使用。</w:t>
      </w:r>
      <w:r/>
    </w:p>
    <w:p>
      <w:pPr>
        <w:ind w:firstLine="480"/>
      </w:pPr>
      <w:r>
        <w:rPr>
          <w:rFonts w:ascii="宋体" w:hAnsi="宋体"/>
          <w:sz w:val="24"/>
        </w:rPr>
        <w:t xml:space="preserve">3.2 如遇不可抗力或甲方原因导致工期延误，经甲方书面确认后，工期相应顺延。</w:t>
      </w:r>
      <w:r/>
    </w:p>
    <w:p>
      <w:pPr>
        <w:ind w:firstLine="480"/>
      </w:pPr>
      <w:r>
        <w:rPr>
          <w:rFonts w:ascii="宋体" w:hAnsi="宋体"/>
          <w:sz w:val="24"/>
        </w:rPr>
        <w:t xml:space="preserve">3.3 乙方应在交货前3日书面通知甲方，以便甲方做好接收准备。</w:t>
      </w:r>
      <w:r/>
    </w:p>
    <w:p>
      <w:r>
        <w:rPr>
          <w:rFonts w:ascii="黑体" w:hAnsi="黑体" w:eastAsia="黑体"/>
          <w:b/>
          <w:sz w:val="28"/>
        </w:rPr>
        <w:t xml:space="preserve">第四条 交货地点及方式</w:t>
      </w:r>
      <w:r/>
    </w:p>
    <w:p>
      <w:pPr>
        <w:ind w:firstLine="480"/>
      </w:pPr>
      <w:r>
        <w:rPr>
          <w:rFonts w:ascii="宋体" w:hAnsi="宋体"/>
          <w:sz w:val="24"/>
        </w:rPr>
        <w:t xml:space="preserve">4.1 交货地点：南京艺术学院校内指定地点（甲方另行通知）。</w:t>
      </w:r>
      <w:r/>
    </w:p>
    <w:p>
      <w:pPr>
        <w:ind w:firstLine="480"/>
      </w:pPr>
      <w:r>
        <w:rPr>
          <w:rFonts w:ascii="宋体" w:hAnsi="宋体"/>
          <w:sz w:val="24"/>
        </w:rPr>
        <w:t xml:space="preserve">4.2 交货方式：乙方负责将货物运至交货地点并完成安装调试，运输、装卸、保险等费用由乙方承担。</w:t>
      </w:r>
      <w:r/>
    </w:p>
    <w:p>
      <w:pPr>
        <w:ind w:firstLine="480"/>
      </w:pPr>
      <w:r>
        <w:rPr>
          <w:rFonts w:ascii="宋体" w:hAnsi="宋体"/>
          <w:sz w:val="24"/>
        </w:rPr>
        <w:t xml:space="preserve">4.3 货物的所有权及毁损、灭失风险自货物交付甲方并验收合格之日起转移至甲方。</w:t>
      </w:r>
      <w:r/>
    </w:p>
    <w:p>
      <w:r>
        <w:rPr>
          <w:rFonts w:ascii="黑体" w:hAnsi="黑体" w:eastAsia="黑体"/>
          <w:b/>
          <w:sz w:val="28"/>
        </w:rPr>
        <w:t xml:space="preserve">第五条 质量标准与技术要求</w:t>
      </w:r>
      <w:r/>
    </w:p>
    <w:p>
      <w:pPr>
        <w:ind w:firstLine="480"/>
      </w:pPr>
      <w:r>
        <w:rPr>
          <w:rFonts w:ascii="宋体" w:hAnsi="宋体"/>
          <w:sz w:val="24"/>
        </w:rPr>
        <w:t xml:space="preserve">5.1 乙方提供的货物应是全新、未使用过的正品，符合国家及行业相关质量标准，满足招标文件规定的技术参数要求及乙方投标文件中的承诺。具体技术参数详见本合同附件二《技术参数响应表》。</w:t>
      </w:r>
      <w:r/>
    </w:p>
    <w:p>
      <w:pPr>
        <w:ind w:firstLine="480"/>
      </w:pPr>
      <w:r>
        <w:rPr>
          <w:rFonts w:ascii="宋体" w:hAnsi="宋体"/>
          <w:sz w:val="24"/>
        </w:rPr>
        <w:t xml:space="preserve">5.2 安装施工应符合GB/T50312《综合布线系统工程验收规范》等国家及行业相关规范标准。</w:t>
      </w:r>
      <w:r/>
    </w:p>
    <w:p>
      <w:pPr>
        <w:ind w:firstLine="480"/>
      </w:pPr>
      <w:r>
        <w:rPr>
          <w:rFonts w:ascii="宋体" w:hAnsi="宋体"/>
          <w:sz w:val="24"/>
        </w:rPr>
        <w:t xml:space="preserve">5.3 乙方提供的货物应符合国家关于节能、环保的相关规定。本项目不接受进口产品。</w:t>
      </w:r>
      <w:r/>
    </w:p>
    <w:p>
      <w:pPr>
        <w:ind w:firstLine="480"/>
      </w:pPr>
      <w:r>
        <w:rPr>
          <w:rFonts w:ascii="宋体" w:hAnsi="宋体"/>
          <w:sz w:val="24"/>
        </w:rPr>
        <w:t xml:space="preserve">5.4 如乙方提供的货物与招标文件、投标文件或本合同约定不符，甲方有权要求乙方更换或退货，由此产生的费用由乙方承担。</w:t>
      </w:r>
      <w:r/>
    </w:p>
    <w:p>
      <w:r>
        <w:rPr>
          <w:rFonts w:ascii="黑体" w:hAnsi="黑体" w:eastAsia="黑体"/>
          <w:b/>
          <w:sz w:val="28"/>
        </w:rPr>
        <w:t xml:space="preserve">第六条 包装与运输</w:t>
      </w:r>
      <w:r/>
    </w:p>
    <w:p>
      <w:pPr>
        <w:ind w:firstLine="480"/>
      </w:pPr>
      <w:r>
        <w:rPr>
          <w:rFonts w:ascii="宋体" w:hAnsi="宋体"/>
          <w:sz w:val="24"/>
        </w:rPr>
        <w:t xml:space="preserve">6.1 乙方应按照国家或行业标准对货物进行包装，确保货物在运输过程中不受损坏。包装物一般不回收。</w:t>
      </w:r>
      <w:r/>
    </w:p>
    <w:p>
      <w:pPr>
        <w:ind w:firstLine="480"/>
      </w:pPr>
      <w:r>
        <w:rPr>
          <w:rFonts w:ascii="宋体" w:hAnsi="宋体"/>
          <w:sz w:val="24"/>
        </w:rPr>
        <w:t xml:space="preserve">6.2 每件包装箱内应附详细的装箱单、产品合格证、使用说明书、质量保证书等随机资料。</w:t>
      </w:r>
      <w:r/>
    </w:p>
    <w:p>
      <w:pPr>
        <w:ind w:firstLine="480"/>
      </w:pPr>
      <w:r>
        <w:rPr>
          <w:rFonts w:ascii="宋体" w:hAnsi="宋体"/>
          <w:sz w:val="24"/>
        </w:rPr>
        <w:t xml:space="preserve">6.3 因包装不当或运输原因造成货物损坏的，由乙方负责更换或修复，并承担由此给甲方造成的损失。</w:t>
      </w:r>
      <w:r/>
    </w:p>
    <w:p>
      <w:r/>
      <w:r/>
    </w:p>
    <w:p>
      <w:r>
        <w:rPr>
          <w:rFonts w:ascii="黑体" w:hAnsi="黑体" w:eastAsia="黑体"/>
          <w:b/>
          <w:sz w:val="32"/>
        </w:rPr>
        <w:t xml:space="preserve">第七条 验收</w:t>
      </w:r>
      <w:r/>
    </w:p>
    <w:p>
      <w:pPr>
        <w:ind w:firstLine="480"/>
      </w:pPr>
      <w:r>
        <w:rPr>
          <w:rFonts w:ascii="宋体" w:hAnsi="宋体"/>
          <w:sz w:val="24"/>
        </w:rPr>
        <w:t xml:space="preserve">7.1 验收依据：本合同、招标文件、投标文件、国家及行业相关标准和规范。</w:t>
      </w:r>
      <w:r/>
    </w:p>
    <w:p>
      <w:pPr>
        <w:ind w:firstLine="480"/>
      </w:pPr>
      <w:r>
        <w:rPr>
          <w:rFonts w:ascii="宋体" w:hAnsi="宋体"/>
          <w:sz w:val="24"/>
        </w:rPr>
        <w:t xml:space="preserve">7.2 验收方式及程序：</w:t>
      </w:r>
      <w:r/>
    </w:p>
    <w:p>
      <w:pPr>
        <w:ind w:firstLine="480"/>
      </w:pPr>
      <w:r>
        <w:rPr>
          <w:rFonts w:ascii="宋体" w:hAnsi="宋体"/>
          <w:sz w:val="24"/>
        </w:rPr>
        <w:t xml:space="preserve">（1）到货验收：乙方将货物运至交货地点后，甲方对货物的品种、规格、数量、外观及包装等进行初步查验，签署到货验收单。到货验收不免除乙方对货物内在质量的责任。</w:t>
      </w:r>
      <w:r/>
    </w:p>
    <w:p>
      <w:pPr>
        <w:ind w:firstLine="480"/>
      </w:pPr>
      <w:r>
        <w:rPr>
          <w:rFonts w:ascii="宋体" w:hAnsi="宋体"/>
          <w:sz w:val="24"/>
        </w:rPr>
        <w:t xml:space="preserve">（2）安装调试验收：乙方完成安装调试后，向甲方提出书面验收申请。甲方组织验收小组，按照本合同及招标文件要求对项目进行验收。</w:t>
      </w:r>
      <w:r/>
    </w:p>
    <w:p>
      <w:pPr>
        <w:ind w:firstLine="480"/>
      </w:pPr>
      <w:r>
        <w:rPr>
          <w:rFonts w:ascii="宋体" w:hAnsi="宋体"/>
          <w:sz w:val="24"/>
        </w:rPr>
        <w:t xml:space="preserve">（3）最终验收：项目试运行正常后，甲方组织最终验收。验收合格的，双方签署《项目验收报告》；验收不合格的，乙方应在甲方要求的期限内整改完毕并重新申请验收。</w:t>
      </w:r>
      <w:r/>
    </w:p>
    <w:p>
      <w:pPr>
        <w:ind w:firstLine="480"/>
      </w:pPr>
      <w:r>
        <w:rPr>
          <w:rFonts w:ascii="宋体" w:hAnsi="宋体"/>
          <w:sz w:val="24"/>
        </w:rPr>
        <w:t xml:space="preserve">7.3 验收标准：</w:t>
      </w:r>
      <w:r/>
    </w:p>
    <w:p>
      <w:pPr>
        <w:ind w:firstLine="480"/>
      </w:pPr>
      <w:r>
        <w:rPr>
          <w:rFonts w:ascii="宋体" w:hAnsi="宋体"/>
          <w:sz w:val="24"/>
        </w:rPr>
        <w:t xml:space="preserve">（1）设备的品牌、型号、规格、数量、技术参数应与招标文件、投标文件及本合同一致；</w:t>
      </w:r>
      <w:r/>
    </w:p>
    <w:p>
      <w:pPr>
        <w:ind w:firstLine="480"/>
      </w:pPr>
      <w:r>
        <w:rPr>
          <w:rFonts w:ascii="宋体" w:hAnsi="宋体"/>
          <w:sz w:val="24"/>
        </w:rPr>
        <w:t xml:space="preserve">（2）网络性能指标应达到设计要求，光链路光衰应控制在-15dB~-25dB范围内；</w:t>
      </w:r>
      <w:r/>
    </w:p>
    <w:p>
      <w:pPr>
        <w:ind w:firstLine="480"/>
      </w:pPr>
      <w:r>
        <w:rPr>
          <w:rFonts w:ascii="宋体" w:hAnsi="宋体"/>
          <w:sz w:val="24"/>
        </w:rPr>
        <w:t xml:space="preserve">（3）无线网络应实现全校覆盖无缝漫游，信号强度和速率满足设计要求；</w:t>
      </w:r>
      <w:r/>
    </w:p>
    <w:p>
      <w:pPr>
        <w:ind w:firstLine="480"/>
      </w:pPr>
      <w:r>
        <w:rPr>
          <w:rFonts w:ascii="宋体" w:hAnsi="宋体"/>
          <w:sz w:val="24"/>
        </w:rPr>
        <w:t xml:space="preserve">（4）所有线缆测试应合格，须提供Fluke等专业设备测试报告；</w:t>
      </w:r>
      <w:r/>
    </w:p>
    <w:p>
      <w:pPr>
        <w:ind w:firstLine="480"/>
      </w:pPr>
      <w:r>
        <w:rPr>
          <w:rFonts w:ascii="宋体" w:hAnsi="宋体"/>
          <w:sz w:val="24"/>
        </w:rPr>
        <w:t xml:space="preserve">（5）系统运行稳定，无重大故障。</w:t>
      </w:r>
      <w:r/>
    </w:p>
    <w:p>
      <w:pPr>
        <w:ind w:firstLine="480"/>
      </w:pPr>
      <w:r>
        <w:rPr>
          <w:rFonts w:ascii="宋体" w:hAnsi="宋体"/>
          <w:sz w:val="24"/>
        </w:rPr>
        <w:t xml:space="preserve">7.4 验收资料：乙方在申请验收时，应向甲方提交以下完整文档资料：</w:t>
      </w:r>
      <w:r/>
    </w:p>
    <w:p>
      <w:pPr>
        <w:ind w:firstLine="480"/>
      </w:pPr>
      <w:r>
        <w:rPr>
          <w:rFonts w:ascii="宋体" w:hAnsi="宋体"/>
          <w:sz w:val="24"/>
        </w:rPr>
        <w:t xml:space="preserve">（1）所有无线接入端、ONU的安装部署图纸；</w:t>
      </w:r>
      <w:r/>
    </w:p>
    <w:p>
      <w:pPr>
        <w:ind w:firstLine="480"/>
      </w:pPr>
      <w:r>
        <w:rPr>
          <w:rFonts w:ascii="宋体" w:hAnsi="宋体"/>
          <w:sz w:val="24"/>
        </w:rPr>
        <w:t xml:space="preserve">（2）整体网络拓扑结构图；</w:t>
      </w:r>
      <w:r/>
    </w:p>
    <w:p>
      <w:pPr>
        <w:ind w:firstLine="480"/>
      </w:pPr>
      <w:r>
        <w:rPr>
          <w:rFonts w:ascii="宋体" w:hAnsi="宋体"/>
          <w:sz w:val="24"/>
        </w:rPr>
        <w:t xml:space="preserve">（3）所有设备IP地址表；</w:t>
      </w:r>
      <w:r/>
    </w:p>
    <w:p>
      <w:pPr>
        <w:ind w:firstLine="480"/>
      </w:pPr>
      <w:r>
        <w:rPr>
          <w:rFonts w:ascii="宋体" w:hAnsi="宋体"/>
          <w:sz w:val="24"/>
        </w:rPr>
        <w:t xml:space="preserve">（4）项目调试配置文档；</w:t>
      </w:r>
      <w:r/>
    </w:p>
    <w:p>
      <w:pPr>
        <w:ind w:firstLine="480"/>
      </w:pPr>
      <w:r>
        <w:rPr>
          <w:rFonts w:ascii="宋体" w:hAnsi="宋体"/>
          <w:sz w:val="24"/>
        </w:rPr>
        <w:t xml:space="preserve">（5）线缆点位数据表；</w:t>
      </w:r>
      <w:r/>
    </w:p>
    <w:p>
      <w:pPr>
        <w:ind w:firstLine="480"/>
      </w:pPr>
      <w:r>
        <w:rPr>
          <w:rFonts w:ascii="宋体" w:hAnsi="宋体"/>
          <w:sz w:val="24"/>
        </w:rPr>
        <w:t xml:space="preserve">（6）光缆对应表；</w:t>
      </w:r>
      <w:r/>
    </w:p>
    <w:p>
      <w:pPr>
        <w:ind w:firstLine="480"/>
      </w:pPr>
      <w:r>
        <w:rPr>
          <w:rFonts w:ascii="宋体" w:hAnsi="宋体"/>
          <w:sz w:val="24"/>
        </w:rPr>
        <w:t xml:space="preserve">（7）所有线缆的测试报告（使用Fluke测试仪测试）；</w:t>
      </w:r>
      <w:r/>
    </w:p>
    <w:p>
      <w:pPr>
        <w:ind w:firstLine="480"/>
      </w:pPr>
      <w:r>
        <w:rPr>
          <w:rFonts w:ascii="宋体" w:hAnsi="宋体"/>
          <w:sz w:val="24"/>
        </w:rPr>
        <w:t xml:space="preserve">（8）核心机房设备互联拓扑及互联描述文档；</w:t>
      </w:r>
      <w:r/>
    </w:p>
    <w:p>
      <w:pPr>
        <w:ind w:firstLine="480"/>
      </w:pPr>
      <w:r>
        <w:rPr>
          <w:rFonts w:ascii="宋体" w:hAnsi="宋体"/>
          <w:sz w:val="24"/>
        </w:rPr>
        <w:t xml:space="preserve">（9）产品合格证、使用说明书、质保承诺函等随机资料；</w:t>
      </w:r>
      <w:r/>
    </w:p>
    <w:p>
      <w:pPr>
        <w:ind w:firstLine="480"/>
      </w:pPr>
      <w:r>
        <w:rPr>
          <w:rFonts w:ascii="宋体" w:hAnsi="宋体"/>
          <w:sz w:val="24"/>
        </w:rPr>
        <w:t xml:space="preserve">（10）甲方要求的其他资料。</w:t>
      </w:r>
      <w:r/>
    </w:p>
    <w:p>
      <w:pPr>
        <w:ind w:firstLine="480"/>
      </w:pPr>
      <w:r>
        <w:rPr>
          <w:rFonts w:ascii="宋体" w:hAnsi="宋体"/>
          <w:sz w:val="24"/>
        </w:rPr>
        <w:t xml:space="preserve">7.5 甲方对货物的规格技术指标如有异议，应从验收结束之日起十五日内以书面形式向乙方提出。乙方应在收到异议后7日内予以答复或处理。</w:t>
      </w:r>
      <w:r/>
    </w:p>
    <w:p>
      <w:pPr>
        <w:ind w:firstLine="480"/>
      </w:pPr>
      <w:r>
        <w:rPr>
          <w:rFonts w:ascii="宋体" w:hAnsi="宋体"/>
          <w:sz w:val="24"/>
        </w:rPr>
        <w:t xml:space="preserve">7.6 验收费用：验收过程中发生的检测、测试等费用由乙方承担。</w:t>
      </w:r>
      <w:r/>
    </w:p>
    <w:p>
      <w:r/>
      <w:r/>
    </w:p>
    <w:p>
      <w:r>
        <w:rPr>
          <w:rFonts w:ascii="黑体" w:hAnsi="黑体" w:eastAsia="黑体"/>
          <w:b/>
          <w:sz w:val="32"/>
        </w:rPr>
        <w:t xml:space="preserve">第八条 质量保证期与售后服务</w:t>
      </w:r>
      <w:r/>
    </w:p>
    <w:p>
      <w:pPr>
        <w:ind w:firstLine="480"/>
      </w:pPr>
      <w:r>
        <w:rPr>
          <w:rFonts w:ascii="宋体" w:hAnsi="宋体"/>
          <w:sz w:val="24"/>
        </w:rPr>
        <w:t xml:space="preserve">8.1 质量保证期：</w:t>
      </w:r>
      <w:r/>
    </w:p>
    <w:p>
      <w:pPr>
        <w:ind w:firstLine="480"/>
      </w:pPr>
      <w:r>
        <w:rPr>
          <w:rFonts w:ascii="宋体" w:hAnsi="宋体"/>
          <w:sz w:val="24"/>
        </w:rPr>
        <w:t xml:space="preserve">（1）整体项目质量保证期为自项目终验合格之日起60个月（5年）。</w:t>
      </w:r>
      <w:r/>
    </w:p>
    <w:p>
      <w:pPr>
        <w:ind w:firstLine="480"/>
      </w:pPr>
      <w:r>
        <w:rPr>
          <w:rFonts w:ascii="宋体" w:hAnsi="宋体"/>
          <w:sz w:val="24"/>
        </w:rPr>
        <w:t xml:space="preserve">（2）链路负载器、ONU（4口、8口、24口）、面板AP、放装AP、高密AP：乙方应提供基于本项目的原厂5年质保承诺函（自终验合格之日起计算）。</w:t>
      </w:r>
      <w:r/>
    </w:p>
    <w:p>
      <w:pPr>
        <w:ind w:firstLine="480"/>
      </w:pPr>
      <w:r>
        <w:rPr>
          <w:rFonts w:ascii="宋体" w:hAnsi="宋体"/>
          <w:sz w:val="24"/>
        </w:rPr>
        <w:t xml:space="preserve">（3）网元设备管理授权（智慧运维平台）：乙方应提供基于本项目的原厂3年质保承诺函（自终验合格之日起计算）。质保期满后，所有功能仍能正常使用并无任何限制。</w:t>
      </w:r>
      <w:r/>
    </w:p>
    <w:p>
      <w:pPr>
        <w:ind w:firstLine="480"/>
      </w:pPr>
      <w:r>
        <w:rPr>
          <w:rFonts w:ascii="宋体" w:hAnsi="宋体"/>
          <w:sz w:val="24"/>
        </w:rPr>
        <w:t xml:space="preserve">（4）施工及安装辅材质量保证期为自终验合格之日起60个月。</w:t>
      </w:r>
      <w:r/>
    </w:p>
    <w:p>
      <w:pPr>
        <w:ind w:firstLine="480"/>
      </w:pPr>
      <w:r>
        <w:rPr>
          <w:rFonts w:ascii="宋体" w:hAnsi="宋体"/>
          <w:sz w:val="24"/>
        </w:rPr>
        <w:t xml:space="preserve">8.2 质量保证期内，乙方负责对其提供的货物实行免费维修、更换及技术支持。因货物本身质量问题导致的故障，乙方应免费维修或更换；因甲方人为损坏或不可抗力导致的故障，乙方可收取合理的材料成本费。</w:t>
      </w:r>
      <w:r/>
    </w:p>
    <w:p>
      <w:pPr>
        <w:ind w:firstLine="480"/>
      </w:pPr>
      <w:r>
        <w:rPr>
          <w:rFonts w:ascii="宋体" w:hAnsi="宋体"/>
          <w:sz w:val="24"/>
        </w:rPr>
        <w:t xml:space="preserve">8.3 售后服务响应标准：</w:t>
      </w:r>
      <w:r/>
    </w:p>
    <w:p>
      <w:pPr>
        <w:ind w:firstLine="480"/>
      </w:pPr>
      <w:r>
        <w:rPr>
          <w:rFonts w:ascii="宋体" w:hAnsi="宋体"/>
          <w:sz w:val="24"/>
        </w:rPr>
        <w:t xml:space="preserve">（1）乙方应提供7×24小时技术支持服务热线；</w:t>
      </w:r>
      <w:r/>
    </w:p>
    <w:p>
      <w:pPr>
        <w:ind w:firstLine="480"/>
      </w:pPr>
      <w:r>
        <w:rPr>
          <w:rFonts w:ascii="宋体" w:hAnsi="宋体"/>
          <w:sz w:val="24"/>
        </w:rPr>
        <w:t xml:space="preserve">（2）接到甲方报修后，应在2小时内响应，提出初步解决方案；</w:t>
      </w:r>
      <w:r/>
    </w:p>
    <w:p>
      <w:pPr>
        <w:ind w:firstLine="480"/>
      </w:pPr>
      <w:r>
        <w:rPr>
          <w:rFonts w:ascii="宋体" w:hAnsi="宋体"/>
          <w:sz w:val="24"/>
        </w:rPr>
        <w:t xml:space="preserve">（3）需现场处理的，应在24小时内到达现场；</w:t>
      </w:r>
      <w:r/>
    </w:p>
    <w:p>
      <w:pPr>
        <w:ind w:firstLine="480"/>
      </w:pPr>
      <w:r>
        <w:rPr>
          <w:rFonts w:ascii="宋体" w:hAnsi="宋体"/>
          <w:sz w:val="24"/>
        </w:rPr>
        <w:t xml:space="preserve">（4）一般故障应在48小时内排除，重大故障应在72小时内排除；</w:t>
      </w:r>
      <w:r/>
    </w:p>
    <w:p>
      <w:pPr>
        <w:ind w:firstLine="480"/>
      </w:pPr>
      <w:r>
        <w:rPr>
          <w:rFonts w:ascii="宋体" w:hAnsi="宋体"/>
          <w:sz w:val="24"/>
        </w:rPr>
        <w:t xml:space="preserve">（5）如在规定时间内无法排除故障，乙方应提供备用设备确保甲方正常使用。</w:t>
      </w:r>
      <w:r/>
    </w:p>
    <w:p>
      <w:pPr>
        <w:ind w:firstLine="480"/>
      </w:pPr>
      <w:r>
        <w:rPr>
          <w:rFonts w:ascii="宋体" w:hAnsi="宋体"/>
          <w:sz w:val="24"/>
        </w:rPr>
        <w:t xml:space="preserve">8.4 巡检服务：质量保证期内，乙方每季度至少进行一次现场巡检，每年提交一份年度运行维护报告。巡检内容包括设备运行状态检查、网络性能测试、安全漏洞排查、系统优化建议等。</w:t>
      </w:r>
      <w:r/>
    </w:p>
    <w:p>
      <w:pPr>
        <w:ind w:firstLine="480"/>
      </w:pPr>
      <w:r>
        <w:rPr>
          <w:rFonts w:ascii="宋体" w:hAnsi="宋体"/>
          <w:sz w:val="24"/>
        </w:rPr>
        <w:t xml:space="preserve">8.5 技术支持：质量保证期内，乙方应免费提供软件升级、补丁更新及技术咨询服务。</w:t>
      </w:r>
      <w:r/>
    </w:p>
    <w:p>
      <w:pPr>
        <w:ind w:firstLine="480"/>
      </w:pPr>
      <w:r>
        <w:rPr>
          <w:rFonts w:ascii="宋体" w:hAnsi="宋体"/>
          <w:sz w:val="24"/>
        </w:rPr>
        <w:t xml:space="preserve">8.6 质保期外服务：质量保证期满后，乙方应继续提供有偿技术支持和维修服务，费用标准应不高于市场平均价格。乙方应在质保期满前30日书面通知甲方，并提供质保期外服务方案供甲方选择。</w:t>
      </w:r>
      <w:r/>
    </w:p>
    <w:p>
      <w:pPr>
        <w:ind w:firstLine="480"/>
      </w:pPr>
      <w:r>
        <w:rPr>
          <w:rFonts w:ascii="宋体" w:hAnsi="宋体"/>
          <w:sz w:val="24"/>
        </w:rPr>
        <w:t xml:space="preserve">8.7 乙方应指定专门的售后服务团队及联系人，人员变更应提前书面通知甲方。</w:t>
      </w:r>
      <w:r/>
    </w:p>
    <w:p>
      <w:r/>
      <w:r/>
    </w:p>
    <w:p>
      <w:r>
        <w:rPr>
          <w:rFonts w:ascii="黑体" w:hAnsi="黑体" w:eastAsia="黑体"/>
          <w:b/>
          <w:sz w:val="32"/>
        </w:rPr>
        <w:t xml:space="preserve">第九条 培训</w:t>
      </w:r>
      <w:r/>
    </w:p>
    <w:p>
      <w:pPr>
        <w:ind w:firstLine="480"/>
      </w:pPr>
      <w:r>
        <w:rPr>
          <w:rFonts w:ascii="宋体" w:hAnsi="宋体"/>
          <w:sz w:val="24"/>
        </w:rPr>
        <w:t xml:space="preserve">9.1 乙方应在项目验收前为甲方提供免费培训，确保甲方相关人员能够独立进行日常操作、管理和维护。</w:t>
      </w:r>
      <w:r/>
    </w:p>
    <w:p>
      <w:pPr>
        <w:ind w:firstLine="480"/>
      </w:pPr>
      <w:r>
        <w:rPr>
          <w:rFonts w:ascii="宋体" w:hAnsi="宋体"/>
          <w:sz w:val="24"/>
        </w:rPr>
        <w:t xml:space="preserve">9.2 培训内容包括但不限于：</w:t>
      </w:r>
      <w:r/>
    </w:p>
    <w:p>
      <w:pPr>
        <w:ind w:firstLine="480"/>
      </w:pPr>
      <w:r>
        <w:rPr>
          <w:rFonts w:ascii="宋体" w:hAnsi="宋体"/>
          <w:sz w:val="24"/>
        </w:rPr>
        <w:t xml:space="preserve">（1）网络设备的基本操作和日常管理；</w:t>
      </w:r>
      <w:r/>
    </w:p>
    <w:p>
      <w:pPr>
        <w:ind w:firstLine="480"/>
      </w:pPr>
      <w:r>
        <w:rPr>
          <w:rFonts w:ascii="宋体" w:hAnsi="宋体"/>
          <w:sz w:val="24"/>
        </w:rPr>
        <w:t xml:space="preserve">（2）智能运维平台的使用方法；</w:t>
      </w:r>
      <w:r/>
    </w:p>
    <w:p>
      <w:pPr>
        <w:ind w:firstLine="480"/>
      </w:pPr>
      <w:r>
        <w:rPr>
          <w:rFonts w:ascii="宋体" w:hAnsi="宋体"/>
          <w:sz w:val="24"/>
        </w:rPr>
        <w:t xml:space="preserve">（3）常见故障的判断和处理；</w:t>
      </w:r>
      <w:r/>
    </w:p>
    <w:p>
      <w:pPr>
        <w:ind w:firstLine="480"/>
      </w:pPr>
      <w:r>
        <w:rPr>
          <w:rFonts w:ascii="宋体" w:hAnsi="宋体"/>
          <w:sz w:val="24"/>
        </w:rPr>
        <w:t xml:space="preserve">（4）网络安全基础知识；</w:t>
      </w:r>
      <w:r/>
    </w:p>
    <w:p>
      <w:pPr>
        <w:ind w:firstLine="480"/>
      </w:pPr>
      <w:r>
        <w:rPr>
          <w:rFonts w:ascii="宋体" w:hAnsi="宋体"/>
          <w:sz w:val="24"/>
        </w:rPr>
        <w:t xml:space="preserve">（5）系统配置和变更操作。</w:t>
      </w:r>
      <w:r/>
    </w:p>
    <w:p>
      <w:pPr>
        <w:ind w:firstLine="480"/>
      </w:pPr>
      <w:r>
        <w:rPr>
          <w:rFonts w:ascii="宋体" w:hAnsi="宋体"/>
          <w:sz w:val="24"/>
        </w:rPr>
        <w:t xml:space="preserve">9.3 培训方式：现场培训为主，可辅以远程培训。培训人数由甲方确定，乙方应提供足够的培训师资和教材。</w:t>
      </w:r>
      <w:r/>
    </w:p>
    <w:p>
      <w:pPr>
        <w:ind w:firstLine="480"/>
      </w:pPr>
      <w:r>
        <w:rPr>
          <w:rFonts w:ascii="宋体" w:hAnsi="宋体"/>
          <w:sz w:val="24"/>
        </w:rPr>
        <w:t xml:space="preserve">9.4 乙方应提供完整的培训教材（纸质版和电子版），培训结束后应进行考核，确保培训效果。</w:t>
      </w:r>
      <w:r/>
    </w:p>
    <w:p>
      <w:pPr>
        <w:ind w:firstLine="480"/>
      </w:pPr>
      <w:r>
        <w:rPr>
          <w:rFonts w:ascii="宋体" w:hAnsi="宋体"/>
          <w:sz w:val="24"/>
        </w:rPr>
        <w:t xml:space="preserve">9.5 培训费用包含在合同总价中，甲方不再另行支付。</w:t>
      </w:r>
      <w:r/>
    </w:p>
    <w:p>
      <w:r/>
      <w:r/>
    </w:p>
    <w:p>
      <w:r>
        <w:rPr>
          <w:rFonts w:ascii="黑体" w:hAnsi="黑体" w:eastAsia="黑体"/>
          <w:b/>
          <w:sz w:val="32"/>
        </w:rPr>
        <w:t xml:space="preserve">第十条 付款方式</w:t>
      </w:r>
      <w:r/>
    </w:p>
    <w:p>
      <w:pPr>
        <w:ind w:firstLine="480"/>
      </w:pPr>
      <w:r>
        <w:rPr>
          <w:rFonts w:ascii="宋体" w:hAnsi="宋体"/>
          <w:sz w:val="24"/>
        </w:rPr>
        <w:t xml:space="preserve">10.1 付款方式：银行转账（甲方可根据实际情况选择数字人民币或传统银行转账方式，乙方应予以配合）。</w:t>
      </w:r>
      <w:r/>
    </w:p>
    <w:p>
      <w:pPr>
        <w:ind w:firstLine="480"/>
      </w:pPr>
      <w:r>
        <w:rPr>
          <w:rFonts w:ascii="宋体" w:hAnsi="宋体"/>
          <w:sz w:val="24"/>
        </w:rPr>
        <w:t xml:space="preserve">10.2 付款进度：</w:t>
      </w:r>
      <w:r/>
    </w:p>
    <w:p>
      <w:pPr>
        <w:ind w:firstLine="480"/>
      </w:pPr>
      <w:r>
        <w:rPr>
          <w:rFonts w:ascii="宋体" w:hAnsi="宋体"/>
          <w:sz w:val="24"/>
        </w:rPr>
        <w:t xml:space="preserve">（1）预付款：本合同签订且乙方提交等额预付款保函（如甲方要求）后，甲方向乙方支付合同总金额的25%作为预付款，即人民币__________元。</w:t>
      </w:r>
      <w:r/>
    </w:p>
    <w:p>
      <w:pPr>
        <w:ind w:firstLine="480"/>
      </w:pPr>
      <w:r>
        <w:rPr>
          <w:rFonts w:ascii="宋体" w:hAnsi="宋体"/>
          <w:sz w:val="24"/>
        </w:rPr>
        <w:t xml:space="preserve">（2）进度款：项目建设完成，经验收合格并签署《项目验收报告》后，甲方向乙方支付至合同总金额的90%，即本次支付合同总金额的65%，人民币__________元。</w:t>
      </w:r>
      <w:r/>
    </w:p>
    <w:p>
      <w:pPr>
        <w:ind w:firstLine="480"/>
      </w:pPr>
      <w:r>
        <w:rPr>
          <w:rFonts w:ascii="宋体" w:hAnsi="宋体"/>
          <w:sz w:val="24"/>
        </w:rPr>
        <w:t xml:space="preserve">（3）质保金：剩余合同总金额的10%作为质保金，即人民币__________元。项目验收合格满一年且无质量问题的，甲方在30日内一次性付清质保金（不计利息）。</w:t>
      </w:r>
      <w:r/>
    </w:p>
    <w:p>
      <w:pPr>
        <w:ind w:firstLine="480"/>
      </w:pPr>
      <w:r>
        <w:rPr>
          <w:rFonts w:ascii="宋体" w:hAnsi="宋体"/>
          <w:sz w:val="24"/>
        </w:rPr>
        <w:t xml:space="preserve">10.3 在签订合同时，乙方明确表示无需预付款或主动要求降低预付款比例的，甲方可不适用上述关于预付款的规定。</w:t>
      </w:r>
      <w:r/>
    </w:p>
    <w:p>
      <w:pPr>
        <w:ind w:firstLine="480"/>
      </w:pPr>
      <w:r>
        <w:rPr>
          <w:rFonts w:ascii="宋体" w:hAnsi="宋体"/>
          <w:sz w:val="24"/>
        </w:rPr>
        <w:t xml:space="preserve">10.4 乙方应在甲方每次付款前开具合法有效的增值税发票。乙方未按约定提供发票的，甲方有权顺延付款且不承担违约责任。</w:t>
      </w:r>
      <w:r/>
    </w:p>
    <w:p>
      <w:pPr>
        <w:ind w:firstLine="480"/>
      </w:pPr>
      <w:r>
        <w:rPr>
          <w:rFonts w:ascii="宋体" w:hAnsi="宋体"/>
          <w:sz w:val="24"/>
        </w:rPr>
        <w:t xml:space="preserve">10.5 甲方付款前，乙方应提交以下资料：</w:t>
      </w:r>
      <w:r/>
    </w:p>
    <w:p>
      <w:pPr>
        <w:ind w:firstLine="480"/>
      </w:pPr>
      <w:r>
        <w:rPr>
          <w:rFonts w:ascii="宋体" w:hAnsi="宋体"/>
          <w:sz w:val="24"/>
        </w:rPr>
        <w:t xml:space="preserve">（1）预付款：合同复印件、付款申请、等额发票；</w:t>
      </w:r>
      <w:r/>
    </w:p>
    <w:p>
      <w:pPr>
        <w:ind w:firstLine="480"/>
      </w:pPr>
      <w:r>
        <w:rPr>
          <w:rFonts w:ascii="宋体" w:hAnsi="宋体"/>
          <w:sz w:val="24"/>
        </w:rPr>
        <w:t xml:space="preserve">（2）进度款：《项目验收报告》、付款申请、等额发票；</w:t>
      </w:r>
      <w:r/>
    </w:p>
    <w:p>
      <w:pPr>
        <w:ind w:firstLine="480"/>
      </w:pPr>
      <w:r>
        <w:rPr>
          <w:rFonts w:ascii="宋体" w:hAnsi="宋体"/>
          <w:sz w:val="24"/>
        </w:rPr>
        <w:t xml:space="preserve">（3）质保金：质保期满无质量问题证明、付款申请、等额发票。</w:t>
      </w:r>
      <w:r/>
    </w:p>
    <w:p>
      <w:pPr>
        <w:ind w:firstLine="480"/>
      </w:pPr>
      <w:r>
        <w:rPr>
          <w:rFonts w:ascii="宋体" w:hAnsi="宋体"/>
          <w:sz w:val="24"/>
        </w:rPr>
        <w:t xml:space="preserve">10.6 如乙方存在违约行为，甲方有权从应付款项中直接扣除乙方应承担的违约金或赔偿金。</w:t>
      </w:r>
      <w:r/>
    </w:p>
    <w:p>
      <w:r/>
      <w:r/>
    </w:p>
    <w:p>
      <w:r>
        <w:rPr>
          <w:rFonts w:ascii="黑体" w:hAnsi="黑体" w:eastAsia="黑体"/>
          <w:b/>
          <w:sz w:val="32"/>
        </w:rPr>
        <w:t xml:space="preserve">第十一条 双方权利义务</w:t>
      </w:r>
      <w:r/>
    </w:p>
    <w:p>
      <w:r>
        <w:rPr>
          <w:rFonts w:ascii="黑体" w:hAnsi="黑体" w:eastAsia="黑体"/>
          <w:b/>
          <w:sz w:val="28"/>
        </w:rPr>
        <w:t xml:space="preserve">11.1 甲方权利义务</w:t>
      </w:r>
      <w:r/>
    </w:p>
    <w:p>
      <w:pPr>
        <w:ind w:firstLine="480"/>
      </w:pPr>
      <w:r>
        <w:rPr>
          <w:rFonts w:ascii="宋体" w:hAnsi="宋体"/>
          <w:sz w:val="24"/>
        </w:rPr>
        <w:t xml:space="preserve">（1）有权对乙方的履约情况进行监督、检查，对不符合合同约定的内容要求乙方整改；</w:t>
      </w:r>
      <w:r/>
    </w:p>
    <w:p>
      <w:pPr>
        <w:ind w:firstLine="480"/>
      </w:pPr>
      <w:r>
        <w:rPr>
          <w:rFonts w:ascii="宋体" w:hAnsi="宋体"/>
          <w:sz w:val="24"/>
        </w:rPr>
        <w:t xml:space="preserve">（2）应按合同约定及时支付合同款项；</w:t>
      </w:r>
      <w:r/>
    </w:p>
    <w:p>
      <w:pPr>
        <w:ind w:firstLine="480"/>
      </w:pPr>
      <w:r>
        <w:rPr>
          <w:rFonts w:ascii="宋体" w:hAnsi="宋体"/>
          <w:sz w:val="24"/>
        </w:rPr>
        <w:t xml:space="preserve">（3）应配合乙方进行现场勘察、安装施工等工作，提供必要的施工条件和现场协调；</w:t>
      </w:r>
      <w:r/>
    </w:p>
    <w:p>
      <w:pPr>
        <w:ind w:firstLine="480"/>
      </w:pPr>
      <w:r>
        <w:rPr>
          <w:rFonts w:ascii="宋体" w:hAnsi="宋体"/>
          <w:sz w:val="24"/>
        </w:rPr>
        <w:t xml:space="preserve">（4）应及时组织项目验收，无正当理由不得拖延验收；</w:t>
      </w:r>
      <w:r/>
    </w:p>
    <w:p>
      <w:pPr>
        <w:ind w:firstLine="480"/>
      </w:pPr>
      <w:r>
        <w:rPr>
          <w:rFonts w:ascii="宋体" w:hAnsi="宋体"/>
          <w:sz w:val="24"/>
        </w:rPr>
        <w:t xml:space="preserve">（5）应指定项目联系人，负责与乙方的日常沟通协调；</w:t>
      </w:r>
      <w:r/>
    </w:p>
    <w:p>
      <w:pPr>
        <w:ind w:firstLine="480"/>
      </w:pPr>
      <w:r>
        <w:rPr>
          <w:rFonts w:ascii="宋体" w:hAnsi="宋体"/>
          <w:sz w:val="24"/>
        </w:rPr>
        <w:t xml:space="preserve">（6）法律法规规定及本合同约定的其他权利义务。</w:t>
      </w:r>
      <w:r/>
    </w:p>
    <w:p>
      <w:r>
        <w:rPr>
          <w:rFonts w:ascii="黑体" w:hAnsi="黑体" w:eastAsia="黑体"/>
          <w:b/>
          <w:sz w:val="28"/>
        </w:rPr>
        <w:t xml:space="preserve">11.2 乙方权利义务</w:t>
      </w:r>
      <w:r/>
    </w:p>
    <w:p>
      <w:pPr>
        <w:ind w:firstLine="480"/>
      </w:pPr>
      <w:r>
        <w:rPr>
          <w:rFonts w:ascii="宋体" w:hAnsi="宋体"/>
          <w:sz w:val="24"/>
        </w:rPr>
        <w:t xml:space="preserve">（1）有权按合同约定收取合同款项；</w:t>
      </w:r>
      <w:r/>
    </w:p>
    <w:p>
      <w:pPr>
        <w:ind w:firstLine="480"/>
      </w:pPr>
      <w:r>
        <w:rPr>
          <w:rFonts w:ascii="宋体" w:hAnsi="宋体"/>
          <w:sz w:val="24"/>
        </w:rPr>
        <w:t xml:space="preserve">（2）应严格按照招标文件、投标文件及本合同约定提供货物和服务，确保质量；</w:t>
      </w:r>
      <w:r/>
    </w:p>
    <w:p>
      <w:pPr>
        <w:ind w:firstLine="480"/>
      </w:pPr>
      <w:r>
        <w:rPr>
          <w:rFonts w:ascii="宋体" w:hAnsi="宋体"/>
          <w:sz w:val="24"/>
        </w:rPr>
        <w:t xml:space="preserve">（3）应按合同约定的期限完成交货、安装、调试和验收；</w:t>
      </w:r>
      <w:r/>
    </w:p>
    <w:p>
      <w:pPr>
        <w:ind w:firstLine="480"/>
      </w:pPr>
      <w:r>
        <w:rPr>
          <w:rFonts w:ascii="宋体" w:hAnsi="宋体"/>
          <w:sz w:val="24"/>
        </w:rPr>
        <w:t xml:space="preserve">（4）应遵守甲方校园管理规定，安全文明施工，施工过程中应采取必要的安全防护措施，确保人员和财产安全。因乙方原因造成的安全事故，由乙方承担全部责任；</w:t>
      </w:r>
      <w:r/>
    </w:p>
    <w:p>
      <w:pPr>
        <w:ind w:firstLine="480"/>
      </w:pPr>
      <w:r>
        <w:rPr>
          <w:rFonts w:ascii="宋体" w:hAnsi="宋体"/>
          <w:sz w:val="24"/>
        </w:rPr>
        <w:t xml:space="preserve">（5）安装过程中如需进行打孔、切割、进户等有较大噪音及需要甲方现场配合的工作，应事先与甲方约定时间，不得影响甲方正常教学和办公秩序；</w:t>
      </w:r>
      <w:r/>
    </w:p>
    <w:p>
      <w:pPr>
        <w:ind w:firstLine="480"/>
      </w:pPr>
      <w:r>
        <w:rPr>
          <w:rFonts w:ascii="宋体" w:hAnsi="宋体"/>
          <w:sz w:val="24"/>
        </w:rPr>
        <w:t xml:space="preserve">（6）安装结束后，应及时完成现场的恢复清理，确保墙面、楼道等整洁美观；</w:t>
      </w:r>
      <w:r/>
    </w:p>
    <w:p>
      <w:pPr>
        <w:ind w:firstLine="480"/>
      </w:pPr>
      <w:r>
        <w:rPr>
          <w:rFonts w:ascii="宋体" w:hAnsi="宋体"/>
          <w:sz w:val="24"/>
        </w:rPr>
        <w:t xml:space="preserve">（7）应指定项目负责人和技术负责人，人员变更应提前书面通知甲方并经甲方同意；</w:t>
      </w:r>
      <w:r/>
    </w:p>
    <w:p>
      <w:pPr>
        <w:ind w:firstLine="480"/>
      </w:pPr>
      <w:r>
        <w:rPr>
          <w:rFonts w:ascii="宋体" w:hAnsi="宋体"/>
          <w:sz w:val="24"/>
        </w:rPr>
        <w:t xml:space="preserve">（8）应对甲方提供的现网设备信息、网络拓扑等技术资料保密，未经甲方书面同意不得向第三方泄露；</w:t>
      </w:r>
      <w:r/>
    </w:p>
    <w:p>
      <w:pPr>
        <w:ind w:firstLine="480"/>
      </w:pPr>
      <w:r>
        <w:rPr>
          <w:rFonts w:ascii="宋体" w:hAnsi="宋体"/>
          <w:sz w:val="24"/>
        </w:rPr>
        <w:t xml:space="preserve">（9）质保期内应按合同约定提供售后服务；</w:t>
      </w:r>
      <w:r/>
    </w:p>
    <w:p>
      <w:pPr>
        <w:ind w:firstLine="480"/>
      </w:pPr>
      <w:r>
        <w:rPr>
          <w:rFonts w:ascii="宋体" w:hAnsi="宋体"/>
          <w:sz w:val="24"/>
        </w:rPr>
        <w:t xml:space="preserve">（10）法律法规规定及本合同约定的其他权利义务。</w:t>
      </w:r>
      <w:r/>
    </w:p>
    <w:p>
      <w:r/>
      <w:r/>
    </w:p>
    <w:p>
      <w:r>
        <w:rPr>
          <w:rFonts w:ascii="黑体" w:hAnsi="黑体" w:eastAsia="黑体"/>
          <w:b/>
          <w:sz w:val="32"/>
        </w:rPr>
        <w:t xml:space="preserve">第十二条 违约责任</w:t>
      </w:r>
      <w:r/>
    </w:p>
    <w:p>
      <w:pPr>
        <w:ind w:firstLine="480"/>
      </w:pPr>
      <w:r>
        <w:rPr>
          <w:rFonts w:ascii="宋体" w:hAnsi="宋体"/>
          <w:sz w:val="24"/>
        </w:rPr>
        <w:t xml:space="preserve">12.1 乙方逾期交货或逾期完成安装调试的，每逾期一日，应按合同总金额的0.5‰向甲方支付违约金。逾期超过15日的，甲方有权解除合同，乙方应退还已收取的全部款项，并按合同总金额的10%向甲方支付违约金。违约金不足以弥补甲方损失的，乙方还应赔偿差额部分。</w:t>
      </w:r>
      <w:r/>
    </w:p>
    <w:p>
      <w:pPr>
        <w:ind w:firstLine="480"/>
      </w:pPr>
      <w:r>
        <w:rPr>
          <w:rFonts w:ascii="宋体" w:hAnsi="宋体"/>
          <w:sz w:val="24"/>
        </w:rPr>
        <w:t xml:space="preserve">12.2 乙方提供的货物质量不符合合同约定的，甲方有权要求乙方在7日内免费更换或修理。乙方逾期未更换或修理的，每逾期一日按合同总金额的0.5‰支付违约金。经两次更换或修理仍不符合约定的，甲方有权解除合同，乙方应退还已收取的全部款项并赔偿甲方损失。</w:t>
      </w:r>
      <w:r/>
    </w:p>
    <w:p>
      <w:pPr>
        <w:ind w:firstLine="480"/>
      </w:pPr>
      <w:r>
        <w:rPr>
          <w:rFonts w:ascii="宋体" w:hAnsi="宋体"/>
          <w:sz w:val="24"/>
        </w:rPr>
        <w:t xml:space="preserve">12.3 乙方未按合同约定提供售后服务的，每次应向甲方支付违约金人民币5000元；情节严重的，甲方有权委托第三方提供服务，费用由乙方承担，甲方可从质保金中直接扣除。</w:t>
      </w:r>
      <w:r/>
    </w:p>
    <w:p>
      <w:pPr>
        <w:ind w:firstLine="480"/>
      </w:pPr>
      <w:r>
        <w:rPr>
          <w:rFonts w:ascii="宋体" w:hAnsi="宋体"/>
          <w:sz w:val="24"/>
        </w:rPr>
        <w:t xml:space="preserve">12.4 乙方违反保密义务的，应向甲方支付违约金人民币50000元，并赔偿由此给甲方造成的全部损失。</w:t>
      </w:r>
      <w:r/>
    </w:p>
    <w:p>
      <w:pPr>
        <w:ind w:firstLine="480"/>
      </w:pPr>
      <w:r>
        <w:rPr>
          <w:rFonts w:ascii="宋体" w:hAnsi="宋体"/>
          <w:sz w:val="24"/>
        </w:rPr>
        <w:t xml:space="preserve">12.5 乙方将本合同转包或违法分包的，甲方有权解除合同，乙方应按合同总金额的20%向甲方支付违约金。</w:t>
      </w:r>
      <w:r/>
    </w:p>
    <w:p>
      <w:pPr>
        <w:ind w:firstLine="480"/>
      </w:pPr>
      <w:r>
        <w:rPr>
          <w:rFonts w:ascii="宋体" w:hAnsi="宋体"/>
          <w:sz w:val="24"/>
        </w:rPr>
        <w:t xml:space="preserve">12.6 甲方逾期付款的，每逾期一日，应按逾期付款金额的0.5‰向乙方支付违约金。但因乙方未按约定提供发票或付款资料导致的逾期付款，甲方不承担违约责任。</w:t>
      </w:r>
      <w:r/>
    </w:p>
    <w:p>
      <w:pPr>
        <w:ind w:firstLine="480"/>
      </w:pPr>
      <w:r>
        <w:rPr>
          <w:rFonts w:ascii="宋体" w:hAnsi="宋体"/>
          <w:sz w:val="24"/>
        </w:rPr>
        <w:t xml:space="preserve">12.7 任何一方违约后，对方应采取适当措施防止损失扩大。没有采取适当措施致使损失扩大的，不得就扩大的损失要求赔偿。</w:t>
      </w:r>
      <w:r/>
    </w:p>
    <w:p>
      <w:pPr>
        <w:ind w:firstLine="480"/>
      </w:pPr>
      <w:r>
        <w:rPr>
          <w:rFonts w:ascii="宋体" w:hAnsi="宋体"/>
          <w:sz w:val="24"/>
        </w:rPr>
        <w:t xml:space="preserve">12.8 本合同约定的违约金不足以弥补守约方损失的，违约方还应赔偿差额部分。</w:t>
      </w:r>
      <w:r/>
    </w:p>
    <w:p>
      <w:r/>
      <w:r/>
    </w:p>
    <w:p>
      <w:r>
        <w:rPr>
          <w:rFonts w:ascii="黑体" w:hAnsi="黑体" w:eastAsia="黑体"/>
          <w:b/>
          <w:sz w:val="32"/>
        </w:rPr>
        <w:t xml:space="preserve">第十三条 不可抗力</w:t>
      </w:r>
      <w:r/>
    </w:p>
    <w:p>
      <w:pPr>
        <w:ind w:firstLine="480"/>
      </w:pPr>
      <w:r>
        <w:rPr>
          <w:rFonts w:ascii="宋体" w:hAnsi="宋体"/>
          <w:sz w:val="24"/>
        </w:rPr>
        <w:t xml:space="preserve">13.1 不可抗力是指不能预见、不能避免并不能克服的客观情况，包括但不限于地震、台风、洪水、火灾、战争、疫情、政府行为等。</w:t>
      </w:r>
      <w:r/>
    </w:p>
    <w:p>
      <w:pPr>
        <w:ind w:firstLine="480"/>
      </w:pPr>
      <w:r>
        <w:rPr>
          <w:rFonts w:ascii="宋体" w:hAnsi="宋体"/>
          <w:sz w:val="24"/>
        </w:rPr>
        <w:t xml:space="preserve">13.2 因不可抗力导致本合同无法履行或延迟履行的，受影响一方应在不可抗力发生后48小时内书面通知对方，并在15日内提供相关证明文件。双方应根据不可抗力的影响程度，协商决定部分履行、延期履行或解除合同。</w:t>
      </w:r>
      <w:r/>
    </w:p>
    <w:p>
      <w:pPr>
        <w:ind w:firstLine="480"/>
      </w:pPr>
      <w:r>
        <w:rPr>
          <w:rFonts w:ascii="宋体" w:hAnsi="宋体"/>
          <w:sz w:val="24"/>
        </w:rPr>
        <w:t xml:space="preserve">13.3 因不可抗力导致合同解除的，双方互不承担违约责任。乙方应退还甲方已支付但尚未对应履行部分的款项。</w:t>
      </w:r>
      <w:r/>
    </w:p>
    <w:p>
      <w:pPr>
        <w:ind w:firstLine="480"/>
      </w:pPr>
      <w:r>
        <w:rPr>
          <w:rFonts w:ascii="宋体" w:hAnsi="宋体"/>
          <w:sz w:val="24"/>
        </w:rPr>
        <w:t xml:space="preserve">13.4 不可抗力影响消除后，双方应继续履行合同。</w:t>
      </w:r>
      <w:r/>
    </w:p>
    <w:p>
      <w:r/>
      <w:r/>
    </w:p>
    <w:p>
      <w:r>
        <w:rPr>
          <w:rFonts w:ascii="黑体" w:hAnsi="黑体" w:eastAsia="黑体"/>
          <w:b/>
          <w:sz w:val="32"/>
        </w:rPr>
        <w:t xml:space="preserve">第十四条 合同变更与解除</w:t>
      </w:r>
      <w:r/>
    </w:p>
    <w:p>
      <w:pPr>
        <w:ind w:firstLine="480"/>
      </w:pPr>
      <w:r>
        <w:rPr>
          <w:rFonts w:ascii="宋体" w:hAnsi="宋体"/>
          <w:sz w:val="24"/>
        </w:rPr>
        <w:t xml:space="preserve">14.1 本合同的任何变更、补充均须经双方协商一致，并签订书面补充协议。补充协议与本合同具有同等法律效力。</w:t>
      </w:r>
      <w:r/>
    </w:p>
    <w:p>
      <w:pPr>
        <w:ind w:firstLine="480"/>
      </w:pPr>
      <w:r>
        <w:rPr>
          <w:rFonts w:ascii="宋体" w:hAnsi="宋体"/>
          <w:sz w:val="24"/>
        </w:rPr>
        <w:t xml:space="preserve">14.2 政府采购合同履行中，甲方需追加与合同标的相同的货物、工程或者服务的，在不改变合同其他条款的前提下，可以与乙方协商签订补充合同，但所有补充合同的采购金额不得超过原合同采购金额的10%。</w:t>
      </w:r>
      <w:r/>
    </w:p>
    <w:p>
      <w:pPr>
        <w:ind w:firstLine="480"/>
      </w:pPr>
      <w:r>
        <w:rPr>
          <w:rFonts w:ascii="宋体" w:hAnsi="宋体"/>
          <w:sz w:val="24"/>
        </w:rPr>
        <w:t xml:space="preserve">14.3 有下列情形之一的，甲方有权解除合同：</w:t>
      </w:r>
      <w:r/>
    </w:p>
    <w:p>
      <w:pPr>
        <w:ind w:firstLine="480"/>
      </w:pPr>
      <w:r>
        <w:rPr>
          <w:rFonts w:ascii="宋体" w:hAnsi="宋体"/>
          <w:sz w:val="24"/>
        </w:rPr>
        <w:t xml:space="preserve">（1）乙方逾期交货或完成安装调试超过15日的；</w:t>
      </w:r>
      <w:r/>
    </w:p>
    <w:p>
      <w:pPr>
        <w:ind w:firstLine="480"/>
      </w:pPr>
      <w:r>
        <w:rPr>
          <w:rFonts w:ascii="宋体" w:hAnsi="宋体"/>
          <w:sz w:val="24"/>
        </w:rPr>
        <w:t xml:space="preserve">（2）乙方提供的货物经两次更换或修理仍不符合合同约定的；</w:t>
      </w:r>
      <w:r/>
    </w:p>
    <w:p>
      <w:pPr>
        <w:ind w:firstLine="480"/>
      </w:pPr>
      <w:r>
        <w:rPr>
          <w:rFonts w:ascii="宋体" w:hAnsi="宋体"/>
          <w:sz w:val="24"/>
        </w:rPr>
        <w:t xml:space="preserve">（3）乙方将合同转包或违法分包的；</w:t>
      </w:r>
      <w:r/>
    </w:p>
    <w:p>
      <w:pPr>
        <w:ind w:firstLine="480"/>
      </w:pPr>
      <w:r>
        <w:rPr>
          <w:rFonts w:ascii="宋体" w:hAnsi="宋体"/>
          <w:sz w:val="24"/>
        </w:rPr>
        <w:t xml:space="preserve">（4）乙方严重违反合同约定，经甲方书面催告后15日内仍未纠正的；</w:t>
      </w:r>
      <w:r/>
    </w:p>
    <w:p>
      <w:pPr>
        <w:ind w:firstLine="480"/>
      </w:pPr>
      <w:r>
        <w:rPr>
          <w:rFonts w:ascii="宋体" w:hAnsi="宋体"/>
          <w:sz w:val="24"/>
        </w:rPr>
        <w:t xml:space="preserve">（5）法律法规规定的其他情形。</w:t>
      </w:r>
      <w:r/>
    </w:p>
    <w:p>
      <w:pPr>
        <w:ind w:firstLine="480"/>
      </w:pPr>
      <w:r>
        <w:rPr>
          <w:rFonts w:ascii="宋体" w:hAnsi="宋体"/>
          <w:sz w:val="24"/>
        </w:rPr>
        <w:t xml:space="preserve">14.4 有下列情形之一的，乙方有权解除合同：</w:t>
      </w:r>
      <w:r/>
    </w:p>
    <w:p>
      <w:pPr>
        <w:ind w:firstLine="480"/>
      </w:pPr>
      <w:r>
        <w:rPr>
          <w:rFonts w:ascii="宋体" w:hAnsi="宋体"/>
          <w:sz w:val="24"/>
        </w:rPr>
        <w:t xml:space="preserve">（1）甲方逾期付款超过60日，经乙方书面催告后仍未支付的；</w:t>
      </w:r>
      <w:r/>
    </w:p>
    <w:p>
      <w:pPr>
        <w:ind w:firstLine="480"/>
      </w:pPr>
      <w:r>
        <w:rPr>
          <w:rFonts w:ascii="宋体" w:hAnsi="宋体"/>
          <w:sz w:val="24"/>
        </w:rPr>
        <w:t xml:space="preserve">（2）甲方严重违反合同约定，致使合同目的无法实现的；</w:t>
      </w:r>
      <w:r/>
    </w:p>
    <w:p>
      <w:pPr>
        <w:ind w:firstLine="480"/>
      </w:pPr>
      <w:r>
        <w:rPr>
          <w:rFonts w:ascii="宋体" w:hAnsi="宋体"/>
          <w:sz w:val="24"/>
        </w:rPr>
        <w:t xml:space="preserve">（3）法律法规规定的其他情形。</w:t>
      </w:r>
      <w:r/>
    </w:p>
    <w:p>
      <w:pPr>
        <w:ind w:firstLine="480"/>
      </w:pPr>
      <w:r>
        <w:rPr>
          <w:rFonts w:ascii="宋体" w:hAnsi="宋体"/>
          <w:sz w:val="24"/>
        </w:rPr>
        <w:t xml:space="preserve">14.5 合同解除后，双方应进行结算。乙方应退还甲方已支付但尚未对应履行部分的款项。已交付且验收合格的货物，甲方应按合同约定支付相应款项。</w:t>
      </w:r>
      <w:r/>
    </w:p>
    <w:p>
      <w:r/>
      <w:r/>
    </w:p>
    <w:p>
      <w:r>
        <w:rPr>
          <w:rFonts w:ascii="黑体" w:hAnsi="黑体" w:eastAsia="黑体"/>
          <w:b/>
          <w:sz w:val="32"/>
        </w:rPr>
        <w:t xml:space="preserve">第十五条 争议解决</w:t>
      </w:r>
      <w:r/>
    </w:p>
    <w:p>
      <w:pPr>
        <w:ind w:firstLine="480"/>
      </w:pPr>
      <w:r>
        <w:rPr>
          <w:rFonts w:ascii="宋体" w:hAnsi="宋体"/>
          <w:sz w:val="24"/>
        </w:rPr>
        <w:t xml:space="preserve">15.1 本合同履行过程中发生争议，双方应首先通过友好协商解决。</w:t>
      </w:r>
      <w:r/>
    </w:p>
    <w:p>
      <w:pPr>
        <w:ind w:firstLine="480"/>
      </w:pPr>
      <w:r>
        <w:rPr>
          <w:rFonts w:ascii="宋体" w:hAnsi="宋体"/>
          <w:sz w:val="24"/>
        </w:rPr>
        <w:t xml:space="preserve">15.2 协商不成的，任何一方均可向甲方所在地有管辖权的人民法院提起诉讼。</w:t>
      </w:r>
      <w:r/>
    </w:p>
    <w:p>
      <w:pPr>
        <w:ind w:firstLine="480"/>
      </w:pPr>
      <w:r>
        <w:rPr>
          <w:rFonts w:ascii="宋体" w:hAnsi="宋体"/>
          <w:sz w:val="24"/>
        </w:rPr>
        <w:t xml:space="preserve">15.3 争议解决期间，除争议事项外，双方应继续履行本合同其他条款。</w:t>
      </w:r>
      <w:r/>
    </w:p>
    <w:p>
      <w:r/>
      <w:r/>
    </w:p>
    <w:p>
      <w:r>
        <w:rPr>
          <w:rFonts w:ascii="黑体" w:hAnsi="黑体" w:eastAsia="黑体"/>
          <w:b/>
          <w:sz w:val="32"/>
        </w:rPr>
        <w:t xml:space="preserve">第十六条 其他约定</w:t>
      </w:r>
      <w:r/>
    </w:p>
    <w:p>
      <w:pPr>
        <w:ind w:firstLine="480"/>
      </w:pPr>
      <w:r>
        <w:rPr>
          <w:rFonts w:ascii="宋体" w:hAnsi="宋体"/>
          <w:sz w:val="24"/>
        </w:rPr>
        <w:t xml:space="preserve">16.1 本合同未尽事宜，双方可另行签订补充协议。补充协议与本合同具有同等法律效力。</w:t>
      </w:r>
      <w:r/>
    </w:p>
    <w:p>
      <w:pPr>
        <w:ind w:firstLine="480"/>
      </w:pPr>
      <w:r>
        <w:rPr>
          <w:rFonts w:ascii="宋体" w:hAnsi="宋体"/>
          <w:sz w:val="24"/>
        </w:rPr>
        <w:t xml:space="preserve">16.2 招标文件、投标文件、中标通知书、澄清文件等均为本合同的组成部分，与本合同具有同等法律效力。如上述文件与本合同约定不一致的，以本合同为准。</w:t>
      </w:r>
      <w:r/>
    </w:p>
    <w:p>
      <w:pPr>
        <w:ind w:firstLine="480"/>
      </w:pPr>
      <w:r>
        <w:rPr>
          <w:rFonts w:ascii="宋体" w:hAnsi="宋体"/>
          <w:sz w:val="24"/>
        </w:rPr>
        <w:t xml:space="preserve">16.3 本合同附件包括：</w:t>
      </w:r>
      <w:r/>
    </w:p>
    <w:p>
      <w:pPr>
        <w:ind w:firstLine="480"/>
      </w:pPr>
      <w:r>
        <w:rPr>
          <w:rFonts w:ascii="宋体" w:hAnsi="宋体"/>
          <w:sz w:val="24"/>
        </w:rPr>
        <w:t xml:space="preserve">附件一：采购清单及分项报价表</w:t>
      </w:r>
      <w:r/>
    </w:p>
    <w:p>
      <w:pPr>
        <w:ind w:firstLine="480"/>
      </w:pPr>
      <w:r>
        <w:rPr>
          <w:rFonts w:ascii="宋体" w:hAnsi="宋体"/>
          <w:sz w:val="24"/>
        </w:rPr>
        <w:t xml:space="preserve">附件二：技术参数响应表</w:t>
      </w:r>
      <w:r/>
    </w:p>
    <w:p>
      <w:pPr>
        <w:ind w:firstLine="480"/>
      </w:pPr>
      <w:r>
        <w:rPr>
          <w:rFonts w:ascii="宋体" w:hAnsi="宋体"/>
          <w:sz w:val="24"/>
        </w:rPr>
        <w:t xml:space="preserve">附件三：项目实施进度计划表</w:t>
      </w:r>
      <w:r/>
    </w:p>
    <w:p>
      <w:pPr>
        <w:ind w:firstLine="480"/>
      </w:pPr>
      <w:r>
        <w:rPr>
          <w:rFonts w:ascii="宋体" w:hAnsi="宋体"/>
          <w:sz w:val="24"/>
        </w:rPr>
        <w:t xml:space="preserve">附件四：售后服务方案</w:t>
      </w:r>
      <w:r/>
    </w:p>
    <w:p>
      <w:pPr>
        <w:ind w:firstLine="480"/>
      </w:pPr>
      <w:r>
        <w:rPr>
          <w:rFonts w:ascii="宋体" w:hAnsi="宋体"/>
          <w:sz w:val="24"/>
        </w:rPr>
        <w:t xml:space="preserve">附件五：培训方案</w:t>
      </w:r>
      <w:r/>
    </w:p>
    <w:p>
      <w:pPr>
        <w:ind w:firstLine="480"/>
      </w:pPr>
      <w:r>
        <w:rPr>
          <w:rFonts w:ascii="宋体" w:hAnsi="宋体"/>
          <w:sz w:val="24"/>
        </w:rPr>
        <w:t xml:space="preserve">附件六：项目团队人员名单</w:t>
      </w:r>
      <w:r/>
    </w:p>
    <w:p>
      <w:pPr>
        <w:ind w:firstLine="480"/>
      </w:pPr>
      <w:r>
        <w:rPr>
          <w:rFonts w:ascii="宋体" w:hAnsi="宋体"/>
          <w:sz w:val="24"/>
        </w:rPr>
        <w:t xml:space="preserve">附件七：中小企业声明函</w:t>
      </w:r>
      <w:r/>
    </w:p>
    <w:p>
      <w:pPr>
        <w:ind w:firstLine="480"/>
      </w:pPr>
      <w:r>
        <w:rPr>
          <w:rFonts w:ascii="宋体" w:hAnsi="宋体"/>
          <w:sz w:val="24"/>
        </w:rPr>
        <w:t xml:space="preserve">16.4 本合同一式____份，甲方执____份，乙方执____份，具有同等法律效力。</w:t>
      </w:r>
      <w:r/>
    </w:p>
    <w:p>
      <w:pPr>
        <w:ind w:firstLine="480"/>
      </w:pPr>
      <w:r>
        <w:rPr>
          <w:rFonts w:ascii="宋体" w:hAnsi="宋体"/>
          <w:sz w:val="24"/>
        </w:rPr>
        <w:t xml:space="preserve">16.5 本合同自双方法定代表人或授权代表签字并加盖公章之日起生效。</w:t>
      </w:r>
      <w:r/>
    </w:p>
    <w:p>
      <w:pPr>
        <w:ind w:firstLine="480"/>
      </w:pPr>
      <w:r>
        <w:rPr>
          <w:rFonts w:ascii="宋体" w:hAnsi="宋体"/>
          <w:sz w:val="24"/>
        </w:rPr>
        <w:t xml:space="preserve">16.6 本合同项目联系人：</w:t>
      </w:r>
      <w:r/>
    </w:p>
    <w:p>
      <w:pPr>
        <w:ind w:firstLine="480"/>
      </w:pPr>
      <w:r>
        <w:rPr>
          <w:rFonts w:ascii="宋体" w:hAnsi="宋体"/>
          <w:sz w:val="24"/>
        </w:rPr>
        <w:t xml:space="preserve">甲方联系人：</w:t>
      </w:r>
      <w:r>
        <w:rPr>
          <w:rFonts w:hint="eastAsia" w:ascii="宋体" w:hAnsi="宋体"/>
          <w:sz w:val="24"/>
        </w:rPr>
        <w:t xml:space="preserve">          </w:t>
      </w:r>
      <w:r>
        <w:rPr>
          <w:rFonts w:ascii="宋体" w:hAnsi="宋体"/>
          <w:sz w:val="24"/>
        </w:rPr>
        <w:t xml:space="preserve">，联系电话：</w:t>
      </w:r>
      <w:r/>
    </w:p>
    <w:p>
      <w:pPr>
        <w:ind w:firstLine="480"/>
      </w:pPr>
      <w:r>
        <w:rPr>
          <w:rFonts w:ascii="宋体" w:hAnsi="宋体"/>
          <w:sz w:val="24"/>
        </w:rPr>
        <w:t xml:space="preserve">乙方联系人：____________________，联系电话：____________________</w:t>
      </w:r>
      <w:r/>
    </w:p>
    <w:p>
      <w:r/>
      <w:r/>
    </w:p>
    <w:p>
      <w:r>
        <w:rPr>
          <w:rFonts w:ascii="黑体" w:hAnsi="黑体" w:eastAsia="黑体"/>
          <w:b/>
          <w:sz w:val="32"/>
        </w:rPr>
        <w:t xml:space="preserve">合同签署页</w:t>
      </w:r>
      <w:r/>
    </w:p>
    <w:p>
      <w:pPr>
        <w:jc w:val="center"/>
      </w:pPr>
      <w:r>
        <w:rPr>
          <w:rFonts w:ascii="宋体" w:hAnsi="宋体"/>
          <w:sz w:val="24"/>
        </w:rPr>
        <w:t xml:space="preserve">（本页无正文，为签署页）</w:t>
      </w:r>
      <w:r/>
    </w:p>
    <w:p>
      <w:pPr>
        <w:ind w:firstLine="480"/>
      </w:pPr>
      <w:r/>
      <w:r/>
    </w:p>
    <w:p>
      <w:pPr>
        <w:ind w:firstLine="480"/>
      </w:pPr>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textDirection w:val="lrTb"/>
            <w:noWrap w:val="false"/>
          </w:tcPr>
          <w:p>
            <w:pPr>
              <w:rPr>
                <w:rFonts w:ascii="Calibri" w:hAnsi="Calibri"/>
              </w:rPr>
            </w:pPr>
            <w:r>
              <w:rPr>
                <w:rFonts w:ascii="宋体" w:hAnsi="宋体"/>
                <w:b/>
                <w:sz w:val="22"/>
              </w:rPr>
              <w:t xml:space="preserve">甲方（采购人）</w:t>
            </w:r>
            <w:r/>
          </w:p>
        </w:tc>
        <w:tc>
          <w:tcPr>
            <w:tcW w:w="4323" w:type="dxa"/>
            <w:textDirection w:val="lrTb"/>
            <w:noWrap w:val="false"/>
          </w:tcPr>
          <w:p>
            <w:pPr>
              <w:rPr>
                <w:rFonts w:ascii="Calibri" w:hAnsi="Calibri"/>
              </w:rPr>
            </w:pPr>
            <w:r>
              <w:rPr>
                <w:rFonts w:ascii="宋体" w:hAnsi="宋体"/>
                <w:b/>
                <w:sz w:val="22"/>
              </w:rPr>
              <w:t xml:space="preserve">乙方（供应商）</w:t>
            </w:r>
            <w:r/>
          </w:p>
        </w:tc>
      </w:tr>
      <w:tr>
        <w:trPr/>
        <w:tc>
          <w:tcPr>
            <w:tcW w:w="4323" w:type="dxa"/>
            <w:textDirection w:val="lrTb"/>
            <w:noWrap w:val="false"/>
          </w:tcPr>
          <w:p>
            <w:pPr>
              <w:rPr>
                <w:rFonts w:ascii="Calibri" w:hAnsi="Calibri"/>
              </w:rPr>
            </w:pPr>
            <w:r>
              <w:rPr>
                <w:rFonts w:ascii="宋体" w:hAnsi="宋体"/>
                <w:sz w:val="22"/>
              </w:rPr>
              <w:t xml:space="preserve">单位名称（盖章）：</w:t>
            </w:r>
            <w:r>
              <w:rPr>
                <w:rFonts w:ascii="宋体" w:hAnsi="宋体"/>
                <w:sz w:val="22"/>
              </w:rPr>
              <w:br/>
            </w:r>
            <w:r>
              <w:rPr>
                <w:rFonts w:ascii="宋体" w:hAnsi="宋体"/>
                <w:sz w:val="22"/>
              </w:rPr>
              <w:br/>
            </w:r>
            <w:r>
              <w:rPr>
                <w:rFonts w:ascii="宋体" w:hAnsi="宋体"/>
                <w:sz w:val="22"/>
              </w:rPr>
              <w:t xml:space="preserve">南京艺术学院</w:t>
            </w:r>
            <w:r/>
          </w:p>
        </w:tc>
        <w:tc>
          <w:tcPr>
            <w:tcW w:w="4323" w:type="dxa"/>
            <w:textDirection w:val="lrTb"/>
            <w:noWrap w:val="false"/>
          </w:tcPr>
          <w:p>
            <w:pPr>
              <w:rPr>
                <w:rFonts w:ascii="Calibri" w:hAnsi="Calibri"/>
              </w:rPr>
            </w:pPr>
            <w:r>
              <w:rPr>
                <w:rFonts w:ascii="宋体" w:hAnsi="宋体"/>
                <w:sz w:val="22"/>
              </w:rPr>
              <w:t xml:space="preserve">单位名称（盖章）：</w:t>
            </w:r>
            <w:r>
              <w:rPr>
                <w:rFonts w:ascii="宋体" w:hAnsi="宋体"/>
                <w:sz w:val="22"/>
              </w:rPr>
              <w:br/>
            </w:r>
            <w:r>
              <w:rPr>
                <w:rFonts w:ascii="宋体" w:hAnsi="宋体"/>
                <w:sz w:val="22"/>
              </w:rPr>
              <w:br/>
            </w:r>
            <w:r>
              <w:rPr>
                <w:rFonts w:ascii="宋体" w:hAnsi="宋体"/>
                <w:sz w:val="22"/>
              </w:rPr>
              <w:t xml:space="preserve">____________________</w:t>
            </w:r>
            <w:r/>
          </w:p>
        </w:tc>
      </w:tr>
      <w:tr>
        <w:trPr/>
        <w:tc>
          <w:tcPr>
            <w:tcW w:w="4323" w:type="dxa"/>
            <w:textDirection w:val="lrTb"/>
            <w:noWrap w:val="false"/>
          </w:tcPr>
          <w:p>
            <w:pPr>
              <w:rPr>
                <w:rFonts w:ascii="Calibri" w:hAnsi="Calibri"/>
              </w:rPr>
            </w:pPr>
            <w:r>
              <w:rPr>
                <w:rFonts w:ascii="宋体" w:hAnsi="宋体"/>
                <w:sz w:val="22"/>
              </w:rPr>
              <w:t xml:space="preserve">法定代表人或</w:t>
            </w:r>
            <w:r>
              <w:rPr>
                <w:rFonts w:ascii="宋体" w:hAnsi="宋体"/>
                <w:sz w:val="22"/>
              </w:rPr>
              <w:br/>
            </w:r>
            <w:r>
              <w:rPr>
                <w:rFonts w:ascii="宋体" w:hAnsi="宋体"/>
                <w:sz w:val="22"/>
              </w:rPr>
              <w:t xml:space="preserve">授权代表（签字）：</w:t>
            </w:r>
            <w:r>
              <w:rPr>
                <w:rFonts w:ascii="宋体" w:hAnsi="宋体"/>
                <w:sz w:val="22"/>
              </w:rPr>
              <w:br/>
            </w:r>
            <w:r>
              <w:rPr>
                <w:rFonts w:ascii="宋体" w:hAnsi="宋体"/>
                <w:sz w:val="22"/>
              </w:rPr>
              <w:br/>
            </w:r>
            <w:r>
              <w:rPr>
                <w:rFonts w:ascii="宋体" w:hAnsi="宋体"/>
                <w:sz w:val="22"/>
              </w:rPr>
              <w:br/>
            </w:r>
            <w:r>
              <w:rPr>
                <w:rFonts w:ascii="宋体" w:hAnsi="宋体"/>
                <w:sz w:val="22"/>
              </w:rPr>
              <w:t xml:space="preserve">____________________</w:t>
            </w:r>
            <w:r/>
          </w:p>
        </w:tc>
        <w:tc>
          <w:tcPr>
            <w:tcW w:w="4323" w:type="dxa"/>
            <w:textDirection w:val="lrTb"/>
            <w:noWrap w:val="false"/>
          </w:tcPr>
          <w:p>
            <w:pPr>
              <w:rPr>
                <w:rFonts w:ascii="Calibri" w:hAnsi="Calibri"/>
              </w:rPr>
            </w:pPr>
            <w:r>
              <w:rPr>
                <w:rFonts w:ascii="宋体" w:hAnsi="宋体"/>
                <w:sz w:val="22"/>
              </w:rPr>
              <w:t xml:space="preserve">法定代表人或</w:t>
            </w:r>
            <w:r>
              <w:rPr>
                <w:rFonts w:ascii="宋体" w:hAnsi="宋体"/>
                <w:sz w:val="22"/>
              </w:rPr>
              <w:br/>
            </w:r>
            <w:r>
              <w:rPr>
                <w:rFonts w:ascii="宋体" w:hAnsi="宋体"/>
                <w:sz w:val="22"/>
              </w:rPr>
              <w:t xml:space="preserve">授权代表（签字）：</w:t>
            </w:r>
            <w:r>
              <w:rPr>
                <w:rFonts w:ascii="宋体" w:hAnsi="宋体"/>
                <w:sz w:val="22"/>
              </w:rPr>
              <w:br/>
            </w:r>
            <w:r>
              <w:rPr>
                <w:rFonts w:ascii="宋体" w:hAnsi="宋体"/>
                <w:sz w:val="22"/>
              </w:rPr>
              <w:br/>
            </w:r>
            <w:r>
              <w:rPr>
                <w:rFonts w:ascii="宋体" w:hAnsi="宋体"/>
                <w:sz w:val="22"/>
              </w:rPr>
              <w:br/>
            </w:r>
            <w:r>
              <w:rPr>
                <w:rFonts w:ascii="宋体" w:hAnsi="宋体"/>
                <w:sz w:val="22"/>
              </w:rPr>
              <w:t xml:space="preserve">____________________</w:t>
            </w:r>
            <w:r/>
          </w:p>
        </w:tc>
      </w:tr>
      <w:tr>
        <w:trPr/>
        <w:tc>
          <w:tcPr>
            <w:tcW w:w="4323" w:type="dxa"/>
            <w:textDirection w:val="lrTb"/>
            <w:noWrap w:val="false"/>
          </w:tcPr>
          <w:p>
            <w:pPr>
              <w:rPr>
                <w:rFonts w:ascii="Calibri" w:hAnsi="Calibri"/>
              </w:rPr>
            </w:pPr>
            <w:r>
              <w:rPr>
                <w:rFonts w:ascii="宋体" w:hAnsi="宋体"/>
                <w:sz w:val="22"/>
              </w:rPr>
              <w:t xml:space="preserve">地址：南京市北京西路74号</w:t>
            </w:r>
            <w:r/>
          </w:p>
        </w:tc>
        <w:tc>
          <w:tcPr>
            <w:tcW w:w="4323" w:type="dxa"/>
            <w:textDirection w:val="lrTb"/>
            <w:noWrap w:val="false"/>
          </w:tcPr>
          <w:p>
            <w:pPr>
              <w:rPr>
                <w:rFonts w:ascii="Calibri" w:hAnsi="Calibri"/>
              </w:rPr>
            </w:pPr>
            <w:r>
              <w:rPr>
                <w:rFonts w:ascii="宋体" w:hAnsi="宋体"/>
                <w:sz w:val="22"/>
              </w:rPr>
              <w:t xml:space="preserve">地址：____________________</w:t>
            </w:r>
            <w:r/>
          </w:p>
        </w:tc>
      </w:tr>
      <w:tr>
        <w:trPr/>
        <w:tc>
          <w:tcPr>
            <w:tcW w:w="4323" w:type="dxa"/>
            <w:textDirection w:val="lrTb"/>
            <w:noWrap w:val="false"/>
          </w:tcPr>
          <w:p>
            <w:pPr>
              <w:rPr>
                <w:rFonts w:ascii="Calibri" w:hAnsi="Calibri"/>
              </w:rPr>
            </w:pPr>
            <w:r>
              <w:rPr>
                <w:rFonts w:ascii="宋体" w:hAnsi="宋体"/>
                <w:sz w:val="22"/>
              </w:rPr>
              <w:t xml:space="preserve">邮编：</w:t>
            </w:r>
            <w:r/>
          </w:p>
        </w:tc>
        <w:tc>
          <w:tcPr>
            <w:tcW w:w="4323" w:type="dxa"/>
            <w:textDirection w:val="lrTb"/>
            <w:noWrap w:val="false"/>
          </w:tcPr>
          <w:p>
            <w:pPr>
              <w:rPr>
                <w:rFonts w:ascii="Calibri" w:hAnsi="Calibri"/>
              </w:rPr>
            </w:pPr>
            <w:r>
              <w:rPr>
                <w:rFonts w:ascii="宋体" w:hAnsi="宋体"/>
                <w:sz w:val="22"/>
              </w:rPr>
              <w:t xml:space="preserve">邮编：____________________</w:t>
            </w:r>
            <w:r/>
          </w:p>
        </w:tc>
      </w:tr>
      <w:tr>
        <w:trPr/>
        <w:tc>
          <w:tcPr>
            <w:tcW w:w="4323" w:type="dxa"/>
            <w:textDirection w:val="lrTb"/>
            <w:noWrap w:val="false"/>
          </w:tcPr>
          <w:p>
            <w:pPr>
              <w:rPr>
                <w:rFonts w:ascii="Calibri" w:hAnsi="Calibri"/>
              </w:rPr>
            </w:pPr>
            <w:r>
              <w:rPr>
                <w:rFonts w:ascii="宋体" w:hAnsi="宋体"/>
                <w:sz w:val="22"/>
              </w:rPr>
              <w:t xml:space="preserve">联系人：</w:t>
            </w:r>
            <w:r/>
          </w:p>
        </w:tc>
        <w:tc>
          <w:tcPr>
            <w:tcW w:w="4323" w:type="dxa"/>
            <w:textDirection w:val="lrTb"/>
            <w:noWrap w:val="false"/>
          </w:tcPr>
          <w:p>
            <w:pPr>
              <w:rPr>
                <w:rFonts w:ascii="Calibri" w:hAnsi="Calibri"/>
              </w:rPr>
            </w:pPr>
            <w:r>
              <w:rPr>
                <w:rFonts w:ascii="宋体" w:hAnsi="宋体"/>
                <w:sz w:val="22"/>
              </w:rPr>
              <w:t xml:space="preserve">联系人：____________________</w:t>
            </w:r>
            <w:r/>
          </w:p>
        </w:tc>
      </w:tr>
      <w:tr>
        <w:trPr/>
        <w:tc>
          <w:tcPr>
            <w:tcW w:w="4323" w:type="dxa"/>
            <w:textDirection w:val="lrTb"/>
            <w:noWrap w:val="false"/>
          </w:tcPr>
          <w:p>
            <w:pPr>
              <w:rPr>
                <w:rFonts w:ascii="Calibri" w:hAnsi="Calibri"/>
              </w:rPr>
            </w:pPr>
            <w:r>
              <w:rPr>
                <w:rFonts w:ascii="宋体" w:hAnsi="宋体"/>
                <w:sz w:val="22"/>
              </w:rPr>
              <w:t xml:space="preserve">电话：</w:t>
            </w:r>
            <w:r/>
          </w:p>
        </w:tc>
        <w:tc>
          <w:tcPr>
            <w:tcW w:w="4323" w:type="dxa"/>
            <w:textDirection w:val="lrTb"/>
            <w:noWrap w:val="false"/>
          </w:tcPr>
          <w:p>
            <w:pPr>
              <w:rPr>
                <w:rFonts w:ascii="Calibri" w:hAnsi="Calibri"/>
              </w:rPr>
            </w:pPr>
            <w:r>
              <w:rPr>
                <w:rFonts w:ascii="宋体" w:hAnsi="宋体"/>
                <w:sz w:val="22"/>
              </w:rPr>
              <w:t xml:space="preserve">电话：____________________</w:t>
            </w:r>
            <w:r/>
          </w:p>
        </w:tc>
      </w:tr>
      <w:tr>
        <w:trPr/>
        <w:tc>
          <w:tcPr>
            <w:tcW w:w="4323" w:type="dxa"/>
            <w:textDirection w:val="lrTb"/>
            <w:noWrap w:val="false"/>
          </w:tcPr>
          <w:p>
            <w:pPr>
              <w:rPr>
                <w:rFonts w:ascii="Calibri" w:hAnsi="Calibri"/>
              </w:rPr>
            </w:pPr>
            <w:r>
              <w:rPr>
                <w:rFonts w:ascii="宋体" w:hAnsi="宋体"/>
                <w:sz w:val="22"/>
              </w:rPr>
              <w:t xml:space="preserve">日期：______年____月____日</w:t>
            </w:r>
            <w:r/>
          </w:p>
        </w:tc>
        <w:tc>
          <w:tcPr>
            <w:tcW w:w="4323" w:type="dxa"/>
            <w:textDirection w:val="lrTb"/>
            <w:noWrap w:val="false"/>
          </w:tcPr>
          <w:p>
            <w:pPr>
              <w:rPr>
                <w:rFonts w:ascii="Calibri" w:hAnsi="Calibri"/>
              </w:rPr>
            </w:pPr>
            <w:r>
              <w:rPr>
                <w:rFonts w:ascii="宋体" w:hAnsi="宋体"/>
                <w:sz w:val="22"/>
              </w:rPr>
              <w:t xml:space="preserve">日期：______年____月____日</w:t>
            </w:r>
            <w:r/>
          </w:p>
        </w:tc>
      </w:tr>
    </w:tbl>
    <w:p>
      <w:r>
        <w:br w:type="page" w:clear="all"/>
      </w:r>
      <w:r/>
    </w:p>
    <w:p>
      <w:r>
        <w:rPr>
          <w:rFonts w:ascii="黑体" w:hAnsi="黑体" w:eastAsia="黑体"/>
          <w:b/>
          <w:sz w:val="32"/>
        </w:rPr>
        <w:t xml:space="preserve">附件一：采购清单及分项报价表</w:t>
      </w:r>
      <w:r/>
    </w:p>
    <w:tbl>
      <w:tblPr>
        <w:tblStyle w:val="961"/>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36"/>
        <w:gridCol w:w="1139"/>
        <w:gridCol w:w="737"/>
        <w:gridCol w:w="737"/>
        <w:gridCol w:w="938"/>
        <w:gridCol w:w="938"/>
        <w:gridCol w:w="2336"/>
      </w:tblGrid>
      <w:tr>
        <w:trPr>
          <w:jc w:val="center"/>
          <w:tblHeader/>
        </w:trPr>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序号</w:t>
            </w:r>
            <w:r/>
          </w:p>
        </w:tc>
        <w:tc>
          <w:tcPr>
            <w:tcMar>
              <w:left w:w="-1" w:type="dxa"/>
              <w:top w:w="-1" w:type="dxa"/>
              <w:right w:w="-1" w:type="dxa"/>
              <w:bottom w:w="-1" w:type="dxa"/>
            </w:tcMar>
            <w:tcW w:w="1736" w:type="dxa"/>
            <w:vAlign w:val="center"/>
            <w:textDirection w:val="lrTb"/>
            <w:noWrap w:val="false"/>
          </w:tcPr>
          <w:p>
            <w:pPr>
              <w:jc w:val="center"/>
              <w:rPr>
                <w:rFonts w:ascii="宋体" w:hAnsi="Calibri"/>
                <w:b/>
                <w:sz w:val="20"/>
              </w:rPr>
            </w:pPr>
            <w:r>
              <w:rPr>
                <w:rFonts w:ascii="宋体" w:hAnsi="宋体"/>
                <w:b/>
                <w:sz w:val="20"/>
              </w:rPr>
              <w:t xml:space="preserve">设备/服务名称</w:t>
            </w:r>
            <w:r/>
          </w:p>
        </w:tc>
        <w:tc>
          <w:tcPr>
            <w:tcMar>
              <w:left w:w="-1" w:type="dxa"/>
              <w:top w:w="-1" w:type="dxa"/>
              <w:right w:w="-1" w:type="dxa"/>
              <w:bottom w:w="-1" w:type="dxa"/>
            </w:tcMar>
            <w:tcW w:w="1139" w:type="dxa"/>
            <w:vAlign w:val="center"/>
            <w:textDirection w:val="lrTb"/>
            <w:noWrap w:val="false"/>
          </w:tcPr>
          <w:p>
            <w:pPr>
              <w:jc w:val="center"/>
              <w:rPr>
                <w:rFonts w:ascii="宋体" w:hAnsi="Calibri"/>
                <w:b/>
                <w:sz w:val="20"/>
              </w:rPr>
            </w:pPr>
            <w:r>
              <w:rPr>
                <w:rFonts w:ascii="宋体" w:hAnsi="宋体"/>
                <w:b/>
                <w:sz w:val="20"/>
              </w:rPr>
              <w:t xml:space="preserve">规格型号</w:t>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数量</w:t>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宋体"/>
                <w:b/>
                <w:sz w:val="20"/>
              </w:rPr>
              <w:t xml:space="preserve">单位</w:t>
            </w:r>
            <w:r/>
          </w:p>
        </w:tc>
        <w:tc>
          <w:tcPr>
            <w:tcMar>
              <w:left w:w="-1" w:type="dxa"/>
              <w:top w:w="-1" w:type="dxa"/>
              <w:right w:w="-1" w:type="dxa"/>
              <w:bottom w:w="-1" w:type="dxa"/>
            </w:tcMar>
            <w:tcW w:w="938" w:type="dxa"/>
            <w:vAlign w:val="center"/>
            <w:textDirection w:val="lrTb"/>
            <w:noWrap w:val="false"/>
          </w:tcPr>
          <w:p>
            <w:pPr>
              <w:jc w:val="center"/>
              <w:rPr>
                <w:rFonts w:ascii="宋体" w:hAnsi="宋体"/>
                <w:b/>
                <w:sz w:val="20"/>
              </w:rPr>
            </w:pPr>
            <w:r>
              <w:rPr>
                <w:rFonts w:ascii="宋体" w:hAnsi="宋体"/>
                <w:b/>
                <w:sz w:val="20"/>
              </w:rPr>
              <w:t xml:space="preserve">单价</w:t>
            </w:r>
            <w:r/>
          </w:p>
          <w:p>
            <w:pPr>
              <w:jc w:val="center"/>
              <w:rPr>
                <w:rFonts w:ascii="宋体" w:hAnsi="Calibri"/>
                <w:b/>
                <w:sz w:val="20"/>
              </w:rPr>
            </w:pPr>
            <w:r>
              <w:rPr>
                <w:rFonts w:ascii="宋体" w:hAnsi="宋体"/>
                <w:b/>
                <w:sz w:val="20"/>
              </w:rPr>
              <w:t xml:space="preserve">（元）</w:t>
            </w:r>
            <w:r/>
          </w:p>
        </w:tc>
        <w:tc>
          <w:tcPr>
            <w:tcMar>
              <w:left w:w="-1" w:type="dxa"/>
              <w:top w:w="-1" w:type="dxa"/>
              <w:right w:w="-1" w:type="dxa"/>
              <w:bottom w:w="-1" w:type="dxa"/>
            </w:tcMar>
            <w:tcW w:w="938" w:type="dxa"/>
            <w:vAlign w:val="center"/>
            <w:textDirection w:val="lrTb"/>
            <w:noWrap w:val="false"/>
          </w:tcPr>
          <w:p>
            <w:pPr>
              <w:jc w:val="center"/>
              <w:rPr>
                <w:rFonts w:ascii="宋体" w:hAnsi="宋体"/>
                <w:b/>
                <w:sz w:val="20"/>
              </w:rPr>
            </w:pPr>
            <w:r>
              <w:rPr>
                <w:rFonts w:ascii="宋体" w:hAnsi="宋体"/>
                <w:b/>
                <w:sz w:val="20"/>
              </w:rPr>
              <w:t xml:space="preserve">合价</w:t>
            </w:r>
            <w:r/>
          </w:p>
          <w:p>
            <w:pPr>
              <w:jc w:val="center"/>
              <w:rPr>
                <w:rFonts w:ascii="宋体" w:hAnsi="Calibri"/>
                <w:b/>
                <w:sz w:val="20"/>
              </w:rPr>
            </w:pPr>
            <w:r>
              <w:rPr>
                <w:rFonts w:ascii="宋体" w:hAnsi="宋体"/>
                <w:b/>
                <w:sz w:val="20"/>
              </w:rPr>
              <w:t xml:space="preserve">（元）</w:t>
            </w:r>
            <w:r/>
          </w:p>
        </w:tc>
        <w:tc>
          <w:tcPr>
            <w:tcMar>
              <w:left w:w="-1" w:type="dxa"/>
              <w:top w:w="-1" w:type="dxa"/>
              <w:right w:w="-1" w:type="dxa"/>
              <w:bottom w:w="-1" w:type="dxa"/>
            </w:tcMar>
            <w:tcW w:w="2336" w:type="dxa"/>
            <w:vAlign w:val="center"/>
            <w:textDirection w:val="lrTb"/>
            <w:noWrap w:val="false"/>
          </w:tcPr>
          <w:p>
            <w:pPr>
              <w:jc w:val="center"/>
              <w:rPr>
                <w:rFonts w:ascii="宋体" w:hAnsi="Calibri"/>
                <w:b/>
                <w:sz w:val="20"/>
              </w:rPr>
            </w:pPr>
            <w:r>
              <w:rPr>
                <w:rFonts w:ascii="宋体" w:hAnsi="宋体"/>
                <w:b/>
                <w:sz w:val="20"/>
              </w:rPr>
              <w:t xml:space="preserve">备注</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链路负载器</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▲重要参数</w:t>
            </w:r>
            <w:r>
              <w:rPr>
                <w:rFonts w:hint="eastAsia" w:ascii="宋体" w:hAnsi="宋体"/>
                <w:sz w:val="20"/>
              </w:rPr>
              <w:t xml:space="preserve">，</w:t>
            </w:r>
            <w:r>
              <w:rPr>
                <w:rFonts w:ascii="宋体" w:hAnsi="宋体"/>
                <w:sz w:val="20"/>
              </w:rPr>
              <w:t xml:space="preserve">核心产品</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2</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ONU（8口）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406</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3</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ONU（4口）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71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ONU（24口）</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6</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台</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含1台备件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5</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高密AP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83</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含2个备件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6</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面板AP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358</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含5个备件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7</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放装AP</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458</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含5个备件</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8</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套</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▲重要参数</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9</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万兆单模光模块</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个</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SFP+ 1310nm 10km</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10</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施工及安装辅材</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项</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含箱体、跳线、线缆、分光器等</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11</w:t>
            </w:r>
            <w:r/>
          </w:p>
        </w:tc>
        <w:tc>
          <w:tcPr>
            <w:tcMar>
              <w:left w:w="-1" w:type="dxa"/>
              <w:top w:w="-1" w:type="dxa"/>
              <w:right w:w="-1" w:type="dxa"/>
              <w:bottom w:w="-1" w:type="dxa"/>
            </w:tcMar>
            <w:tcW w:w="1736" w:type="dxa"/>
            <w:vAlign w:val="center"/>
            <w:textDirection w:val="lrTb"/>
            <w:noWrap w:val="false"/>
          </w:tcPr>
          <w:p>
            <w:pPr>
              <w:jc w:val="left"/>
              <w:rPr>
                <w:rFonts w:ascii="宋体" w:hAnsi="Calibri"/>
                <w:sz w:val="20"/>
              </w:rPr>
            </w:pPr>
            <w:r>
              <w:rPr>
                <w:rFonts w:ascii="宋体" w:hAnsi="宋体"/>
                <w:sz w:val="20"/>
              </w:rPr>
              <w:t xml:space="preserve">技术服务费</w:t>
            </w:r>
            <w:r/>
          </w:p>
        </w:tc>
        <w:tc>
          <w:tcPr>
            <w:tcMar>
              <w:left w:w="-1" w:type="dxa"/>
              <w:top w:w="-1" w:type="dxa"/>
              <w:right w:w="-1" w:type="dxa"/>
              <w:bottom w:w="-1" w:type="dxa"/>
            </w:tcMar>
            <w:tcW w:w="1139" w:type="dxa"/>
            <w:vAlign w:val="center"/>
            <w:textDirection w:val="lrTb"/>
            <w:noWrap w:val="false"/>
          </w:tcPr>
          <w:p>
            <w:pPr>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1</w:t>
            </w:r>
            <w:r/>
          </w:p>
        </w:tc>
        <w:tc>
          <w:tcPr>
            <w:tcMar>
              <w:left w:w="-1" w:type="dxa"/>
              <w:top w:w="-1" w:type="dxa"/>
              <w:right w:w="-1" w:type="dxa"/>
              <w:bottom w:w="-1" w:type="dxa"/>
            </w:tcMar>
            <w:tcW w:w="737" w:type="dxa"/>
            <w:vAlign w:val="center"/>
            <w:textDirection w:val="lrTb"/>
            <w:noWrap w:val="false"/>
          </w:tcPr>
          <w:p>
            <w:pPr>
              <w:jc w:val="center"/>
              <w:rPr>
                <w:rFonts w:ascii="宋体" w:hAnsi="Calibri"/>
                <w:sz w:val="20"/>
              </w:rPr>
            </w:pPr>
            <w:r>
              <w:rPr>
                <w:rFonts w:ascii="宋体" w:hAnsi="宋体"/>
                <w:sz w:val="20"/>
              </w:rPr>
              <w:t xml:space="preserve">项</w:t>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sz w:val="20"/>
              </w:rPr>
            </w:pPr>
            <w:r>
              <w:rPr>
                <w:rFonts w:ascii="宋体" w:hAnsi="宋体"/>
                <w:sz w:val="20"/>
              </w:rPr>
              <w:t xml:space="preserve">含熔接、调试、测试、集成等</w:t>
            </w:r>
            <w:r/>
          </w:p>
        </w:tc>
      </w:tr>
      <w:tr>
        <w:trPr>
          <w:jc w:val="center"/>
        </w:trPr>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1736" w:type="dxa"/>
            <w:vAlign w:val="center"/>
            <w:textDirection w:val="lrTb"/>
            <w:noWrap w:val="false"/>
          </w:tcPr>
          <w:p>
            <w:pPr>
              <w:jc w:val="left"/>
              <w:rPr>
                <w:rFonts w:ascii="宋体" w:hAnsi="Calibri"/>
                <w:b/>
                <w:sz w:val="20"/>
              </w:rPr>
            </w:pPr>
            <w:r>
              <w:rPr>
                <w:rFonts w:ascii="宋体" w:hAnsi="宋体"/>
                <w:b/>
                <w:sz w:val="20"/>
              </w:rPr>
              <w:t xml:space="preserve">合计</w:t>
            </w:r>
            <w:r/>
          </w:p>
        </w:tc>
        <w:tc>
          <w:tcPr>
            <w:tcMar>
              <w:left w:w="-1" w:type="dxa"/>
              <w:top w:w="-1" w:type="dxa"/>
              <w:right w:w="-1" w:type="dxa"/>
              <w:bottom w:w="-1" w:type="dxa"/>
            </w:tcMar>
            <w:tcW w:w="1139"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jc w:val="center"/>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jc w:val="right"/>
              <w:rPr>
                <w:rFonts w:ascii="宋体" w:hAnsi="Calibri"/>
                <w:b/>
                <w:sz w:val="20"/>
              </w:rPr>
            </w:pPr>
            <w:r>
              <w:rPr>
                <w:rFonts w:ascii="宋体" w:hAnsi="Calibri"/>
                <w:b/>
                <w:sz w:val="20"/>
              </w:rPr>
            </w:r>
            <w:r/>
          </w:p>
        </w:tc>
        <w:tc>
          <w:tcPr>
            <w:tcMar>
              <w:left w:w="-1" w:type="dxa"/>
              <w:top w:w="-1" w:type="dxa"/>
              <w:right w:w="-1" w:type="dxa"/>
              <w:bottom w:w="-1" w:type="dxa"/>
            </w:tcMar>
            <w:tcW w:w="2336" w:type="dxa"/>
            <w:vAlign w:val="center"/>
            <w:textDirection w:val="lrTb"/>
            <w:noWrap w:val="false"/>
          </w:tcPr>
          <w:p>
            <w:pPr>
              <w:jc w:val="left"/>
              <w:rPr>
                <w:rFonts w:ascii="宋体" w:hAnsi="Calibri"/>
                <w:b/>
                <w:sz w:val="20"/>
              </w:rPr>
            </w:pPr>
            <w:r>
              <w:rPr>
                <w:rFonts w:ascii="宋体" w:hAnsi="Calibri"/>
                <w:b/>
                <w:sz w:val="20"/>
              </w:rPr>
            </w:r>
            <w:r/>
          </w:p>
        </w:tc>
      </w:tr>
    </w:tbl>
    <w:p>
      <w:pPr>
        <w:ind w:firstLine="480"/>
      </w:pPr>
      <w:r>
        <w:rPr>
          <w:rFonts w:ascii="宋体" w:hAnsi="宋体"/>
          <w:sz w:val="24"/>
        </w:rPr>
        <w:t xml:space="preserve">注：1. 以上报价为含税总价，包含完成本项目所需的一切费用。2. 设备数量以采购清单为基础，不得少于清单数量，具体数量由乙方工勘确定，不足部分由乙方自行补足。</w:t>
      </w:r>
      <w:r/>
    </w:p>
    <w:p>
      <w:r>
        <w:br w:type="page" w:clear="all"/>
      </w:r>
      <w:r/>
    </w:p>
    <w:p>
      <w:r>
        <w:rPr>
          <w:rFonts w:ascii="黑体" w:hAnsi="黑体" w:eastAsia="黑体"/>
          <w:b/>
          <w:sz w:val="32"/>
        </w:rPr>
        <w:t xml:space="preserve">附件二：技术参数响应表</w:t>
      </w:r>
      <w:r/>
    </w:p>
    <w:tbl>
      <w:tblPr>
        <w:tblStyle w:val="96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965"/>
        <w:gridCol w:w="3812"/>
        <w:gridCol w:w="1198"/>
        <w:gridCol w:w="796"/>
        <w:gridCol w:w="1175"/>
      </w:tblGrid>
      <w:tr>
        <w:trPr>
          <w:jc w:val="center"/>
          <w:tblHeader/>
        </w:trPr>
        <w:tc>
          <w:tcPr>
            <w:tcW w:w="774" w:type="dxa"/>
            <w:vAlign w:val="center"/>
            <w:textDirection w:val="lrTb"/>
            <w:noWrap w:val="false"/>
          </w:tcPr>
          <w:p>
            <w:pPr>
              <w:jc w:val="center"/>
              <w:rPr>
                <w:rFonts w:ascii="宋体" w:hAnsi="Calibri"/>
                <w:b/>
                <w:sz w:val="20"/>
              </w:rPr>
            </w:pPr>
            <w:r>
              <w:rPr>
                <w:rFonts w:ascii="宋体" w:hAnsi="宋体"/>
                <w:b/>
                <w:sz w:val="20"/>
              </w:rPr>
              <w:t xml:space="preserve">序号</w:t>
            </w:r>
            <w:r/>
          </w:p>
        </w:tc>
        <w:tc>
          <w:tcPr>
            <w:tcW w:w="0" w:type="auto"/>
            <w:vAlign w:val="center"/>
            <w:textDirection w:val="lrTb"/>
            <w:noWrap w:val="false"/>
          </w:tcPr>
          <w:p>
            <w:pPr>
              <w:jc w:val="center"/>
              <w:rPr>
                <w:rFonts w:ascii="宋体" w:hAnsi="Calibri"/>
                <w:b/>
                <w:sz w:val="20"/>
              </w:rPr>
            </w:pPr>
            <w:r>
              <w:rPr>
                <w:rFonts w:ascii="宋体" w:hAnsi="宋体"/>
                <w:b/>
                <w:sz w:val="20"/>
              </w:rPr>
              <w:t xml:space="preserve">设备名称</w:t>
            </w:r>
            <w:r/>
          </w:p>
        </w:tc>
        <w:tc>
          <w:tcPr>
            <w:tcW w:w="3812" w:type="dxa"/>
            <w:vAlign w:val="center"/>
            <w:textDirection w:val="lrTb"/>
            <w:noWrap w:val="false"/>
          </w:tcPr>
          <w:p>
            <w:pPr>
              <w:jc w:val="center"/>
              <w:rPr>
                <w:rFonts w:ascii="宋体" w:hAnsi="Calibri"/>
                <w:b/>
                <w:sz w:val="20"/>
              </w:rPr>
            </w:pPr>
            <w:r>
              <w:rPr>
                <w:rFonts w:ascii="宋体" w:hAnsi="宋体"/>
                <w:b/>
                <w:sz w:val="20"/>
              </w:rPr>
              <w:t xml:space="preserve">招标文件技术参数要求</w:t>
            </w:r>
            <w:r/>
          </w:p>
        </w:tc>
        <w:tc>
          <w:tcPr>
            <w:tcW w:w="0" w:type="auto"/>
            <w:vAlign w:val="center"/>
            <w:textDirection w:val="lrTb"/>
            <w:noWrap w:val="false"/>
          </w:tcPr>
          <w:p>
            <w:pPr>
              <w:jc w:val="center"/>
              <w:rPr>
                <w:rFonts w:ascii="宋体" w:hAnsi="Calibri"/>
                <w:b/>
                <w:sz w:val="20"/>
              </w:rPr>
            </w:pPr>
            <w:r>
              <w:rPr>
                <w:rFonts w:ascii="宋体" w:hAnsi="宋体"/>
                <w:b/>
                <w:sz w:val="20"/>
              </w:rPr>
              <w:t xml:space="preserve">投标产品技术参数</w:t>
            </w:r>
            <w:r/>
          </w:p>
        </w:tc>
        <w:tc>
          <w:tcPr>
            <w:tcW w:w="0" w:type="auto"/>
            <w:vAlign w:val="center"/>
            <w:textDirection w:val="lrTb"/>
            <w:noWrap w:val="false"/>
          </w:tcPr>
          <w:p>
            <w:pPr>
              <w:jc w:val="center"/>
              <w:rPr>
                <w:rFonts w:ascii="宋体" w:hAnsi="Calibri"/>
                <w:b/>
                <w:sz w:val="20"/>
              </w:rPr>
            </w:pPr>
            <w:r>
              <w:rPr>
                <w:rFonts w:ascii="宋体" w:hAnsi="宋体"/>
                <w:b/>
                <w:sz w:val="20"/>
              </w:rPr>
              <w:t xml:space="preserve">偏离情况</w:t>
            </w:r>
            <w:r/>
          </w:p>
        </w:tc>
        <w:tc>
          <w:tcPr>
            <w:tcW w:w="1175" w:type="dxa"/>
            <w:vAlign w:val="center"/>
            <w:textDirection w:val="lrTb"/>
            <w:noWrap w:val="false"/>
          </w:tcPr>
          <w:p>
            <w:pPr>
              <w:jc w:val="center"/>
              <w:rPr>
                <w:rFonts w:ascii="宋体" w:hAnsi="Calibri"/>
                <w:b/>
                <w:sz w:val="20"/>
              </w:rPr>
            </w:pPr>
            <w:r>
              <w:rPr>
                <w:rFonts w:ascii="宋体" w:hAnsi="宋体"/>
                <w:b/>
                <w:sz w:val="20"/>
              </w:rPr>
              <w:t xml:space="preserve">证明材料</w:t>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1</w:t>
            </w:r>
            <w:r/>
          </w:p>
        </w:tc>
        <w:tc>
          <w:tcPr>
            <w:tcW w:w="0" w:type="auto"/>
            <w:vAlign w:val="center"/>
            <w:textDirection w:val="lrTb"/>
            <w:noWrap w:val="false"/>
          </w:tcPr>
          <w:p>
            <w:pPr>
              <w:jc w:val="left"/>
              <w:rPr>
                <w:rFonts w:ascii="宋体" w:hAnsi="Calibri"/>
                <w:sz w:val="20"/>
              </w:rPr>
            </w:pPr>
            <w:r>
              <w:rPr>
                <w:rFonts w:ascii="宋体" w:hAnsi="宋体"/>
                <w:sz w:val="20"/>
              </w:rPr>
              <w:t xml:space="preserve">▲链路负载器</w:t>
            </w:r>
            <w:r/>
          </w:p>
        </w:tc>
        <w:tc>
          <w:tcPr>
            <w:tcW w:w="3812" w:type="dxa"/>
            <w:vAlign w:val="center"/>
            <w:textDirection w:val="lrTb"/>
            <w:noWrap w:val="false"/>
          </w:tcPr>
          <w:p>
            <w:pPr>
              <w:jc w:val="left"/>
              <w:rPr>
                <w:rFonts w:ascii="宋体" w:hAnsi="Calibri"/>
                <w:sz w:val="20"/>
              </w:rPr>
            </w:pPr>
            <w:r>
              <w:rPr>
                <w:rFonts w:ascii="宋体" w:hAnsi="宋体"/>
                <w:sz w:val="20"/>
              </w:rPr>
              <w:t xml:space="preserve">四层吞吐量≥20Gbps；并发连接数≥1600万；CPS≥50万；RPS≥50万；≥2U；内存≥16G；SSD≥480G；≥6千兆电口+≥2万兆光口；冗余电源；支持链路/全局/服务器负载均衡；支持URL链路调度</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宋体"/>
                <w:sz w:val="20"/>
              </w:rPr>
              <w:t xml:space="preserve">核心产品</w:t>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2</w:t>
            </w:r>
            <w:r/>
          </w:p>
        </w:tc>
        <w:tc>
          <w:tcPr>
            <w:tcW w:w="0" w:type="auto"/>
            <w:vAlign w:val="center"/>
            <w:textDirection w:val="lrTb"/>
            <w:noWrap w:val="false"/>
          </w:tcPr>
          <w:p>
            <w:pPr>
              <w:jc w:val="left"/>
              <w:rPr>
                <w:rFonts w:ascii="宋体" w:hAnsi="Calibri"/>
                <w:sz w:val="20"/>
              </w:rPr>
            </w:pPr>
            <w:r>
              <w:rPr>
                <w:rFonts w:ascii="宋体" w:hAnsi="宋体"/>
                <w:sz w:val="20"/>
              </w:rPr>
              <w:t xml:space="preserve">8口ONU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PON口；≥8个GE口；支持POE/POE+；功率≥120W；兼容现网OLT</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3</w:t>
            </w:r>
            <w:r/>
          </w:p>
        </w:tc>
        <w:tc>
          <w:tcPr>
            <w:tcW w:w="0" w:type="auto"/>
            <w:vAlign w:val="center"/>
            <w:textDirection w:val="lrTb"/>
            <w:noWrap w:val="false"/>
          </w:tcPr>
          <w:p>
            <w:pPr>
              <w:jc w:val="left"/>
              <w:rPr>
                <w:rFonts w:ascii="宋体" w:hAnsi="Calibri"/>
                <w:sz w:val="20"/>
              </w:rPr>
            </w:pPr>
            <w:r>
              <w:rPr>
                <w:rFonts w:ascii="宋体" w:hAnsi="宋体"/>
                <w:sz w:val="20"/>
              </w:rPr>
              <w:t xml:space="preserve">4口ONU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PON口；≥4个GE口；支持POE/POE+；功率≥60W；兼容现网OLT</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4</w:t>
            </w:r>
            <w:r/>
          </w:p>
        </w:tc>
        <w:tc>
          <w:tcPr>
            <w:tcW w:w="0" w:type="auto"/>
            <w:vAlign w:val="center"/>
            <w:textDirection w:val="lrTb"/>
            <w:noWrap w:val="false"/>
          </w:tcPr>
          <w:p>
            <w:pPr>
              <w:jc w:val="left"/>
              <w:rPr>
                <w:rFonts w:ascii="宋体" w:hAnsi="Calibri"/>
                <w:sz w:val="20"/>
              </w:rPr>
            </w:pPr>
            <w:r>
              <w:rPr>
                <w:rFonts w:ascii="宋体" w:hAnsi="宋体"/>
                <w:sz w:val="20"/>
              </w:rPr>
              <w:t xml:space="preserve">▲24口ONU</w:t>
            </w:r>
            <w:r/>
          </w:p>
        </w:tc>
        <w:tc>
          <w:tcPr>
            <w:tcW w:w="3812" w:type="dxa"/>
            <w:vAlign w:val="center"/>
            <w:textDirection w:val="lrTb"/>
            <w:noWrap w:val="false"/>
          </w:tcPr>
          <w:p>
            <w:pPr>
              <w:jc w:val="left"/>
              <w:rPr>
                <w:rFonts w:ascii="宋体" w:hAnsi="Calibri"/>
                <w:sz w:val="20"/>
              </w:rPr>
            </w:pPr>
            <w:r>
              <w:rPr>
                <w:rFonts w:ascii="宋体" w:hAnsi="宋体"/>
                <w:sz w:val="20"/>
              </w:rPr>
              <w:t xml:space="preserve">XGS-PON或10G EPON；≥1个10G PON口；≥24个GE口；支持POE/POE+；功率≥360W；兼容现网OLT</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5</w:t>
            </w:r>
            <w:r/>
          </w:p>
        </w:tc>
        <w:tc>
          <w:tcPr>
            <w:tcW w:w="0" w:type="auto"/>
            <w:vAlign w:val="center"/>
            <w:textDirection w:val="lrTb"/>
            <w:noWrap w:val="false"/>
          </w:tcPr>
          <w:p>
            <w:pPr>
              <w:jc w:val="left"/>
              <w:rPr>
                <w:rFonts w:ascii="宋体" w:hAnsi="Calibri"/>
                <w:sz w:val="20"/>
              </w:rPr>
            </w:pPr>
            <w:r>
              <w:rPr>
                <w:rFonts w:ascii="宋体" w:hAnsi="宋体"/>
                <w:sz w:val="20"/>
              </w:rPr>
              <w:t xml:space="preserve">面板AP</w:t>
            </w:r>
            <w:r/>
          </w:p>
        </w:tc>
        <w:tc>
          <w:tcPr>
            <w:tcW w:w="3812" w:type="dxa"/>
            <w:vAlign w:val="center"/>
            <w:textDirection w:val="lrTb"/>
            <w:noWrap w:val="false"/>
          </w:tcPr>
          <w:p>
            <w:pPr>
              <w:jc w:val="left"/>
              <w:rPr>
                <w:rFonts w:ascii="宋体" w:hAnsi="Calibri"/>
                <w:sz w:val="20"/>
              </w:rPr>
            </w:pPr>
            <w:r>
              <w:rPr>
                <w:rFonts w:ascii="宋体" w:hAnsi="宋体"/>
                <w:sz w:val="20"/>
              </w:rPr>
              <w:t xml:space="preserve">双射频4流；最大速率3.57Gbps；≥1个2.5G电口；≥4个GE口；支持802.11be；兼容现网AC</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6</w:t>
            </w:r>
            <w:r/>
          </w:p>
        </w:tc>
        <w:tc>
          <w:tcPr>
            <w:tcW w:w="0" w:type="auto"/>
            <w:vAlign w:val="center"/>
            <w:textDirection w:val="lrTb"/>
            <w:noWrap w:val="false"/>
          </w:tcPr>
          <w:p>
            <w:pPr>
              <w:jc w:val="left"/>
              <w:rPr>
                <w:rFonts w:ascii="宋体" w:hAnsi="Calibri"/>
                <w:sz w:val="20"/>
              </w:rPr>
            </w:pPr>
            <w:r>
              <w:rPr>
                <w:rFonts w:ascii="宋体" w:hAnsi="宋体"/>
                <w:sz w:val="20"/>
              </w:rPr>
              <w:t xml:space="preserve">放装AP</w:t>
            </w:r>
            <w:r/>
          </w:p>
        </w:tc>
        <w:tc>
          <w:tcPr>
            <w:tcW w:w="3812" w:type="dxa"/>
            <w:vAlign w:val="center"/>
            <w:textDirection w:val="lrTb"/>
            <w:noWrap w:val="false"/>
          </w:tcPr>
          <w:p>
            <w:pPr>
              <w:jc w:val="left"/>
              <w:rPr>
                <w:rFonts w:ascii="宋体" w:hAnsi="Calibri"/>
                <w:sz w:val="20"/>
              </w:rPr>
            </w:pPr>
            <w:r>
              <w:rPr>
                <w:rFonts w:ascii="宋体" w:hAnsi="宋体"/>
                <w:sz w:val="20"/>
              </w:rPr>
              <w:t xml:space="preserve">双射频4流；最大速率3.57Gbps；≥1个2.5G电口；≥1个5G光口；支持802.11be；兼容现网AC</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7</w:t>
            </w:r>
            <w:r/>
          </w:p>
        </w:tc>
        <w:tc>
          <w:tcPr>
            <w:tcW w:w="0" w:type="auto"/>
            <w:vAlign w:val="center"/>
            <w:textDirection w:val="lrTb"/>
            <w:noWrap w:val="false"/>
          </w:tcPr>
          <w:p>
            <w:pPr>
              <w:jc w:val="left"/>
              <w:rPr>
                <w:rFonts w:ascii="宋体" w:hAnsi="Calibri"/>
                <w:sz w:val="20"/>
              </w:rPr>
            </w:pPr>
            <w:r>
              <w:rPr>
                <w:rFonts w:ascii="宋体" w:hAnsi="宋体"/>
                <w:sz w:val="20"/>
              </w:rPr>
              <w:t xml:space="preserve">高密AP</w:t>
            </w:r>
            <w:r/>
          </w:p>
        </w:tc>
        <w:tc>
          <w:tcPr>
            <w:tcW w:w="3812" w:type="dxa"/>
            <w:vAlign w:val="center"/>
            <w:textDirection w:val="lrTb"/>
            <w:noWrap w:val="false"/>
          </w:tcPr>
          <w:p>
            <w:pPr>
              <w:jc w:val="left"/>
              <w:rPr>
                <w:rFonts w:ascii="宋体" w:hAnsi="Calibri"/>
                <w:sz w:val="20"/>
              </w:rPr>
            </w:pPr>
            <w:r>
              <w:rPr>
                <w:rFonts w:ascii="宋体" w:hAnsi="宋体"/>
                <w:sz w:val="20"/>
              </w:rPr>
              <w:t xml:space="preserve">三射频8流；最大速率6.45Gbps；≥1个1G电口+≥1个5G电口+≥1个10G光口；支持802.11be；兼容现网AC</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774" w:type="dxa"/>
            <w:vAlign w:val="center"/>
            <w:textDirection w:val="lrTb"/>
            <w:noWrap w:val="false"/>
          </w:tcPr>
          <w:p>
            <w:pPr>
              <w:jc w:val="center"/>
              <w:rPr>
                <w:rFonts w:ascii="宋体" w:hAnsi="Calibri"/>
                <w:sz w:val="20"/>
              </w:rPr>
            </w:pPr>
            <w:r>
              <w:rPr>
                <w:rFonts w:ascii="宋体" w:hAnsi="宋体"/>
                <w:sz w:val="20"/>
              </w:rPr>
              <w:t xml:space="preserve">8</w:t>
            </w:r>
            <w:r/>
          </w:p>
        </w:tc>
        <w:tc>
          <w:tcPr>
            <w:tcW w:w="965"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W w:w="3812" w:type="dxa"/>
            <w:vAlign w:val="center"/>
            <w:textDirection w:val="lrTb"/>
            <w:noWrap w:val="false"/>
          </w:tcPr>
          <w:p>
            <w:pPr>
              <w:jc w:val="left"/>
              <w:rPr>
                <w:rFonts w:ascii="宋体" w:hAnsi="Calibri"/>
                <w:sz w:val="20"/>
              </w:rPr>
            </w:pPr>
            <w:r>
              <w:rPr>
                <w:rFonts w:ascii="宋体" w:hAnsi="宋体"/>
                <w:sz w:val="20"/>
              </w:rPr>
              <w:t xml:space="preserve">AI智能运维Agent功能；自然语言运维入口；智能协同处置；故障定位与趋势研判；经验沉淀与主动服务；支持标准API对接现有系统</w:t>
            </w:r>
            <w:r/>
          </w:p>
        </w:tc>
        <w:tc>
          <w:tcPr>
            <w:tcW w:w="1198" w:type="dxa"/>
            <w:vAlign w:val="center"/>
            <w:textDirection w:val="lrTb"/>
            <w:noWrap w:val="false"/>
          </w:tcPr>
          <w:p>
            <w:pPr>
              <w:jc w:val="center"/>
              <w:rPr>
                <w:rFonts w:ascii="宋体" w:hAnsi="Calibri"/>
                <w:sz w:val="20"/>
              </w:rPr>
            </w:pPr>
            <w:r>
              <w:rPr>
                <w:rFonts w:ascii="宋体" w:hAnsi="Calibri"/>
                <w:sz w:val="20"/>
              </w:rPr>
            </w:r>
            <w:r/>
          </w:p>
        </w:tc>
        <w:tc>
          <w:tcPr>
            <w:tcW w:w="796" w:type="dxa"/>
            <w:vAlign w:val="center"/>
            <w:textDirection w:val="lrTb"/>
            <w:noWrap w:val="false"/>
          </w:tcPr>
          <w:p>
            <w:pPr>
              <w:jc w:val="center"/>
              <w:rPr>
                <w:rFonts w:ascii="宋体" w:hAnsi="Calibri"/>
                <w:sz w:val="20"/>
              </w:rPr>
            </w:pPr>
            <w:r>
              <w:rPr>
                <w:rFonts w:ascii="宋体" w:hAnsi="Calibri"/>
                <w:sz w:val="20"/>
              </w:rPr>
            </w:r>
            <w:r/>
          </w:p>
        </w:tc>
        <w:tc>
          <w:tcPr>
            <w:tcW w:w="1175" w:type="dxa"/>
            <w:vAlign w:val="center"/>
            <w:textDirection w:val="lrTb"/>
            <w:noWrap w:val="false"/>
          </w:tcPr>
          <w:p>
            <w:pPr>
              <w:jc w:val="center"/>
              <w:rPr>
                <w:rFonts w:ascii="宋体" w:hAnsi="Calibri"/>
                <w:sz w:val="20"/>
              </w:rPr>
            </w:pPr>
            <w:r>
              <w:rPr>
                <w:rFonts w:ascii="宋体" w:hAnsi="Calibri"/>
                <w:sz w:val="20"/>
              </w:rPr>
            </w:r>
            <w:r/>
          </w:p>
        </w:tc>
      </w:tr>
    </w:tbl>
    <w:p>
      <w:pPr>
        <w:ind w:firstLine="480"/>
      </w:pPr>
      <w:r>
        <w:rPr>
          <w:rFonts w:ascii="宋体" w:hAnsi="宋体"/>
          <w:sz w:val="24"/>
        </w:rPr>
        <w:t xml:space="preserve">注：1. 投标人应逐项如实填写，不得遗漏。2. 带▲号的为重要参数。3. 偏离情况填写"正偏离""无偏离"或"负偏离"。4. 证明材料应在投标文件中提供对应页码。</w:t>
      </w:r>
      <w:r/>
    </w:p>
    <w:p>
      <w:r>
        <w:br w:type="page" w:clear="all"/>
      </w:r>
      <w:r/>
    </w:p>
    <w:p>
      <w:r/>
      <w:r/>
    </w:p>
    <w:p>
      <w:pPr>
        <w:pStyle w:val="912"/>
        <w:numPr>
          <w:ilvl w:val="0"/>
          <w:numId w:val="0"/>
        </w:numPr>
        <w:spacing w:line="578" w:lineRule="auto"/>
        <w:rPr>
          <w:rFonts w:ascii="Arial" w:hAnsi="Arial" w:cs="Arial"/>
        </w:rPr>
      </w:pPr>
      <w:r/>
      <w:bookmarkStart w:id="19" w:name="_Toc16360"/>
      <w:r>
        <w:rPr>
          <w:rFonts w:hint="eastAsia" w:ascii="Arial" w:hAnsi="Arial" w:cs="Arial"/>
        </w:rPr>
        <w:t xml:space="preserve">第六章附件</w:t>
      </w:r>
      <w:bookmarkEnd w:id="15"/>
      <w:r/>
      <w:bookmarkEnd w:id="19"/>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bookmarkStart w:id="20" w:name="_Toc14955_WPSOffice_Level1"/>
      <w:r>
        <w:rPr>
          <w:rFonts w:hint="eastAsia" w:ascii="Arial" w:hAnsi="Arial" w:eastAsia="黑体" w:cs="Arial"/>
          <w:sz w:val="44"/>
          <w:szCs w:val="44"/>
        </w:rPr>
        <w:t xml:space="preserve">投标文件</w:t>
      </w:r>
      <w:bookmarkEnd w:id="20"/>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ind w:firstLine="723"/>
        <w:rPr>
          <w:rFonts w:ascii="宋体" w:hAnsi="宋体" w:cs="宋体"/>
          <w:b/>
          <w:bCs/>
          <w:sz w:val="36"/>
          <w:szCs w:val="36"/>
        </w:rPr>
      </w:pPr>
      <w:r/>
      <w:bookmarkStart w:id="21" w:name="_Toc29864_WPSOffice_Level1"/>
      <w:r>
        <w:rPr>
          <w:rFonts w:hint="eastAsia" w:ascii="宋体" w:hAnsi="宋体" w:cs="宋体"/>
          <w:b/>
          <w:bCs/>
          <w:sz w:val="36"/>
          <w:szCs w:val="36"/>
        </w:rPr>
        <w:t xml:space="preserve">项目名称：</w:t>
      </w:r>
      <w:bookmarkEnd w:id="21"/>
      <w:r/>
      <w:r/>
    </w:p>
    <w:p>
      <w:pPr>
        <w:pStyle w:val="970"/>
        <w:rPr>
          <w:rFonts w:ascii="宋体" w:hAnsi="宋体" w:cs="宋体"/>
          <w:b/>
          <w:bCs/>
          <w:sz w:val="36"/>
          <w:szCs w:val="36"/>
        </w:rPr>
      </w:pPr>
      <w:r/>
      <w:bookmarkStart w:id="22" w:name="_Toc7236_WPSOffice_Level1"/>
      <w:r>
        <w:rPr>
          <w:rFonts w:hint="eastAsia" w:ascii="宋体" w:hAnsi="宋体" w:cs="宋体"/>
          <w:b/>
          <w:bCs/>
          <w:sz w:val="36"/>
          <w:szCs w:val="36"/>
        </w:rPr>
        <w:t xml:space="preserve">招标编号：</w:t>
      </w:r>
      <w:bookmarkEnd w:id="22"/>
      <w:r/>
      <w:r/>
    </w:p>
    <w:p>
      <w:pPr>
        <w:pStyle w:val="970"/>
        <w:rPr>
          <w:rFonts w:ascii="宋体" w:hAnsi="宋体" w:cs="宋体"/>
          <w:b/>
          <w:bCs/>
          <w:sz w:val="36"/>
          <w:szCs w:val="36"/>
          <w:u w:val="single"/>
        </w:rPr>
      </w:pPr>
      <w:r/>
      <w:bookmarkStart w:id="23" w:name="_Toc12525_WPSOffice_Level1"/>
      <w:r>
        <w:rPr>
          <w:rFonts w:ascii="宋体" w:hAnsi="宋体" w:cs="宋体"/>
          <w:b/>
          <w:bCs/>
          <w:sz w:val="36"/>
          <w:szCs w:val="36"/>
        </w:rPr>
        <w:t xml:space="preserve">投标人名称 ：</w:t>
      </w:r>
      <w:r>
        <w:rPr>
          <w:rFonts w:ascii="宋体" w:hAnsi="宋体" w:cs="宋体"/>
          <w:b/>
          <w:bCs/>
          <w:sz w:val="36"/>
          <w:szCs w:val="36"/>
          <w:u w:val="single"/>
        </w:rPr>
        <w:t xml:space="preserve">（加盖CA电子公章）</w:t>
      </w:r>
      <w:bookmarkEnd w:id="23"/>
      <w:r/>
      <w:r/>
    </w:p>
    <w:p>
      <w:pPr>
        <w:pStyle w:val="970"/>
        <w:rPr>
          <w:rFonts w:ascii="宋体" w:hAnsi="宋体" w:cs="宋体"/>
          <w:b/>
          <w:bCs/>
          <w:sz w:val="36"/>
          <w:szCs w:val="36"/>
          <w:u w:val="single"/>
        </w:rPr>
      </w:pPr>
      <w:r/>
      <w:bookmarkStart w:id="24" w:name="_Toc25897_WPSOffice_Level1"/>
      <w:r>
        <w:rPr>
          <w:rFonts w:hint="eastAsia" w:ascii="宋体" w:hAnsi="宋体" w:cs="宋体"/>
          <w:b/>
          <w:bCs/>
          <w:sz w:val="36"/>
          <w:szCs w:val="36"/>
        </w:rPr>
        <w:t xml:space="preserve">日</w:t>
      </w:r>
      <w:r>
        <w:rPr>
          <w:rFonts w:ascii="宋体" w:hAnsi="宋体" w:cs="宋体"/>
          <w:b/>
          <w:bCs/>
          <w:sz w:val="36"/>
          <w:szCs w:val="36"/>
        </w:rPr>
        <w:t xml:space="preserve">期 ：</w:t>
      </w:r>
      <w:r>
        <w:rPr>
          <w:rFonts w:ascii="宋体" w:hAnsi="宋体" w:cs="宋体"/>
          <w:b/>
          <w:bCs/>
          <w:sz w:val="36"/>
          <w:szCs w:val="36"/>
          <w:u w:val="single"/>
        </w:rPr>
        <w:t xml:space="preserve">               </w:t>
      </w:r>
      <w:bookmarkEnd w:id="24"/>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spacing w:line="440" w:lineRule="exact"/>
        <w:rPr>
          <w:rFonts w:ascii="Arial" w:hAnsi="Arial" w:cs="Arial"/>
          <w:szCs w:val="21"/>
        </w:rPr>
      </w:pPr>
      <w:r>
        <w:rPr>
          <w:rFonts w:ascii="Arial" w:hAnsi="Arial" w:eastAsia="黑体" w:cs="Arial"/>
          <w:sz w:val="28"/>
          <w:szCs w:val="28"/>
        </w:rPr>
        <w:br w:type="page" w:clear="all"/>
      </w:r>
      <w:bookmarkStart w:id="25" w:name="_Toc29630_WPSOffice_Level1"/>
      <w:r>
        <w:rPr>
          <w:rFonts w:ascii="Arial" w:hAnsi="Arial" w:cs="Arial"/>
          <w:b/>
          <w:bCs/>
          <w:szCs w:val="21"/>
        </w:rPr>
        <w:t xml:space="preserve">附件一、投标申请及声明格式</w:t>
      </w:r>
      <w:bookmarkEnd w:id="25"/>
      <w:r/>
      <w:r/>
    </w:p>
    <w:p>
      <w:pPr>
        <w:jc w:val="center"/>
        <w:spacing w:line="360" w:lineRule="auto"/>
        <w:shd w:val="clear" w:color="auto" w:fill="ffffff"/>
        <w:widowControl/>
        <w:rPr>
          <w:rFonts w:ascii="Arial" w:hAnsi="Arial" w:cs="Arial"/>
          <w:b/>
          <w:szCs w:val="21"/>
        </w:rPr>
      </w:pPr>
      <w:r/>
      <w:bookmarkStart w:id="26" w:name="_Toc32156_WPSOffice_Level2"/>
      <w:r>
        <w:rPr>
          <w:rFonts w:ascii="Arial" w:hAnsi="Arial" w:cs="Arial"/>
          <w:b/>
          <w:sz w:val="36"/>
          <w:szCs w:val="36"/>
        </w:rPr>
        <w:t xml:space="preserve">投标申请及声明</w:t>
      </w:r>
      <w:bookmarkEnd w:id="26"/>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2、按招标要求，我们的投标价</w:t>
      </w:r>
      <w:r>
        <w:rPr>
          <w:rFonts w:hint="eastAsia" w:ascii="Arial" w:hAnsi="Arial" w:cs="Arial"/>
          <w:szCs w:val="21"/>
        </w:rPr>
        <w:t xml:space="preserve">详见开标一览表</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3、本项目交付时间为：</w:t>
      </w:r>
      <w:r>
        <w:rPr>
          <w:rFonts w:ascii="Arial" w:hAnsi="Arial" w:cs="Arial"/>
          <w:szCs w:val="21"/>
          <w:u w:val="single"/>
        </w:rPr>
        <w:t xml:space="preserve">  满足招标文件要求  </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投标人：（加盖电子公章）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bookmarkStart w:id="27" w:name="_Toc83_WPSOffice_Level1"/>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bookmarkEnd w:id="27"/>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spacing w:line="360" w:lineRule="auto"/>
        <w:shd w:val="clear" w:color="auto" w:fill="ffffff"/>
        <w:widowControl/>
        <w:rPr>
          <w:rFonts w:ascii="Arial" w:hAnsi="Arial" w:cs="Arial"/>
          <w:b/>
          <w:bCs/>
          <w:szCs w:val="21"/>
        </w:rPr>
      </w:pPr>
      <w:r/>
      <w:bookmarkStart w:id="28" w:name="_Toc17494_WPSOffice_Level2"/>
      <w:r/>
      <w:bookmarkStart w:id="29" w:name="_Toc26810"/>
      <w:r>
        <w:rPr>
          <w:rFonts w:hint="eastAsia" w:ascii="Arial" w:hAnsi="Arial" w:cs="Arial"/>
          <w:b/>
          <w:bCs/>
          <w:szCs w:val="21"/>
        </w:rPr>
        <w:t xml:space="preserve">法人授权书</w:t>
      </w:r>
      <w:bookmarkEnd w:id="28"/>
      <w:r/>
      <w:r/>
    </w:p>
    <w:p>
      <w:pPr>
        <w:pStyle w:val="1265"/>
        <w:ind w:firstLine="480"/>
        <w:spacing w:line="420" w:lineRule="exact"/>
        <w:tabs>
          <w:tab w:val="left" w:pos="360" w:leader="none"/>
        </w:tabs>
        <w:rPr>
          <w:sz w:val="24"/>
          <w:szCs w:val="24"/>
          <w:lang w:eastAsia="zh-CN"/>
        </w:rPr>
      </w:pPr>
      <w:r>
        <w:rPr>
          <w:sz w:val="24"/>
          <w:szCs w:val="24"/>
          <w:lang w:eastAsia="zh-CN"/>
        </w:rPr>
      </w:r>
      <w:r/>
    </w:p>
    <w:p>
      <w:pPr>
        <w:pStyle w:val="1265"/>
        <w:ind w:firstLine="480"/>
        <w:spacing w:line="480" w:lineRule="exact"/>
        <w:tabs>
          <w:tab w:val="left" w:pos="360" w:leader="none"/>
        </w:tabs>
        <w:rPr>
          <w:sz w:val="24"/>
          <w:szCs w:val="24"/>
          <w:lang w:eastAsia="zh-CN"/>
        </w:rPr>
      </w:pPr>
      <w:r>
        <w:rPr>
          <w:rFonts w:hint="eastAsia"/>
          <w:sz w:val="24"/>
          <w:szCs w:val="24"/>
          <w:lang w:eastAsia="zh-CN"/>
        </w:rPr>
        <w:t xml:space="preserve">本授权书声明：（投标人名称）授权（被授权人姓名）作为我方参加编号为项目采购活动的合法代理人，以本单位名义全权处理一切与该项目采购有关的事务。</w:t>
      </w:r>
      <w:r/>
    </w:p>
    <w:p>
      <w:pPr>
        <w:pStyle w:val="1265"/>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265"/>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265"/>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265"/>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265"/>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pStyle w:val="1265"/>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30" w:name="_格式3__银行出具的资信证明"/>
      <w:r/>
      <w:bookmarkEnd w:id="30"/>
      <w:r/>
      <w:bookmarkStart w:id="31" w:name="_Hlt26955070"/>
      <w:r/>
      <w:bookmarkEnd w:id="31"/>
      <w:r/>
      <w:bookmarkStart w:id="32" w:name="_Hlt26671380"/>
      <w:r/>
      <w:bookmarkEnd w:id="32"/>
      <w:r/>
      <w:r/>
    </w:p>
    <w:p>
      <w:pPr>
        <w:rPr>
          <w:rFonts w:ascii="Arial" w:hAnsi="Arial" w:cs="Arial"/>
          <w:b/>
          <w:bCs/>
          <w:lang w:val="zh-CN"/>
        </w:rPr>
      </w:pPr>
      <w:r>
        <w:rPr>
          <w:rFonts w:ascii="Arial" w:hAnsi="Arial" w:cs="Arial"/>
          <w:b/>
          <w:bCs/>
          <w:szCs w:val="21"/>
          <w:lang w:val="zh-CN"/>
        </w:rPr>
        <w:br w:type="page" w:clear="all"/>
      </w:r>
      <w:bookmarkEnd w:id="29"/>
      <w:r/>
      <w:bookmarkStart w:id="33" w:name="_Toc12264"/>
      <w:r/>
      <w:r/>
    </w:p>
    <w:p>
      <w:pPr>
        <w:jc w:val="center"/>
        <w:rPr>
          <w:rFonts w:ascii="Arial" w:hAnsi="Arial" w:cs="Arial"/>
          <w:b/>
          <w:sz w:val="36"/>
          <w:szCs w:val="36"/>
        </w:rPr>
      </w:pPr>
      <w:r/>
      <w:bookmarkStart w:id="34" w:name="_Toc30324_WPSOffice_Level2"/>
      <w:r>
        <w:rPr>
          <w:rFonts w:ascii="Arial" w:hAnsi="Arial" w:cs="Arial"/>
          <w:b/>
          <w:sz w:val="36"/>
          <w:szCs w:val="36"/>
        </w:rPr>
        <w:t xml:space="preserve">开标一览表</w:t>
      </w:r>
      <w:bookmarkEnd w:id="34"/>
      <w:r/>
      <w:r/>
    </w:p>
    <w:p>
      <w:pPr>
        <w:spacing w:line="360" w:lineRule="auto"/>
        <w:shd w:val="clear" w:color="auto" w:fill="ffffff"/>
        <w:widowControl/>
        <w:rPr>
          <w:rFonts w:ascii="Arial" w:hAnsi="Arial" w:cs="Arial"/>
          <w:lang w:val="zh-CN"/>
        </w:rPr>
      </w:pPr>
      <w:r>
        <w:rPr>
          <w:rFonts w:hint="eastAsia" w:ascii="Arial" w:hAnsi="Arial" w:cs="Arial"/>
          <w:lang w:val="zh-CN"/>
        </w:rPr>
        <w:t xml:space="preserve">投标人全称（CA公章）：供应商名称 </w:t>
      </w:r>
      <w:r/>
    </w:p>
    <w:p>
      <w:pPr>
        <w:spacing w:line="360" w:lineRule="auto"/>
        <w:shd w:val="clear" w:color="auto" w:fill="ffffff"/>
        <w:widowControl/>
        <w:rPr>
          <w:rFonts w:ascii="Arial" w:hAnsi="Arial" w:cs="Arial"/>
          <w:lang w:val="zh-CN"/>
        </w:rPr>
      </w:pPr>
      <w:r>
        <w:rPr>
          <w:rFonts w:hint="eastAsia" w:ascii="Arial" w:hAnsi="Arial" w:cs="Arial"/>
          <w:lang w:val="zh-CN"/>
        </w:rPr>
        <w:t xml:space="preserve">项目名称： </w:t>
      </w:r>
      <w:r/>
    </w:p>
    <w:p>
      <w:pPr>
        <w:spacing w:line="360" w:lineRule="auto"/>
        <w:shd w:val="clear" w:color="auto" w:fill="ffffff"/>
        <w:widowControl/>
        <w:rPr>
          <w:rFonts w:ascii="宋体" w:hAnsi="宋体" w:cs="宋体"/>
          <w:sz w:val="24"/>
        </w:rPr>
      </w:pPr>
      <w:r>
        <w:rPr>
          <w:rFonts w:ascii="宋体" w:hAnsi="宋体" w:cs="宋体"/>
          <w:sz w:val="24"/>
        </w:rPr>
        <w:t xml:space="preserve">项目编号：</w:t>
      </w:r>
      <w:r/>
    </w:p>
    <w:p>
      <w:pPr>
        <w:pStyle w:val="970"/>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970"/>
        <w:ind w:firstLine="0"/>
        <w:rPr>
          <w:rFonts w:ascii="Arial" w:hAnsi="Arial" w:cs="Arial"/>
          <w:lang w:val="zh-CN"/>
        </w:rPr>
      </w:pPr>
      <w:r>
        <w:rPr>
          <w:rFonts w:ascii="Arial" w:hAnsi="Arial" w:cs="Arial"/>
          <w:lang w:val="zh-CN"/>
        </w:rPr>
      </w:r>
      <w:r/>
    </w:p>
    <w:tbl>
      <w:tblPr>
        <w:tblStyle w:val="961"/>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2"/>
        <w:gridCol w:w="6475"/>
      </w:tblGrid>
      <w:tr>
        <w:trPr>
          <w:jc w:val="center"/>
          <w:tblHeader/>
        </w:trPr>
        <w:tc>
          <w:tcPr>
            <w:tcMar>
              <w:left w:w="-1" w:type="dxa"/>
              <w:top w:w="-1" w:type="dxa"/>
              <w:right w:w="-1" w:type="dxa"/>
              <w:bottom w:w="-1" w:type="dxa"/>
            </w:tcMar>
            <w:tcW w:w="0" w:type="auto"/>
            <w:textDirection w:val="lrTb"/>
            <w:noWrap w:val="false"/>
          </w:tcPr>
          <w:p>
            <w:pPr>
              <w:jc w:val="center"/>
              <w:rPr>
                <w:rFonts w:ascii="Calibri" w:hAnsi="Calibri"/>
                <w:szCs w:val="21"/>
              </w:rPr>
            </w:pPr>
            <w:r>
              <w:rPr>
                <w:rFonts w:ascii="宋体" w:hAnsi="宋体"/>
                <w:b/>
                <w:szCs w:val="21"/>
              </w:rPr>
              <w:t xml:space="preserve">项目</w:t>
            </w:r>
            <w:r/>
          </w:p>
        </w:tc>
        <w:tc>
          <w:tcPr>
            <w:tcMar>
              <w:left w:w="-1" w:type="dxa"/>
              <w:top w:w="-1" w:type="dxa"/>
              <w:right w:w="-1" w:type="dxa"/>
              <w:bottom w:w="-1" w:type="dxa"/>
            </w:tcMar>
            <w:tcW w:w="6475" w:type="dxa"/>
            <w:textDirection w:val="lrTb"/>
            <w:noWrap w:val="false"/>
          </w:tcPr>
          <w:p>
            <w:pPr>
              <w:jc w:val="center"/>
              <w:rPr>
                <w:rFonts w:ascii="Calibri" w:hAnsi="Calibri"/>
                <w:szCs w:val="21"/>
              </w:rPr>
            </w:pPr>
            <w:r>
              <w:rPr>
                <w:rFonts w:ascii="宋体" w:hAnsi="宋体"/>
                <w:b/>
                <w:szCs w:val="21"/>
              </w:rPr>
              <w:t xml:space="preserve">内容</w:t>
            </w:r>
            <w:r/>
          </w:p>
        </w:tc>
      </w:tr>
      <w:tr>
        <w:trPr>
          <w:jc w:val="center"/>
          <w:tblHeader/>
        </w:trPr>
        <w:tc>
          <w:tcPr>
            <w:tcMar>
              <w:left w:w="-1" w:type="dxa"/>
              <w:top w:w="-1" w:type="dxa"/>
              <w:right w:w="-1" w:type="dxa"/>
              <w:bottom w:w="-1" w:type="dxa"/>
            </w:tcMar>
            <w:tcW w:w="0" w:type="auto"/>
            <w:textDirection w:val="lrTb"/>
            <w:noWrap w:val="false"/>
          </w:tcPr>
          <w:p>
            <w:pPr>
              <w:rPr>
                <w:rFonts w:ascii="Calibri" w:hAnsi="Calibri"/>
                <w:szCs w:val="21"/>
              </w:rPr>
            </w:pPr>
            <w:r>
              <w:rPr>
                <w:rFonts w:ascii="宋体" w:hAnsi="宋体"/>
                <w:szCs w:val="21"/>
              </w:rPr>
              <w:t xml:space="preserve">投标总价（元）</w:t>
            </w:r>
            <w:r/>
          </w:p>
        </w:tc>
        <w:tc>
          <w:tcPr>
            <w:tcMar>
              <w:left w:w="-1" w:type="dxa"/>
              <w:top w:w="-1" w:type="dxa"/>
              <w:right w:w="-1" w:type="dxa"/>
              <w:bottom w:w="-1" w:type="dxa"/>
            </w:tcMar>
            <w:tcW w:w="6475" w:type="dxa"/>
            <w:textDirection w:val="lrTb"/>
            <w:noWrap w:val="false"/>
          </w:tcPr>
          <w:p>
            <w:pPr>
              <w:rPr>
                <w:rFonts w:ascii="Calibri" w:hAnsi="Calibri"/>
                <w:szCs w:val="21"/>
              </w:rPr>
            </w:pPr>
            <w:r>
              <w:rPr>
                <w:rFonts w:ascii="Calibri" w:hAnsi="Calibri"/>
                <w:szCs w:val="21"/>
              </w:rPr>
            </w:r>
            <w:r/>
          </w:p>
        </w:tc>
      </w:tr>
      <w:tr>
        <w:trPr>
          <w:jc w:val="center"/>
          <w:tblHeader/>
        </w:trPr>
        <w:tc>
          <w:tcPr>
            <w:tcMar>
              <w:left w:w="-1" w:type="dxa"/>
              <w:top w:w="-1" w:type="dxa"/>
              <w:right w:w="-1" w:type="dxa"/>
              <w:bottom w:w="-1" w:type="dxa"/>
            </w:tcMar>
            <w:tcW w:w="0" w:type="auto"/>
            <w:textDirection w:val="lrTb"/>
            <w:noWrap w:val="false"/>
          </w:tcPr>
          <w:p>
            <w:pPr>
              <w:rPr>
                <w:rFonts w:ascii="Calibri" w:hAnsi="Calibri"/>
                <w:szCs w:val="21"/>
              </w:rPr>
            </w:pPr>
            <w:r>
              <w:rPr>
                <w:rFonts w:ascii="宋体" w:hAnsi="宋体"/>
                <w:szCs w:val="21"/>
              </w:rPr>
              <w:t xml:space="preserve">投标总价（大写）</w:t>
            </w:r>
            <w:r/>
          </w:p>
        </w:tc>
        <w:tc>
          <w:tcPr>
            <w:tcMar>
              <w:left w:w="-1" w:type="dxa"/>
              <w:top w:w="-1" w:type="dxa"/>
              <w:right w:w="-1" w:type="dxa"/>
              <w:bottom w:w="-1" w:type="dxa"/>
            </w:tcMar>
            <w:tcW w:w="6475" w:type="dxa"/>
            <w:textDirection w:val="lrTb"/>
            <w:noWrap w:val="false"/>
          </w:tcPr>
          <w:p>
            <w:pPr>
              <w:rPr>
                <w:rFonts w:ascii="Calibri" w:hAnsi="Calibri"/>
                <w:szCs w:val="21"/>
              </w:rPr>
            </w:pPr>
            <w:r>
              <w:rPr>
                <w:rFonts w:ascii="Calibri" w:hAnsi="Calibri"/>
                <w:szCs w:val="21"/>
              </w:rPr>
            </w:r>
            <w:r/>
          </w:p>
        </w:tc>
      </w:tr>
      <w:tr>
        <w:trPr>
          <w:jc w:val="center"/>
          <w:tblHeader/>
        </w:trPr>
        <w:tc>
          <w:tcPr>
            <w:tcMar>
              <w:left w:w="-1" w:type="dxa"/>
              <w:top w:w="-1" w:type="dxa"/>
              <w:right w:w="-1" w:type="dxa"/>
              <w:bottom w:w="-1" w:type="dxa"/>
            </w:tcMar>
            <w:tcW w:w="0" w:type="auto"/>
            <w:textDirection w:val="lrTb"/>
            <w:noWrap w:val="false"/>
          </w:tcPr>
          <w:p>
            <w:pPr>
              <w:rPr>
                <w:rFonts w:ascii="Calibri" w:hAnsi="Calibri"/>
                <w:szCs w:val="21"/>
              </w:rPr>
            </w:pPr>
            <w:r>
              <w:rPr>
                <w:rFonts w:ascii="宋体" w:hAnsi="宋体"/>
                <w:szCs w:val="21"/>
              </w:rPr>
              <w:t xml:space="preserve">交货及安装期限</w:t>
            </w:r>
            <w:r/>
          </w:p>
        </w:tc>
        <w:tc>
          <w:tcPr>
            <w:tcMar>
              <w:left w:w="-1" w:type="dxa"/>
              <w:top w:w="-1" w:type="dxa"/>
              <w:right w:w="-1" w:type="dxa"/>
              <w:bottom w:w="-1" w:type="dxa"/>
            </w:tcMar>
            <w:tcW w:w="6475" w:type="dxa"/>
            <w:textDirection w:val="lrTb"/>
            <w:noWrap w:val="false"/>
          </w:tcPr>
          <w:p>
            <w:pPr>
              <w:rPr>
                <w:rFonts w:ascii="Calibri" w:hAnsi="Calibri"/>
                <w:szCs w:val="21"/>
              </w:rPr>
            </w:pPr>
            <w:r>
              <w:rPr>
                <w:rFonts w:ascii="宋体" w:hAnsi="宋体"/>
                <w:szCs w:val="21"/>
              </w:rPr>
              <w:t xml:space="preserve">合同签订后30天内</w:t>
            </w:r>
            <w:r/>
          </w:p>
        </w:tc>
      </w:tr>
      <w:tr>
        <w:trPr>
          <w:jc w:val="center"/>
          <w:tblHeader/>
        </w:trPr>
        <w:tc>
          <w:tcPr>
            <w:tcMar>
              <w:left w:w="-1" w:type="dxa"/>
              <w:top w:w="-1" w:type="dxa"/>
              <w:right w:w="-1" w:type="dxa"/>
              <w:bottom w:w="-1" w:type="dxa"/>
            </w:tcMar>
            <w:tcW w:w="2242" w:type="dxa"/>
            <w:textDirection w:val="lrTb"/>
            <w:noWrap w:val="false"/>
          </w:tcPr>
          <w:p>
            <w:pPr>
              <w:rPr>
                <w:rFonts w:ascii="Calibri" w:hAnsi="Calibri"/>
                <w:szCs w:val="21"/>
              </w:rPr>
            </w:pPr>
            <w:r>
              <w:rPr>
                <w:rFonts w:ascii="宋体" w:hAnsi="宋体"/>
                <w:szCs w:val="21"/>
              </w:rPr>
              <w:t xml:space="preserve">备注</w:t>
            </w:r>
            <w:r/>
          </w:p>
        </w:tc>
        <w:tc>
          <w:tcPr>
            <w:tcMar>
              <w:left w:w="-1" w:type="dxa"/>
              <w:top w:w="-1" w:type="dxa"/>
              <w:right w:w="-1" w:type="dxa"/>
              <w:bottom w:w="-1" w:type="dxa"/>
            </w:tcMar>
            <w:tcW w:w="6475" w:type="dxa"/>
            <w:textDirection w:val="lrTb"/>
            <w:noWrap w:val="false"/>
          </w:tcPr>
          <w:p>
            <w:pPr>
              <w:rPr>
                <w:rFonts w:ascii="Calibri" w:hAnsi="Calibri"/>
                <w:szCs w:val="21"/>
              </w:rPr>
            </w:pPr>
            <w:r>
              <w:rPr>
                <w:rFonts w:ascii="Calibri" w:hAnsi="Calibri"/>
                <w:szCs w:val="21"/>
              </w:rPr>
            </w:r>
            <w:r/>
          </w:p>
        </w:tc>
      </w:tr>
    </w:tbl>
    <w:p>
      <w:pPr>
        <w:ind w:firstLine="2100"/>
        <w:jc w:val="right"/>
        <w:spacing w:line="360" w:lineRule="auto"/>
        <w:shd w:val="clear" w:color="auto" w:fill="ffffff"/>
        <w:widowControl/>
        <w:rPr>
          <w:rFonts w:ascii="Arial" w:hAnsi="Arial" w:cs="Arial"/>
          <w:szCs w:val="21"/>
        </w:rPr>
      </w:pPr>
      <w:r>
        <w:rPr>
          <w:rFonts w:hint="eastAsia" w:ascii="Arial" w:hAnsi="Arial" w:cs="Arial"/>
          <w:szCs w:val="21"/>
        </w:rPr>
        <w:t xml:space="preserve">年月日</w:t>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outlineLvl w:val="1"/>
      </w:pPr>
      <w:r/>
      <w:bookmarkStart w:id="35" w:name="_Toc10701"/>
      <w:r/>
      <w:bookmarkStart w:id="36" w:name="_Toc2695"/>
      <w:r>
        <w:rPr>
          <w:rFonts w:ascii="Arial" w:hAnsi="Arial" w:cs="Arial"/>
          <w:b/>
          <w:bCs/>
          <w:szCs w:val="21"/>
          <w:lang w:val="zh-CN"/>
        </w:rPr>
        <w:t xml:space="preserve">附件</w:t>
      </w:r>
      <w:r>
        <w:rPr>
          <w:rFonts w:hint="eastAsia" w:ascii="Arial" w:hAnsi="Arial" w:cs="Arial"/>
          <w:b/>
          <w:bCs/>
          <w:szCs w:val="21"/>
        </w:rPr>
        <w:t xml:space="preserve">四</w:t>
      </w:r>
      <w:r>
        <w:rPr>
          <w:rFonts w:ascii="Arial" w:hAnsi="Arial" w:cs="Arial"/>
          <w:b/>
          <w:bCs/>
          <w:szCs w:val="21"/>
          <w:lang w:val="zh-CN"/>
        </w:rPr>
        <w:t xml:space="preserve">、分项报价表格式</w:t>
      </w:r>
      <w:bookmarkEnd w:id="35"/>
      <w:r/>
      <w:bookmarkEnd w:id="36"/>
      <w:r/>
      <w:r/>
    </w:p>
    <w:p>
      <w:pPr>
        <w:jc w:val="center"/>
        <w:spacing w:line="360" w:lineRule="auto"/>
        <w:shd w:val="clear" w:color="auto" w:fill="ffffff"/>
        <w:widowControl/>
        <w:rPr>
          <w:rFonts w:ascii="Arial" w:hAnsi="Arial" w:cs="Arial"/>
          <w:b/>
          <w:sz w:val="36"/>
          <w:szCs w:val="36"/>
        </w:rPr>
      </w:pPr>
      <w:r/>
      <w:bookmarkStart w:id="37" w:name="_Toc1959_WPSOffice_Level2"/>
      <w:r>
        <w:rPr>
          <w:rFonts w:ascii="Arial" w:hAnsi="Arial" w:cs="Arial"/>
          <w:b/>
          <w:sz w:val="36"/>
          <w:szCs w:val="36"/>
        </w:rPr>
        <w:t xml:space="preserve">分项报价表</w:t>
      </w:r>
      <w:bookmarkEnd w:id="37"/>
      <w:r/>
      <w:r/>
    </w:p>
    <w:p>
      <w:pPr>
        <w:pStyle w:val="981"/>
        <w:ind w:firstLine="0"/>
        <w:rPr>
          <w:rFonts w:ascii="Arial" w:hAnsi="Arial" w:cs="Arial"/>
        </w:rPr>
      </w:pPr>
      <w:r>
        <w:rPr>
          <w:rFonts w:ascii="Arial" w:hAnsi="Arial" w:cs="Arial"/>
        </w:rPr>
      </w:r>
      <w:r/>
    </w:p>
    <w:tbl>
      <w:tblPr>
        <w:tblStyle w:val="961"/>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6"/>
        <w:gridCol w:w="1092"/>
        <w:gridCol w:w="661"/>
        <w:gridCol w:w="661"/>
        <w:gridCol w:w="1339"/>
        <w:gridCol w:w="1339"/>
        <w:gridCol w:w="1136"/>
      </w:tblGrid>
      <w:tr>
        <w:trPr>
          <w:jc w:val="center"/>
          <w:tblHeader/>
        </w:trPr>
        <w:tc>
          <w:tcPr>
            <w:tcW w:w="0" w:type="auto"/>
            <w:vAlign w:val="center"/>
            <w:textDirection w:val="lrTb"/>
            <w:noWrap w:val="false"/>
          </w:tcPr>
          <w:p>
            <w:pPr>
              <w:jc w:val="center"/>
              <w:rPr>
                <w:rFonts w:ascii="宋体" w:hAnsi="Calibri"/>
                <w:b/>
                <w:sz w:val="20"/>
              </w:rPr>
            </w:pPr>
            <w:r>
              <w:rPr>
                <w:rFonts w:ascii="宋体" w:hAnsi="宋体"/>
                <w:b/>
                <w:sz w:val="20"/>
              </w:rPr>
              <w:t xml:space="preserve">序号</w:t>
            </w:r>
            <w:r/>
          </w:p>
        </w:tc>
        <w:tc>
          <w:tcPr>
            <w:tcW w:w="1936" w:type="dxa"/>
            <w:vAlign w:val="center"/>
            <w:textDirection w:val="lrTb"/>
            <w:noWrap w:val="false"/>
          </w:tcPr>
          <w:p>
            <w:pPr>
              <w:jc w:val="center"/>
              <w:rPr>
                <w:rFonts w:ascii="宋体" w:hAnsi="Calibri"/>
                <w:b/>
                <w:sz w:val="20"/>
              </w:rPr>
            </w:pPr>
            <w:r>
              <w:rPr>
                <w:rFonts w:ascii="宋体" w:hAnsi="宋体"/>
                <w:b/>
                <w:sz w:val="20"/>
              </w:rPr>
              <w:t xml:space="preserve">设备/服务名称</w:t>
            </w:r>
            <w:r/>
          </w:p>
        </w:tc>
        <w:tc>
          <w:tcPr>
            <w:tcW w:w="0" w:type="auto"/>
            <w:vAlign w:val="center"/>
            <w:textDirection w:val="lrTb"/>
            <w:noWrap w:val="false"/>
          </w:tcPr>
          <w:p>
            <w:pPr>
              <w:jc w:val="center"/>
              <w:rPr>
                <w:rFonts w:ascii="宋体" w:hAnsi="Calibri"/>
                <w:b/>
                <w:sz w:val="20"/>
              </w:rPr>
            </w:pPr>
            <w:r>
              <w:rPr>
                <w:rFonts w:ascii="宋体" w:hAnsi="宋体"/>
                <w:b/>
                <w:sz w:val="20"/>
              </w:rPr>
              <w:t xml:space="preserve">规格型号</w:t>
            </w:r>
            <w:r/>
          </w:p>
        </w:tc>
        <w:tc>
          <w:tcPr>
            <w:tcW w:w="0" w:type="auto"/>
            <w:vAlign w:val="center"/>
            <w:textDirection w:val="lrTb"/>
            <w:noWrap w:val="false"/>
          </w:tcPr>
          <w:p>
            <w:pPr>
              <w:jc w:val="center"/>
              <w:rPr>
                <w:rFonts w:ascii="宋体" w:hAnsi="Calibri"/>
                <w:b/>
                <w:sz w:val="20"/>
              </w:rPr>
            </w:pPr>
            <w:r>
              <w:rPr>
                <w:rFonts w:ascii="宋体" w:hAnsi="宋体"/>
                <w:b/>
                <w:sz w:val="20"/>
              </w:rPr>
              <w:t xml:space="preserve">数量</w:t>
            </w:r>
            <w:r/>
          </w:p>
        </w:tc>
        <w:tc>
          <w:tcPr>
            <w:tcW w:w="0" w:type="auto"/>
            <w:vAlign w:val="center"/>
            <w:textDirection w:val="lrTb"/>
            <w:noWrap w:val="false"/>
          </w:tcPr>
          <w:p>
            <w:pPr>
              <w:jc w:val="center"/>
              <w:rPr>
                <w:rFonts w:ascii="宋体" w:hAnsi="Calibri"/>
                <w:b/>
                <w:sz w:val="20"/>
              </w:rPr>
            </w:pPr>
            <w:r>
              <w:rPr>
                <w:rFonts w:ascii="宋体" w:hAnsi="宋体"/>
                <w:b/>
                <w:sz w:val="20"/>
              </w:rPr>
              <w:t xml:space="preserve">单位</w:t>
            </w:r>
            <w:r/>
          </w:p>
        </w:tc>
        <w:tc>
          <w:tcPr>
            <w:tcW w:w="1339" w:type="dxa"/>
            <w:vAlign w:val="center"/>
            <w:textDirection w:val="lrTb"/>
            <w:noWrap w:val="false"/>
          </w:tcPr>
          <w:p>
            <w:pPr>
              <w:jc w:val="center"/>
              <w:rPr>
                <w:rFonts w:ascii="宋体" w:hAnsi="Calibri"/>
                <w:b/>
                <w:sz w:val="20"/>
              </w:rPr>
            </w:pPr>
            <w:r>
              <w:rPr>
                <w:rFonts w:ascii="宋体" w:hAnsi="宋体"/>
                <w:b/>
                <w:sz w:val="20"/>
              </w:rPr>
              <w:t xml:space="preserve">单价（元）</w:t>
            </w:r>
            <w:r/>
          </w:p>
        </w:tc>
        <w:tc>
          <w:tcPr>
            <w:tcW w:w="1339" w:type="dxa"/>
            <w:vAlign w:val="center"/>
            <w:textDirection w:val="lrTb"/>
            <w:noWrap w:val="false"/>
          </w:tcPr>
          <w:p>
            <w:pPr>
              <w:jc w:val="center"/>
              <w:rPr>
                <w:rFonts w:ascii="宋体" w:hAnsi="Calibri"/>
                <w:b/>
                <w:sz w:val="20"/>
              </w:rPr>
            </w:pPr>
            <w:r>
              <w:rPr>
                <w:rFonts w:ascii="宋体" w:hAnsi="宋体"/>
                <w:b/>
                <w:sz w:val="20"/>
              </w:rPr>
              <w:t xml:space="preserve">合价（元）</w:t>
            </w:r>
            <w:r/>
          </w:p>
        </w:tc>
        <w:tc>
          <w:tcPr>
            <w:tcW w:w="1136" w:type="dxa"/>
            <w:vAlign w:val="center"/>
            <w:textDirection w:val="lrTb"/>
            <w:noWrap w:val="false"/>
          </w:tcPr>
          <w:p>
            <w:pPr>
              <w:jc w:val="center"/>
              <w:rPr>
                <w:rFonts w:ascii="宋体" w:hAnsi="Calibri"/>
                <w:b/>
                <w:sz w:val="20"/>
              </w:rPr>
            </w:pPr>
            <w:r>
              <w:rPr>
                <w:rFonts w:ascii="宋体" w:hAnsi="宋体"/>
                <w:b/>
                <w:sz w:val="20"/>
              </w:rPr>
              <w:t xml:space="preserve">备注</w:t>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1</w:t>
            </w:r>
            <w:r/>
          </w:p>
        </w:tc>
        <w:tc>
          <w:tcPr>
            <w:tcW w:w="1936" w:type="dxa"/>
            <w:vAlign w:val="center"/>
            <w:textDirection w:val="lrTb"/>
            <w:noWrap w:val="false"/>
          </w:tcPr>
          <w:p>
            <w:pPr>
              <w:jc w:val="left"/>
              <w:rPr>
                <w:rFonts w:ascii="宋体" w:hAnsi="Calibri"/>
                <w:sz w:val="20"/>
              </w:rPr>
            </w:pPr>
            <w:r>
              <w:rPr>
                <w:rFonts w:ascii="宋体" w:hAnsi="宋体"/>
                <w:sz w:val="20"/>
              </w:rPr>
              <w:t xml:space="preserve">链路负载器</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1</w:t>
            </w:r>
            <w:r/>
          </w:p>
        </w:tc>
        <w:tc>
          <w:tcPr>
            <w:tcW w:w="0" w:type="auto"/>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宋体"/>
                <w:sz w:val="20"/>
              </w:rPr>
              <w:t xml:space="preserve">核心产品</w:t>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2</w:t>
            </w:r>
            <w:r/>
          </w:p>
        </w:tc>
        <w:tc>
          <w:tcPr>
            <w:tcW w:w="1936" w:type="dxa"/>
            <w:vAlign w:val="center"/>
            <w:textDirection w:val="lrTb"/>
            <w:noWrap w:val="false"/>
          </w:tcPr>
          <w:p>
            <w:pPr>
              <w:jc w:val="left"/>
              <w:rPr>
                <w:rFonts w:ascii="宋体" w:hAnsi="Calibri"/>
                <w:sz w:val="20"/>
              </w:rPr>
            </w:pPr>
            <w:r>
              <w:rPr>
                <w:rFonts w:ascii="宋体" w:hAnsi="宋体"/>
                <w:sz w:val="20"/>
              </w:rPr>
              <w:t xml:space="preserve">ONU（8口）</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406</w:t>
            </w:r>
            <w:r/>
          </w:p>
        </w:tc>
        <w:tc>
          <w:tcPr>
            <w:tcW w:w="0" w:type="auto"/>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3</w:t>
            </w:r>
            <w:r/>
          </w:p>
        </w:tc>
        <w:tc>
          <w:tcPr>
            <w:tcW w:w="1936" w:type="dxa"/>
            <w:vAlign w:val="center"/>
            <w:textDirection w:val="lrTb"/>
            <w:noWrap w:val="false"/>
          </w:tcPr>
          <w:p>
            <w:pPr>
              <w:jc w:val="left"/>
              <w:rPr>
                <w:rFonts w:ascii="宋体" w:hAnsi="Calibri"/>
                <w:sz w:val="20"/>
              </w:rPr>
            </w:pPr>
            <w:r>
              <w:rPr>
                <w:rFonts w:ascii="宋体" w:hAnsi="宋体"/>
                <w:sz w:val="20"/>
              </w:rPr>
              <w:t xml:space="preserve">ONU（4口）</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71</w:t>
            </w:r>
            <w:r/>
          </w:p>
        </w:tc>
        <w:tc>
          <w:tcPr>
            <w:tcW w:w="0" w:type="auto"/>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4</w:t>
            </w:r>
            <w:r/>
          </w:p>
        </w:tc>
        <w:tc>
          <w:tcPr>
            <w:tcW w:w="1936" w:type="dxa"/>
            <w:vAlign w:val="center"/>
            <w:textDirection w:val="lrTb"/>
            <w:noWrap w:val="false"/>
          </w:tcPr>
          <w:p>
            <w:pPr>
              <w:jc w:val="left"/>
              <w:rPr>
                <w:rFonts w:ascii="宋体" w:hAnsi="Calibri"/>
                <w:sz w:val="20"/>
              </w:rPr>
            </w:pPr>
            <w:r>
              <w:rPr>
                <w:rFonts w:ascii="宋体" w:hAnsi="宋体"/>
                <w:sz w:val="20"/>
              </w:rPr>
              <w:t xml:space="preserve">ONU（24口）</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6</w:t>
            </w:r>
            <w:r/>
          </w:p>
        </w:tc>
        <w:tc>
          <w:tcPr>
            <w:tcW w:w="0" w:type="auto"/>
            <w:vAlign w:val="center"/>
            <w:textDirection w:val="lrTb"/>
            <w:noWrap w:val="false"/>
          </w:tcPr>
          <w:p>
            <w:pPr>
              <w:jc w:val="center"/>
              <w:rPr>
                <w:rFonts w:ascii="宋体" w:hAnsi="Calibri"/>
                <w:sz w:val="20"/>
              </w:rPr>
            </w:pPr>
            <w:r>
              <w:rPr>
                <w:rFonts w:ascii="宋体" w:hAnsi="宋体"/>
                <w:sz w:val="20"/>
              </w:rPr>
              <w:t xml:space="preserve">台</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5</w:t>
            </w:r>
            <w:r/>
          </w:p>
        </w:tc>
        <w:tc>
          <w:tcPr>
            <w:tcW w:w="1936" w:type="dxa"/>
            <w:vAlign w:val="center"/>
            <w:textDirection w:val="lrTb"/>
            <w:noWrap w:val="false"/>
          </w:tcPr>
          <w:p>
            <w:pPr>
              <w:jc w:val="left"/>
              <w:rPr>
                <w:rFonts w:ascii="宋体" w:hAnsi="Calibri"/>
                <w:sz w:val="20"/>
              </w:rPr>
            </w:pPr>
            <w:r>
              <w:rPr>
                <w:rFonts w:ascii="宋体" w:hAnsi="宋体"/>
                <w:sz w:val="20"/>
              </w:rPr>
              <w:t xml:space="preserve">高密AP</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83</w:t>
            </w:r>
            <w:r/>
          </w:p>
        </w:tc>
        <w:tc>
          <w:tcPr>
            <w:tcW w:w="0" w:type="auto"/>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6</w:t>
            </w:r>
            <w:r/>
          </w:p>
        </w:tc>
        <w:tc>
          <w:tcPr>
            <w:tcW w:w="1936" w:type="dxa"/>
            <w:vAlign w:val="center"/>
            <w:textDirection w:val="lrTb"/>
            <w:noWrap w:val="false"/>
          </w:tcPr>
          <w:p>
            <w:pPr>
              <w:jc w:val="left"/>
              <w:rPr>
                <w:rFonts w:ascii="宋体" w:hAnsi="Calibri"/>
                <w:sz w:val="20"/>
              </w:rPr>
            </w:pPr>
            <w:r>
              <w:rPr>
                <w:rFonts w:ascii="宋体" w:hAnsi="宋体"/>
                <w:sz w:val="20"/>
              </w:rPr>
              <w:t xml:space="preserve">面板AP</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358</w:t>
            </w:r>
            <w:r/>
          </w:p>
        </w:tc>
        <w:tc>
          <w:tcPr>
            <w:tcW w:w="0" w:type="auto"/>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7</w:t>
            </w:r>
            <w:r/>
          </w:p>
        </w:tc>
        <w:tc>
          <w:tcPr>
            <w:tcW w:w="1936" w:type="dxa"/>
            <w:vAlign w:val="center"/>
            <w:textDirection w:val="lrTb"/>
            <w:noWrap w:val="false"/>
          </w:tcPr>
          <w:p>
            <w:pPr>
              <w:jc w:val="left"/>
              <w:rPr>
                <w:rFonts w:ascii="宋体" w:hAnsi="Calibri"/>
                <w:sz w:val="20"/>
              </w:rPr>
            </w:pPr>
            <w:r>
              <w:rPr>
                <w:rFonts w:ascii="宋体" w:hAnsi="宋体"/>
                <w:sz w:val="20"/>
              </w:rPr>
              <w:t xml:space="preserve">放装AP</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458</w:t>
            </w:r>
            <w:r/>
          </w:p>
        </w:tc>
        <w:tc>
          <w:tcPr>
            <w:tcW w:w="0" w:type="auto"/>
            <w:vAlign w:val="center"/>
            <w:textDirection w:val="lrTb"/>
            <w:noWrap w:val="false"/>
          </w:tcPr>
          <w:p>
            <w:pPr>
              <w:jc w:val="center"/>
              <w:rPr>
                <w:rFonts w:ascii="宋体" w:hAnsi="Calibri"/>
                <w:sz w:val="20"/>
              </w:rPr>
            </w:pPr>
            <w:r>
              <w:rPr>
                <w:rFonts w:ascii="宋体" w:hAnsi="宋体"/>
                <w:sz w:val="20"/>
              </w:rPr>
              <w:t xml:space="preserve">个</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8</w:t>
            </w:r>
            <w:r/>
          </w:p>
        </w:tc>
        <w:tc>
          <w:tcPr>
            <w:tcW w:w="1936" w:type="dxa"/>
            <w:vAlign w:val="center"/>
            <w:textDirection w:val="lrTb"/>
            <w:noWrap w:val="false"/>
          </w:tcPr>
          <w:p>
            <w:pPr>
              <w:jc w:val="left"/>
              <w:rPr>
                <w:rFonts w:ascii="宋体" w:hAnsi="Calibri"/>
                <w:sz w:val="20"/>
              </w:rPr>
            </w:pPr>
            <w:r>
              <w:rPr>
                <w:rFonts w:ascii="宋体" w:hAnsi="宋体"/>
                <w:sz w:val="20"/>
              </w:rPr>
              <w:t xml:space="preserve">网元设备管理授权</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1</w:t>
            </w:r>
            <w:r/>
          </w:p>
        </w:tc>
        <w:tc>
          <w:tcPr>
            <w:tcW w:w="0" w:type="auto"/>
            <w:vAlign w:val="center"/>
            <w:textDirection w:val="lrTb"/>
            <w:noWrap w:val="false"/>
          </w:tcPr>
          <w:p>
            <w:pPr>
              <w:jc w:val="center"/>
              <w:rPr>
                <w:rFonts w:ascii="宋体" w:hAnsi="Calibri"/>
                <w:sz w:val="20"/>
              </w:rPr>
            </w:pPr>
            <w:r>
              <w:rPr>
                <w:rFonts w:ascii="宋体" w:hAnsi="宋体"/>
                <w:sz w:val="20"/>
              </w:rPr>
              <w:t xml:space="preserve">套</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9</w:t>
            </w:r>
            <w:r/>
          </w:p>
        </w:tc>
        <w:tc>
          <w:tcPr>
            <w:tcW w:w="1936" w:type="dxa"/>
            <w:vAlign w:val="center"/>
            <w:textDirection w:val="lrTb"/>
            <w:noWrap w:val="false"/>
          </w:tcPr>
          <w:p>
            <w:pPr>
              <w:jc w:val="left"/>
              <w:rPr>
                <w:rFonts w:ascii="宋体" w:hAnsi="Calibri"/>
                <w:sz w:val="20"/>
              </w:rPr>
            </w:pPr>
            <w:r>
              <w:rPr>
                <w:rFonts w:ascii="宋体" w:hAnsi="宋体"/>
                <w:sz w:val="20"/>
              </w:rPr>
              <w:t xml:space="preserve">施工及安装辅材</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1</w:t>
            </w:r>
            <w:r/>
          </w:p>
        </w:tc>
        <w:tc>
          <w:tcPr>
            <w:tcW w:w="0" w:type="auto"/>
            <w:vAlign w:val="center"/>
            <w:textDirection w:val="lrTb"/>
            <w:noWrap w:val="false"/>
          </w:tcPr>
          <w:p>
            <w:pPr>
              <w:jc w:val="center"/>
              <w:rPr>
                <w:rFonts w:ascii="宋体" w:hAnsi="Calibri"/>
                <w:sz w:val="20"/>
              </w:rPr>
            </w:pPr>
            <w:r>
              <w:rPr>
                <w:rFonts w:ascii="宋体" w:hAnsi="宋体"/>
                <w:sz w:val="20"/>
              </w:rPr>
              <w:t xml:space="preserve">项</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0" w:type="auto"/>
            <w:vAlign w:val="center"/>
            <w:textDirection w:val="lrTb"/>
            <w:noWrap w:val="false"/>
          </w:tcPr>
          <w:p>
            <w:pPr>
              <w:jc w:val="center"/>
              <w:rPr>
                <w:rFonts w:ascii="宋体" w:hAnsi="Calibri"/>
                <w:sz w:val="20"/>
              </w:rPr>
            </w:pPr>
            <w:r>
              <w:rPr>
                <w:rFonts w:ascii="宋体" w:hAnsi="宋体"/>
                <w:sz w:val="20"/>
              </w:rPr>
              <w:t xml:space="preserve">10</w:t>
            </w:r>
            <w:r/>
          </w:p>
        </w:tc>
        <w:tc>
          <w:tcPr>
            <w:tcW w:w="1936" w:type="dxa"/>
            <w:vAlign w:val="center"/>
            <w:textDirection w:val="lrTb"/>
            <w:noWrap w:val="false"/>
          </w:tcPr>
          <w:p>
            <w:pPr>
              <w:jc w:val="left"/>
              <w:rPr>
                <w:rFonts w:ascii="宋体" w:hAnsi="Calibri"/>
                <w:sz w:val="20"/>
              </w:rPr>
            </w:pPr>
            <w:r>
              <w:rPr>
                <w:rFonts w:ascii="宋体" w:hAnsi="宋体"/>
                <w:sz w:val="20"/>
              </w:rPr>
              <w:t xml:space="preserve">技术服务费</w:t>
            </w:r>
            <w:r/>
          </w:p>
        </w:tc>
        <w:tc>
          <w:tcPr>
            <w:tcW w:w="0" w:type="auto"/>
            <w:vAlign w:val="center"/>
            <w:textDirection w:val="lrTb"/>
            <w:noWrap w:val="false"/>
          </w:tcPr>
          <w:p>
            <w:pPr>
              <w:jc w:val="center"/>
              <w:rPr>
                <w:rFonts w:ascii="宋体" w:hAnsi="Calibri"/>
                <w:sz w:val="20"/>
              </w:rPr>
            </w:pPr>
            <w:r>
              <w:rPr>
                <w:rFonts w:ascii="宋体" w:hAnsi="Calibri"/>
                <w:sz w:val="20"/>
              </w:rPr>
            </w:r>
            <w:r/>
          </w:p>
        </w:tc>
        <w:tc>
          <w:tcPr>
            <w:tcW w:w="0" w:type="auto"/>
            <w:vAlign w:val="center"/>
            <w:textDirection w:val="lrTb"/>
            <w:noWrap w:val="false"/>
          </w:tcPr>
          <w:p>
            <w:pPr>
              <w:jc w:val="center"/>
              <w:rPr>
                <w:rFonts w:ascii="宋体" w:hAnsi="Calibri"/>
                <w:sz w:val="20"/>
              </w:rPr>
            </w:pPr>
            <w:r>
              <w:rPr>
                <w:rFonts w:ascii="宋体" w:hAnsi="宋体"/>
                <w:sz w:val="20"/>
              </w:rPr>
              <w:t xml:space="preserve">1</w:t>
            </w:r>
            <w:r/>
          </w:p>
        </w:tc>
        <w:tc>
          <w:tcPr>
            <w:tcW w:w="0" w:type="auto"/>
            <w:vAlign w:val="center"/>
            <w:textDirection w:val="lrTb"/>
            <w:noWrap w:val="false"/>
          </w:tcPr>
          <w:p>
            <w:pPr>
              <w:jc w:val="center"/>
              <w:rPr>
                <w:rFonts w:ascii="宋体" w:hAnsi="Calibri"/>
                <w:sz w:val="20"/>
              </w:rPr>
            </w:pPr>
            <w:r>
              <w:rPr>
                <w:rFonts w:ascii="宋体" w:hAnsi="宋体"/>
                <w:sz w:val="20"/>
              </w:rPr>
              <w:t xml:space="preserve">项</w:t>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339" w:type="dxa"/>
            <w:vAlign w:val="center"/>
            <w:textDirection w:val="lrTb"/>
            <w:noWrap w:val="false"/>
          </w:tcPr>
          <w:p>
            <w:pPr>
              <w:jc w:val="right"/>
              <w:rPr>
                <w:rFonts w:ascii="宋体" w:hAnsi="Calibri"/>
                <w:sz w:val="20"/>
              </w:rPr>
            </w:pPr>
            <w:r>
              <w:rPr>
                <w:rFonts w:ascii="宋体" w:hAnsi="Calibri"/>
                <w:sz w:val="20"/>
              </w:rPr>
            </w:r>
            <w:r/>
          </w:p>
        </w:tc>
        <w:tc>
          <w:tcPr>
            <w:tcW w:w="1136" w:type="dxa"/>
            <w:vAlign w:val="center"/>
            <w:textDirection w:val="lrTb"/>
            <w:noWrap w:val="false"/>
          </w:tcPr>
          <w:p>
            <w:pPr>
              <w:jc w:val="center"/>
              <w:rPr>
                <w:rFonts w:ascii="宋体" w:hAnsi="Calibri"/>
                <w:sz w:val="20"/>
              </w:rPr>
            </w:pPr>
            <w:r>
              <w:rPr>
                <w:rFonts w:ascii="宋体" w:hAnsi="Calibri"/>
                <w:sz w:val="20"/>
              </w:rPr>
            </w:r>
            <w:r/>
          </w:p>
        </w:tc>
      </w:tr>
      <w:tr>
        <w:trPr>
          <w:jc w:val="center"/>
        </w:trPr>
        <w:tc>
          <w:tcPr>
            <w:tcW w:w="658" w:type="dxa"/>
            <w:vAlign w:val="center"/>
            <w:textDirection w:val="lrTb"/>
            <w:noWrap w:val="false"/>
          </w:tcPr>
          <w:p>
            <w:pPr>
              <w:jc w:val="center"/>
              <w:rPr>
                <w:rFonts w:ascii="宋体" w:hAnsi="Calibri"/>
                <w:b/>
                <w:sz w:val="20"/>
              </w:rPr>
            </w:pPr>
            <w:r>
              <w:rPr>
                <w:rFonts w:ascii="宋体" w:hAnsi="Calibri"/>
                <w:b/>
                <w:sz w:val="20"/>
              </w:rPr>
            </w:r>
            <w:r/>
          </w:p>
        </w:tc>
        <w:tc>
          <w:tcPr>
            <w:tcW w:w="1936" w:type="dxa"/>
            <w:vAlign w:val="center"/>
            <w:textDirection w:val="lrTb"/>
            <w:noWrap w:val="false"/>
          </w:tcPr>
          <w:p>
            <w:pPr>
              <w:jc w:val="left"/>
              <w:rPr>
                <w:rFonts w:ascii="宋体" w:hAnsi="Calibri"/>
                <w:b/>
                <w:sz w:val="20"/>
              </w:rPr>
            </w:pPr>
            <w:r>
              <w:rPr>
                <w:rFonts w:ascii="宋体" w:hAnsi="宋体"/>
                <w:b/>
                <w:sz w:val="20"/>
              </w:rPr>
              <w:t xml:space="preserve">合计</w:t>
            </w:r>
            <w:r/>
          </w:p>
        </w:tc>
        <w:tc>
          <w:tcPr>
            <w:tcW w:w="1092" w:type="dxa"/>
            <w:vAlign w:val="center"/>
            <w:textDirection w:val="lrTb"/>
            <w:noWrap w:val="false"/>
          </w:tcPr>
          <w:p>
            <w:pPr>
              <w:jc w:val="center"/>
              <w:rPr>
                <w:rFonts w:ascii="宋体" w:hAnsi="Calibri"/>
                <w:b/>
                <w:sz w:val="20"/>
              </w:rPr>
            </w:pPr>
            <w:r>
              <w:rPr>
                <w:rFonts w:ascii="宋体" w:hAnsi="Calibri"/>
                <w:b/>
                <w:sz w:val="20"/>
              </w:rPr>
            </w:r>
            <w:r/>
          </w:p>
        </w:tc>
        <w:tc>
          <w:tcPr>
            <w:tcW w:w="661" w:type="dxa"/>
            <w:vAlign w:val="center"/>
            <w:textDirection w:val="lrTb"/>
            <w:noWrap w:val="false"/>
          </w:tcPr>
          <w:p>
            <w:pPr>
              <w:jc w:val="center"/>
              <w:rPr>
                <w:rFonts w:ascii="宋体" w:hAnsi="Calibri"/>
                <w:b/>
                <w:sz w:val="20"/>
              </w:rPr>
            </w:pPr>
            <w:r>
              <w:rPr>
                <w:rFonts w:ascii="宋体" w:hAnsi="Calibri"/>
                <w:b/>
                <w:sz w:val="20"/>
              </w:rPr>
            </w:r>
            <w:r/>
          </w:p>
        </w:tc>
        <w:tc>
          <w:tcPr>
            <w:tcW w:w="661" w:type="dxa"/>
            <w:vAlign w:val="center"/>
            <w:textDirection w:val="lrTb"/>
            <w:noWrap w:val="false"/>
          </w:tcPr>
          <w:p>
            <w:pPr>
              <w:jc w:val="center"/>
              <w:rPr>
                <w:rFonts w:ascii="宋体" w:hAnsi="Calibri"/>
                <w:b/>
                <w:sz w:val="20"/>
              </w:rPr>
            </w:pPr>
            <w:r>
              <w:rPr>
                <w:rFonts w:ascii="宋体" w:hAnsi="Calibri"/>
                <w:b/>
                <w:sz w:val="20"/>
              </w:rPr>
            </w:r>
            <w:r/>
          </w:p>
        </w:tc>
        <w:tc>
          <w:tcPr>
            <w:tcW w:w="1339" w:type="dxa"/>
            <w:vAlign w:val="center"/>
            <w:textDirection w:val="lrTb"/>
            <w:noWrap w:val="false"/>
          </w:tcPr>
          <w:p>
            <w:pPr>
              <w:jc w:val="right"/>
              <w:rPr>
                <w:rFonts w:ascii="宋体" w:hAnsi="Calibri"/>
                <w:b/>
                <w:sz w:val="20"/>
              </w:rPr>
            </w:pPr>
            <w:r>
              <w:rPr>
                <w:rFonts w:ascii="宋体" w:hAnsi="Calibri"/>
                <w:b/>
                <w:sz w:val="20"/>
              </w:rPr>
            </w:r>
            <w:r/>
          </w:p>
        </w:tc>
        <w:tc>
          <w:tcPr>
            <w:tcW w:w="1339" w:type="dxa"/>
            <w:vAlign w:val="center"/>
            <w:textDirection w:val="lrTb"/>
            <w:noWrap w:val="false"/>
          </w:tcPr>
          <w:p>
            <w:pPr>
              <w:jc w:val="right"/>
              <w:rPr>
                <w:rFonts w:ascii="宋体" w:hAnsi="Calibri"/>
                <w:b/>
                <w:sz w:val="20"/>
              </w:rPr>
            </w:pPr>
            <w:r>
              <w:rPr>
                <w:rFonts w:ascii="宋体" w:hAnsi="Calibri"/>
                <w:b/>
                <w:sz w:val="20"/>
              </w:rPr>
            </w:r>
            <w:r/>
          </w:p>
        </w:tc>
        <w:tc>
          <w:tcPr>
            <w:tcW w:w="1136" w:type="dxa"/>
            <w:vAlign w:val="center"/>
            <w:textDirection w:val="lrTb"/>
            <w:noWrap w:val="false"/>
          </w:tcPr>
          <w:p>
            <w:pPr>
              <w:jc w:val="center"/>
              <w:rPr>
                <w:rFonts w:ascii="宋体" w:hAnsi="Calibri"/>
                <w:b/>
                <w:sz w:val="20"/>
              </w:rPr>
            </w:pPr>
            <w:r>
              <w:rPr>
                <w:rFonts w:ascii="宋体" w:hAnsi="Calibri"/>
                <w:b/>
                <w:sz w:val="20"/>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widowControl/>
        <w:rPr>
          <w:rFonts w:ascii="Arial" w:hAnsi="Arial" w:cs="Arial"/>
          <w:szCs w:val="21"/>
        </w:rPr>
      </w:pPr>
      <w:r>
        <w:rPr>
          <w:rFonts w:ascii="Arial" w:hAnsi="Arial" w:cs="Arial"/>
          <w:szCs w:val="21"/>
        </w:rPr>
        <w:br w:type="page" w:clear="all"/>
      </w:r>
      <w:r/>
    </w:p>
    <w:p>
      <w:pPr>
        <w:pStyle w:val="981"/>
        <w:jc w:val="right"/>
        <w:rPr>
          <w:rFonts w:ascii="Arial" w:hAnsi="Arial" w:cs="Arial"/>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rPr>
      </w:r>
      <w:bookmarkEnd w:id="33"/>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bookmarkStart w:id="38" w:name="_Toc31381_WPSOffice_Level2"/>
      <w:r>
        <w:rPr>
          <w:rFonts w:hint="eastAsia" w:ascii="Arial" w:hAnsi="Arial" w:cs="Arial"/>
          <w:b/>
          <w:sz w:val="36"/>
          <w:szCs w:val="36"/>
        </w:rPr>
        <w:t xml:space="preserve">采购需求偏离表</w:t>
      </w:r>
      <w:bookmarkEnd w:id="38"/>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22"/>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b/>
          <w:bCs/>
          <w:szCs w:val="21"/>
        </w:rPr>
        <w:br w:type="page" w:clear="all"/>
      </w:r>
      <w:bookmarkStart w:id="39" w:name="_Toc19798_WPSOffice_Level1"/>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bookmarkEnd w:id="39"/>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bookmarkStart w:id="40" w:name="_Toc11233_WPSOffice_Level2"/>
      <w:r>
        <w:rPr>
          <w:rFonts w:hint="eastAsia" w:ascii="Arial" w:hAnsi="Arial" w:cs="Arial"/>
          <w:b/>
          <w:sz w:val="36"/>
          <w:szCs w:val="36"/>
        </w:rPr>
        <w:t xml:space="preserve">商务</w:t>
      </w:r>
      <w:r>
        <w:rPr>
          <w:rFonts w:ascii="Arial" w:hAnsi="Arial" w:cs="Arial"/>
          <w:b/>
          <w:sz w:val="36"/>
          <w:szCs w:val="36"/>
        </w:rPr>
        <w:t xml:space="preserve">条款偏离表</w:t>
      </w:r>
      <w:bookmarkEnd w:id="40"/>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22"/>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附件六、</w:t>
      </w:r>
      <w:r>
        <w:rPr>
          <w:rFonts w:ascii="Arial" w:hAnsi="Arial" w:cs="Arial"/>
          <w:b/>
          <w:bCs/>
          <w:szCs w:val="21"/>
        </w:rPr>
        <w:t xml:space="preserve">技术参数响应表</w:t>
      </w:r>
      <w:r/>
    </w:p>
    <w:p>
      <w:pPr>
        <w:jc w:val="left"/>
        <w:spacing w:line="360" w:lineRule="auto"/>
        <w:shd w:val="clear" w:color="auto" w:fill="ffffff"/>
        <w:widowControl/>
        <w:rPr>
          <w:rFonts w:ascii="Arial" w:hAnsi="Arial" w:cs="Arial"/>
          <w:b/>
          <w:bCs/>
          <w:szCs w:val="21"/>
        </w:rPr>
      </w:pPr>
      <w:r>
        <w:rPr>
          <w:rFonts w:ascii="Arial" w:hAnsi="Arial" w:cs="Arial"/>
          <w:szCs w:val="21"/>
        </w:rPr>
        <w:t xml:space="preserve">项目名称：</w:t>
      </w:r>
      <w:r>
        <w:rPr>
          <w:rFonts w:ascii="Arial" w:hAnsi="Arial" w:cs="Arial"/>
          <w:szCs w:val="21"/>
        </w:rPr>
        <w:tab/>
      </w:r>
      <w:r>
        <w:rPr>
          <w:rFonts w:hint="eastAsia" w:ascii="Arial" w:hAnsi="Arial" w:cs="Arial"/>
          <w:szCs w:val="21"/>
        </w:rPr>
        <w:t xml:space="preserve">                                          </w:t>
      </w:r>
      <w:r>
        <w:rPr>
          <w:rFonts w:ascii="Arial" w:hAnsi="Arial" w:cs="Arial"/>
          <w:szCs w:val="21"/>
        </w:rPr>
        <w:t xml:space="preserve">项目编号：</w:t>
      </w:r>
      <w:r/>
    </w:p>
    <w:tbl>
      <w:tblPr>
        <w:tblStyle w:val="9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441"/>
        <w:gridCol w:w="1441"/>
        <w:gridCol w:w="1441"/>
        <w:gridCol w:w="1441"/>
        <w:gridCol w:w="1441"/>
      </w:tblGrid>
      <w:tr>
        <w:trPr>
          <w:jc w:val="center"/>
        </w:trPr>
        <w:tc>
          <w:tcPr>
            <w:tcW w:w="1441" w:type="dxa"/>
            <w:textDirection w:val="lrTb"/>
            <w:noWrap w:val="false"/>
          </w:tcPr>
          <w:p>
            <w:pPr>
              <w:jc w:val="center"/>
              <w:rPr>
                <w:rFonts w:ascii="Calibri" w:hAnsi="Calibri"/>
              </w:rPr>
            </w:pPr>
            <w:r>
              <w:rPr>
                <w:rFonts w:ascii="宋体" w:hAnsi="宋体"/>
                <w:b/>
                <w:sz w:val="20"/>
              </w:rPr>
              <w:t xml:space="preserve">序号</w:t>
            </w:r>
            <w:r/>
          </w:p>
        </w:tc>
        <w:tc>
          <w:tcPr>
            <w:tcW w:w="1441" w:type="dxa"/>
            <w:textDirection w:val="lrTb"/>
            <w:noWrap w:val="false"/>
          </w:tcPr>
          <w:p>
            <w:pPr>
              <w:jc w:val="center"/>
              <w:rPr>
                <w:rFonts w:ascii="Calibri" w:hAnsi="Calibri"/>
              </w:rPr>
            </w:pPr>
            <w:r>
              <w:rPr>
                <w:rFonts w:ascii="宋体" w:hAnsi="宋体"/>
                <w:b/>
                <w:sz w:val="20"/>
              </w:rPr>
              <w:t xml:space="preserve">设备名称</w:t>
            </w:r>
            <w:r/>
          </w:p>
        </w:tc>
        <w:tc>
          <w:tcPr>
            <w:tcW w:w="1441" w:type="dxa"/>
            <w:textDirection w:val="lrTb"/>
            <w:noWrap w:val="false"/>
          </w:tcPr>
          <w:p>
            <w:pPr>
              <w:jc w:val="center"/>
              <w:rPr>
                <w:rFonts w:ascii="Calibri" w:hAnsi="Calibri"/>
              </w:rPr>
            </w:pPr>
            <w:r>
              <w:rPr>
                <w:rFonts w:ascii="宋体" w:hAnsi="宋体"/>
                <w:b/>
                <w:sz w:val="20"/>
              </w:rPr>
              <w:t xml:space="preserve">招标文件技术参数要求</w:t>
            </w:r>
            <w:r/>
          </w:p>
        </w:tc>
        <w:tc>
          <w:tcPr>
            <w:tcW w:w="1441" w:type="dxa"/>
            <w:textDirection w:val="lrTb"/>
            <w:noWrap w:val="false"/>
          </w:tcPr>
          <w:p>
            <w:pPr>
              <w:jc w:val="center"/>
              <w:rPr>
                <w:rFonts w:ascii="Calibri" w:hAnsi="Calibri"/>
              </w:rPr>
            </w:pPr>
            <w:r>
              <w:rPr>
                <w:rFonts w:ascii="宋体" w:hAnsi="宋体"/>
                <w:b/>
                <w:sz w:val="20"/>
              </w:rPr>
              <w:t xml:space="preserve">投标产品技术参数</w:t>
            </w:r>
            <w:r/>
          </w:p>
        </w:tc>
        <w:tc>
          <w:tcPr>
            <w:tcW w:w="1441" w:type="dxa"/>
            <w:textDirection w:val="lrTb"/>
            <w:noWrap w:val="false"/>
          </w:tcPr>
          <w:p>
            <w:pPr>
              <w:jc w:val="center"/>
              <w:rPr>
                <w:rFonts w:ascii="Calibri" w:hAnsi="Calibri"/>
              </w:rPr>
            </w:pPr>
            <w:r>
              <w:rPr>
                <w:rFonts w:ascii="宋体" w:hAnsi="宋体"/>
                <w:b/>
                <w:sz w:val="20"/>
              </w:rPr>
              <w:t xml:space="preserve">偏离情况（正偏离/无偏离/负偏离）</w:t>
            </w:r>
            <w:r/>
          </w:p>
        </w:tc>
        <w:tc>
          <w:tcPr>
            <w:tcW w:w="1441" w:type="dxa"/>
            <w:textDirection w:val="lrTb"/>
            <w:noWrap w:val="false"/>
          </w:tcPr>
          <w:p>
            <w:pPr>
              <w:jc w:val="center"/>
              <w:rPr>
                <w:rFonts w:ascii="Calibri" w:hAnsi="Calibri"/>
              </w:rPr>
            </w:pPr>
            <w:r>
              <w:rPr>
                <w:rFonts w:ascii="宋体" w:hAnsi="宋体"/>
                <w:b/>
                <w:sz w:val="20"/>
              </w:rPr>
              <w:t xml:space="preserve">证明材料页码</w:t>
            </w:r>
            <w:r/>
          </w:p>
        </w:tc>
      </w:tr>
      <w:tr>
        <w:trPr>
          <w:jc w:val="center"/>
        </w:trPr>
        <w:tc>
          <w:tcPr>
            <w:tcW w:w="1441" w:type="dxa"/>
            <w:textDirection w:val="lrTb"/>
            <w:noWrap w:val="false"/>
          </w:tcPr>
          <w:p>
            <w:pPr>
              <w:rPr>
                <w:rFonts w:ascii="Calibri" w:hAnsi="Calibri"/>
              </w:rPr>
            </w:pPr>
            <w:r>
              <w:rPr>
                <w:rFonts w:ascii="宋体" w:hAnsi="宋体"/>
                <w:sz w:val="20"/>
              </w:rPr>
              <w:t xml:space="preserve">1</w:t>
            </w:r>
            <w:r/>
          </w:p>
        </w:tc>
        <w:tc>
          <w:tcPr>
            <w:tcW w:w="1441" w:type="dxa"/>
            <w:textDirection w:val="lrTb"/>
            <w:noWrap w:val="false"/>
          </w:tcPr>
          <w:p>
            <w:pPr>
              <w:rPr>
                <w:rFonts w:ascii="Calibri" w:hAnsi="Calibri"/>
              </w:rPr>
            </w:pPr>
            <w:r>
              <w:rPr>
                <w:rFonts w:ascii="宋体" w:hAnsi="宋体"/>
                <w:sz w:val="20"/>
              </w:rPr>
              <w:t xml:space="preserve">链路负载器</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2</w:t>
            </w:r>
            <w:r/>
          </w:p>
        </w:tc>
        <w:tc>
          <w:tcPr>
            <w:tcW w:w="1441" w:type="dxa"/>
            <w:textDirection w:val="lrTb"/>
            <w:noWrap w:val="false"/>
          </w:tcPr>
          <w:p>
            <w:pPr>
              <w:rPr>
                <w:rFonts w:ascii="Calibri" w:hAnsi="Calibri"/>
              </w:rPr>
            </w:pPr>
            <w:r>
              <w:rPr>
                <w:rFonts w:ascii="宋体" w:hAnsi="宋体"/>
                <w:sz w:val="20"/>
              </w:rPr>
              <w:t xml:space="preserve">8口ONU</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3</w:t>
            </w:r>
            <w:r/>
          </w:p>
        </w:tc>
        <w:tc>
          <w:tcPr>
            <w:tcW w:w="1441" w:type="dxa"/>
            <w:textDirection w:val="lrTb"/>
            <w:noWrap w:val="false"/>
          </w:tcPr>
          <w:p>
            <w:pPr>
              <w:rPr>
                <w:rFonts w:ascii="Calibri" w:hAnsi="Calibri"/>
              </w:rPr>
            </w:pPr>
            <w:r>
              <w:rPr>
                <w:rFonts w:ascii="宋体" w:hAnsi="宋体"/>
                <w:sz w:val="20"/>
              </w:rPr>
              <w:t xml:space="preserve">4口ONU</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4</w:t>
            </w:r>
            <w:r/>
          </w:p>
        </w:tc>
        <w:tc>
          <w:tcPr>
            <w:tcW w:w="1441" w:type="dxa"/>
            <w:textDirection w:val="lrTb"/>
            <w:noWrap w:val="false"/>
          </w:tcPr>
          <w:p>
            <w:pPr>
              <w:rPr>
                <w:rFonts w:ascii="Calibri" w:hAnsi="Calibri"/>
              </w:rPr>
            </w:pPr>
            <w:r>
              <w:rPr>
                <w:rFonts w:ascii="宋体" w:hAnsi="宋体"/>
                <w:sz w:val="20"/>
              </w:rPr>
              <w:t xml:space="preserve">24口ONU</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5</w:t>
            </w:r>
            <w:r/>
          </w:p>
        </w:tc>
        <w:tc>
          <w:tcPr>
            <w:tcW w:w="1441" w:type="dxa"/>
            <w:textDirection w:val="lrTb"/>
            <w:noWrap w:val="false"/>
          </w:tcPr>
          <w:p>
            <w:pPr>
              <w:rPr>
                <w:rFonts w:ascii="Calibri" w:hAnsi="Calibri"/>
              </w:rPr>
            </w:pPr>
            <w:r>
              <w:rPr>
                <w:rFonts w:ascii="宋体" w:hAnsi="宋体"/>
                <w:sz w:val="20"/>
              </w:rPr>
              <w:t xml:space="preserve">高密AP</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6</w:t>
            </w:r>
            <w:r/>
          </w:p>
        </w:tc>
        <w:tc>
          <w:tcPr>
            <w:tcW w:w="1441" w:type="dxa"/>
            <w:textDirection w:val="lrTb"/>
            <w:noWrap w:val="false"/>
          </w:tcPr>
          <w:p>
            <w:pPr>
              <w:rPr>
                <w:rFonts w:ascii="Calibri" w:hAnsi="Calibri"/>
              </w:rPr>
            </w:pPr>
            <w:r>
              <w:rPr>
                <w:rFonts w:ascii="宋体" w:hAnsi="宋体"/>
                <w:sz w:val="20"/>
              </w:rPr>
              <w:t xml:space="preserve">面板AP</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7</w:t>
            </w:r>
            <w:r/>
          </w:p>
        </w:tc>
        <w:tc>
          <w:tcPr>
            <w:tcW w:w="1441" w:type="dxa"/>
            <w:textDirection w:val="lrTb"/>
            <w:noWrap w:val="false"/>
          </w:tcPr>
          <w:p>
            <w:pPr>
              <w:rPr>
                <w:rFonts w:ascii="Calibri" w:hAnsi="Calibri"/>
              </w:rPr>
            </w:pPr>
            <w:r>
              <w:rPr>
                <w:rFonts w:ascii="宋体" w:hAnsi="宋体"/>
                <w:sz w:val="20"/>
              </w:rPr>
              <w:t xml:space="preserve">放装AP</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r>
        <w:trPr>
          <w:jc w:val="center"/>
        </w:trPr>
        <w:tc>
          <w:tcPr>
            <w:tcW w:w="1441" w:type="dxa"/>
            <w:textDirection w:val="lrTb"/>
            <w:noWrap w:val="false"/>
          </w:tcPr>
          <w:p>
            <w:pPr>
              <w:rPr>
                <w:rFonts w:ascii="Calibri" w:hAnsi="Calibri"/>
              </w:rPr>
            </w:pPr>
            <w:r>
              <w:rPr>
                <w:rFonts w:ascii="宋体" w:hAnsi="宋体"/>
                <w:sz w:val="20"/>
              </w:rPr>
              <w:t xml:space="preserve">8</w:t>
            </w:r>
            <w:r/>
          </w:p>
        </w:tc>
        <w:tc>
          <w:tcPr>
            <w:tcW w:w="1441" w:type="dxa"/>
            <w:textDirection w:val="lrTb"/>
            <w:noWrap w:val="false"/>
          </w:tcPr>
          <w:p>
            <w:pPr>
              <w:rPr>
                <w:rFonts w:ascii="Calibri" w:hAnsi="Calibri"/>
              </w:rPr>
            </w:pPr>
            <w:r>
              <w:rPr>
                <w:rFonts w:ascii="宋体" w:hAnsi="宋体"/>
                <w:sz w:val="20"/>
              </w:rPr>
              <w:t xml:space="preserve">网元设备管理授权</w:t>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c>
          <w:tcPr>
            <w:tcW w:w="1441" w:type="dxa"/>
            <w:textDirection w:val="lrTb"/>
            <w:noWrap w:val="false"/>
          </w:tcPr>
          <w:p>
            <w:pPr>
              <w:rPr>
                <w:rFonts w:ascii="Calibri" w:hAnsi="Calibri"/>
              </w:rPr>
            </w:pPr>
            <w:r>
              <w:rPr>
                <w:rFonts w:ascii="Calibri" w:hAnsi="Calibri"/>
              </w:rPr>
            </w:r>
            <w:r/>
          </w:p>
        </w:tc>
      </w:tr>
    </w:tbl>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szCs w:val="21"/>
        </w:rPr>
      </w:pPr>
      <w:r>
        <w:rPr>
          <w:rFonts w:ascii="宋体" w:hAnsi="宋体"/>
          <w:sz w:val="24"/>
        </w:rPr>
        <w:t xml:space="preserve">注：1. 投标人应逐项如实填写，不得遗漏。2. 带▲号的为重要参数。3. 偏离情况填写"正偏离""无偏离"或"负偏离"。4. 证明材料应在投标文件中提供对应页码。</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szCs w:val="21"/>
          <w:lang w:val="zh-CN"/>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b/>
          <w:bCs/>
          <w:szCs w:val="21"/>
        </w:rPr>
        <w:br w:type="page" w:clear="all"/>
      </w:r>
      <w:bookmarkStart w:id="41" w:name="_Toc21542_WPSOffice_Level1"/>
      <w:r>
        <w:rPr>
          <w:rFonts w:ascii="Arial" w:hAnsi="Arial" w:cs="Arial"/>
          <w:b/>
          <w:bCs/>
          <w:szCs w:val="21"/>
        </w:rPr>
        <w:t xml:space="preserve">附件</w:t>
      </w:r>
      <w:r>
        <w:rPr>
          <w:rFonts w:hint="eastAsia" w:ascii="Arial" w:hAnsi="Arial" w:cs="Arial"/>
          <w:b/>
          <w:bCs/>
          <w:szCs w:val="21"/>
        </w:rPr>
        <w:t xml:space="preserve">七</w:t>
      </w:r>
      <w:r>
        <w:rPr>
          <w:rFonts w:ascii="Arial" w:hAnsi="Arial" w:cs="Arial"/>
          <w:b/>
          <w:bCs/>
          <w:szCs w:val="21"/>
        </w:rPr>
        <w:t xml:space="preserve">、</w:t>
      </w:r>
      <w:bookmarkEnd w:id="41"/>
      <w:r>
        <w:rPr>
          <w:rFonts w:ascii="Arial" w:hAnsi="Arial" w:cs="Arial"/>
          <w:b/>
          <w:bCs/>
          <w:szCs w:val="21"/>
        </w:rPr>
        <w:t xml:space="preserve">投标人自行编写的技术文件</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240"/>
        <w:ind w:firstLine="420"/>
        <w:spacing w:before="0" w:after="0"/>
        <w:rPr>
          <w:rFonts w:cs="Arial"/>
          <w:sz w:val="21"/>
          <w:szCs w:val="21"/>
        </w:rPr>
      </w:pPr>
      <w:r>
        <w:rPr>
          <w:rFonts w:cs="Arial"/>
          <w:sz w:val="21"/>
          <w:szCs w:val="21"/>
        </w:rPr>
      </w:r>
      <w:r/>
    </w:p>
    <w:p>
      <w:pPr>
        <w:pStyle w:val="930"/>
      </w:pPr>
      <w:r/>
      <w:r/>
    </w:p>
    <w:p>
      <w:pPr>
        <w:pStyle w:val="970"/>
      </w:p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bookmarkStart w:id="42" w:name="_Toc14221_WPSOffice_Level1"/>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、拟参与本项目服务人员一览表</w:t>
      </w:r>
      <w:bookmarkEnd w:id="42"/>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bookmarkStart w:id="43" w:name="_Toc4394_WPSOffice_Level2"/>
      <w:r>
        <w:rPr>
          <w:rFonts w:ascii="Arial" w:hAnsi="Arial" w:cs="Arial"/>
          <w:b/>
          <w:bCs/>
          <w:sz w:val="24"/>
        </w:rPr>
        <w:t xml:space="preserve">拟参与本项目服务人员一览表</w:t>
      </w:r>
      <w:bookmarkEnd w:id="43"/>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                                 项目编号：</w:t>
      </w:r>
      <w:r/>
    </w:p>
    <w:tbl>
      <w:tblPr>
        <w:tblStyle w:val="92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bookmarkStart w:id="44" w:name="_Toc10822_WPSOffice_Level1"/>
      <w:r>
        <w:rPr>
          <w:rFonts w:ascii="Arial" w:hAnsi="Arial" w:cs="Arial"/>
          <w:b/>
          <w:bCs/>
          <w:sz w:val="24"/>
        </w:rPr>
        <w:t xml:space="preserve">附件</w:t>
      </w:r>
      <w:r>
        <w:rPr>
          <w:rFonts w:hint="eastAsia" w:ascii="Arial" w:hAnsi="Arial" w:cs="Arial"/>
          <w:b/>
          <w:bCs/>
          <w:sz w:val="24"/>
        </w:rPr>
        <w:t xml:space="preserve">九</w:t>
      </w:r>
      <w:r>
        <w:rPr>
          <w:rFonts w:ascii="Arial" w:hAnsi="Arial" w:cs="Arial"/>
          <w:b/>
          <w:bCs/>
          <w:sz w:val="24"/>
        </w:rPr>
        <w:t xml:space="preserve">、 投标人类似业绩情况表</w:t>
      </w:r>
      <w:bookmarkEnd w:id="44"/>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bookmarkStart w:id="45" w:name="_Toc15731_WPSOffice_Level2"/>
      <w:r>
        <w:rPr>
          <w:rFonts w:ascii="Arial" w:hAnsi="Arial" w:cs="Arial"/>
          <w:b/>
          <w:bCs/>
          <w:sz w:val="24"/>
        </w:rPr>
        <w:t xml:space="preserve">投标人类似业绩情况表</w:t>
      </w:r>
      <w:bookmarkEnd w:id="45"/>
      <w:r/>
      <w:r/>
    </w:p>
    <w:tbl>
      <w:tblPr>
        <w:tblStyle w:val="922"/>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w:t>
            </w:r>
            <w:r/>
          </w:p>
          <w:p>
            <w:pPr>
              <w:jc w:val="center"/>
              <w:spacing w:line="400" w:lineRule="atLeast"/>
              <w:widowControl/>
              <w:rPr>
                <w:rFonts w:ascii="Arial" w:hAnsi="Arial" w:cs="Arial"/>
                <w:szCs w:val="21"/>
              </w:rPr>
            </w:pPr>
            <w:r>
              <w:rPr>
                <w:rFonts w:ascii="Arial" w:hAnsi="Arial" w:cs="Arial"/>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spacing w:line="360" w:lineRule="auto"/>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p>
    <w:p>
      <w:pPr>
        <w:spacing w:line="360" w:lineRule="auto"/>
        <w:rPr>
          <w:rFonts w:ascii="Arial" w:hAnsi="Arial" w:cs="Arial"/>
        </w:rPr>
      </w:pPr>
      <w:r>
        <w:rPr>
          <w:rFonts w:ascii="Arial" w:hAnsi="Arial" w:cs="Arial"/>
        </w:rPr>
      </w:r>
      <w:r/>
    </w:p>
    <w:p>
      <w:pPr>
        <w:spacing w:line="360" w:lineRule="auto"/>
        <w:rPr>
          <w:rFonts w:ascii="Arial" w:hAnsi="Arial" w:cs="Arial"/>
          <w:b/>
          <w:bCs/>
        </w:rPr>
      </w:pPr>
      <w:r>
        <w:rPr>
          <w:rFonts w:ascii="Arial" w:hAnsi="Arial" w:cs="Arial"/>
          <w:b/>
        </w:rPr>
        <w:br w:type="page" w:clear="all"/>
      </w:r>
      <w:bookmarkStart w:id="46" w:name="_Toc11780_WPSOffice_Level1"/>
      <w:r>
        <w:rPr>
          <w:rFonts w:ascii="Arial" w:hAnsi="Arial" w:cs="Arial"/>
          <w:b/>
        </w:rPr>
        <w:t xml:space="preserve">附件</w:t>
      </w:r>
      <w:r>
        <w:rPr>
          <w:rFonts w:hint="eastAsia" w:ascii="Arial" w:hAnsi="Arial" w:cs="Arial"/>
          <w:b/>
        </w:rPr>
        <w:t xml:space="preserve">十</w:t>
      </w:r>
      <w:r>
        <w:rPr>
          <w:rFonts w:ascii="Arial" w:hAnsi="Arial" w:cs="Arial"/>
          <w:b/>
          <w:bCs/>
        </w:rPr>
        <w:t xml:space="preserve">：企业声明函格式</w:t>
      </w:r>
      <w:bookmarkEnd w:id="46"/>
      <w:r/>
      <w:r/>
    </w:p>
    <w:p>
      <w:pPr>
        <w:jc w:val="center"/>
        <w:spacing w:line="360" w:lineRule="auto"/>
        <w:rPr>
          <w:rFonts w:ascii="Arial" w:hAnsi="Arial" w:cs="Arial"/>
          <w:b/>
          <w:bCs/>
          <w:sz w:val="28"/>
        </w:rPr>
      </w:pPr>
      <w:r/>
      <w:bookmarkStart w:id="47" w:name="OLE_LINK14"/>
      <w:r/>
      <w:bookmarkStart w:id="48" w:name="OLE_LINK13"/>
      <w:r/>
      <w:r/>
    </w:p>
    <w:p>
      <w:pPr>
        <w:jc w:val="center"/>
        <w:spacing w:before="240" w:line="480" w:lineRule="auto"/>
        <w:rPr>
          <w:rFonts w:ascii="Arial" w:hAnsi="Arial" w:cs="Arial"/>
          <w:b/>
          <w:bCs/>
          <w:sz w:val="28"/>
          <w:szCs w:val="28"/>
        </w:rPr>
      </w:pPr>
      <w:r/>
      <w:bookmarkStart w:id="49" w:name="OLE_LINK2"/>
      <w:r>
        <w:rPr>
          <w:rFonts w:hint="eastAsia" w:ascii="宋体" w:hAnsi="宋体" w:cs="Arial"/>
          <w:b/>
          <w:bCs/>
          <w:sz w:val="28"/>
          <w:szCs w:val="28"/>
        </w:rPr>
        <w:t xml:space="preserve">中小企业声明函（货物）</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w:t>
      </w:r>
      <w:r>
        <w:rPr>
          <w:rFonts w:hint="eastAsia" w:ascii="Arial" w:hAnsi="Arial" w:cs="Arial"/>
        </w:rPr>
        <w:t xml:space="preserve">,</w:t>
      </w:r>
      <w:r>
        <w:rPr>
          <w:rFonts w:hint="eastAsia" w:ascii="宋体" w:hAnsi="宋体" w:cs="Arial"/>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rPr>
      </w:pPr>
      <w:r>
        <w:rPr>
          <w:rFonts w:hint="eastAsia" w:ascii="Arial" w:hAnsi="Arial" w:cs="Arial"/>
        </w:rPr>
        <w:t xml:space="preserve">1.</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w:t>
      </w:r>
      <w:r>
        <w:rPr>
          <w:rFonts w:hint="eastAsia" w:ascii="Arial" w:hAnsi="Arial" w:cs="Arial"/>
        </w:rPr>
        <w:t xml:space="preserve">;</w:t>
      </w:r>
      <w:r>
        <w:rPr>
          <w:rFonts w:hint="eastAsia" w:ascii="宋体" w:hAnsi="宋体" w:cs="Arial"/>
        </w:rPr>
        <w:t xml:space="preserve">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rPr>
        <w:t xml:space="preserve">—万元，资产总额为</w:t>
      </w:r>
      <w:r>
        <w:rPr>
          <w:rFonts w:hint="eastAsia" w:ascii="Arial" w:hAnsi="Arial" w:cs="Arial"/>
          <w:u w:val="single"/>
        </w:rPr>
        <w:tab/>
      </w:r>
      <w:r>
        <w:rPr>
          <w:rFonts w:hint="eastAsia" w:ascii="宋体" w:hAnsi="宋体" w:cs="Arial"/>
          <w:u w:val="single"/>
        </w:rPr>
        <w:t xml:space="preserve">万</w:t>
      </w:r>
      <w:r>
        <w:rPr>
          <w:rFonts w:hint="eastAsia" w:ascii="宋体" w:hAnsi="宋体" w:cs="Arial"/>
        </w:rPr>
        <w:t xml:space="preserve">元</w:t>
      </w:r>
      <w:r>
        <w:rPr>
          <w:rFonts w:hint="eastAsia" w:ascii="Arial" w:hAnsi="Arial" w:cs="Arial"/>
        </w:rPr>
        <w:t xml:space="preserve">，</w:t>
      </w:r>
      <w:r>
        <w:rPr>
          <w:rFonts w:hint="eastAsia" w:ascii="宋体" w:hAnsi="宋体" w:cs="Arial"/>
        </w:rPr>
        <w:t xml:space="preserve">属于（中型企业、小型企业、微型企业）；</w:t>
      </w:r>
      <w:r/>
    </w:p>
    <w:p>
      <w:pPr>
        <w:ind w:firstLine="420"/>
        <w:jc w:val="left"/>
        <w:spacing w:line="440" w:lineRule="exact"/>
        <w:widowControl/>
        <w:rPr>
          <w:rFonts w:ascii="Arial" w:hAnsi="Arial" w:cs="Arial"/>
        </w:rPr>
      </w:pPr>
      <w:r>
        <w:rPr>
          <w:rFonts w:hint="eastAsia" w:ascii="Arial" w:hAnsi="Arial" w:cs="Arial"/>
        </w:rPr>
        <w:t xml:space="preserve">2.</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p>
    <w:p>
      <w:pPr>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ind w:firstLine="420"/>
        <w:jc w:val="left"/>
        <w:spacing w:line="440" w:lineRule="exact"/>
        <w:widowControl/>
        <w:rPr>
          <w:rFonts w:ascii="宋体" w:hAnsi="宋体" w:cs="Arial"/>
        </w:rPr>
      </w:pPr>
      <w:r>
        <w:rPr>
          <w:rFonts w:ascii="宋体" w:hAnsi="宋体"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420"/>
        <w:jc w:val="right"/>
        <w:spacing w:line="440" w:lineRule="exact"/>
        <w:widowControl/>
        <w:rPr>
          <w:rFonts w:ascii="Arial" w:hAnsi="Arial" w:cs="Arial"/>
        </w:rPr>
      </w:pPr>
      <w:r>
        <w:rPr>
          <w:rFonts w:ascii="Arial" w:hAnsi="Arial" w:cs="Arial"/>
        </w:rPr>
      </w:r>
      <w:r/>
    </w:p>
    <w:p>
      <w:pPr>
        <w:jc w:val="center"/>
        <w:spacing w:line="360" w:lineRule="auto"/>
        <w:rPr>
          <w:rFonts w:ascii="Arial" w:hAnsi="Arial" w:cs="Arial"/>
          <w:b/>
          <w:bCs/>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rPr>
        <w:t xml:space="preserve">                                                   日期：</w:t>
      </w:r>
      <w:r/>
    </w:p>
    <w:p>
      <w:pPr>
        <w:jc w:val="center"/>
        <w:spacing w:line="360" w:lineRule="auto"/>
        <w:rPr>
          <w:rFonts w:ascii="Arial" w:hAnsi="Arial" w:cs="Arial"/>
          <w:b/>
          <w:bCs/>
          <w:sz w:val="28"/>
        </w:rPr>
      </w:pPr>
      <w:r/>
      <w:bookmarkStart w:id="50" w:name="_Toc9692_WPSOffice_Level2"/>
      <w:r>
        <w:rPr>
          <w:rFonts w:ascii="Arial" w:hAnsi="Arial" w:cs="Arial"/>
          <w:b/>
          <w:bCs/>
          <w:sz w:val="28"/>
        </w:rPr>
        <w:t xml:space="preserve">残疾人福利性单位声明函</w:t>
      </w:r>
      <w:bookmarkEnd w:id="50"/>
      <w:r/>
      <w:bookmarkEnd w:id="47"/>
      <w:r/>
      <w:bookmarkEnd w:id="48"/>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040"/>
        <w:jc w:val="left"/>
        <w:spacing w:line="440" w:lineRule="exact"/>
        <w:widowControl/>
        <w:rPr>
          <w:rFonts w:ascii="Arial" w:hAnsi="Arial" w:cs="Arial"/>
          <w:szCs w:val="21"/>
        </w:rPr>
      </w:pPr>
      <w:r>
        <w:rPr>
          <w:rFonts w:ascii="Arial" w:hAnsi="Arial" w:cs="Arial"/>
          <w:szCs w:val="21"/>
        </w:rPr>
      </w:r>
      <w:r/>
    </w:p>
    <w:p>
      <w:pPr>
        <w:ind w:firstLine="5040"/>
        <w:jc w:val="left"/>
        <w:spacing w:line="440" w:lineRule="exact"/>
        <w:widowControl/>
        <w:rPr>
          <w:rFonts w:ascii="Arial" w:hAnsi="Arial" w:cs="Arial"/>
          <w:szCs w:val="21"/>
        </w:rPr>
      </w:pPr>
      <w:r>
        <w:rPr>
          <w:rFonts w:ascii="Arial" w:hAnsi="Arial" w:cs="Arial"/>
          <w:szCs w:val="21"/>
        </w:rPr>
        <w:t xml:space="preserve">日  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bookmarkStart w:id="51" w:name="_Toc29930_WPSOffice_Level2"/>
      <w:r>
        <w:rPr>
          <w:rFonts w:ascii="Arial" w:hAnsi="Arial" w:cs="Arial"/>
          <w:b/>
          <w:bCs/>
          <w:sz w:val="28"/>
        </w:rPr>
        <w:t xml:space="preserve">属于监狱企业的证明文件</w:t>
      </w:r>
      <w:bookmarkEnd w:id="51"/>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52" w:name="_Toc27230_WPSOffice_Level2"/>
      <w:r>
        <w:rPr>
          <w:rFonts w:ascii="Arial" w:hAnsi="Arial" w:cs="Arial"/>
          <w:b/>
          <w:bCs/>
          <w:sz w:val="28"/>
        </w:rPr>
        <w:t xml:space="preserve">节能产品认证证书</w:t>
      </w:r>
      <w:bookmarkEnd w:id="52"/>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bookmarkStart w:id="53" w:name="_Toc5659_WPSOffice_Level2"/>
      <w:r>
        <w:rPr>
          <w:rFonts w:ascii="Arial" w:hAnsi="Arial" w:cs="Arial"/>
          <w:b/>
          <w:bCs/>
          <w:sz w:val="28"/>
        </w:rPr>
        <w:t xml:space="preserve">环境标志产品认证证书</w:t>
      </w:r>
      <w:bookmarkEnd w:id="53"/>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pStyle w:val="970"/>
        <w:rPr>
          <w:rFonts w:ascii="Arial" w:hAnsi="Arial" w:cs="Arial"/>
          <w:bCs/>
        </w:rPr>
      </w:pPr>
      <w:r>
        <w:rPr>
          <w:rFonts w:ascii="Arial" w:hAnsi="Arial" w:cs="Arial"/>
          <w:bCs/>
        </w:rPr>
      </w:r>
      <w:r/>
    </w:p>
    <w:p>
      <w:pPr>
        <w:pStyle w:val="970"/>
        <w:rPr>
          <w:rFonts w:ascii="Arial" w:hAnsi="Arial" w:cs="Arial"/>
          <w:bCs/>
        </w:rPr>
      </w:pPr>
      <w:r>
        <w:rPr>
          <w:rFonts w:ascii="Arial" w:hAnsi="Arial" w:cs="Arial"/>
          <w:bCs/>
        </w:rPr>
      </w:r>
      <w:r/>
    </w:p>
    <w:p>
      <w:pPr>
        <w:pStyle w:val="970"/>
        <w:rPr>
          <w:rFonts w:ascii="Arial" w:hAnsi="Arial" w:cs="Arial"/>
          <w:bCs/>
        </w:rPr>
      </w:pPr>
      <w:r>
        <w:rPr>
          <w:rFonts w:ascii="Arial" w:hAnsi="Arial" w:cs="Arial"/>
          <w:bCs/>
        </w:rPr>
      </w:r>
      <w:r/>
    </w:p>
    <w:p>
      <w:pPr>
        <w:jc w:val="center"/>
        <w:spacing w:line="360" w:lineRule="auto"/>
        <w:rPr>
          <w:rFonts w:ascii="Arial" w:hAnsi="Arial" w:cs="Arial"/>
          <w:b/>
          <w:bCs/>
          <w:sz w:val="28"/>
        </w:rPr>
      </w:pPr>
      <w:r/>
      <w:bookmarkStart w:id="54" w:name="_Toc4803_WPSOffice_Level2"/>
      <w:r>
        <w:rPr>
          <w:rFonts w:ascii="Arial" w:hAnsi="Arial" w:cs="Arial"/>
          <w:b/>
          <w:bCs/>
          <w:sz w:val="28"/>
        </w:rPr>
        <w:t xml:space="preserve">进口产品转让技术、消化吸收再创新方案</w:t>
      </w:r>
      <w:bookmarkEnd w:id="54"/>
      <w:r/>
      <w:r/>
    </w:p>
    <w:p>
      <w:pPr>
        <w:spacing w:line="360" w:lineRule="auto"/>
        <w:rPr>
          <w:rFonts w:ascii="Arial" w:hAnsi="Arial" w:cs="Arial"/>
          <w:bCs/>
        </w:rPr>
      </w:pPr>
      <w:r>
        <w:rPr>
          <w:rFonts w:ascii="Arial" w:hAnsi="Arial" w:cs="Arial"/>
          <w:bCs/>
        </w:rPr>
        <w:t xml:space="preserve">（对于允许进口产品参加的项目）</w:t>
      </w:r>
      <w:bookmarkEnd w:id="49"/>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bookmarkStart w:id="55" w:name="_Toc14078_WPSOffice_Level1"/>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pStyle w:val="956"/>
        <w:jc w:val="center"/>
        <w:spacing w:before="24" w:beforeAutospacing="0" w:after="24" w:afterAutospacing="0" w:line="360" w:lineRule="auto"/>
        <w:shd w:val="clear" w:color="auto" w:fill="ffffff"/>
        <w:rPr>
          <w:rFonts w:ascii="Arial" w:hAnsi="Arial" w:cs="Arial"/>
          <w:b/>
          <w:bCs/>
          <w:sz w:val="28"/>
        </w:rPr>
      </w:pPr>
      <w:r>
        <w:rPr>
          <w:rFonts w:hint="eastAsia" w:ascii="Arial" w:hAnsi="Arial" w:cs="Arial"/>
          <w:b/>
          <w:bCs/>
          <w:sz w:val="28"/>
        </w:rPr>
        <w:t xml:space="preserve">关于符合本国产品标准的声明函</w:t>
      </w:r>
      <w:r/>
    </w:p>
    <w:p>
      <w:pPr>
        <w:pStyle w:val="956"/>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6"/>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1.</w:t>
      </w:r>
      <w:r>
        <w:rPr>
          <w:rStyle w:val="965"/>
          <w:rFonts w:hint="eastAsia"/>
          <w:color w:val="333333"/>
          <w:sz w:val="21"/>
          <w:szCs w:val="21"/>
          <w:shd w:val="clear" w:color="auto" w:fill="ffffff"/>
        </w:rPr>
        <w:t xml:space="preserve">（产品名称1）</w:t>
      </w:r>
      <w:r>
        <w:rPr>
          <w:rStyle w:val="965"/>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965"/>
          <w:rFonts w:hint="eastAsia"/>
          <w:color w:val="333333"/>
          <w:sz w:val="21"/>
          <w:szCs w:val="21"/>
          <w:shd w:val="clear" w:color="auto" w:fill="ffffff"/>
        </w:rPr>
        <w:t xml:space="preserve">（厂名）</w:t>
      </w:r>
      <w:r>
        <w:rPr>
          <w:rStyle w:val="965"/>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965"/>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65"/>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965"/>
          <w:rFonts w:hint="eastAsia"/>
          <w:color w:val="333333"/>
          <w:sz w:val="21"/>
          <w:szCs w:val="21"/>
          <w:shd w:val="clear" w:color="auto" w:fill="ffffff"/>
        </w:rPr>
        <w:t xml:space="preserve">（规定比例）</w:t>
      </w:r>
      <w:r>
        <w:rPr>
          <w:rStyle w:val="965"/>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965"/>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65"/>
          <w:rFonts w:hint="eastAsia"/>
          <w:color w:val="333333"/>
          <w:sz w:val="21"/>
          <w:szCs w:val="21"/>
          <w:shd w:val="clear" w:color="auto" w:fill="ffffff"/>
        </w:rPr>
        <w:t xml:space="preserve">（关键组件）</w:t>
      </w:r>
      <w:r>
        <w:rPr>
          <w:rStyle w:val="965"/>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965"/>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65"/>
          <w:rFonts w:hint="eastAsia"/>
          <w:color w:val="333333"/>
          <w:sz w:val="21"/>
          <w:szCs w:val="21"/>
          <w:shd w:val="clear" w:color="auto" w:fill="ffffff"/>
        </w:rPr>
        <w:t xml:space="preserve">（关键工序）</w:t>
      </w:r>
      <w:r>
        <w:rPr>
          <w:rStyle w:val="965"/>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956"/>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2.</w:t>
      </w:r>
      <w:r>
        <w:rPr>
          <w:rStyle w:val="965"/>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965"/>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965"/>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65"/>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965"/>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965"/>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65"/>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965"/>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65"/>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956"/>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w:t>
      </w:r>
      <w:r/>
    </w:p>
    <w:p>
      <w:pPr>
        <w:pStyle w:val="956"/>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956"/>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pStyle w:val="956"/>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956"/>
        <w:spacing w:beforeAutospacing="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p>
    <w:p>
      <w:pPr>
        <w:pStyle w:val="956"/>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956"/>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956"/>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956"/>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spacing w:line="360" w:lineRule="auto"/>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5.该产品的关键工序要求实施前，“关键工序”栏可不填，下同。</w:t>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一</w:t>
      </w:r>
      <w:r>
        <w:rPr>
          <w:rFonts w:ascii="Arial" w:hAnsi="Arial" w:cs="Arial"/>
          <w:b/>
        </w:rPr>
        <w:t xml:space="preserve">、无重大违法记录声明格式</w:t>
      </w:r>
      <w:bookmarkEnd w:id="55"/>
      <w:r/>
      <w:r/>
    </w:p>
    <w:p>
      <w:pPr>
        <w:rPr>
          <w:rFonts w:ascii="Arial" w:hAnsi="Arial" w:eastAsia="黑体" w:cs="Arial"/>
          <w:sz w:val="28"/>
          <w:szCs w:val="36"/>
        </w:rPr>
      </w:pPr>
      <w:r/>
      <w:bookmarkStart w:id="56" w:name="_Toc28833_WPSOffice_Level2"/>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bookmarkEnd w:id="56"/>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，且不是失信被执行人、重大税收违法失信主体、政府采购严重违法失信行为记录名单的供应商。</w:t>
      </w:r>
      <w:bookmarkStart w:id="59" w:name="_GoBack"/>
      <w:r/>
      <w:bookmarkEnd w:id="59"/>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p>
    <w:p>
      <w:pPr>
        <w:ind w:firstLine="5103"/>
        <w:spacing w:line="360" w:lineRule="auto"/>
        <w:rPr>
          <w:rFonts w:ascii="Arial" w:hAnsi="Arial" w:cs="Arial"/>
        </w:rPr>
      </w:pPr>
      <w:r>
        <w:rPr>
          <w:rFonts w:ascii="Arial" w:hAnsi="Arial" w:cs="Arial"/>
        </w:rPr>
      </w:r>
      <w:r/>
    </w:p>
    <w:p>
      <w:pPr>
        <w:spacing w:line="360" w:lineRule="auto"/>
        <w:rPr>
          <w:rFonts w:hint="eastAsia" w:ascii="Arial" w:hAnsi="Arial" w:eastAsia="宋体" w:cs="Arial"/>
          <w:szCs w:val="21"/>
          <w:lang w:val="en-US" w:eastAsia="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szCs w:val="21"/>
          <w:lang w:val="zh-CN"/>
        </w:rPr>
        <w:t xml:space="preserve">日期：年月</w:t>
      </w:r>
      <w:r>
        <w:rPr>
          <w:rFonts w:hint="eastAsia" w:ascii="Arial" w:hAnsi="Arial" w:cs="Arial"/>
          <w:szCs w:val="21"/>
          <w:lang w:val="en-US" w:eastAsia="zh-CN"/>
        </w:rPr>
        <w:t xml:space="preserve">日</w:t>
      </w:r>
      <w:r/>
    </w:p>
    <w:p>
      <w:pPr>
        <w:spacing w:line="360" w:lineRule="auto"/>
        <w:rPr>
          <w:rFonts w:ascii="Arial" w:hAnsi="Arial" w:cs="Arial"/>
          <w:b/>
        </w:rPr>
      </w:pPr>
      <w:r/>
      <w:bookmarkStart w:id="57" w:name="_Toc10146_WPSOffice_Level1"/>
      <w:r>
        <w:rPr>
          <w:rFonts w:ascii="Arial" w:hAnsi="Arial" w:cs="Arial"/>
          <w:b/>
        </w:rPr>
        <w:t xml:space="preserve">附件十</w:t>
      </w:r>
      <w:r>
        <w:rPr>
          <w:rFonts w:hint="eastAsia" w:ascii="Arial" w:hAnsi="Arial" w:cs="Arial"/>
          <w:b/>
        </w:rPr>
        <w:t xml:space="preserve">二</w:t>
      </w:r>
      <w:r>
        <w:rPr>
          <w:rFonts w:ascii="Arial" w:hAnsi="Arial" w:cs="Arial"/>
          <w:b/>
        </w:rPr>
        <w:t xml:space="preserve">、 资格资信证明文件</w:t>
      </w:r>
      <w:bookmarkEnd w:id="57"/>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bookmarkStart w:id="58" w:name="_Toc32156_WPSOffice_Level1"/>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bookmarkEnd w:id="58"/>
      <w:r/>
      <w:r/>
    </w:p>
    <w:p>
      <w:pPr>
        <w:spacing w:line="360" w:lineRule="auto"/>
        <w:rPr>
          <w:rFonts w:ascii="Arial" w:hAnsi="Arial" w:cs="Arial"/>
          <w:b/>
        </w:rPr>
      </w:pPr>
      <w:r>
        <w:rPr>
          <w:rFonts w:ascii="Arial" w:hAnsi="Arial" w:cs="Arial"/>
          <w:b/>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chineseCountingThousand"/>
      <w:pStyle w:val="123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46"/>
      <w:isLgl w:val="false"/>
      <w:suff w:val="tab"/>
      <w:lvlText w:val="%1.%2"/>
      <w:lvlJc w:val="left"/>
      <w:pPr>
        <w:ind w:left="425" w:hanging="425"/>
      </w:pPr>
      <w:rPr>
        <w:rFonts w:hint="eastAsia" w:ascii="Arial Unicode MS" w:hAnsi="Arial Unicode MS" w:eastAsia="微软雅黑"/>
        <w:b/>
        <w:i w:val="0"/>
      </w:rPr>
    </w:lvl>
    <w:lvl w:ilvl="2">
      <w:start w:val="1"/>
      <w:numFmt w:val="decimal"/>
      <w:pStyle w:val="1245"/>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2">
    <w:multiLevelType w:val="hybridMultilevel"/>
    <w:lvl w:ilvl="0">
      <w:start w:val="1"/>
      <w:numFmt w:val="chineseCountingThousand"/>
      <w:pStyle w:val="912"/>
      <w:isLgl w:val="false"/>
      <w:suff w:val="nothing"/>
      <w:lvlText w:val="第%1章"/>
      <w:lvlJc w:val="left"/>
      <w:pPr>
        <w:ind w:left="0" w:firstLine="0"/>
      </w:pPr>
    </w:lvl>
    <w:lvl w:ilvl="1">
      <w:start w:val="1"/>
      <w:numFmt w:val="decimal"/>
      <w:pStyle w:val="913"/>
      <w:isLgl w:val="false"/>
      <w:suff w:val="nothing"/>
      <w:lvlText w:val=""/>
      <w:lvlJc w:val="left"/>
      <w:pPr>
        <w:ind w:left="0" w:firstLine="0"/>
      </w:pPr>
    </w:lvl>
    <w:lvl w:ilvl="2">
      <w:start w:val="1"/>
      <w:numFmt w:val="decimal"/>
      <w:pStyle w:val="914"/>
      <w:isLgl w:val="false"/>
      <w:suff w:val="nothing"/>
      <w:lvlText w:val=""/>
      <w:lvlJc w:val="left"/>
      <w:pPr>
        <w:ind w:left="0" w:firstLine="0"/>
      </w:pPr>
    </w:lvl>
    <w:lvl w:ilvl="3">
      <w:start w:val="1"/>
      <w:numFmt w:val="decimal"/>
      <w:pStyle w:val="915"/>
      <w:isLgl w:val="false"/>
      <w:suff w:val="nothing"/>
      <w:lvlText w:val=""/>
      <w:lvlJc w:val="left"/>
      <w:pPr>
        <w:ind w:left="0" w:firstLine="0"/>
      </w:pPr>
    </w:lvl>
    <w:lvl w:ilvl="4">
      <w:start w:val="1"/>
      <w:numFmt w:val="decimal"/>
      <w:pStyle w:val="916"/>
      <w:isLgl w:val="false"/>
      <w:suff w:val="nothing"/>
      <w:lvlText w:val=""/>
      <w:lvlJc w:val="left"/>
      <w:pPr>
        <w:ind w:left="0" w:firstLine="0"/>
      </w:pPr>
    </w:lvl>
    <w:lvl w:ilvl="5">
      <w:start w:val="1"/>
      <w:numFmt w:val="decimal"/>
      <w:pStyle w:val="917"/>
      <w:isLgl w:val="false"/>
      <w:suff w:val="nothing"/>
      <w:lvlText w:val=""/>
      <w:lvlJc w:val="left"/>
      <w:pPr>
        <w:ind w:left="0" w:firstLine="0"/>
      </w:pPr>
    </w:lvl>
    <w:lvl w:ilvl="6">
      <w:start w:val="1"/>
      <w:numFmt w:val="decimal"/>
      <w:pStyle w:val="918"/>
      <w:isLgl w:val="false"/>
      <w:suff w:val="nothing"/>
      <w:lvlText w:val=""/>
      <w:lvlJc w:val="left"/>
      <w:pPr>
        <w:ind w:left="0" w:firstLine="0"/>
      </w:pPr>
    </w:lvl>
    <w:lvl w:ilvl="7">
      <w:start w:val="1"/>
      <w:numFmt w:val="decimal"/>
      <w:pStyle w:val="919"/>
      <w:isLgl w:val="false"/>
      <w:suff w:val="nothing"/>
      <w:lvlText w:val=""/>
      <w:lvlJc w:val="left"/>
      <w:pPr>
        <w:ind w:left="0" w:firstLine="0"/>
      </w:pPr>
    </w:lvl>
    <w:lvl w:ilvl="8">
      <w:start w:val="1"/>
      <w:numFmt w:val="decimal"/>
      <w:pStyle w:val="920"/>
      <w:isLgl w:val="false"/>
      <w:suff w:val="nothing"/>
      <w:lvlText w:val=""/>
      <w:lvlJc w:val="left"/>
      <w:pPr>
        <w:ind w:left="0" w:firstLine="0"/>
      </w:pPr>
    </w:lvl>
  </w:abstractNum>
  <w:abstractNum w:abstractNumId="3">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8">
    <w:name w:val="Quote Char"/>
    <w:link w:val="985"/>
    <w:uiPriority w:val="29"/>
    <w:rPr>
      <w:i/>
    </w:rPr>
  </w:style>
  <w:style w:type="character" w:styleId="889">
    <w:name w:val="Intense Quote Char"/>
    <w:link w:val="987"/>
    <w:uiPriority w:val="30"/>
    <w:rPr>
      <w:i/>
    </w:rPr>
  </w:style>
  <w:style w:type="table" w:styleId="890">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9">
    <w:name w:val="Endnote Text Char"/>
    <w:link w:val="941"/>
    <w:uiPriority w:val="99"/>
    <w:rPr>
      <w:sz w:val="20"/>
    </w:rPr>
  </w:style>
  <w:style w:type="paragraph" w:styleId="910">
    <w:name w:val="TOC Heading"/>
    <w:uiPriority w:val="39"/>
    <w:unhideWhenUsed/>
  </w:style>
  <w:style w:type="paragraph" w:styleId="91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2">
    <w:name w:val="Heading 1"/>
    <w:basedOn w:val="911"/>
    <w:next w:val="911"/>
    <w:link w:val="1120"/>
    <w:uiPriority w:val="0"/>
    <w:qFormat/>
    <w:pPr>
      <w:numPr>
        <w:ilvl w:val="0"/>
        <w:numId w:val="1"/>
      </w:numPr>
      <w:jc w:val="center"/>
      <w:keepLines/>
      <w:keepNext/>
      <w:spacing w:before="340" w:after="330" w:line="576" w:lineRule="auto"/>
      <w:outlineLvl w:val="0"/>
    </w:pPr>
    <w:rPr>
      <w:b/>
      <w:bCs/>
      <w:sz w:val="32"/>
      <w:szCs w:val="44"/>
    </w:rPr>
  </w:style>
  <w:style w:type="paragraph" w:styleId="913">
    <w:name w:val="Heading 2"/>
    <w:basedOn w:val="911"/>
    <w:next w:val="911"/>
    <w:link w:val="1121"/>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14">
    <w:name w:val="Heading 3"/>
    <w:basedOn w:val="911"/>
    <w:next w:val="911"/>
    <w:link w:val="1122"/>
    <w:uiPriority w:val="0"/>
    <w:qFormat/>
    <w:pPr>
      <w:numPr>
        <w:ilvl w:val="2"/>
        <w:numId w:val="1"/>
      </w:numPr>
      <w:keepLines/>
      <w:keepNext/>
      <w:spacing w:before="260" w:after="260" w:line="415" w:lineRule="auto"/>
      <w:outlineLvl w:val="2"/>
    </w:pPr>
    <w:rPr>
      <w:b/>
      <w:bCs/>
      <w:sz w:val="32"/>
      <w:szCs w:val="32"/>
    </w:rPr>
  </w:style>
  <w:style w:type="paragraph" w:styleId="915">
    <w:name w:val="Heading 4"/>
    <w:basedOn w:val="911"/>
    <w:next w:val="911"/>
    <w:link w:val="1123"/>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16">
    <w:name w:val="Heading 5"/>
    <w:basedOn w:val="911"/>
    <w:next w:val="911"/>
    <w:link w:val="1124"/>
    <w:uiPriority w:val="0"/>
    <w:qFormat/>
    <w:pPr>
      <w:numPr>
        <w:ilvl w:val="4"/>
        <w:numId w:val="1"/>
      </w:numPr>
      <w:keepLines/>
      <w:keepNext/>
      <w:spacing w:before="280" w:after="290" w:line="374" w:lineRule="auto"/>
      <w:outlineLvl w:val="4"/>
    </w:pPr>
    <w:rPr>
      <w:b/>
      <w:bCs/>
      <w:sz w:val="28"/>
      <w:szCs w:val="28"/>
    </w:rPr>
  </w:style>
  <w:style w:type="paragraph" w:styleId="917">
    <w:name w:val="Heading 6"/>
    <w:basedOn w:val="911"/>
    <w:next w:val="911"/>
    <w:link w:val="1125"/>
    <w:uiPriority w:val="0"/>
    <w:qFormat/>
    <w:pPr>
      <w:numPr>
        <w:ilvl w:val="5"/>
        <w:numId w:val="1"/>
      </w:numPr>
      <w:keepLines/>
      <w:keepNext/>
      <w:spacing w:before="240" w:after="64" w:line="319" w:lineRule="auto"/>
      <w:outlineLvl w:val="5"/>
    </w:pPr>
    <w:rPr>
      <w:rFonts w:ascii="Cambria" w:hAnsi="Cambria"/>
      <w:b/>
      <w:bCs/>
      <w:sz w:val="24"/>
    </w:rPr>
  </w:style>
  <w:style w:type="paragraph" w:styleId="918">
    <w:name w:val="Heading 7"/>
    <w:basedOn w:val="911"/>
    <w:next w:val="911"/>
    <w:link w:val="1126"/>
    <w:uiPriority w:val="99"/>
    <w:qFormat/>
    <w:pPr>
      <w:numPr>
        <w:ilvl w:val="6"/>
        <w:numId w:val="1"/>
      </w:numPr>
      <w:keepLines/>
      <w:keepNext/>
      <w:spacing w:before="240" w:after="64" w:line="319" w:lineRule="auto"/>
      <w:outlineLvl w:val="6"/>
    </w:pPr>
    <w:rPr>
      <w:b/>
      <w:bCs/>
      <w:sz w:val="24"/>
    </w:rPr>
  </w:style>
  <w:style w:type="paragraph" w:styleId="919">
    <w:name w:val="Heading 8"/>
    <w:basedOn w:val="911"/>
    <w:next w:val="911"/>
    <w:link w:val="1127"/>
    <w:uiPriority w:val="99"/>
    <w:qFormat/>
    <w:pPr>
      <w:numPr>
        <w:ilvl w:val="7"/>
        <w:numId w:val="1"/>
      </w:numPr>
      <w:keepLines/>
      <w:keepNext/>
      <w:spacing w:before="240" w:after="64" w:line="319" w:lineRule="auto"/>
      <w:outlineLvl w:val="7"/>
    </w:pPr>
    <w:rPr>
      <w:rFonts w:ascii="Cambria" w:hAnsi="Cambria"/>
      <w:sz w:val="24"/>
    </w:rPr>
  </w:style>
  <w:style w:type="paragraph" w:styleId="920">
    <w:name w:val="Heading 9"/>
    <w:basedOn w:val="911"/>
    <w:next w:val="911"/>
    <w:link w:val="1128"/>
    <w:uiPriority w:val="99"/>
    <w:qFormat/>
    <w:pPr>
      <w:numPr>
        <w:ilvl w:val="8"/>
        <w:numId w:val="1"/>
      </w:numPr>
      <w:keepLines/>
      <w:keepNext/>
      <w:spacing w:before="240" w:after="64" w:line="319" w:lineRule="auto"/>
      <w:outlineLvl w:val="8"/>
    </w:pPr>
    <w:rPr>
      <w:rFonts w:ascii="Cambria" w:hAnsi="Cambria"/>
      <w:szCs w:val="21"/>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List 3"/>
    <w:basedOn w:val="911"/>
    <w:uiPriority w:val="99"/>
    <w:unhideWhenUsed/>
    <w:qFormat/>
    <w:pPr>
      <w:ind w:left="1260" w:hanging="420"/>
      <w:spacing w:before="100" w:beforeAutospacing="1" w:after="100" w:afterAutospacing="1"/>
    </w:pPr>
    <w:rPr>
      <w:szCs w:val="21"/>
    </w:rPr>
  </w:style>
  <w:style w:type="paragraph" w:styleId="924">
    <w:name w:val="toc 7"/>
    <w:basedOn w:val="911"/>
    <w:next w:val="911"/>
    <w:uiPriority w:val="39"/>
    <w:unhideWhenUsed/>
    <w:qFormat/>
    <w:pPr>
      <w:ind w:left="1701"/>
      <w:spacing w:after="57"/>
    </w:pPr>
  </w:style>
  <w:style w:type="paragraph" w:styleId="925">
    <w:name w:val="Normal Indent"/>
    <w:basedOn w:val="911"/>
    <w:uiPriority w:val="99"/>
    <w:unhideWhenUsed/>
    <w:qFormat/>
    <w:pPr>
      <w:ind w:firstLine="420"/>
    </w:pPr>
    <w:rPr>
      <w:b/>
      <w:sz w:val="24"/>
      <w:szCs w:val="20"/>
    </w:rPr>
  </w:style>
  <w:style w:type="paragraph" w:styleId="926">
    <w:name w:val="Caption"/>
    <w:basedOn w:val="911"/>
    <w:next w:val="911"/>
    <w:uiPriority w:val="99"/>
    <w:qFormat/>
    <w:rPr>
      <w:rFonts w:ascii="Cambria" w:hAnsi="Cambria" w:eastAsia="黑体"/>
      <w:sz w:val="20"/>
      <w:szCs w:val="22"/>
    </w:rPr>
  </w:style>
  <w:style w:type="paragraph" w:styleId="927">
    <w:name w:val="Document Map"/>
    <w:basedOn w:val="911"/>
    <w:link w:val="1130"/>
    <w:uiPriority w:val="99"/>
    <w:unhideWhenUsed/>
    <w:qFormat/>
    <w:rPr>
      <w:rFonts w:ascii="宋体"/>
      <w:sz w:val="18"/>
      <w:szCs w:val="18"/>
    </w:rPr>
  </w:style>
  <w:style w:type="paragraph" w:styleId="928">
    <w:name w:val="annotation text"/>
    <w:basedOn w:val="911"/>
    <w:link w:val="1131"/>
    <w:uiPriority w:val="99"/>
    <w:unhideWhenUsed/>
    <w:qFormat/>
    <w:pPr>
      <w:jc w:val="left"/>
    </w:pPr>
  </w:style>
  <w:style w:type="paragraph" w:styleId="929">
    <w:name w:val="Body Text 3"/>
    <w:basedOn w:val="911"/>
    <w:link w:val="1132"/>
    <w:uiPriority w:val="99"/>
    <w:unhideWhenUsed/>
    <w:qFormat/>
    <w:rPr>
      <w:rFonts w:ascii="宋体"/>
      <w:sz w:val="24"/>
      <w:szCs w:val="20"/>
    </w:rPr>
  </w:style>
  <w:style w:type="paragraph" w:styleId="930">
    <w:name w:val="Body Text"/>
    <w:basedOn w:val="911"/>
    <w:next w:val="911"/>
    <w:link w:val="1133"/>
    <w:uiPriority w:val="99"/>
    <w:unhideWhenUsed/>
    <w:qFormat/>
    <w:pPr>
      <w:jc w:val="center"/>
    </w:pPr>
    <w:rPr>
      <w:rFonts w:eastAsia="幼圆"/>
      <w:b/>
      <w:bCs/>
      <w:sz w:val="44"/>
    </w:rPr>
  </w:style>
  <w:style w:type="paragraph" w:styleId="931">
    <w:name w:val="Body Text Indent"/>
    <w:basedOn w:val="911"/>
    <w:next w:val="932"/>
    <w:link w:val="1134"/>
    <w:uiPriority w:val="99"/>
    <w:unhideWhenUsed/>
    <w:qFormat/>
    <w:pPr>
      <w:ind w:left="420"/>
      <w:spacing w:after="120"/>
    </w:pPr>
  </w:style>
  <w:style w:type="paragraph" w:styleId="932">
    <w:name w:val="envelope return"/>
    <w:basedOn w:val="911"/>
    <w:uiPriority w:val="0"/>
    <w:qFormat/>
    <w:rPr>
      <w:rFonts w:ascii="Arial" w:hAnsi="Arial"/>
    </w:rPr>
  </w:style>
  <w:style w:type="paragraph" w:styleId="933">
    <w:name w:val="Block Text"/>
    <w:basedOn w:val="911"/>
    <w:next w:val="911"/>
    <w:uiPriority w:val="0"/>
    <w:unhideWhenUsed/>
    <w:qFormat/>
    <w:pPr>
      <w:ind w:left="1440" w:right="1440"/>
      <w:spacing w:after="120"/>
    </w:pPr>
  </w:style>
  <w:style w:type="paragraph" w:styleId="934">
    <w:name w:val="index 4"/>
    <w:basedOn w:val="911"/>
    <w:next w:val="911"/>
    <w:uiPriority w:val="99"/>
    <w:unhideWhenUsed/>
    <w:qFormat/>
    <w:pPr>
      <w:ind w:left="600"/>
    </w:pPr>
  </w:style>
  <w:style w:type="paragraph" w:styleId="935">
    <w:name w:val="toc 5"/>
    <w:basedOn w:val="911"/>
    <w:next w:val="911"/>
    <w:uiPriority w:val="39"/>
    <w:unhideWhenUsed/>
    <w:qFormat/>
    <w:pPr>
      <w:ind w:left="1134"/>
      <w:spacing w:after="57"/>
    </w:pPr>
  </w:style>
  <w:style w:type="paragraph" w:styleId="936">
    <w:name w:val="toc 3"/>
    <w:basedOn w:val="911"/>
    <w:next w:val="911"/>
    <w:uiPriority w:val="39"/>
    <w:unhideWhenUsed/>
    <w:qFormat/>
    <w:pPr>
      <w:ind w:left="567"/>
      <w:spacing w:after="57"/>
    </w:pPr>
  </w:style>
  <w:style w:type="paragraph" w:styleId="937">
    <w:name w:val="Plain Text"/>
    <w:basedOn w:val="911"/>
    <w:next w:val="925"/>
    <w:link w:val="1137"/>
    <w:uiPriority w:val="99"/>
    <w:unhideWhenUsed/>
    <w:qFormat/>
    <w:rPr>
      <w:rFonts w:ascii="Ari"/>
    </w:rPr>
  </w:style>
  <w:style w:type="paragraph" w:styleId="938">
    <w:name w:val="toc 8"/>
    <w:basedOn w:val="911"/>
    <w:next w:val="911"/>
    <w:uiPriority w:val="39"/>
    <w:unhideWhenUsed/>
    <w:qFormat/>
    <w:pPr>
      <w:ind w:left="1984"/>
      <w:spacing w:after="57"/>
    </w:pPr>
  </w:style>
  <w:style w:type="paragraph" w:styleId="939">
    <w:name w:val="Date"/>
    <w:basedOn w:val="911"/>
    <w:next w:val="911"/>
    <w:link w:val="1139"/>
    <w:uiPriority w:val="99"/>
    <w:unhideWhenUsed/>
    <w:qFormat/>
  </w:style>
  <w:style w:type="paragraph" w:styleId="940">
    <w:name w:val="Body Text Indent 2"/>
    <w:basedOn w:val="911"/>
    <w:link w:val="1140"/>
    <w:uiPriority w:val="99"/>
    <w:unhideWhenUsed/>
    <w:qFormat/>
    <w:pPr>
      <w:ind w:firstLine="525"/>
      <w:spacing w:line="420" w:lineRule="exact"/>
    </w:pPr>
    <w:rPr>
      <w:rFonts w:ascii="宋体"/>
      <w:sz w:val="20"/>
      <w:szCs w:val="20"/>
    </w:rPr>
  </w:style>
  <w:style w:type="paragraph" w:styleId="941">
    <w:name w:val="endnote text"/>
    <w:basedOn w:val="911"/>
    <w:link w:val="1118"/>
    <w:uiPriority w:val="99"/>
    <w:semiHidden/>
    <w:unhideWhenUsed/>
    <w:qFormat/>
    <w:rPr>
      <w:sz w:val="20"/>
    </w:rPr>
  </w:style>
  <w:style w:type="paragraph" w:styleId="942">
    <w:name w:val="Balloon Text"/>
    <w:basedOn w:val="911"/>
    <w:link w:val="1141"/>
    <w:uiPriority w:val="99"/>
    <w:unhideWhenUsed/>
    <w:qFormat/>
    <w:rPr>
      <w:sz w:val="18"/>
      <w:szCs w:val="18"/>
    </w:rPr>
  </w:style>
  <w:style w:type="paragraph" w:styleId="943">
    <w:name w:val="Footer"/>
    <w:basedOn w:val="911"/>
    <w:link w:val="1142"/>
    <w:uiPriority w:val="99"/>
    <w:unhideWhenUsed/>
    <w:qFormat/>
    <w:pPr>
      <w:jc w:val="left"/>
      <w:tabs>
        <w:tab w:val="center" w:pos="4153" w:leader="none"/>
        <w:tab w:val="right" w:pos="8306" w:leader="none"/>
      </w:tabs>
    </w:pPr>
    <w:rPr>
      <w:sz w:val="18"/>
      <w:szCs w:val="18"/>
    </w:rPr>
  </w:style>
  <w:style w:type="paragraph" w:styleId="944">
    <w:name w:val="Header"/>
    <w:basedOn w:val="911"/>
    <w:link w:val="11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5">
    <w:name w:val="toc 1"/>
    <w:basedOn w:val="911"/>
    <w:next w:val="911"/>
    <w:uiPriority w:val="39"/>
    <w:unhideWhenUsed/>
    <w:qFormat/>
    <w:pPr>
      <w:spacing w:after="57"/>
    </w:pPr>
  </w:style>
  <w:style w:type="paragraph" w:styleId="946">
    <w:name w:val="toc 4"/>
    <w:basedOn w:val="911"/>
    <w:next w:val="911"/>
    <w:uiPriority w:val="39"/>
    <w:unhideWhenUsed/>
    <w:qFormat/>
    <w:pPr>
      <w:ind w:left="850"/>
      <w:spacing w:after="57"/>
    </w:pPr>
  </w:style>
  <w:style w:type="paragraph" w:styleId="947">
    <w:name w:val="Subtitle"/>
    <w:basedOn w:val="911"/>
    <w:next w:val="911"/>
    <w:link w:val="1146"/>
    <w:uiPriority w:val="99"/>
    <w:qFormat/>
    <w:pPr>
      <w:jc w:val="center"/>
      <w:spacing w:before="240" w:after="60" w:line="312" w:lineRule="auto"/>
      <w:outlineLvl w:val="1"/>
    </w:pPr>
    <w:rPr>
      <w:rFonts w:ascii="Cambria" w:hAnsi="Cambria"/>
      <w:b/>
      <w:bCs/>
      <w:sz w:val="32"/>
      <w:szCs w:val="32"/>
    </w:rPr>
  </w:style>
  <w:style w:type="paragraph" w:styleId="948">
    <w:name w:val="footnote text"/>
    <w:basedOn w:val="911"/>
    <w:link w:val="1147"/>
    <w:uiPriority w:val="99"/>
    <w:unhideWhenUsed/>
    <w:qFormat/>
    <w:pPr>
      <w:jc w:val="left"/>
    </w:pPr>
    <w:rPr>
      <w:sz w:val="18"/>
      <w:szCs w:val="18"/>
    </w:rPr>
  </w:style>
  <w:style w:type="paragraph" w:styleId="949">
    <w:name w:val="toc 6"/>
    <w:basedOn w:val="911"/>
    <w:next w:val="911"/>
    <w:uiPriority w:val="39"/>
    <w:unhideWhenUsed/>
    <w:qFormat/>
    <w:pPr>
      <w:ind w:left="1417"/>
      <w:spacing w:after="57"/>
    </w:pPr>
  </w:style>
  <w:style w:type="paragraph" w:styleId="950">
    <w:name w:val="Body Text Indent 3"/>
    <w:basedOn w:val="911"/>
    <w:link w:val="1149"/>
    <w:uiPriority w:val="99"/>
    <w:unhideWhenUsed/>
    <w:qFormat/>
    <w:pPr>
      <w:ind w:left="420"/>
      <w:spacing w:after="120"/>
    </w:pPr>
    <w:rPr>
      <w:sz w:val="16"/>
      <w:szCs w:val="20"/>
    </w:rPr>
  </w:style>
  <w:style w:type="paragraph" w:styleId="951">
    <w:name w:val="table of figures"/>
    <w:basedOn w:val="911"/>
    <w:next w:val="911"/>
    <w:uiPriority w:val="99"/>
    <w:unhideWhenUsed/>
    <w:qFormat/>
  </w:style>
  <w:style w:type="paragraph" w:styleId="952">
    <w:name w:val="toc 2"/>
    <w:basedOn w:val="911"/>
    <w:next w:val="911"/>
    <w:uiPriority w:val="39"/>
    <w:unhideWhenUsed/>
    <w:qFormat/>
    <w:pPr>
      <w:ind w:left="283"/>
      <w:spacing w:after="57"/>
    </w:pPr>
  </w:style>
  <w:style w:type="paragraph" w:styleId="953">
    <w:name w:val="toc 9"/>
    <w:basedOn w:val="911"/>
    <w:next w:val="911"/>
    <w:uiPriority w:val="39"/>
    <w:unhideWhenUsed/>
    <w:qFormat/>
    <w:pPr>
      <w:ind w:left="2268"/>
      <w:spacing w:after="57"/>
    </w:pPr>
  </w:style>
  <w:style w:type="paragraph" w:styleId="954">
    <w:name w:val="Body Text 2"/>
    <w:basedOn w:val="911"/>
    <w:link w:val="1152"/>
    <w:uiPriority w:val="99"/>
    <w:unhideWhenUsed/>
    <w:qFormat/>
    <w:rPr>
      <w:rFonts w:ascii="华文细黑" w:hAnsi="华文细黑" w:eastAsia="华文细黑"/>
      <w:b/>
      <w:bCs/>
      <w:sz w:val="24"/>
    </w:rPr>
  </w:style>
  <w:style w:type="paragraph" w:styleId="955">
    <w:name w:val="HTML Preformatted"/>
    <w:basedOn w:val="911"/>
    <w:link w:val="115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6">
    <w:name w:val="Normal (Web)"/>
    <w:basedOn w:val="911"/>
    <w:uiPriority w:val="99"/>
    <w:unhideWhenUsed/>
    <w:qFormat/>
    <w:pPr>
      <w:jc w:val="left"/>
      <w:spacing w:before="100" w:beforeAutospacing="1" w:after="100" w:afterAutospacing="1"/>
      <w:widowControl/>
    </w:pPr>
    <w:rPr>
      <w:rFonts w:ascii="宋体" w:hAnsi="宋体" w:cs="宋体"/>
      <w:sz w:val="24"/>
    </w:rPr>
  </w:style>
  <w:style w:type="paragraph" w:styleId="957">
    <w:name w:val="index 1"/>
    <w:basedOn w:val="911"/>
    <w:next w:val="911"/>
    <w:uiPriority w:val="99"/>
    <w:unhideWhenUsed/>
    <w:qFormat/>
    <w:pPr>
      <w:jc w:val="center"/>
      <w:spacing w:line="220" w:lineRule="exact"/>
    </w:pPr>
    <w:rPr>
      <w:rFonts w:ascii="仿宋_GB2312" w:hAnsi="Calibri" w:eastAsia="仿宋_GB2312"/>
      <w:szCs w:val="22"/>
    </w:rPr>
  </w:style>
  <w:style w:type="paragraph" w:styleId="958">
    <w:name w:val="Title"/>
    <w:basedOn w:val="911"/>
    <w:next w:val="911"/>
    <w:link w:val="1154"/>
    <w:uiPriority w:val="99"/>
    <w:qFormat/>
    <w:pPr>
      <w:jc w:val="center"/>
      <w:spacing w:before="240" w:after="60" w:line="420" w:lineRule="atLeast"/>
      <w:outlineLvl w:val="0"/>
    </w:pPr>
    <w:rPr>
      <w:rFonts w:ascii="Arial" w:hAnsi="Arial"/>
      <w:b/>
      <w:sz w:val="32"/>
      <w:szCs w:val="20"/>
    </w:rPr>
  </w:style>
  <w:style w:type="paragraph" w:styleId="959">
    <w:name w:val="annotation subject"/>
    <w:basedOn w:val="928"/>
    <w:next w:val="928"/>
    <w:link w:val="1155"/>
    <w:uiPriority w:val="99"/>
    <w:unhideWhenUsed/>
    <w:qFormat/>
    <w:rPr>
      <w:b/>
      <w:bCs/>
    </w:rPr>
  </w:style>
  <w:style w:type="paragraph" w:styleId="960">
    <w:name w:val="Body Text First Indent 2"/>
    <w:basedOn w:val="931"/>
    <w:next w:val="911"/>
    <w:uiPriority w:val="0"/>
    <w:qFormat/>
    <w:pPr>
      <w:ind w:firstLine="420"/>
      <w:spacing w:line="360" w:lineRule="auto"/>
    </w:pPr>
    <w:rPr>
      <w:rFonts w:ascii="宋体" w:hAnsi="宋体"/>
    </w:rPr>
  </w:style>
  <w:style w:type="table" w:styleId="961">
    <w:name w:val="Table Grid"/>
    <w:basedOn w:val="92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rFonts w:ascii="Times New Roman" w:hAnsi="Times New Roman" w:cs="Times New Roman"/>
      <w:b/>
    </w:rPr>
  </w:style>
  <w:style w:type="character" w:styleId="963">
    <w:name w:val="endnote reference"/>
    <w:uiPriority w:val="99"/>
    <w:semiHidden/>
    <w:unhideWhenUsed/>
    <w:qFormat/>
    <w:rPr>
      <w:vertAlign w:val="superscript"/>
    </w:rPr>
  </w:style>
  <w:style w:type="character" w:styleId="964">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65">
    <w:name w:val="Emphasis"/>
    <w:uiPriority w:val="0"/>
    <w:qFormat/>
    <w:rPr>
      <w:color w:val="cc0000"/>
    </w:rPr>
  </w:style>
  <w:style w:type="character" w:styleId="966">
    <w:name w:val="Hyperlink"/>
    <w:basedOn w:val="921"/>
    <w:uiPriority w:val="99"/>
    <w:unhideWhenUsed/>
    <w:qFormat/>
    <w:rPr>
      <w:color w:val="0000ff"/>
      <w:u w:val="single"/>
    </w:rPr>
  </w:style>
  <w:style w:type="character" w:styleId="967">
    <w:name w:val="annotation reference"/>
    <w:uiPriority w:val="99"/>
    <w:unhideWhenUsed/>
    <w:qFormat/>
    <w:rPr>
      <w:sz w:val="21"/>
      <w:szCs w:val="21"/>
    </w:rPr>
  </w:style>
  <w:style w:type="character" w:styleId="968">
    <w:name w:val="HTML Cite"/>
    <w:uiPriority w:val="0"/>
    <w:unhideWhenUsed/>
    <w:qFormat/>
    <w:rPr>
      <w:color w:val="008000"/>
    </w:rPr>
  </w:style>
  <w:style w:type="character" w:styleId="969">
    <w:name w:val="footnote reference"/>
    <w:uiPriority w:val="99"/>
    <w:unhideWhenUsed/>
    <w:qFormat/>
    <w:rPr>
      <w:vertAlign w:val="superscript"/>
    </w:rPr>
  </w:style>
  <w:style w:type="paragraph" w:styleId="970" w:customStyle="1">
    <w:name w:val="列表段落1"/>
    <w:basedOn w:val="911"/>
    <w:uiPriority w:val="99"/>
    <w:qFormat/>
    <w:pPr>
      <w:ind w:firstLine="420"/>
    </w:pPr>
    <w:rPr>
      <w:szCs w:val="20"/>
    </w:rPr>
  </w:style>
  <w:style w:type="paragraph" w:styleId="971" w:customStyle="1">
    <w:name w:val="样式1"/>
    <w:basedOn w:val="911"/>
    <w:uiPriority w:val="0"/>
    <w:qFormat/>
    <w:pPr>
      <w:jc w:val="center"/>
    </w:pPr>
  </w:style>
  <w:style w:type="character" w:styleId="972" w:customStyle="1">
    <w:name w:val="Heading 1 Char"/>
    <w:uiPriority w:val="9"/>
    <w:qFormat/>
    <w:rPr>
      <w:rFonts w:ascii="Arial" w:hAnsi="Arial" w:eastAsia="Arial" w:cs="Arial"/>
      <w:sz w:val="40"/>
      <w:szCs w:val="40"/>
    </w:rPr>
  </w:style>
  <w:style w:type="character" w:styleId="973" w:customStyle="1">
    <w:name w:val="Heading 2 Char"/>
    <w:uiPriority w:val="9"/>
    <w:qFormat/>
    <w:rPr>
      <w:rFonts w:ascii="Arial" w:hAnsi="Arial" w:eastAsia="Arial" w:cs="Arial"/>
      <w:sz w:val="34"/>
    </w:rPr>
  </w:style>
  <w:style w:type="character" w:styleId="974" w:customStyle="1">
    <w:name w:val="Heading 3 Char"/>
    <w:uiPriority w:val="9"/>
    <w:qFormat/>
    <w:rPr>
      <w:rFonts w:ascii="Arial" w:hAnsi="Arial" w:eastAsia="Arial" w:cs="Arial"/>
      <w:sz w:val="30"/>
      <w:szCs w:val="30"/>
    </w:rPr>
  </w:style>
  <w:style w:type="character" w:styleId="975" w:customStyle="1">
    <w:name w:val="Heading 4 Char"/>
    <w:uiPriority w:val="9"/>
    <w:qFormat/>
    <w:rPr>
      <w:rFonts w:ascii="Arial" w:hAnsi="Arial" w:eastAsia="Arial" w:cs="Arial"/>
      <w:b/>
      <w:bCs/>
      <w:sz w:val="26"/>
      <w:szCs w:val="26"/>
    </w:rPr>
  </w:style>
  <w:style w:type="character" w:styleId="976" w:customStyle="1">
    <w:name w:val="Heading 5 Char"/>
    <w:uiPriority w:val="9"/>
    <w:qFormat/>
    <w:rPr>
      <w:rFonts w:ascii="Arial" w:hAnsi="Arial" w:eastAsia="Arial" w:cs="Arial"/>
      <w:b/>
      <w:bCs/>
      <w:sz w:val="24"/>
      <w:szCs w:val="24"/>
    </w:rPr>
  </w:style>
  <w:style w:type="character" w:styleId="977" w:customStyle="1">
    <w:name w:val="Heading 6 Char"/>
    <w:uiPriority w:val="9"/>
    <w:qFormat/>
    <w:rPr>
      <w:rFonts w:ascii="Arial" w:hAnsi="Arial" w:eastAsia="Arial" w:cs="Arial"/>
      <w:b/>
      <w:bCs/>
      <w:sz w:val="22"/>
      <w:szCs w:val="22"/>
    </w:rPr>
  </w:style>
  <w:style w:type="character" w:styleId="978" w:customStyle="1">
    <w:name w:val="Heading 7 Char"/>
    <w:uiPriority w:val="9"/>
    <w:qFormat/>
    <w:rPr>
      <w:rFonts w:ascii="Arial" w:hAnsi="Arial" w:eastAsia="Arial" w:cs="Arial"/>
      <w:b/>
      <w:bCs/>
      <w:i/>
      <w:iCs/>
      <w:sz w:val="22"/>
      <w:szCs w:val="22"/>
    </w:rPr>
  </w:style>
  <w:style w:type="character" w:styleId="979" w:customStyle="1">
    <w:name w:val="Heading 8 Char"/>
    <w:uiPriority w:val="9"/>
    <w:qFormat/>
    <w:rPr>
      <w:rFonts w:ascii="Arial" w:hAnsi="Arial" w:eastAsia="Arial" w:cs="Arial"/>
      <w:i/>
      <w:iCs/>
      <w:sz w:val="22"/>
      <w:szCs w:val="22"/>
    </w:rPr>
  </w:style>
  <w:style w:type="character" w:styleId="980" w:customStyle="1">
    <w:name w:val="Heading 9 Char"/>
    <w:uiPriority w:val="9"/>
    <w:qFormat/>
    <w:rPr>
      <w:rFonts w:ascii="Arial" w:hAnsi="Arial" w:eastAsia="Arial" w:cs="Arial"/>
      <w:i/>
      <w:iCs/>
      <w:sz w:val="21"/>
      <w:szCs w:val="21"/>
    </w:rPr>
  </w:style>
  <w:style w:type="paragraph" w:styleId="981">
    <w:name w:val="List Paragraph"/>
    <w:basedOn w:val="911"/>
    <w:uiPriority w:val="34"/>
    <w:qFormat/>
    <w:pPr>
      <w:ind w:firstLine="420"/>
    </w:pPr>
  </w:style>
  <w:style w:type="paragraph" w:styleId="982">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83" w:customStyle="1">
    <w:name w:val="Title Char"/>
    <w:uiPriority w:val="10"/>
    <w:qFormat/>
    <w:rPr>
      <w:sz w:val="48"/>
      <w:szCs w:val="48"/>
    </w:rPr>
  </w:style>
  <w:style w:type="character" w:styleId="984" w:customStyle="1">
    <w:name w:val="Subtitle Char"/>
    <w:uiPriority w:val="11"/>
    <w:qFormat/>
    <w:rPr>
      <w:sz w:val="24"/>
      <w:szCs w:val="24"/>
    </w:rPr>
  </w:style>
  <w:style w:type="paragraph" w:styleId="985">
    <w:name w:val="Quote"/>
    <w:basedOn w:val="911"/>
    <w:next w:val="911"/>
    <w:link w:val="986"/>
    <w:uiPriority w:val="29"/>
    <w:qFormat/>
    <w:pPr>
      <w:ind w:left="720" w:right="720"/>
    </w:pPr>
    <w:rPr>
      <w:i/>
    </w:rPr>
  </w:style>
  <w:style w:type="character" w:styleId="986" w:customStyle="1">
    <w:name w:val="引用 字符"/>
    <w:link w:val="985"/>
    <w:uiPriority w:val="29"/>
    <w:qFormat/>
    <w:rPr>
      <w:i/>
    </w:rPr>
  </w:style>
  <w:style w:type="paragraph" w:styleId="987">
    <w:name w:val="Intense Quote"/>
    <w:basedOn w:val="911"/>
    <w:next w:val="911"/>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character" w:styleId="989" w:customStyle="1">
    <w:name w:val="Header Char"/>
    <w:uiPriority w:val="99"/>
    <w:qFormat/>
  </w:style>
  <w:style w:type="character" w:styleId="990" w:customStyle="1">
    <w:name w:val="Footer Char"/>
    <w:uiPriority w:val="99"/>
    <w:qFormat/>
  </w:style>
  <w:style w:type="character" w:styleId="991" w:customStyle="1">
    <w:name w:val="Caption Char"/>
    <w:uiPriority w:val="99"/>
    <w:qFormat/>
  </w:style>
  <w:style w:type="table" w:styleId="9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7" w:customStyle="1">
    <w:name w:val="Footnote Text Char"/>
    <w:uiPriority w:val="99"/>
    <w:qFormat/>
    <w:rPr>
      <w:sz w:val="18"/>
    </w:rPr>
  </w:style>
  <w:style w:type="character" w:styleId="1118" w:customStyle="1">
    <w:name w:val="尾注文本 字符"/>
    <w:link w:val="941"/>
    <w:uiPriority w:val="99"/>
    <w:qFormat/>
    <w:rPr>
      <w:sz w:val="20"/>
    </w:rPr>
  </w:style>
  <w:style w:type="paragraph" w:styleId="1119" w:customStyle="1">
    <w:name w:val="TOC 标题1"/>
    <w:uiPriority w:val="39"/>
    <w:unhideWhenUsed/>
    <w:qFormat/>
    <w:rPr>
      <w:rFonts w:ascii="Times New Roman" w:hAnsi="Times New Roman" w:eastAsia="宋体" w:cs="Times New Roman"/>
      <w:lang w:val="en-US" w:eastAsia="zh-CN" w:bidi="ar-SA"/>
    </w:rPr>
  </w:style>
  <w:style w:type="character" w:styleId="1120" w:customStyle="1">
    <w:name w:val="标题 1 字符"/>
    <w:link w:val="912"/>
    <w:uiPriority w:val="0"/>
    <w:qFormat/>
    <w:rPr>
      <w:rFonts w:ascii="Times New Roman" w:hAnsi="Times New Roman" w:eastAsia="宋体" w:cs="Times New Roman"/>
      <w:b/>
      <w:bCs/>
      <w:sz w:val="32"/>
      <w:szCs w:val="44"/>
    </w:rPr>
  </w:style>
  <w:style w:type="character" w:styleId="1121" w:customStyle="1">
    <w:name w:val="标题 2 字符"/>
    <w:link w:val="913"/>
    <w:uiPriority w:val="0"/>
    <w:semiHidden/>
    <w:qFormat/>
    <w:rPr>
      <w:rFonts w:ascii="Cambria" w:hAnsi="Cambria" w:eastAsia="宋体" w:cs="Times New Roman"/>
      <w:b/>
      <w:bCs/>
      <w:sz w:val="32"/>
      <w:szCs w:val="32"/>
    </w:rPr>
  </w:style>
  <w:style w:type="character" w:styleId="1122" w:customStyle="1">
    <w:name w:val="标题 3 字符"/>
    <w:link w:val="914"/>
    <w:uiPriority w:val="0"/>
    <w:semiHidden/>
    <w:qFormat/>
    <w:rPr>
      <w:rFonts w:ascii="Times New Roman" w:hAnsi="Times New Roman" w:eastAsia="宋体" w:cs="Times New Roman"/>
      <w:b/>
      <w:bCs/>
      <w:sz w:val="32"/>
      <w:szCs w:val="32"/>
    </w:rPr>
  </w:style>
  <w:style w:type="character" w:styleId="1123" w:customStyle="1">
    <w:name w:val="标题 4 字符"/>
    <w:link w:val="915"/>
    <w:uiPriority w:val="0"/>
    <w:semiHidden/>
    <w:qFormat/>
    <w:rPr>
      <w:rFonts w:ascii="Cambria" w:hAnsi="Cambria" w:eastAsia="宋体" w:cs="Times New Roman"/>
      <w:b/>
      <w:bCs/>
      <w:sz w:val="28"/>
      <w:szCs w:val="28"/>
    </w:rPr>
  </w:style>
  <w:style w:type="character" w:styleId="1124" w:customStyle="1">
    <w:name w:val="标题 5 字符"/>
    <w:link w:val="916"/>
    <w:uiPriority w:val="0"/>
    <w:semiHidden/>
    <w:qFormat/>
    <w:rPr>
      <w:rFonts w:ascii="Times New Roman" w:hAnsi="Times New Roman" w:eastAsia="宋体" w:cs="Times New Roman"/>
      <w:b/>
      <w:bCs/>
      <w:sz w:val="28"/>
      <w:szCs w:val="28"/>
    </w:rPr>
  </w:style>
  <w:style w:type="character" w:styleId="1125" w:customStyle="1">
    <w:name w:val="标题 6 字符"/>
    <w:link w:val="917"/>
    <w:uiPriority w:val="0"/>
    <w:semiHidden/>
    <w:qFormat/>
    <w:rPr>
      <w:rFonts w:ascii="Cambria" w:hAnsi="Cambria" w:eastAsia="宋体" w:cs="Times New Roman"/>
      <w:b/>
      <w:bCs/>
      <w:sz w:val="24"/>
      <w:szCs w:val="24"/>
    </w:rPr>
  </w:style>
  <w:style w:type="character" w:styleId="1126" w:customStyle="1">
    <w:name w:val="标题 7 字符"/>
    <w:link w:val="918"/>
    <w:uiPriority w:val="99"/>
    <w:semiHidden/>
    <w:qFormat/>
    <w:rPr>
      <w:rFonts w:ascii="Times New Roman" w:hAnsi="Times New Roman" w:eastAsia="宋体" w:cs="Times New Roman"/>
      <w:b/>
      <w:bCs/>
      <w:sz w:val="24"/>
      <w:szCs w:val="24"/>
    </w:rPr>
  </w:style>
  <w:style w:type="character" w:styleId="1127" w:customStyle="1">
    <w:name w:val="标题 8 字符"/>
    <w:link w:val="919"/>
    <w:uiPriority w:val="99"/>
    <w:semiHidden/>
    <w:qFormat/>
    <w:rPr>
      <w:rFonts w:ascii="Cambria" w:hAnsi="Cambria" w:eastAsia="宋体" w:cs="Times New Roman"/>
      <w:sz w:val="24"/>
      <w:szCs w:val="24"/>
    </w:rPr>
  </w:style>
  <w:style w:type="character" w:styleId="1128" w:customStyle="1">
    <w:name w:val="标题 9 字符"/>
    <w:link w:val="920"/>
    <w:uiPriority w:val="99"/>
    <w:semiHidden/>
    <w:qFormat/>
    <w:rPr>
      <w:rFonts w:ascii="Cambria" w:hAnsi="Cambria" w:eastAsia="宋体" w:cs="Times New Roman"/>
      <w:szCs w:val="21"/>
    </w:rPr>
  </w:style>
  <w:style w:type="paragraph" w:styleId="1129" w:customStyle="1">
    <w:name w:val="目录 71"/>
    <w:basedOn w:val="911"/>
    <w:next w:val="911"/>
    <w:uiPriority w:val="39"/>
    <w:unhideWhenUsed/>
    <w:qFormat/>
    <w:pPr>
      <w:ind w:left="2520"/>
    </w:pPr>
    <w:rPr>
      <w:rFonts w:ascii="Calibri" w:hAnsi="Calibri"/>
      <w:szCs w:val="22"/>
    </w:rPr>
  </w:style>
  <w:style w:type="character" w:styleId="1130" w:customStyle="1">
    <w:name w:val="文档结构图 字符"/>
    <w:link w:val="927"/>
    <w:uiPriority w:val="99"/>
    <w:semiHidden/>
    <w:qFormat/>
    <w:rPr>
      <w:rFonts w:ascii="宋体" w:hAnsi="Times New Roman" w:eastAsia="宋体" w:cs="Times New Roman"/>
      <w:sz w:val="18"/>
      <w:szCs w:val="18"/>
    </w:rPr>
  </w:style>
  <w:style w:type="character" w:styleId="1131" w:customStyle="1">
    <w:name w:val="批注文字 字符"/>
    <w:link w:val="928"/>
    <w:uiPriority w:val="99"/>
    <w:qFormat/>
    <w:rPr>
      <w:rFonts w:ascii="Times New Roman" w:hAnsi="Times New Roman" w:eastAsia="宋体" w:cs="Times New Roman"/>
      <w:szCs w:val="24"/>
    </w:rPr>
  </w:style>
  <w:style w:type="character" w:styleId="1132" w:customStyle="1">
    <w:name w:val="正文文本 3 字符"/>
    <w:link w:val="929"/>
    <w:uiPriority w:val="99"/>
    <w:semiHidden/>
    <w:qFormat/>
    <w:rPr>
      <w:rFonts w:ascii="宋体" w:hAnsi="Times New Roman" w:eastAsia="宋体" w:cs="Times New Roman"/>
      <w:sz w:val="24"/>
      <w:szCs w:val="20"/>
    </w:rPr>
  </w:style>
  <w:style w:type="character" w:styleId="1133" w:customStyle="1">
    <w:name w:val="正文文本 字符"/>
    <w:link w:val="930"/>
    <w:uiPriority w:val="99"/>
    <w:semiHidden/>
    <w:qFormat/>
    <w:rPr>
      <w:rFonts w:ascii="Times New Roman" w:hAnsi="Times New Roman" w:eastAsia="幼圆" w:cs="Times New Roman"/>
      <w:b/>
      <w:bCs/>
      <w:sz w:val="44"/>
      <w:szCs w:val="24"/>
    </w:rPr>
  </w:style>
  <w:style w:type="character" w:styleId="1134" w:customStyle="1">
    <w:name w:val="正文文本缩进 字符"/>
    <w:link w:val="931"/>
    <w:uiPriority w:val="99"/>
    <w:semiHidden/>
    <w:qFormat/>
    <w:rPr>
      <w:rFonts w:ascii="Times New Roman" w:hAnsi="Times New Roman" w:eastAsia="宋体" w:cs="Times New Roman"/>
      <w:szCs w:val="24"/>
    </w:rPr>
  </w:style>
  <w:style w:type="paragraph" w:styleId="1135" w:customStyle="1">
    <w:name w:val="目录 51"/>
    <w:basedOn w:val="911"/>
    <w:next w:val="911"/>
    <w:uiPriority w:val="39"/>
    <w:unhideWhenUsed/>
    <w:qFormat/>
    <w:pPr>
      <w:ind w:left="1680"/>
    </w:pPr>
    <w:rPr>
      <w:rFonts w:ascii="Calibri" w:hAnsi="Calibri"/>
      <w:szCs w:val="22"/>
    </w:rPr>
  </w:style>
  <w:style w:type="paragraph" w:styleId="1136" w:customStyle="1">
    <w:name w:val="目录 31"/>
    <w:basedOn w:val="911"/>
    <w:next w:val="911"/>
    <w:uiPriority w:val="39"/>
    <w:unhideWhenUsed/>
    <w:qFormat/>
    <w:pPr>
      <w:ind w:left="840"/>
    </w:pPr>
    <w:rPr>
      <w:rFonts w:ascii="Calibri" w:hAnsi="Calibri"/>
      <w:szCs w:val="22"/>
    </w:rPr>
  </w:style>
  <w:style w:type="character" w:styleId="1137" w:customStyle="1">
    <w:name w:val="纯文本 字符"/>
    <w:link w:val="937"/>
    <w:uiPriority w:val="99"/>
    <w:semiHidden/>
    <w:qFormat/>
    <w:rPr>
      <w:rFonts w:ascii="Ari" w:hAnsi="Times New Roman" w:eastAsia="宋体" w:cs="Times New Roman"/>
      <w:szCs w:val="24"/>
    </w:rPr>
  </w:style>
  <w:style w:type="paragraph" w:styleId="1138" w:customStyle="1">
    <w:name w:val="目录 81"/>
    <w:basedOn w:val="911"/>
    <w:next w:val="911"/>
    <w:uiPriority w:val="39"/>
    <w:unhideWhenUsed/>
    <w:qFormat/>
    <w:pPr>
      <w:ind w:left="2940"/>
    </w:pPr>
    <w:rPr>
      <w:rFonts w:ascii="Calibri" w:hAnsi="Calibri"/>
      <w:szCs w:val="22"/>
    </w:rPr>
  </w:style>
  <w:style w:type="character" w:styleId="1139" w:customStyle="1">
    <w:name w:val="日期 字符"/>
    <w:link w:val="939"/>
    <w:uiPriority w:val="99"/>
    <w:semiHidden/>
    <w:qFormat/>
    <w:rPr>
      <w:rFonts w:ascii="Times New Roman" w:hAnsi="Times New Roman" w:eastAsia="宋体" w:cs="Times New Roman"/>
      <w:szCs w:val="24"/>
    </w:rPr>
  </w:style>
  <w:style w:type="character" w:styleId="1140" w:customStyle="1">
    <w:name w:val="正文文本缩进 2 字符"/>
    <w:link w:val="940"/>
    <w:uiPriority w:val="99"/>
    <w:semiHidden/>
    <w:qFormat/>
    <w:rPr>
      <w:rFonts w:ascii="宋体" w:hAnsi="Times New Roman" w:eastAsia="宋体" w:cs="Times New Roman"/>
      <w:sz w:val="20"/>
      <w:szCs w:val="20"/>
    </w:rPr>
  </w:style>
  <w:style w:type="character" w:styleId="1141" w:customStyle="1">
    <w:name w:val="批注框文本 字符"/>
    <w:link w:val="942"/>
    <w:uiPriority w:val="99"/>
    <w:semiHidden/>
    <w:qFormat/>
    <w:rPr>
      <w:rFonts w:ascii="Times New Roman" w:hAnsi="Times New Roman" w:eastAsia="宋体" w:cs="Times New Roman"/>
      <w:sz w:val="18"/>
      <w:szCs w:val="18"/>
    </w:rPr>
  </w:style>
  <w:style w:type="character" w:styleId="1142" w:customStyle="1">
    <w:name w:val="页脚 字符"/>
    <w:link w:val="943"/>
    <w:uiPriority w:val="99"/>
    <w:qFormat/>
    <w:rPr>
      <w:sz w:val="18"/>
      <w:szCs w:val="18"/>
    </w:rPr>
  </w:style>
  <w:style w:type="character" w:styleId="1143" w:customStyle="1">
    <w:name w:val="页眉 字符"/>
    <w:link w:val="944"/>
    <w:uiPriority w:val="99"/>
    <w:qFormat/>
    <w:rPr>
      <w:sz w:val="18"/>
      <w:szCs w:val="18"/>
    </w:rPr>
  </w:style>
  <w:style w:type="paragraph" w:styleId="1144" w:customStyle="1">
    <w:name w:val="目录 11"/>
    <w:basedOn w:val="911"/>
    <w:next w:val="911"/>
    <w:uiPriority w:val="39"/>
    <w:unhideWhenUsed/>
    <w:qFormat/>
  </w:style>
  <w:style w:type="paragraph" w:styleId="1145" w:customStyle="1">
    <w:name w:val="目录 41"/>
    <w:basedOn w:val="911"/>
    <w:next w:val="911"/>
    <w:uiPriority w:val="39"/>
    <w:unhideWhenUsed/>
    <w:qFormat/>
    <w:pPr>
      <w:ind w:left="1260"/>
    </w:pPr>
    <w:rPr>
      <w:rFonts w:ascii="Calibri" w:hAnsi="Calibri"/>
      <w:szCs w:val="22"/>
    </w:rPr>
  </w:style>
  <w:style w:type="character" w:styleId="1146" w:customStyle="1">
    <w:name w:val="副标题 字符"/>
    <w:link w:val="947"/>
    <w:uiPriority w:val="99"/>
    <w:qFormat/>
    <w:rPr>
      <w:rFonts w:ascii="Cambria" w:hAnsi="Cambria" w:eastAsia="宋体" w:cs="Times New Roman"/>
      <w:b/>
      <w:bCs/>
      <w:sz w:val="32"/>
      <w:szCs w:val="32"/>
    </w:rPr>
  </w:style>
  <w:style w:type="character" w:styleId="1147" w:customStyle="1">
    <w:name w:val="脚注文本 字符"/>
    <w:link w:val="948"/>
    <w:uiPriority w:val="99"/>
    <w:semiHidden/>
    <w:qFormat/>
    <w:rPr>
      <w:rFonts w:ascii="Times New Roman" w:hAnsi="Times New Roman" w:eastAsia="宋体" w:cs="Times New Roman"/>
      <w:sz w:val="18"/>
      <w:szCs w:val="18"/>
    </w:rPr>
  </w:style>
  <w:style w:type="paragraph" w:styleId="1148" w:customStyle="1">
    <w:name w:val="目录 61"/>
    <w:basedOn w:val="911"/>
    <w:next w:val="911"/>
    <w:uiPriority w:val="39"/>
    <w:unhideWhenUsed/>
    <w:qFormat/>
    <w:pPr>
      <w:ind w:left="2100"/>
    </w:pPr>
    <w:rPr>
      <w:rFonts w:ascii="Calibri" w:hAnsi="Calibri"/>
      <w:szCs w:val="22"/>
    </w:rPr>
  </w:style>
  <w:style w:type="character" w:styleId="1149" w:customStyle="1">
    <w:name w:val="正文文本缩进 3 字符"/>
    <w:link w:val="950"/>
    <w:uiPriority w:val="99"/>
    <w:semiHidden/>
    <w:qFormat/>
    <w:rPr>
      <w:rFonts w:ascii="Times New Roman" w:hAnsi="Times New Roman" w:eastAsia="宋体" w:cs="Times New Roman"/>
      <w:sz w:val="16"/>
      <w:szCs w:val="20"/>
    </w:rPr>
  </w:style>
  <w:style w:type="paragraph" w:styleId="1150" w:customStyle="1">
    <w:name w:val="目录 21"/>
    <w:basedOn w:val="911"/>
    <w:next w:val="911"/>
    <w:uiPriority w:val="39"/>
    <w:unhideWhenUsed/>
    <w:qFormat/>
    <w:pPr>
      <w:ind w:left="420"/>
    </w:pPr>
    <w:rPr>
      <w:rFonts w:ascii="Calibri" w:hAnsi="Calibri"/>
      <w:szCs w:val="22"/>
    </w:rPr>
  </w:style>
  <w:style w:type="paragraph" w:styleId="1151" w:customStyle="1">
    <w:name w:val="目录 91"/>
    <w:basedOn w:val="911"/>
    <w:next w:val="911"/>
    <w:uiPriority w:val="39"/>
    <w:unhideWhenUsed/>
    <w:qFormat/>
    <w:pPr>
      <w:ind w:left="3360"/>
    </w:pPr>
    <w:rPr>
      <w:rFonts w:ascii="Calibri" w:hAnsi="Calibri"/>
      <w:szCs w:val="22"/>
    </w:rPr>
  </w:style>
  <w:style w:type="character" w:styleId="1152" w:customStyle="1">
    <w:name w:val="正文文本 2 字符"/>
    <w:link w:val="954"/>
    <w:uiPriority w:val="99"/>
    <w:semiHidden/>
    <w:qFormat/>
    <w:rPr>
      <w:rFonts w:ascii="华文细黑" w:hAnsi="华文细黑" w:eastAsia="华文细黑" w:cs="Times New Roman"/>
      <w:b/>
      <w:bCs/>
      <w:sz w:val="24"/>
      <w:szCs w:val="24"/>
    </w:rPr>
  </w:style>
  <w:style w:type="character" w:styleId="1153" w:customStyle="1">
    <w:name w:val="HTML 预设格式 字符"/>
    <w:link w:val="955"/>
    <w:uiPriority w:val="99"/>
    <w:semiHidden/>
    <w:qFormat/>
    <w:rPr>
      <w:rFonts w:ascii="宋体" w:hAnsi="宋体" w:eastAsia="宋体" w:cs="Times New Roman"/>
      <w:sz w:val="24"/>
      <w:szCs w:val="24"/>
    </w:rPr>
  </w:style>
  <w:style w:type="character" w:styleId="1154" w:customStyle="1">
    <w:name w:val="标题 字符"/>
    <w:link w:val="958"/>
    <w:uiPriority w:val="99"/>
    <w:qFormat/>
    <w:rPr>
      <w:rFonts w:ascii="Arial" w:hAnsi="Arial" w:eastAsia="宋体" w:cs="Times New Roman"/>
      <w:b/>
      <w:sz w:val="32"/>
      <w:szCs w:val="20"/>
    </w:rPr>
  </w:style>
  <w:style w:type="character" w:styleId="1155" w:customStyle="1">
    <w:name w:val="批注主题 字符"/>
    <w:link w:val="959"/>
    <w:uiPriority w:val="99"/>
    <w:semiHidden/>
    <w:qFormat/>
    <w:rPr>
      <w:rFonts w:ascii="Times New Roman" w:hAnsi="Times New Roman" w:eastAsia="宋体" w:cs="Times New Roman"/>
      <w:b/>
      <w:bCs/>
      <w:szCs w:val="24"/>
    </w:rPr>
  </w:style>
  <w:style w:type="character" w:styleId="1156" w:customStyle="1">
    <w:name w:val="已访问的超链接1"/>
    <w:uiPriority w:val="0"/>
    <w:unhideWhenUsed/>
    <w:qFormat/>
    <w:rPr>
      <w:color w:val="800080"/>
      <w:u w:val="single"/>
    </w:rPr>
  </w:style>
  <w:style w:type="character" w:styleId="1157" w:customStyle="1">
    <w:name w:val="页眉 Char1"/>
    <w:uiPriority w:val="99"/>
    <w:semiHidden/>
    <w:qFormat/>
    <w:rPr>
      <w:rFonts w:ascii="Calibri" w:hAnsi="Calibri" w:eastAsia="宋体" w:cs="Times New Roman"/>
      <w:sz w:val="18"/>
      <w:szCs w:val="18"/>
    </w:rPr>
  </w:style>
  <w:style w:type="character" w:styleId="1158" w:customStyle="1">
    <w:name w:val="font61"/>
    <w:uiPriority w:val="0"/>
    <w:qFormat/>
    <w:rPr>
      <w:rFonts w:ascii="Times New Roman" w:hAnsi="Times New Roman" w:cs="Times New Roman"/>
      <w:color w:val="000000"/>
      <w:sz w:val="24"/>
      <w:szCs w:val="24"/>
      <w:u w:val="none"/>
    </w:rPr>
  </w:style>
  <w:style w:type="character" w:styleId="1159" w:customStyle="1">
    <w:name w:val="标题 1 Char"/>
    <w:uiPriority w:val="0"/>
    <w:qFormat/>
    <w:rPr>
      <w:rFonts w:ascii="Times New Roman" w:hAnsi="Times New Roman" w:eastAsia="宋体" w:cs="Times New Roman"/>
      <w:b/>
      <w:bCs/>
      <w:sz w:val="44"/>
      <w:szCs w:val="44"/>
    </w:rPr>
  </w:style>
  <w:style w:type="character" w:styleId="1160" w:customStyle="1">
    <w:name w:val="日期 Char1"/>
    <w:uiPriority w:val="0"/>
    <w:qFormat/>
    <w:rPr>
      <w:rFonts w:ascii="Calibri" w:hAnsi="Calibri" w:eastAsia="宋体" w:cs="Times New Roman"/>
    </w:rPr>
  </w:style>
  <w:style w:type="character" w:styleId="1161" w:customStyle="1">
    <w:name w:val="font21"/>
    <w:uiPriority w:val="0"/>
    <w:qFormat/>
    <w:rPr>
      <w:rFonts w:hint="eastAsia" w:ascii="宋体" w:hAnsi="宋体" w:eastAsia="宋体" w:cs="宋体"/>
      <w:color w:val="000000"/>
      <w:sz w:val="20"/>
      <w:szCs w:val="20"/>
      <w:u w:val="none"/>
    </w:rPr>
  </w:style>
  <w:style w:type="character" w:styleId="1162" w:customStyle="1">
    <w:name w:val="表格文字 字符"/>
    <w:link w:val="1163"/>
    <w:uiPriority w:val="0"/>
    <w:qFormat/>
  </w:style>
  <w:style w:type="paragraph" w:styleId="1163" w:customStyle="1">
    <w:name w:val="表格文字"/>
    <w:basedOn w:val="911"/>
    <w:link w:val="1162"/>
    <w:uiPriority w:val="0"/>
    <w:qFormat/>
    <w:pPr>
      <w:jc w:val="left"/>
      <w:spacing w:line="420" w:lineRule="atLeast"/>
    </w:pPr>
    <w:rPr>
      <w:rFonts w:ascii="Calibri" w:hAnsi="Calibri"/>
      <w:szCs w:val="22"/>
    </w:rPr>
  </w:style>
  <w:style w:type="character" w:styleId="1164" w:customStyle="1">
    <w:name w:val="文档结构图 Char1"/>
    <w:uiPriority w:val="0"/>
    <w:qFormat/>
    <w:rPr>
      <w:rFonts w:hint="eastAsia" w:ascii="宋体" w:hAnsi="Calibri" w:eastAsia="宋体" w:cs="Times New Roman"/>
      <w:sz w:val="18"/>
      <w:szCs w:val="18"/>
    </w:rPr>
  </w:style>
  <w:style w:type="character" w:styleId="1165" w:customStyle="1">
    <w:name w:val="标题 3 Char_0"/>
    <w:link w:val="1166"/>
    <w:uiPriority w:val="0"/>
    <w:qFormat/>
    <w:rPr>
      <w:rFonts w:ascii="Times New Roman" w:hAnsi="Times New Roman" w:eastAsia="宋体" w:cs="Times New Roman"/>
      <w:szCs w:val="24"/>
    </w:rPr>
  </w:style>
  <w:style w:type="paragraph" w:styleId="1166" w:customStyle="1">
    <w:name w:val="标题 3_0"/>
    <w:basedOn w:val="911"/>
    <w:link w:val="1165"/>
    <w:uiPriority w:val="0"/>
    <w:qFormat/>
  </w:style>
  <w:style w:type="character" w:styleId="1167" w:customStyle="1">
    <w:name w:val="引用 Char2"/>
    <w:uiPriority w:val="99"/>
    <w:qFormat/>
    <w:rPr>
      <w:i/>
      <w:iCs/>
      <w:color w:val="000000"/>
      <w:sz w:val="21"/>
      <w:szCs w:val="24"/>
    </w:rPr>
  </w:style>
  <w:style w:type="character" w:styleId="1168" w:customStyle="1">
    <w:name w:val="标题 4 Char_0"/>
    <w:link w:val="1169"/>
    <w:uiPriority w:val="0"/>
    <w:qFormat/>
    <w:rPr>
      <w:rFonts w:ascii="Arial" w:hAnsi="Arial" w:eastAsia="黑体" w:cs="Arial"/>
      <w:b/>
      <w:bCs/>
      <w:sz w:val="28"/>
      <w:szCs w:val="28"/>
    </w:rPr>
  </w:style>
  <w:style w:type="paragraph" w:styleId="1169" w:customStyle="1">
    <w:name w:val="标题 4_0"/>
    <w:basedOn w:val="1170"/>
    <w:next w:val="1170"/>
    <w:link w:val="1168"/>
    <w:uiPriority w:val="0"/>
    <w:qFormat/>
    <w:pPr>
      <w:keepLines/>
      <w:keepNext/>
      <w:spacing w:before="280" w:after="290" w:line="374" w:lineRule="auto"/>
      <w:outlineLvl w:val="3"/>
    </w:pPr>
    <w:rPr>
      <w:rFonts w:ascii="Arial" w:hAnsi="Arial" w:eastAsia="黑体" w:cs="Arial"/>
      <w:b/>
      <w:bCs/>
      <w:sz w:val="28"/>
      <w:szCs w:val="28"/>
    </w:rPr>
  </w:style>
  <w:style w:type="paragraph" w:styleId="1170"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71" w:customStyle="1">
    <w:name w:val="明显引用 Char"/>
    <w:link w:val="1172"/>
    <w:uiPriority w:val="0"/>
    <w:qFormat/>
    <w:rPr>
      <w:b/>
      <w:bCs/>
      <w:i/>
      <w:iCs/>
      <w:color w:val="4f81bd"/>
    </w:rPr>
  </w:style>
  <w:style w:type="paragraph" w:styleId="1172" w:customStyle="1">
    <w:name w:val="明显引用1"/>
    <w:basedOn w:val="911"/>
    <w:next w:val="911"/>
    <w:link w:val="1171"/>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73" w:customStyle="1">
    <w:name w:val="批注主题 Char2"/>
    <w:uiPriority w:val="0"/>
    <w:qFormat/>
    <w:rPr>
      <w:b/>
      <w:bCs/>
      <w:sz w:val="21"/>
    </w:rPr>
  </w:style>
  <w:style w:type="character" w:styleId="1174" w:customStyle="1">
    <w:name w:val="列出段落 Char"/>
    <w:link w:val="1175"/>
    <w:uiPriority w:val="99"/>
    <w:qFormat/>
    <w:rPr>
      <w:szCs w:val="24"/>
    </w:rPr>
  </w:style>
  <w:style w:type="paragraph" w:styleId="1175" w:customStyle="1">
    <w:name w:val="List Paragraph1"/>
    <w:basedOn w:val="911"/>
    <w:link w:val="1174"/>
    <w:uiPriority w:val="99"/>
    <w:qFormat/>
    <w:pPr>
      <w:ind w:firstLine="420"/>
    </w:pPr>
    <w:rPr>
      <w:rFonts w:ascii="Calibri" w:hAnsi="Calibri"/>
    </w:rPr>
  </w:style>
  <w:style w:type="character" w:styleId="1176" w:customStyle="1">
    <w:name w:val="标题 5 Char_0"/>
    <w:link w:val="1177"/>
    <w:uiPriority w:val="0"/>
    <w:qFormat/>
    <w:rPr>
      <w:b/>
      <w:bCs/>
      <w:sz w:val="28"/>
      <w:szCs w:val="28"/>
    </w:rPr>
  </w:style>
  <w:style w:type="paragraph" w:styleId="1177" w:customStyle="1">
    <w:name w:val="标题 5_0"/>
    <w:basedOn w:val="1170"/>
    <w:next w:val="1170"/>
    <w:link w:val="1176"/>
    <w:uiPriority w:val="0"/>
    <w:qFormat/>
    <w:pPr>
      <w:keepLines/>
      <w:keepNext/>
      <w:spacing w:before="280" w:after="290" w:line="372" w:lineRule="auto"/>
      <w:outlineLvl w:val="4"/>
    </w:pPr>
    <w:rPr>
      <w:rFonts w:ascii="Calibri" w:hAnsi="Calibri"/>
      <w:b/>
      <w:bCs/>
      <w:sz w:val="28"/>
      <w:szCs w:val="28"/>
    </w:rPr>
  </w:style>
  <w:style w:type="character" w:styleId="1178" w:customStyle="1">
    <w:name w:val="标题5 Char Char"/>
    <w:link w:val="1179"/>
    <w:uiPriority w:val="0"/>
    <w:qFormat/>
    <w:rPr>
      <w:rFonts w:ascii="Arial" w:hAnsi="Arial" w:cs="Arial"/>
      <w:b/>
      <w:bCs/>
      <w:sz w:val="24"/>
      <w:szCs w:val="32"/>
    </w:rPr>
  </w:style>
  <w:style w:type="paragraph" w:styleId="1179" w:customStyle="1">
    <w:name w:val="标题5"/>
    <w:basedOn w:val="914"/>
    <w:link w:val="1178"/>
    <w:uiPriority w:val="0"/>
    <w:qFormat/>
    <w:pPr>
      <w:numPr>
        <w:ilvl w:val="0"/>
        <w:numId w:val="0"/>
      </w:numPr>
      <w:spacing w:line="412" w:lineRule="auto"/>
    </w:pPr>
    <w:rPr>
      <w:rFonts w:ascii="Arial" w:hAnsi="Arial" w:cs="Arial"/>
      <w:sz w:val="24"/>
    </w:rPr>
  </w:style>
  <w:style w:type="character" w:styleId="1180" w:customStyle="1">
    <w:name w:val="不明显强调1"/>
    <w:uiPriority w:val="0"/>
    <w:qFormat/>
    <w:rPr>
      <w:i/>
      <w:iCs/>
      <w:color w:val="808080"/>
    </w:rPr>
  </w:style>
  <w:style w:type="character" w:styleId="1181" w:customStyle="1">
    <w:name w:val="页脚 Char1"/>
    <w:uiPriority w:val="99"/>
    <w:semiHidden/>
    <w:qFormat/>
    <w:rPr>
      <w:rFonts w:ascii="Calibri" w:hAnsi="Calibri" w:eastAsia="宋体" w:cs="Times New Roman"/>
      <w:sz w:val="18"/>
      <w:szCs w:val="18"/>
    </w:rPr>
  </w:style>
  <w:style w:type="character" w:styleId="1182" w:customStyle="1">
    <w:name w:val="引用 Char"/>
    <w:link w:val="1183"/>
    <w:uiPriority w:val="0"/>
    <w:qFormat/>
    <w:rPr>
      <w:i/>
      <w:iCs/>
      <w:color w:val="000000"/>
    </w:rPr>
  </w:style>
  <w:style w:type="paragraph" w:styleId="1183" w:customStyle="1">
    <w:name w:val="引用1"/>
    <w:basedOn w:val="911"/>
    <w:next w:val="911"/>
    <w:link w:val="1182"/>
    <w:uiPriority w:val="0"/>
    <w:qFormat/>
    <w:rPr>
      <w:rFonts w:ascii="Calibri" w:hAnsi="Calibri"/>
      <w:i/>
      <w:iCs/>
      <w:color w:val="000000"/>
      <w:szCs w:val="22"/>
    </w:rPr>
  </w:style>
  <w:style w:type="character" w:styleId="1184" w:customStyle="1">
    <w:name w:val="批注框文本 Char1"/>
    <w:uiPriority w:val="0"/>
    <w:qFormat/>
    <w:rPr>
      <w:sz w:val="18"/>
      <w:szCs w:val="18"/>
    </w:rPr>
  </w:style>
  <w:style w:type="character" w:styleId="1185" w:customStyle="1">
    <w:name w:val="标题 Char2"/>
    <w:uiPriority w:val="10"/>
    <w:qFormat/>
    <w:rPr>
      <w:rFonts w:ascii="Cambria" w:hAnsi="Cambria" w:cs="Times New Roman"/>
      <w:b/>
      <w:bCs/>
      <w:sz w:val="32"/>
      <w:szCs w:val="32"/>
    </w:rPr>
  </w:style>
  <w:style w:type="character" w:styleId="1186" w:customStyle="1">
    <w:name w:val="文档结构图 Char2"/>
    <w:uiPriority w:val="99"/>
    <w:semiHidden/>
    <w:qFormat/>
    <w:rPr>
      <w:rFonts w:hint="eastAsia" w:ascii="宋体" w:hAnsi="Calibri" w:eastAsia="宋体" w:cs="Times New Roman"/>
      <w:sz w:val="18"/>
      <w:szCs w:val="18"/>
    </w:rPr>
  </w:style>
  <w:style w:type="character" w:styleId="1187" w:customStyle="1">
    <w:name w:val="font31"/>
    <w:uiPriority w:val="0"/>
    <w:qFormat/>
    <w:rPr>
      <w:rFonts w:hint="eastAsia" w:ascii="宋体" w:hAnsi="宋体" w:eastAsia="宋体" w:cs="宋体"/>
      <w:color w:val="000000"/>
      <w:sz w:val="20"/>
      <w:szCs w:val="20"/>
      <w:u w:val="none"/>
    </w:rPr>
  </w:style>
  <w:style w:type="character" w:styleId="1188" w:customStyle="1">
    <w:name w:val="rvts11"/>
    <w:uiPriority w:val="0"/>
    <w:qFormat/>
    <w:rPr>
      <w:rFonts w:ascii="KNLe" w:hAnsi="KNLe"/>
      <w:sz w:val="24"/>
      <w:szCs w:val="24"/>
      <w:u w:val="single"/>
    </w:rPr>
  </w:style>
  <w:style w:type="character" w:styleId="1189" w:customStyle="1">
    <w:name w:val="日期 Char2"/>
    <w:uiPriority w:val="99"/>
    <w:semiHidden/>
    <w:qFormat/>
    <w:rPr>
      <w:rFonts w:ascii="Calibri" w:hAnsi="Calibri" w:eastAsia="宋体" w:cs="Times New Roman"/>
    </w:rPr>
  </w:style>
  <w:style w:type="character" w:styleId="1190" w:customStyle="1">
    <w:name w:val="引用 Char1"/>
    <w:uiPriority w:val="29"/>
    <w:qFormat/>
    <w:rPr>
      <w:i/>
      <w:iCs/>
      <w:color w:val="000000"/>
      <w:sz w:val="21"/>
    </w:rPr>
  </w:style>
  <w:style w:type="character" w:styleId="1191" w:customStyle="1">
    <w:name w:val="批注主题 Char1"/>
    <w:uiPriority w:val="0"/>
    <w:qFormat/>
    <w:rPr>
      <w:b/>
      <w:bCs/>
      <w:sz w:val="21"/>
      <w:szCs w:val="22"/>
    </w:rPr>
  </w:style>
  <w:style w:type="character" w:styleId="1192" w:customStyle="1">
    <w:name w:val="副标题 Char1"/>
    <w:uiPriority w:val="11"/>
    <w:qFormat/>
    <w:rPr>
      <w:rFonts w:ascii="Cambria" w:hAnsi="Cambria" w:cs="Times New Roman"/>
      <w:b/>
      <w:bCs/>
      <w:sz w:val="32"/>
      <w:szCs w:val="32"/>
    </w:rPr>
  </w:style>
  <w:style w:type="character" w:styleId="1193" w:customStyle="1">
    <w:name w:val="font11"/>
    <w:uiPriority w:val="0"/>
    <w:qFormat/>
    <w:rPr>
      <w:rFonts w:hint="eastAsia" w:ascii="宋体" w:hAnsi="宋体" w:eastAsia="宋体" w:cs="宋体"/>
      <w:color w:val="000000"/>
      <w:sz w:val="20"/>
      <w:szCs w:val="20"/>
      <w:u w:val="none"/>
    </w:rPr>
  </w:style>
  <w:style w:type="character" w:styleId="1194" w:customStyle="1">
    <w:name w:val="批注文字 Char2"/>
    <w:uiPriority w:val="0"/>
    <w:qFormat/>
    <w:rPr>
      <w:sz w:val="21"/>
    </w:rPr>
  </w:style>
  <w:style w:type="character" w:styleId="1195" w:customStyle="1">
    <w:name w:val="明显强调1"/>
    <w:uiPriority w:val="0"/>
    <w:qFormat/>
    <w:rPr>
      <w:b/>
      <w:bCs/>
      <w:i/>
      <w:iCs/>
      <w:color w:val="4f81bd"/>
    </w:rPr>
  </w:style>
  <w:style w:type="character" w:styleId="1196" w:customStyle="1">
    <w:name w:val="标题 1 Char_0"/>
    <w:link w:val="1197"/>
    <w:uiPriority w:val="0"/>
    <w:qFormat/>
    <w:rPr>
      <w:b/>
      <w:bCs/>
      <w:sz w:val="44"/>
      <w:szCs w:val="44"/>
    </w:rPr>
  </w:style>
  <w:style w:type="paragraph" w:styleId="1197" w:customStyle="1">
    <w:name w:val="标题 1_0"/>
    <w:basedOn w:val="1170"/>
    <w:next w:val="1170"/>
    <w:link w:val="1196"/>
    <w:uiPriority w:val="0"/>
    <w:qFormat/>
    <w:pPr>
      <w:keepLines/>
      <w:keepNext/>
      <w:spacing w:before="340" w:after="330" w:line="576" w:lineRule="auto"/>
      <w:outlineLvl w:val="0"/>
    </w:pPr>
    <w:rPr>
      <w:rFonts w:ascii="Calibri" w:hAnsi="Calibri"/>
      <w:b/>
      <w:bCs/>
      <w:sz w:val="44"/>
      <w:szCs w:val="44"/>
    </w:rPr>
  </w:style>
  <w:style w:type="character" w:styleId="1198" w:customStyle="1">
    <w:name w:val="明显引用 Char1"/>
    <w:uiPriority w:val="30"/>
    <w:qFormat/>
    <w:rPr>
      <w:b/>
      <w:bCs/>
      <w:i/>
      <w:iCs/>
      <w:color w:val="4f81bd"/>
      <w:sz w:val="21"/>
    </w:rPr>
  </w:style>
  <w:style w:type="character" w:styleId="1199" w:customStyle="1">
    <w:name w:val="font71"/>
    <w:uiPriority w:val="0"/>
    <w:qFormat/>
    <w:rPr>
      <w:rFonts w:hint="eastAsia" w:ascii="宋体" w:hAnsi="宋体" w:eastAsia="宋体" w:cs="宋体"/>
      <w:color w:val="000000"/>
      <w:sz w:val="24"/>
      <w:szCs w:val="24"/>
      <w:u w:val="none"/>
    </w:rPr>
  </w:style>
  <w:style w:type="character" w:styleId="1200" w:customStyle="1">
    <w:name w:val="正文文本 Char_0"/>
    <w:link w:val="1201"/>
    <w:uiPriority w:val="0"/>
    <w:qFormat/>
    <w:rPr>
      <w:szCs w:val="24"/>
    </w:rPr>
  </w:style>
  <w:style w:type="paragraph" w:styleId="1201" w:customStyle="1">
    <w:name w:val="正文文本_0"/>
    <w:basedOn w:val="1170"/>
    <w:link w:val="1200"/>
    <w:uiPriority w:val="0"/>
    <w:qFormat/>
    <w:pPr>
      <w:spacing w:after="120"/>
    </w:pPr>
    <w:rPr>
      <w:rFonts w:ascii="Calibri" w:hAnsi="Calibri"/>
    </w:rPr>
  </w:style>
  <w:style w:type="character" w:styleId="1202" w:customStyle="1">
    <w:name w:val="批注框文本 Char2"/>
    <w:uiPriority w:val="99"/>
    <w:semiHidden/>
    <w:qFormat/>
    <w:rPr>
      <w:rFonts w:ascii="Calibri" w:hAnsi="Calibri" w:eastAsia="宋体" w:cs="Times New Roman"/>
      <w:sz w:val="18"/>
      <w:szCs w:val="18"/>
    </w:rPr>
  </w:style>
  <w:style w:type="character" w:styleId="1203" w:customStyle="1">
    <w:name w:val="正文文本缩进 3 Char1"/>
    <w:uiPriority w:val="99"/>
    <w:semiHidden/>
    <w:qFormat/>
    <w:rPr>
      <w:sz w:val="16"/>
      <w:szCs w:val="16"/>
    </w:rPr>
  </w:style>
  <w:style w:type="character" w:styleId="1204" w:customStyle="1">
    <w:name w:val="不明显参考1"/>
    <w:uiPriority w:val="0"/>
    <w:qFormat/>
    <w:rPr>
      <w:smallCaps/>
      <w:color w:val="c0504d"/>
      <w:u w:val="single"/>
    </w:rPr>
  </w:style>
  <w:style w:type="character" w:styleId="1205" w:customStyle="1">
    <w:name w:val="bookmark"/>
    <w:basedOn w:val="921"/>
    <w:uiPriority w:val="0"/>
    <w:qFormat/>
  </w:style>
  <w:style w:type="character" w:styleId="1206" w:customStyle="1">
    <w:name w:val="超链接_0"/>
    <w:uiPriority w:val="99"/>
    <w:qFormat/>
    <w:rPr>
      <w:rFonts w:ascii="Calibri" w:hAnsi="Calibri" w:cs="Calibri"/>
      <w:color w:val="0000ff"/>
      <w:u w:val="single"/>
    </w:rPr>
  </w:style>
  <w:style w:type="character" w:styleId="1207" w:customStyle="1">
    <w:name w:val="副标题 Char2"/>
    <w:uiPriority w:val="11"/>
    <w:qFormat/>
    <w:rPr>
      <w:rFonts w:ascii="Cambria" w:hAnsi="Cambria" w:cs="Times New Roman"/>
      <w:b/>
      <w:bCs/>
      <w:sz w:val="32"/>
      <w:szCs w:val="32"/>
    </w:rPr>
  </w:style>
  <w:style w:type="character" w:styleId="1208" w:customStyle="1">
    <w:name w:val="明显参考1"/>
    <w:uiPriority w:val="0"/>
    <w:qFormat/>
    <w:rPr>
      <w:b/>
      <w:bCs/>
      <w:smallCaps/>
      <w:color w:val="c0504d"/>
      <w:spacing w:val="5"/>
      <w:u w:val="single"/>
    </w:rPr>
  </w:style>
  <w:style w:type="character" w:styleId="1209" w:customStyle="1">
    <w:name w:val="书籍标题1"/>
    <w:uiPriority w:val="0"/>
    <w:qFormat/>
    <w:rPr>
      <w:b/>
      <w:bCs/>
      <w:smallCaps/>
      <w:spacing w:val="5"/>
    </w:rPr>
  </w:style>
  <w:style w:type="character" w:styleId="1210" w:customStyle="1">
    <w:name w:val="正文文本 3 Char1"/>
    <w:uiPriority w:val="99"/>
    <w:semiHidden/>
    <w:qFormat/>
    <w:rPr>
      <w:sz w:val="16"/>
      <w:szCs w:val="16"/>
    </w:rPr>
  </w:style>
  <w:style w:type="character" w:styleId="1211" w:customStyle="1">
    <w:name w:val="标题4 Char Char"/>
    <w:link w:val="1212"/>
    <w:uiPriority w:val="0"/>
    <w:qFormat/>
    <w:rPr>
      <w:rFonts w:ascii="Arial" w:hAnsi="Arial" w:cs="Arial"/>
      <w:b/>
      <w:bCs/>
      <w:sz w:val="24"/>
      <w:szCs w:val="32"/>
    </w:rPr>
  </w:style>
  <w:style w:type="paragraph" w:styleId="1212" w:customStyle="1">
    <w:name w:val="标题4"/>
    <w:basedOn w:val="913"/>
    <w:next w:val="934"/>
    <w:link w:val="1211"/>
    <w:uiPriority w:val="0"/>
    <w:qFormat/>
    <w:pPr>
      <w:numPr>
        <w:ilvl w:val="0"/>
        <w:numId w:val="0"/>
      </w:numPr>
      <w:spacing w:line="412" w:lineRule="auto"/>
    </w:pPr>
    <w:rPr>
      <w:rFonts w:ascii="Arial" w:hAnsi="Arial" w:cs="Arial"/>
      <w:sz w:val="24"/>
    </w:rPr>
  </w:style>
  <w:style w:type="character" w:styleId="1213" w:customStyle="1">
    <w:name w:val="明显引用 Char2"/>
    <w:uiPriority w:val="99"/>
    <w:qFormat/>
    <w:rPr>
      <w:b/>
      <w:bCs/>
      <w:i/>
      <w:iCs/>
      <w:color w:val="4f81bd"/>
      <w:sz w:val="21"/>
      <w:szCs w:val="24"/>
    </w:rPr>
  </w:style>
  <w:style w:type="character" w:styleId="1214" w:customStyle="1">
    <w:name w:val="正文文本 Char2"/>
    <w:uiPriority w:val="99"/>
    <w:semiHidden/>
    <w:qFormat/>
    <w:rPr>
      <w:rFonts w:ascii="Calibri" w:hAnsi="Calibri" w:eastAsia="宋体" w:cs="Times New Roman"/>
    </w:rPr>
  </w:style>
  <w:style w:type="character" w:styleId="1215" w:customStyle="1">
    <w:name w:val="font161"/>
    <w:uiPriority w:val="0"/>
    <w:qFormat/>
    <w:rPr>
      <w:b/>
      <w:sz w:val="32"/>
    </w:rPr>
  </w:style>
  <w:style w:type="character" w:styleId="1216" w:customStyle="1">
    <w:name w:val="标题 2 Char_0"/>
    <w:link w:val="1217"/>
    <w:uiPriority w:val="0"/>
    <w:qFormat/>
    <w:rPr>
      <w:rFonts w:ascii="Cambria" w:hAnsi="Cambria"/>
      <w:b/>
      <w:bCs/>
      <w:sz w:val="32"/>
      <w:szCs w:val="32"/>
    </w:rPr>
  </w:style>
  <w:style w:type="paragraph" w:styleId="1217" w:customStyle="1">
    <w:name w:val="标题 2_0"/>
    <w:basedOn w:val="1170"/>
    <w:next w:val="1170"/>
    <w:link w:val="1216"/>
    <w:uiPriority w:val="0"/>
    <w:qFormat/>
    <w:pPr>
      <w:keepLines/>
      <w:keepNext/>
      <w:spacing w:before="260" w:after="260" w:line="415" w:lineRule="auto"/>
      <w:outlineLvl w:val="1"/>
    </w:pPr>
    <w:rPr>
      <w:rFonts w:ascii="Cambria" w:hAnsi="Cambria"/>
      <w:b/>
      <w:bCs/>
      <w:sz w:val="32"/>
      <w:szCs w:val="32"/>
    </w:rPr>
  </w:style>
  <w:style w:type="character" w:styleId="1218" w:customStyle="1">
    <w:name w:val="正文文本 Char1"/>
    <w:uiPriority w:val="0"/>
    <w:qFormat/>
    <w:rPr>
      <w:rFonts w:ascii="Calibri" w:hAnsi="Calibri" w:eastAsia="宋体" w:cs="Times New Roman"/>
    </w:rPr>
  </w:style>
  <w:style w:type="character" w:styleId="1219" w:customStyle="1">
    <w:name w:val="批注文字 Char1"/>
    <w:uiPriority w:val="0"/>
    <w:qFormat/>
    <w:rPr>
      <w:rFonts w:ascii="Calibri" w:hAnsi="Calibri" w:eastAsia="宋体" w:cs="Times New Roman"/>
    </w:rPr>
  </w:style>
  <w:style w:type="character" w:styleId="1220" w:customStyle="1">
    <w:name w:val="textcontents"/>
    <w:uiPriority w:val="0"/>
    <w:qFormat/>
    <w:rPr>
      <w:rFonts w:ascii="Times New Roman" w:hAnsi="Times New Roman" w:cs="Times New Roman"/>
    </w:rPr>
  </w:style>
  <w:style w:type="character" w:styleId="1221" w:customStyle="1">
    <w:name w:val="标题 Char1"/>
    <w:uiPriority w:val="10"/>
    <w:qFormat/>
    <w:rPr>
      <w:rFonts w:ascii="Cambria" w:hAnsi="Cambria" w:eastAsia="宋体" w:cs="Times New Roman"/>
      <w:b/>
      <w:bCs/>
      <w:sz w:val="32"/>
      <w:szCs w:val="32"/>
    </w:rPr>
  </w:style>
  <w:style w:type="paragraph" w:styleId="1222" w:customStyle="1">
    <w:name w:val="table_lines"/>
    <w:basedOn w:val="911"/>
    <w:uiPriority w:val="99"/>
    <w:qFormat/>
    <w:pPr>
      <w:jc w:val="left"/>
      <w:widowControl/>
    </w:pPr>
    <w:rPr>
      <w:rFonts w:eastAsia="MS Mincho"/>
      <w:sz w:val="20"/>
      <w:szCs w:val="20"/>
      <w:lang w:val="de-DE" w:eastAsia="de-DE"/>
    </w:rPr>
  </w:style>
  <w:style w:type="paragraph" w:styleId="1223" w:customStyle="1">
    <w:name w:val="p0"/>
    <w:basedOn w:val="911"/>
    <w:uiPriority w:val="99"/>
    <w:qFormat/>
    <w:pPr>
      <w:widowControl/>
    </w:pPr>
    <w:rPr>
      <w:b/>
      <w:bCs/>
      <w:sz w:val="24"/>
    </w:rPr>
  </w:style>
  <w:style w:type="paragraph" w:styleId="1224" w:customStyle="1">
    <w:name w:val="trs_editor"/>
    <w:basedOn w:val="911"/>
    <w:uiPriority w:val="99"/>
    <w:qFormat/>
    <w:pPr>
      <w:jc w:val="left"/>
      <w:spacing w:before="100" w:beforeAutospacing="1" w:after="100" w:afterAutospacing="1"/>
      <w:widowControl/>
    </w:pPr>
    <w:rPr>
      <w:rFonts w:ascii="宋体" w:hAnsi="宋体" w:cs="宋体"/>
      <w:sz w:val="24"/>
    </w:rPr>
  </w:style>
  <w:style w:type="paragraph" w:styleId="1225" w:customStyle="1">
    <w:name w:val="_Style 7"/>
    <w:basedOn w:val="911"/>
    <w:next w:val="981"/>
    <w:uiPriority w:val="34"/>
    <w:qFormat/>
    <w:pPr>
      <w:ind w:firstLine="420"/>
    </w:pPr>
  </w:style>
  <w:style w:type="paragraph" w:styleId="1226" w:customStyle="1">
    <w:name w:val="_Style 34"/>
    <w:next w:val="911"/>
    <w:uiPriority w:val="99"/>
    <w:qFormat/>
    <w:pPr>
      <w:jc w:val="both"/>
      <w:widowControl w:val="off"/>
    </w:pPr>
    <w:rPr>
      <w:rFonts w:ascii="Times New Roman" w:hAnsi="Times New Roman" w:eastAsia="宋体" w:cs="Times New Roman"/>
      <w:sz w:val="21"/>
      <w:lang w:val="en-US" w:eastAsia="zh-CN" w:bidi="ar-SA"/>
    </w:rPr>
  </w:style>
  <w:style w:type="paragraph" w:styleId="1227" w:customStyle="1">
    <w:name w:val="6'"/>
    <w:basedOn w:val="911"/>
    <w:uiPriority w:val="99"/>
    <w:qFormat/>
    <w:pPr>
      <w:jc w:val="center"/>
      <w:spacing w:line="320" w:lineRule="exact"/>
    </w:pPr>
    <w:rPr>
      <w:rFonts w:ascii="Calibri" w:hAnsi="Calibri"/>
      <w:spacing w:val="20"/>
      <w:szCs w:val="22"/>
    </w:rPr>
  </w:style>
  <w:style w:type="paragraph" w:styleId="1228" w:customStyle="1">
    <w:name w:val="1"/>
    <w:basedOn w:val="911"/>
    <w:next w:val="911"/>
    <w:uiPriority w:val="99"/>
    <w:qFormat/>
    <w:rPr>
      <w:rFonts w:ascii="Calibri" w:hAnsi="Calibri"/>
      <w:szCs w:val="22"/>
    </w:rPr>
  </w:style>
  <w:style w:type="paragraph" w:styleId="1229" w:customStyle="1">
    <w:name w:val="样式 标题 2 + Times New Roman 四号 非加粗 段前: 5 磅 段后: 0 磅 行距: 固定值 20..._0"/>
    <w:basedOn w:val="911"/>
    <w:uiPriority w:val="99"/>
    <w:qFormat/>
    <w:pPr>
      <w:keepLines/>
      <w:keepNext/>
      <w:spacing w:before="100" w:line="360" w:lineRule="auto"/>
      <w:outlineLvl w:val="1"/>
    </w:pPr>
    <w:rPr>
      <w:rFonts w:eastAsia="Times New Roman" w:cs="宋体"/>
      <w:sz w:val="28"/>
      <w:szCs w:val="20"/>
    </w:rPr>
  </w:style>
  <w:style w:type="paragraph" w:styleId="1230" w:customStyle="1">
    <w:name w:val="1方案格式1"/>
    <w:basedOn w:val="912"/>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31" w:customStyle="1">
    <w:name w:val="yiv1658056056msonormal"/>
    <w:basedOn w:val="911"/>
    <w:uiPriority w:val="99"/>
    <w:qFormat/>
    <w:pPr>
      <w:jc w:val="left"/>
      <w:spacing w:before="100" w:beforeAutospacing="1" w:after="100" w:afterAutospacing="1"/>
      <w:widowControl/>
    </w:pPr>
    <w:rPr>
      <w:rFonts w:ascii="宋体" w:hAnsi="宋体" w:cs="宋体"/>
      <w:sz w:val="24"/>
    </w:rPr>
  </w:style>
  <w:style w:type="paragraph" w:styleId="1232"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33"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34" w:customStyle="1">
    <w:name w:val="正文文本缩进11"/>
    <w:basedOn w:val="911"/>
    <w:next w:val="1235"/>
    <w:uiPriority w:val="0"/>
    <w:qFormat/>
    <w:pPr>
      <w:ind w:firstLine="435"/>
      <w:spacing w:line="480" w:lineRule="exact"/>
    </w:pPr>
    <w:rPr>
      <w:sz w:val="24"/>
    </w:rPr>
  </w:style>
  <w:style w:type="paragraph" w:styleId="1235" w:customStyle="1">
    <w:name w:val="寄信人地址1"/>
    <w:basedOn w:val="911"/>
    <w:uiPriority w:val="0"/>
    <w:qFormat/>
    <w:rPr>
      <w:rFonts w:ascii="Arial" w:hAnsi="Arial" w:eastAsia="楷体_GB2312"/>
      <w:sz w:val="26"/>
      <w:szCs w:val="20"/>
    </w:rPr>
  </w:style>
  <w:style w:type="paragraph" w:styleId="1236" w:customStyle="1">
    <w:name w:val="标题2"/>
    <w:basedOn w:val="913"/>
    <w:next w:val="930"/>
    <w:uiPriority w:val="99"/>
    <w:qFormat/>
    <w:pPr>
      <w:spacing w:before="156" w:after="156" w:line="360" w:lineRule="auto"/>
    </w:pPr>
    <w:rPr>
      <w:bCs w:val="0"/>
      <w:sz w:val="24"/>
    </w:rPr>
  </w:style>
  <w:style w:type="paragraph" w:styleId="1237" w:customStyle="1">
    <w:name w:val="表格正文"/>
    <w:basedOn w:val="911"/>
    <w:next w:val="911"/>
    <w:uiPriority w:val="0"/>
    <w:qFormat/>
    <w:pPr>
      <w:contextualSpacing/>
      <w:jc w:val="left"/>
      <w:spacing w:before="20" w:after="20" w:line="300" w:lineRule="exact"/>
    </w:pPr>
    <w:rPr>
      <w:szCs w:val="20"/>
    </w:rPr>
  </w:style>
  <w:style w:type="paragraph" w:styleId="1238" w:customStyle="1">
    <w:name w:val="目录 3_0"/>
    <w:basedOn w:val="1170"/>
    <w:next w:val="1170"/>
    <w:uiPriority w:val="39"/>
    <w:qFormat/>
    <w:pPr>
      <w:ind w:left="840"/>
    </w:pPr>
    <w:rPr>
      <w:rFonts w:ascii="Calibri" w:hAnsi="Calibri"/>
    </w:rPr>
  </w:style>
  <w:style w:type="paragraph" w:styleId="1239" w:customStyle="1">
    <w:name w:val="正文11"/>
    <w:uiPriority w:val="99"/>
    <w:qFormat/>
    <w:rPr>
      <w:rFonts w:ascii="Calibri" w:hAnsi="Calibri" w:eastAsia="宋体" w:cs="Calibri"/>
      <w:sz w:val="24"/>
      <w:szCs w:val="24"/>
      <w:lang w:val="en-US" w:eastAsia="zh-CN" w:bidi="ar-SA"/>
    </w:rPr>
  </w:style>
  <w:style w:type="paragraph" w:styleId="1240" w:customStyle="1">
    <w:name w:val="普通正文"/>
    <w:basedOn w:val="911"/>
    <w:uiPriority w:val="99"/>
    <w:qFormat/>
    <w:pPr>
      <w:ind w:firstLine="480"/>
      <w:jc w:val="left"/>
      <w:spacing w:before="120" w:after="120" w:line="360" w:lineRule="auto"/>
    </w:pPr>
    <w:rPr>
      <w:rFonts w:ascii="Arial" w:hAnsi="Arial"/>
      <w:sz w:val="24"/>
    </w:rPr>
  </w:style>
  <w:style w:type="paragraph" w:styleId="1241" w:customStyle="1">
    <w:name w:val="Table Text"/>
    <w:basedOn w:val="911"/>
    <w:uiPriority w:val="0"/>
    <w:semiHidden/>
    <w:qFormat/>
    <w:rPr>
      <w:rFonts w:ascii="宋体" w:hAnsi="宋体" w:cs="宋体"/>
      <w:sz w:val="24"/>
      <w:lang w:eastAsia="en-US"/>
    </w:rPr>
  </w:style>
  <w:style w:type="paragraph" w:styleId="1242" w:customStyle="1">
    <w:name w:val="纯文本2"/>
    <w:basedOn w:val="911"/>
    <w:uiPriority w:val="99"/>
    <w:qFormat/>
    <w:pPr>
      <w:jc w:val="left"/>
    </w:pPr>
    <w:rPr>
      <w:rFonts w:ascii="宋体" w:hAnsi="宋体" w:cs="Courier New"/>
      <w:sz w:val="24"/>
      <w:szCs w:val="20"/>
      <w:lang w:bidi="hi-IN"/>
    </w:rPr>
  </w:style>
  <w:style w:type="paragraph" w:styleId="1243" w:customStyle="1">
    <w:name w:val="Char Char Char Char Char Char Char"/>
    <w:basedOn w:val="911"/>
    <w:uiPriority w:val="99"/>
    <w:qFormat/>
    <w:pPr>
      <w:spacing w:line="360" w:lineRule="auto"/>
    </w:pPr>
    <w:rPr>
      <w:sz w:val="24"/>
      <w:szCs w:val="20"/>
    </w:rPr>
  </w:style>
  <w:style w:type="paragraph" w:styleId="1244" w:customStyle="1">
    <w:name w:val="Table Paragraph"/>
    <w:basedOn w:val="911"/>
    <w:uiPriority w:val="1"/>
    <w:qFormat/>
    <w:pPr>
      <w:jc w:val="left"/>
      <w:widowControl/>
    </w:pPr>
    <w:rPr>
      <w:rFonts w:ascii="Arial" w:hAnsi="Arial" w:eastAsia="Arial" w:cs="Arial"/>
      <w:color w:val="000000"/>
    </w:rPr>
  </w:style>
  <w:style w:type="paragraph" w:styleId="1245" w:customStyle="1">
    <w:name w:val="3方案格式3"/>
    <w:basedOn w:val="1246"/>
    <w:uiPriority w:val="99"/>
    <w:qFormat/>
    <w:pPr>
      <w:numPr>
        <w:ilvl w:val="2"/>
      </w:numPr>
      <w:tabs>
        <w:tab w:val="left" w:pos="360" w:leader="none"/>
      </w:tabs>
      <w:outlineLvl w:val="2"/>
    </w:pPr>
    <w:rPr>
      <w:sz w:val="32"/>
    </w:rPr>
  </w:style>
  <w:style w:type="paragraph" w:styleId="1246" w:customStyle="1">
    <w:name w:val="2方案格式2"/>
    <w:basedOn w:val="1230"/>
    <w:uiPriority w:val="99"/>
    <w:qFormat/>
    <w:pPr>
      <w:numPr>
        <w:ilvl w:val="1"/>
      </w:numPr>
      <w:spacing w:line="240" w:lineRule="auto"/>
      <w:outlineLvl w:val="1"/>
    </w:pPr>
    <w:rPr>
      <w:sz w:val="44"/>
    </w:rPr>
  </w:style>
  <w:style w:type="paragraph" w:styleId="1247" w:customStyle="1">
    <w:name w:val="TOC 标题11"/>
    <w:basedOn w:val="912"/>
    <w:next w:val="911"/>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48"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49" w:customStyle="1">
    <w:name w:val="正文空2字"/>
    <w:basedOn w:val="911"/>
    <w:uiPriority w:val="99"/>
    <w:qFormat/>
    <w:pPr>
      <w:ind w:firstLine="200"/>
      <w:spacing w:line="360" w:lineRule="auto"/>
    </w:pPr>
    <w:rPr>
      <w:sz w:val="24"/>
      <w:lang w:bidi="en-US"/>
    </w:rPr>
  </w:style>
  <w:style w:type="paragraph" w:styleId="1250" w:customStyle="1">
    <w:name w:val="flNote"/>
    <w:basedOn w:val="911"/>
    <w:uiPriority w:val="99"/>
    <w:qFormat/>
    <w:pPr>
      <w:jc w:val="center"/>
      <w:spacing w:before="320" w:after="160" w:line="360" w:lineRule="atLeast"/>
    </w:pPr>
    <w:rPr>
      <w:rFonts w:ascii="Arial" w:hAnsi="Calibri" w:eastAsia="黑体"/>
      <w:sz w:val="30"/>
      <w:szCs w:val="22"/>
    </w:rPr>
  </w:style>
  <w:style w:type="paragraph" w:styleId="1251" w:customStyle="1">
    <w:name w:val="目录 4_0"/>
    <w:basedOn w:val="1170"/>
    <w:next w:val="1170"/>
    <w:uiPriority w:val="39"/>
    <w:qFormat/>
    <w:pPr>
      <w:ind w:left="1260"/>
    </w:pPr>
    <w:rPr>
      <w:rFonts w:ascii="Calibri" w:hAnsi="Calibri"/>
    </w:rPr>
  </w:style>
  <w:style w:type="paragraph" w:styleId="1252" w:customStyle="1">
    <w:name w:val="列出段落11"/>
    <w:basedOn w:val="911"/>
    <w:uiPriority w:val="99"/>
    <w:qFormat/>
    <w:pPr>
      <w:contextualSpacing/>
      <w:ind w:left="720"/>
      <w:jc w:val="left"/>
      <w:widowControl/>
    </w:pPr>
    <w:rPr>
      <w:rFonts w:ascii="Arial" w:hAnsi="Arial" w:eastAsia="黑体"/>
      <w:sz w:val="24"/>
      <w:lang w:eastAsia="en-US"/>
    </w:rPr>
  </w:style>
  <w:style w:type="paragraph" w:styleId="1253" w:customStyle="1">
    <w:name w:val="列出段落41"/>
    <w:basedOn w:val="911"/>
    <w:uiPriority w:val="99"/>
    <w:qFormat/>
    <w:pPr>
      <w:ind w:firstLine="420"/>
    </w:pPr>
  </w:style>
  <w:style w:type="paragraph" w:styleId="1254" w:customStyle="1">
    <w:name w:val="_Style 28"/>
    <w:basedOn w:val="911"/>
    <w:next w:val="981"/>
    <w:uiPriority w:val="34"/>
    <w:qFormat/>
    <w:pPr>
      <w:ind w:firstLine="420"/>
    </w:pPr>
  </w:style>
  <w:style w:type="paragraph" w:styleId="1255" w:customStyle="1">
    <w:name w:val="正文 + 行距: 固定值 20 磅"/>
    <w:basedOn w:val="911"/>
    <w:uiPriority w:val="99"/>
    <w:qFormat/>
    <w:pPr>
      <w:ind w:firstLine="716"/>
      <w:spacing w:line="400" w:lineRule="exact"/>
    </w:pPr>
    <w:rPr>
      <w:rFonts w:ascii="Calibri" w:hAnsi="Calibri"/>
      <w:szCs w:val="22"/>
    </w:rPr>
  </w:style>
  <w:style w:type="paragraph" w:styleId="1256" w:customStyle="1">
    <w:name w:val="文章正文"/>
    <w:basedOn w:val="911"/>
    <w:uiPriority w:val="99"/>
    <w:qFormat/>
    <w:pPr>
      <w:ind w:firstLine="480"/>
      <w:spacing w:line="360" w:lineRule="auto"/>
    </w:pPr>
    <w:rPr>
      <w:rFonts w:ascii="仿宋_GB2312" w:hAnsi="宋体" w:eastAsia="仿宋_GB2312"/>
      <w:color w:val="ff0000"/>
      <w:sz w:val="24"/>
    </w:rPr>
  </w:style>
  <w:style w:type="paragraph" w:styleId="1257" w:customStyle="1">
    <w:name w:val="样式 标题 1 + 黑体 三号 非加粗 居中 段前: 6 磅 段后: 6 磅 行距: 固定值 20 磅"/>
    <w:basedOn w:val="912"/>
    <w:uiPriority w:val="99"/>
    <w:qFormat/>
    <w:pPr>
      <w:numPr>
        <w:numId w:val="0"/>
      </w:numPr>
      <w:spacing w:before="120" w:after="120" w:line="400" w:lineRule="exact"/>
    </w:pPr>
    <w:rPr>
      <w:rFonts w:ascii="黑体" w:hAnsi="黑体" w:eastAsia="黑体"/>
      <w:b w:val="0"/>
      <w:bCs w:val="0"/>
      <w:szCs w:val="20"/>
    </w:rPr>
  </w:style>
  <w:style w:type="paragraph" w:styleId="1258" w:customStyle="1">
    <w:name w:val="表格"/>
    <w:basedOn w:val="911"/>
    <w:uiPriority w:val="99"/>
    <w:qFormat/>
    <w:pPr>
      <w:jc w:val="center"/>
    </w:pPr>
    <w:rPr>
      <w:rFonts w:ascii="华文细黑" w:hAnsi="华文细黑"/>
      <w:szCs w:val="22"/>
    </w:rPr>
  </w:style>
  <w:style w:type="paragraph" w:styleId="1259" w:customStyle="1">
    <w:name w:val="*正文"/>
    <w:basedOn w:val="911"/>
    <w:uiPriority w:val="0"/>
    <w:qFormat/>
    <w:rPr>
      <w:rFonts w:ascii="宋体" w:hAnsi="宋体"/>
      <w:sz w:val="24"/>
      <w:lang w:val="zh-CN"/>
    </w:rPr>
  </w:style>
  <w:style w:type="paragraph" w:styleId="1260"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61" w:customStyle="1">
    <w:name w:val="四级标题"/>
    <w:basedOn w:val="939"/>
    <w:uiPriority w:val="0"/>
    <w:qFormat/>
    <w:pPr>
      <w:spacing w:line="360" w:lineRule="auto"/>
    </w:pPr>
    <w:rPr>
      <w:rFonts w:hint="eastAsia" w:ascii="宋体" w:hAnsi="Courier New" w:eastAsia="黑体" w:cs="Courier New"/>
      <w:sz w:val="24"/>
      <w:szCs w:val="21"/>
    </w:rPr>
  </w:style>
  <w:style w:type="paragraph" w:styleId="1262" w:customStyle="1">
    <w:name w:val="标题 11"/>
    <w:basedOn w:val="1263"/>
    <w:next w:val="1263"/>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63" w:customStyle="1">
    <w:name w:val="正文1"/>
    <w:uiPriority w:val="99"/>
    <w:qFormat/>
    <w:pPr>
      <w:jc w:val="both"/>
      <w:widowControl w:val="off"/>
    </w:pPr>
    <w:rPr>
      <w:rFonts w:ascii="Calibri" w:hAnsi="Calibri" w:eastAsia="宋体" w:cs="Times New Roman"/>
      <w:lang w:val="en-US" w:eastAsia="zh-CN" w:bidi="ar-SA"/>
    </w:rPr>
  </w:style>
  <w:style w:type="paragraph" w:styleId="1264" w:customStyle="1">
    <w:name w:val="样式 标题 2 + Times New Roman 四号 非加粗 段前: 5 磅 段后: 0 磅 行距: 固定值 20..."/>
    <w:basedOn w:val="913"/>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65" w:customStyle="1">
    <w:name w:val="Char"/>
    <w:basedOn w:val="911"/>
    <w:uiPriority w:val="99"/>
    <w:qFormat/>
    <w:pPr>
      <w:jc w:val="left"/>
      <w:spacing w:after="160" w:line="240" w:lineRule="exact"/>
      <w:widowControl/>
    </w:pPr>
    <w:rPr>
      <w:rFonts w:ascii="Verdana" w:hAnsi="Verdana"/>
      <w:sz w:val="20"/>
      <w:szCs w:val="20"/>
      <w:lang w:eastAsia="en-US"/>
    </w:rPr>
  </w:style>
  <w:style w:type="paragraph" w:styleId="1266" w:customStyle="1">
    <w:name w:val="Blockquote_0"/>
    <w:basedOn w:val="1170"/>
    <w:uiPriority w:val="99"/>
    <w:qFormat/>
    <w:pPr>
      <w:ind w:left="360" w:right="360"/>
      <w:jc w:val="left"/>
      <w:spacing w:before="100" w:after="100"/>
    </w:pPr>
    <w:rPr>
      <w:rFonts w:ascii="Calibri" w:hAnsi="Calibri" w:eastAsia="Times New Roman"/>
      <w:sz w:val="24"/>
      <w:szCs w:val="20"/>
    </w:rPr>
  </w:style>
  <w:style w:type="paragraph" w:styleId="1267" w:customStyle="1">
    <w:name w:val="修订1"/>
    <w:uiPriority w:val="99"/>
    <w:qFormat/>
    <w:rPr>
      <w:rFonts w:ascii="Times New Roman" w:hAnsi="Times New Roman" w:eastAsia="宋体" w:cs="Times New Roman"/>
      <w:sz w:val="21"/>
      <w:szCs w:val="24"/>
      <w:lang w:val="en-US" w:eastAsia="zh-CN" w:bidi="ar-SA"/>
    </w:rPr>
  </w:style>
  <w:style w:type="paragraph" w:styleId="1268" w:customStyle="1">
    <w:name w:val="表格标题"/>
    <w:basedOn w:val="1237"/>
    <w:uiPriority w:val="0"/>
    <w:qFormat/>
    <w:pPr>
      <w:jc w:val="center"/>
    </w:pPr>
    <w:rPr>
      <w:b/>
    </w:rPr>
  </w:style>
  <w:style w:type="paragraph" w:styleId="1269"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70" w:customStyle="1">
    <w:name w:val="op_mapdots_left"/>
    <w:basedOn w:val="911"/>
    <w:uiPriority w:val="99"/>
    <w:qFormat/>
    <w:pPr>
      <w:jc w:val="left"/>
      <w:spacing w:before="100" w:beforeAutospacing="1" w:after="100" w:afterAutospacing="1"/>
      <w:widowControl/>
    </w:pPr>
    <w:rPr>
      <w:rFonts w:ascii="宋体" w:hAnsi="宋体" w:cs="宋体"/>
      <w:sz w:val="24"/>
    </w:rPr>
  </w:style>
  <w:style w:type="paragraph" w:styleId="1271" w:customStyle="1">
    <w:name w:val="空半行"/>
    <w:basedOn w:val="911"/>
    <w:uiPriority w:val="99"/>
    <w:qFormat/>
    <w:pPr>
      <w:spacing w:line="120" w:lineRule="exact"/>
    </w:pPr>
    <w:rPr>
      <w:rFonts w:ascii="Calibri" w:hAnsi="Calibri" w:eastAsia="仿宋_GB2312"/>
      <w:color w:val="ffffff"/>
      <w:sz w:val="30"/>
      <w:szCs w:val="22"/>
    </w:rPr>
  </w:style>
  <w:style w:type="paragraph" w:styleId="1272" w:customStyle="1">
    <w:name w:val="_Style 36"/>
    <w:next w:val="981"/>
    <w:uiPriority w:val="99"/>
    <w:qFormat/>
    <w:pPr>
      <w:jc w:val="both"/>
      <w:widowControl w:val="off"/>
    </w:pPr>
    <w:rPr>
      <w:rFonts w:ascii="Times New Roman" w:hAnsi="Times New Roman" w:eastAsia="宋体" w:cs="Times New Roman"/>
      <w:sz w:val="21"/>
      <w:lang w:val="en-US" w:eastAsia="zh-CN" w:bidi="ar-SA"/>
    </w:rPr>
  </w:style>
  <w:style w:type="paragraph" w:styleId="1273" w:customStyle="1">
    <w:name w:val="table_1stline"/>
    <w:basedOn w:val="911"/>
    <w:uiPriority w:val="99"/>
    <w:qFormat/>
    <w:pPr>
      <w:jc w:val="left"/>
      <w:spacing w:before="120"/>
      <w:widowControl/>
    </w:pPr>
    <w:rPr>
      <w:bCs/>
      <w:sz w:val="20"/>
      <w:lang w:val="de-DE" w:eastAsia="de-DE"/>
    </w:rPr>
  </w:style>
  <w:style w:type="paragraph" w:styleId="1274" w:customStyle="1">
    <w:name w:val="txt"/>
    <w:basedOn w:val="911"/>
    <w:uiPriority w:val="99"/>
    <w:qFormat/>
    <w:pPr>
      <w:jc w:val="left"/>
      <w:spacing w:before="100" w:beforeAutospacing="1" w:after="100" w:afterAutospacing="1"/>
      <w:widowControl/>
    </w:pPr>
    <w:rPr>
      <w:rFonts w:ascii="宋体" w:hAnsi="宋体" w:cs="宋体"/>
      <w:sz w:val="24"/>
    </w:rPr>
  </w:style>
  <w:style w:type="paragraph" w:styleId="1275" w:customStyle="1">
    <w:name w:val="文档正文"/>
    <w:basedOn w:val="911"/>
    <w:uiPriority w:val="99"/>
    <w:qFormat/>
    <w:pPr>
      <w:ind w:firstLine="567"/>
      <w:spacing w:line="480" w:lineRule="atLeast"/>
    </w:pPr>
    <w:rPr>
      <w:rFonts w:ascii="Ari" w:eastAsia="Ari"/>
      <w:sz w:val="28"/>
      <w:szCs w:val="20"/>
    </w:rPr>
  </w:style>
  <w:style w:type="paragraph" w:styleId="1276" w:customStyle="1">
    <w:name w:val="Blockquote"/>
    <w:basedOn w:val="911"/>
    <w:uiPriority w:val="99"/>
    <w:qFormat/>
    <w:pPr>
      <w:ind w:left="360" w:right="360"/>
      <w:jc w:val="left"/>
      <w:spacing w:before="100" w:after="100"/>
    </w:pPr>
    <w:rPr>
      <w:rFonts w:ascii="Calibri" w:hAnsi="Calibri"/>
      <w:sz w:val="24"/>
      <w:szCs w:val="22"/>
    </w:rPr>
  </w:style>
  <w:style w:type="paragraph" w:styleId="1277" w:customStyle="1">
    <w:name w:val="列出段落2"/>
    <w:basedOn w:val="911"/>
    <w:uiPriority w:val="99"/>
    <w:qFormat/>
    <w:pPr>
      <w:ind w:firstLine="420"/>
    </w:pPr>
  </w:style>
  <w:style w:type="paragraph" w:styleId="1278" w:customStyle="1">
    <w:name w:val="格式３"/>
    <w:basedOn w:val="911"/>
    <w:uiPriority w:val="99"/>
    <w:qFormat/>
    <w:pPr>
      <w:ind w:left="600" w:hanging="600"/>
      <w:spacing w:line="420" w:lineRule="exact"/>
    </w:pPr>
    <w:rPr>
      <w:rFonts w:ascii="宋体" w:hAnsi="宋体"/>
      <w:color w:val="000000"/>
      <w:sz w:val="24"/>
      <w:szCs w:val="20"/>
    </w:rPr>
  </w:style>
  <w:style w:type="paragraph" w:styleId="1279" w:customStyle="1">
    <w:name w:val="正文2"/>
    <w:uiPriority w:val="99"/>
    <w:qFormat/>
    <w:rPr>
      <w:rFonts w:ascii="Times New Roman" w:hAnsi="Times New Roman" w:eastAsia="微软雅黑" w:cs="Times New Roman"/>
      <w:sz w:val="24"/>
      <w:szCs w:val="24"/>
      <w:lang w:val="en-US" w:eastAsia="zh-CN" w:bidi="ar-SA"/>
    </w:rPr>
  </w:style>
  <w:style w:type="paragraph" w:styleId="1280" w:customStyle="1">
    <w:name w:val="列出段落4"/>
    <w:basedOn w:val="911"/>
    <w:uiPriority w:val="34"/>
    <w:qFormat/>
    <w:pPr>
      <w:ind w:firstLine="420"/>
    </w:pPr>
  </w:style>
  <w:style w:type="paragraph" w:styleId="1281" w:customStyle="1">
    <w:name w:val="列出段落1"/>
    <w:basedOn w:val="911"/>
    <w:uiPriority w:val="99"/>
    <w:qFormat/>
    <w:pPr>
      <w:contextualSpacing/>
      <w:ind w:left="720"/>
      <w:jc w:val="left"/>
      <w:widowControl/>
    </w:pPr>
    <w:rPr>
      <w:rFonts w:ascii="Arial" w:hAnsi="Arial" w:eastAsia="黑体"/>
      <w:sz w:val="24"/>
      <w:lang w:eastAsia="en-US"/>
    </w:rPr>
  </w:style>
  <w:style w:type="paragraph" w:styleId="128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83" w:customStyle="1">
    <w:name w:val="目录 5_0"/>
    <w:basedOn w:val="1170"/>
    <w:next w:val="1170"/>
    <w:uiPriority w:val="39"/>
    <w:qFormat/>
    <w:pPr>
      <w:ind w:left="1680"/>
    </w:pPr>
    <w:rPr>
      <w:rFonts w:ascii="Calibri" w:hAnsi="Calibri"/>
    </w:rPr>
  </w:style>
  <w:style w:type="paragraph" w:styleId="1284" w:customStyle="1">
    <w:name w:val="样式 标题 3 + (中文) 黑体 小四 非加粗 段前: 7.8 磅 段后: 0 磅 行距: 固定值 20 磅"/>
    <w:basedOn w:val="914"/>
    <w:next w:val="911"/>
    <w:uiPriority w:val="99"/>
    <w:qFormat/>
    <w:pPr>
      <w:spacing w:before="0" w:after="0" w:line="400" w:lineRule="exact"/>
    </w:pPr>
    <w:rPr>
      <w:rFonts w:eastAsia="黑体" w:cs="宋体"/>
      <w:b w:val="0"/>
      <w:bCs w:val="0"/>
      <w:sz w:val="24"/>
      <w:szCs w:val="20"/>
    </w:rPr>
  </w:style>
  <w:style w:type="paragraph" w:styleId="1285"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86" w:customStyle="1">
    <w:name w:val="列出段落3"/>
    <w:basedOn w:val="911"/>
    <w:uiPriority w:val="99"/>
    <w:qFormat/>
    <w:pPr>
      <w:ind w:firstLine="420"/>
      <w:jc w:val="left"/>
      <w:spacing w:after="200"/>
      <w:widowControl/>
    </w:pPr>
    <w:rPr>
      <w:rFonts w:ascii="Tahoma" w:hAnsi="Tahoma" w:eastAsia="微软雅黑"/>
      <w:sz w:val="22"/>
      <w:szCs w:val="22"/>
    </w:rPr>
  </w:style>
  <w:style w:type="paragraph" w:styleId="1287" w:customStyle="1">
    <w:name w:val="修订2"/>
    <w:uiPriority w:val="99"/>
    <w:semiHidden/>
    <w:qFormat/>
    <w:rPr>
      <w:rFonts w:ascii="Times New Roman" w:hAnsi="Times New Roman" w:eastAsia="宋体" w:cs="Times New Roman"/>
      <w:sz w:val="21"/>
      <w:szCs w:val="24"/>
      <w:lang w:val="en-US" w:eastAsia="zh-CN" w:bidi="ar-SA"/>
    </w:rPr>
  </w:style>
  <w:style w:type="table" w:styleId="1288" w:customStyle="1">
    <w:name w:val="网格型1"/>
    <w:basedOn w:val="922"/>
    <w:uiPriority w:val="0"/>
    <w:qFormat/>
    <w:rPr>
      <w:rFonts w:ascii="Calibri" w:hAnsi="Calibri"/>
    </w:rPr>
    <w:tblPr/>
  </w:style>
  <w:style w:type="paragraph" w:styleId="1289" w:customStyle="1">
    <w:name w:val="标题 41"/>
    <w:basedOn w:val="911"/>
    <w:next w:val="911"/>
    <w:uiPriority w:val="0"/>
    <w:qFormat/>
    <w:pPr>
      <w:keepLines/>
      <w:keepNext/>
      <w:spacing w:before="120" w:after="120"/>
      <w:outlineLvl w:val="3"/>
    </w:pPr>
    <w:rPr>
      <w:rFonts w:ascii="Arial" w:hAnsi="Arial" w:eastAsia="黑体"/>
      <w:b/>
      <w:sz w:val="28"/>
    </w:rPr>
  </w:style>
  <w:style w:type="paragraph" w:styleId="1290" w:customStyle="1">
    <w:name w:val="标题 21"/>
    <w:basedOn w:val="911"/>
    <w:next w:val="911"/>
    <w:uiPriority w:val="0"/>
    <w:qFormat/>
    <w:pPr>
      <w:jc w:val="center"/>
      <w:keepLines/>
      <w:keepNext/>
      <w:spacing w:before="260" w:after="260"/>
      <w:outlineLvl w:val="1"/>
    </w:pPr>
    <w:rPr>
      <w:rFonts w:ascii="Cambria" w:hAnsi="Cambria"/>
      <w:b/>
      <w:bCs/>
      <w:sz w:val="28"/>
      <w:szCs w:val="32"/>
    </w:rPr>
  </w:style>
  <w:style w:type="paragraph" w:styleId="1291" w:customStyle="1">
    <w:name w:val="WPSOffice手动目录 1"/>
    <w:uiPriority w:val="0"/>
    <w:qFormat/>
    <w:rPr>
      <w:rFonts w:ascii="Times New Roman" w:hAnsi="Times New Roman" w:eastAsia="宋体" w:cs="Times New Roman"/>
      <w:lang w:val="en-US" w:eastAsia="zh-CN" w:bidi="ar-SA"/>
    </w:rPr>
  </w:style>
  <w:style w:type="paragraph" w:styleId="1292" w:customStyle="1">
    <w:name w:val="WPSOffice手动目录 2"/>
    <w:uiPriority w:val="0"/>
    <w:qFormat/>
    <w:pPr>
      <w:ind w:left="200"/>
    </w:pPr>
    <w:rPr>
      <w:rFonts w:ascii="Times New Roman" w:hAnsi="Times New Roman" w:eastAsia="宋体" w:cs="Times New Roman"/>
      <w:lang w:val="en-US" w:eastAsia="zh-CN" w:bidi="ar-SA"/>
    </w:rPr>
  </w:style>
  <w:style w:type="table" w:styleId="1293" w:customStyle="1">
    <w:name w:val="Table Normal"/>
    <w:uiPriority w:val="0"/>
    <w:semiHidden/>
    <w:unhideWhenUsed/>
    <w:qFormat/>
    <w:tblPr>
      <w:tblCellMar>
        <w:left w:w="0" w:type="dxa"/>
        <w:top w:w="0" w:type="dxa"/>
        <w:right w:w="0" w:type="dxa"/>
        <w:bottom w:w="0" w:type="dxa"/>
      </w:tblCellMar>
    </w:tblPr>
  </w:style>
  <w:style w:type="paragraph" w:styleId="1294" w:customStyle="1">
    <w:name w:val="首行缩进"/>
    <w:basedOn w:val="911"/>
    <w:uiPriority w:val="0"/>
    <w:qFormat/>
    <w:pPr>
      <w:spacing w:line="312" w:lineRule="atLeast"/>
    </w:pPr>
    <w:rPr>
      <w:rFonts w:ascii="Calibri" w:hAnsi="Calibri"/>
    </w:rPr>
  </w:style>
  <w:style w:type="paragraph" w:styleId="1295" w:customStyle="1">
    <w:name w:val="null3"/>
    <w:hidden/>
    <w:uiPriority w:val="0"/>
    <w:qFormat/>
    <w:rPr>
      <w:rFonts w:hint="eastAsia" w:asciiTheme="minorHAnsi" w:hAnsiTheme="minorHAnsi" w:eastAsiaTheme="minorEastAsia" w:cstheme="minorBidi"/>
      <w:lang w:val="en-US" w:eastAsia="zh-Hans" w:bidi="ar-SA"/>
    </w:rPr>
  </w:style>
  <w:style w:type="character" w:styleId="1296" w:customStyle="1">
    <w:name w:val="font91"/>
    <w:basedOn w:val="921"/>
    <w:uiPriority w:val="0"/>
    <w:qFormat/>
    <w:rPr>
      <w:rFonts w:ascii="宋体" w:hAnsi="宋体" w:eastAsia="宋体" w:cs="宋体"/>
      <w:b/>
      <w:bCs/>
      <w:color w:val="000000"/>
      <w:sz w:val="22"/>
      <w:szCs w:val="22"/>
      <w:u w:val="none"/>
    </w:rPr>
  </w:style>
  <w:style w:type="character" w:styleId="1297" w:customStyle="1">
    <w:name w:val="font101"/>
    <w:basedOn w:val="921"/>
    <w:uiPriority w:val="0"/>
    <w:qFormat/>
    <w:rPr>
      <w:rFonts w:ascii="宋体" w:hAnsi="宋体" w:eastAsia="宋体" w:cs="宋体"/>
      <w:color w:val="000000"/>
      <w:sz w:val="22"/>
      <w:szCs w:val="22"/>
      <w:u w:val="none"/>
    </w:rPr>
  </w:style>
  <w:style w:type="character" w:styleId="1298" w:customStyle="1">
    <w:name w:val="font01"/>
    <w:basedOn w:val="921"/>
    <w:uiPriority w:val="0"/>
    <w:qFormat/>
    <w:rPr>
      <w:rFonts w:hint="eastAsia" w:ascii="宋体" w:hAnsi="宋体" w:eastAsia="宋体" w:cs="宋体"/>
      <w:color w:val="000000"/>
      <w:sz w:val="22"/>
      <w:szCs w:val="22"/>
      <w:u w:val="none"/>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6</cp:revision>
  <dcterms:created xsi:type="dcterms:W3CDTF">2026-08-27T10:17:00Z</dcterms:created>
  <dcterms:modified xsi:type="dcterms:W3CDTF">2026-09-21T01:11:11Z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A917E4895594449EBF9958CA3EF70559_13</vt:lpwstr>
  </property>
  <property fmtid="{D5CDD505-2E9C-101B-9397-08002B2CF9AE}" pid="4" name="KSOTemplateDocerSaveRecord">
    <vt:lpwstr>eyJoZGlkIjoiMzEwNTM5NzYwMDRjMzkwZTVkZjY2ODkwMGIxNGU0OTUiLCJ1c2VySWQiOiI1Njc5NjcwNDAifQ==</vt:lpwstr>
  </property>
</Properties>
</file>